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C6710" w14:textId="77777777" w:rsidR="004E3B59" w:rsidRDefault="000B510B" w:rsidP="00BF2B29">
      <w:pPr>
        <w:ind w:firstLine="0"/>
      </w:pPr>
      <w:r>
        <w:rPr>
          <w:noProof/>
        </w:rPr>
        <mc:AlternateContent>
          <mc:Choice Requires="wps">
            <w:drawing>
              <wp:anchor distT="0" distB="0" distL="114300" distR="114300" simplePos="0" relativeHeight="251656192" behindDoc="0" locked="0" layoutInCell="1" allowOverlap="1" wp14:anchorId="3CA3A832" wp14:editId="61ED1F7C">
                <wp:simplePos x="0" y="0"/>
                <wp:positionH relativeFrom="page">
                  <wp:posOffset>914400</wp:posOffset>
                </wp:positionH>
                <wp:positionV relativeFrom="page">
                  <wp:posOffset>1143000</wp:posOffset>
                </wp:positionV>
                <wp:extent cx="5943600" cy="8343900"/>
                <wp:effectExtent l="0" t="0" r="0" b="0"/>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2F836" w14:textId="77777777" w:rsidR="005927E7" w:rsidRDefault="005927E7" w:rsidP="00536110">
                            <w:pPr>
                              <w:spacing w:line="240" w:lineRule="auto"/>
                              <w:ind w:firstLine="0"/>
                              <w:jc w:val="center"/>
                              <w:rPr>
                                <w:b/>
                              </w:rPr>
                            </w:pPr>
                            <w:r>
                              <w:rPr>
                                <w:b/>
                              </w:rPr>
                              <w:t>READABILITY AND SUITABILITY OF HEALTH EDUCATIONAL MATERIAL PROVIDED AT OUTPATIENT VISITS AT A LARGE TERTIARY CARE CHILDREN’S HOSPITAL</w:t>
                            </w:r>
                          </w:p>
                          <w:p w14:paraId="672A6659" w14:textId="77777777" w:rsidR="005927E7" w:rsidRDefault="005927E7" w:rsidP="00536110">
                            <w:pPr>
                              <w:spacing w:line="240" w:lineRule="auto"/>
                              <w:ind w:firstLine="0"/>
                              <w:jc w:val="center"/>
                              <w:rPr>
                                <w:b/>
                              </w:rPr>
                            </w:pPr>
                          </w:p>
                          <w:p w14:paraId="0A37501D" w14:textId="77777777" w:rsidR="005927E7" w:rsidRDefault="005927E7" w:rsidP="00536110">
                            <w:pPr>
                              <w:spacing w:line="240" w:lineRule="auto"/>
                              <w:ind w:firstLine="0"/>
                              <w:jc w:val="center"/>
                              <w:rPr>
                                <w:b/>
                              </w:rPr>
                            </w:pPr>
                          </w:p>
                          <w:p w14:paraId="5DAB6C7B" w14:textId="77777777" w:rsidR="005927E7" w:rsidRDefault="005927E7" w:rsidP="00536110">
                            <w:pPr>
                              <w:spacing w:line="240" w:lineRule="auto"/>
                              <w:ind w:firstLine="0"/>
                              <w:jc w:val="center"/>
                              <w:rPr>
                                <w:b/>
                              </w:rPr>
                            </w:pPr>
                          </w:p>
                          <w:p w14:paraId="02EB378F" w14:textId="77777777" w:rsidR="005927E7" w:rsidRDefault="005927E7" w:rsidP="00536110">
                            <w:pPr>
                              <w:spacing w:line="240" w:lineRule="auto"/>
                              <w:ind w:firstLine="0"/>
                              <w:jc w:val="center"/>
                              <w:rPr>
                                <w:b/>
                              </w:rPr>
                            </w:pPr>
                          </w:p>
                          <w:p w14:paraId="6A05A809" w14:textId="77777777" w:rsidR="005927E7" w:rsidRDefault="005927E7" w:rsidP="00536110">
                            <w:pPr>
                              <w:spacing w:line="240" w:lineRule="auto"/>
                              <w:ind w:firstLine="0"/>
                              <w:jc w:val="center"/>
                              <w:rPr>
                                <w:b/>
                              </w:rPr>
                            </w:pPr>
                          </w:p>
                          <w:p w14:paraId="5A39BBE3" w14:textId="77777777" w:rsidR="005927E7" w:rsidRDefault="005927E7" w:rsidP="00536110">
                            <w:pPr>
                              <w:spacing w:line="240" w:lineRule="auto"/>
                              <w:ind w:firstLine="0"/>
                              <w:jc w:val="center"/>
                              <w:rPr>
                                <w:b/>
                              </w:rPr>
                            </w:pPr>
                          </w:p>
                          <w:p w14:paraId="41C8F396" w14:textId="77777777" w:rsidR="005927E7" w:rsidRDefault="005927E7" w:rsidP="00536110">
                            <w:pPr>
                              <w:spacing w:line="240" w:lineRule="auto"/>
                              <w:ind w:firstLine="0"/>
                              <w:jc w:val="center"/>
                              <w:rPr>
                                <w:b/>
                              </w:rPr>
                            </w:pPr>
                          </w:p>
                          <w:p w14:paraId="72A3D3EC" w14:textId="77777777" w:rsidR="005927E7" w:rsidRDefault="005927E7" w:rsidP="00536110">
                            <w:pPr>
                              <w:spacing w:line="240" w:lineRule="auto"/>
                              <w:ind w:firstLine="0"/>
                              <w:jc w:val="center"/>
                              <w:rPr>
                                <w:b/>
                              </w:rPr>
                            </w:pPr>
                          </w:p>
                          <w:p w14:paraId="60535034" w14:textId="77777777" w:rsidR="005927E7" w:rsidRDefault="005927E7" w:rsidP="00B57E9B">
                            <w:pPr>
                              <w:ind w:firstLine="0"/>
                              <w:jc w:val="center"/>
                            </w:pPr>
                            <w:proofErr w:type="gramStart"/>
                            <w:r>
                              <w:t>by</w:t>
                            </w:r>
                            <w:proofErr w:type="gramEnd"/>
                          </w:p>
                          <w:p w14:paraId="5C04F95D" w14:textId="77777777" w:rsidR="005927E7" w:rsidRDefault="005927E7" w:rsidP="00B57E9B">
                            <w:pPr>
                              <w:ind w:firstLine="0"/>
                              <w:jc w:val="center"/>
                            </w:pPr>
                            <w:r>
                              <w:rPr>
                                <w:b/>
                              </w:rPr>
                              <w:t>Jeffrey M. Mortenson</w:t>
                            </w:r>
                          </w:p>
                          <w:p w14:paraId="0DF8984D" w14:textId="77777777" w:rsidR="005927E7" w:rsidRDefault="005927E7" w:rsidP="00F35BC4">
                            <w:pPr>
                              <w:spacing w:line="240" w:lineRule="auto"/>
                              <w:ind w:firstLine="0"/>
                              <w:jc w:val="center"/>
                            </w:pPr>
                            <w:r>
                              <w:t>BS, Georgetown University, 2011</w:t>
                            </w:r>
                          </w:p>
                          <w:p w14:paraId="0D0B940D" w14:textId="77777777" w:rsidR="005927E7" w:rsidRDefault="005927E7" w:rsidP="00536110">
                            <w:pPr>
                              <w:spacing w:line="240" w:lineRule="auto"/>
                              <w:ind w:firstLine="0"/>
                              <w:jc w:val="center"/>
                            </w:pPr>
                          </w:p>
                          <w:p w14:paraId="52B3782C" w14:textId="77777777" w:rsidR="005927E7" w:rsidRDefault="005927E7" w:rsidP="00536110">
                            <w:pPr>
                              <w:spacing w:line="240" w:lineRule="auto"/>
                              <w:ind w:firstLine="0"/>
                              <w:jc w:val="center"/>
                            </w:pPr>
                            <w:r>
                              <w:t>MD, University of Pittsburgh, 2018</w:t>
                            </w:r>
                          </w:p>
                          <w:p w14:paraId="0E27B00A" w14:textId="77777777" w:rsidR="005927E7" w:rsidRPr="00834193" w:rsidRDefault="005927E7" w:rsidP="00536110">
                            <w:pPr>
                              <w:spacing w:line="240" w:lineRule="auto"/>
                              <w:ind w:firstLine="0"/>
                              <w:jc w:val="center"/>
                              <w:rPr>
                                <w:noProof/>
                              </w:rPr>
                            </w:pPr>
                          </w:p>
                          <w:p w14:paraId="60061E4C" w14:textId="77777777" w:rsidR="005927E7" w:rsidRDefault="005927E7" w:rsidP="00536110">
                            <w:pPr>
                              <w:spacing w:line="240" w:lineRule="auto"/>
                              <w:ind w:firstLine="0"/>
                              <w:jc w:val="center"/>
                              <w:rPr>
                                <w:b/>
                              </w:rPr>
                            </w:pPr>
                          </w:p>
                          <w:p w14:paraId="44EAFD9C" w14:textId="77777777" w:rsidR="005927E7" w:rsidRDefault="005927E7" w:rsidP="00536110">
                            <w:pPr>
                              <w:spacing w:line="240" w:lineRule="auto"/>
                              <w:ind w:firstLine="0"/>
                              <w:jc w:val="center"/>
                              <w:rPr>
                                <w:b/>
                              </w:rPr>
                            </w:pPr>
                          </w:p>
                          <w:p w14:paraId="4B94D5A5" w14:textId="77777777" w:rsidR="005927E7" w:rsidRDefault="005927E7" w:rsidP="00536110">
                            <w:pPr>
                              <w:spacing w:line="240" w:lineRule="auto"/>
                              <w:ind w:firstLine="0"/>
                              <w:jc w:val="center"/>
                              <w:rPr>
                                <w:b/>
                              </w:rPr>
                            </w:pPr>
                          </w:p>
                          <w:p w14:paraId="3DEEC669" w14:textId="77777777" w:rsidR="005927E7" w:rsidRDefault="005927E7" w:rsidP="00536110">
                            <w:pPr>
                              <w:spacing w:line="240" w:lineRule="auto"/>
                              <w:ind w:firstLine="0"/>
                              <w:jc w:val="center"/>
                              <w:rPr>
                                <w:b/>
                              </w:rPr>
                            </w:pPr>
                          </w:p>
                          <w:p w14:paraId="3656B9AB" w14:textId="77777777" w:rsidR="005927E7" w:rsidRDefault="005927E7" w:rsidP="00536110">
                            <w:pPr>
                              <w:spacing w:line="240" w:lineRule="auto"/>
                              <w:ind w:firstLine="0"/>
                              <w:jc w:val="center"/>
                              <w:rPr>
                                <w:b/>
                              </w:rPr>
                            </w:pPr>
                          </w:p>
                          <w:p w14:paraId="45FB0818" w14:textId="77777777" w:rsidR="005927E7" w:rsidRDefault="005927E7" w:rsidP="00536110">
                            <w:pPr>
                              <w:spacing w:line="240" w:lineRule="auto"/>
                              <w:ind w:firstLine="0"/>
                              <w:jc w:val="center"/>
                              <w:rPr>
                                <w:b/>
                              </w:rPr>
                            </w:pPr>
                          </w:p>
                          <w:p w14:paraId="049F31CB" w14:textId="77777777" w:rsidR="005927E7" w:rsidRDefault="005927E7" w:rsidP="00536110">
                            <w:pPr>
                              <w:spacing w:line="240" w:lineRule="auto"/>
                              <w:ind w:firstLine="0"/>
                              <w:jc w:val="center"/>
                              <w:rPr>
                                <w:b/>
                              </w:rPr>
                            </w:pPr>
                          </w:p>
                          <w:p w14:paraId="53128261" w14:textId="77777777" w:rsidR="005927E7" w:rsidRDefault="005927E7" w:rsidP="00536110">
                            <w:pPr>
                              <w:spacing w:line="240" w:lineRule="auto"/>
                              <w:ind w:firstLine="0"/>
                              <w:jc w:val="center"/>
                              <w:rPr>
                                <w:b/>
                              </w:rPr>
                            </w:pPr>
                          </w:p>
                          <w:p w14:paraId="5938E346" w14:textId="77777777" w:rsidR="005927E7" w:rsidRDefault="005927E7" w:rsidP="00B57E9B">
                            <w:pPr>
                              <w:ind w:firstLine="0"/>
                              <w:jc w:val="center"/>
                            </w:pPr>
                            <w:r>
                              <w:t>Submitted to the Graduate Faculty of</w:t>
                            </w:r>
                          </w:p>
                          <w:p w14:paraId="1FC2EB75" w14:textId="77777777" w:rsidR="005927E7" w:rsidRDefault="005927E7" w:rsidP="00B57E9B">
                            <w:pPr>
                              <w:ind w:firstLine="0"/>
                              <w:jc w:val="center"/>
                            </w:pPr>
                            <w:proofErr w:type="gramStart"/>
                            <w:r>
                              <w:t>the</w:t>
                            </w:r>
                            <w:proofErr w:type="gramEnd"/>
                            <w:r>
                              <w:t xml:space="preserve"> Multidisciplinary MPH Program</w:t>
                            </w:r>
                          </w:p>
                          <w:p w14:paraId="356F821F" w14:textId="77777777" w:rsidR="005927E7" w:rsidRDefault="005927E7" w:rsidP="00B57E9B">
                            <w:pPr>
                              <w:ind w:firstLine="0"/>
                              <w:jc w:val="center"/>
                            </w:pPr>
                            <w:r>
                              <w:t xml:space="preserve">Graduate School of Public Health in partial fulfillment </w:t>
                            </w:r>
                          </w:p>
                          <w:p w14:paraId="76015A2C" w14:textId="77777777" w:rsidR="005927E7" w:rsidRDefault="005927E7" w:rsidP="00B57E9B">
                            <w:pPr>
                              <w:ind w:firstLine="0"/>
                              <w:jc w:val="center"/>
                            </w:pPr>
                            <w:proofErr w:type="gramStart"/>
                            <w:r>
                              <w:t>of</w:t>
                            </w:r>
                            <w:proofErr w:type="gramEnd"/>
                            <w:r>
                              <w:t xml:space="preserve"> the requirements for the degree of</w:t>
                            </w:r>
                          </w:p>
                          <w:p w14:paraId="2B2115A9" w14:textId="77777777" w:rsidR="005927E7" w:rsidRDefault="005927E7" w:rsidP="00536110">
                            <w:pPr>
                              <w:spacing w:line="240" w:lineRule="auto"/>
                              <w:ind w:firstLine="0"/>
                              <w:jc w:val="center"/>
                            </w:pPr>
                            <w:r>
                              <w:t xml:space="preserve">Master of Public Health </w:t>
                            </w:r>
                          </w:p>
                          <w:p w14:paraId="62486C05" w14:textId="77777777" w:rsidR="005927E7" w:rsidRDefault="005927E7" w:rsidP="00536110">
                            <w:pPr>
                              <w:spacing w:line="240" w:lineRule="auto"/>
                              <w:ind w:firstLine="0"/>
                              <w:jc w:val="center"/>
                            </w:pPr>
                          </w:p>
                          <w:p w14:paraId="4101652C" w14:textId="77777777" w:rsidR="005927E7" w:rsidRDefault="005927E7" w:rsidP="00536110">
                            <w:pPr>
                              <w:spacing w:line="240" w:lineRule="auto"/>
                              <w:ind w:firstLine="0"/>
                              <w:jc w:val="center"/>
                            </w:pPr>
                          </w:p>
                          <w:p w14:paraId="4B99056E" w14:textId="77777777" w:rsidR="005927E7" w:rsidRDefault="005927E7" w:rsidP="00B57E9B">
                            <w:pPr>
                              <w:spacing w:line="240" w:lineRule="auto"/>
                              <w:ind w:firstLine="0"/>
                              <w:jc w:val="center"/>
                            </w:pPr>
                          </w:p>
                          <w:p w14:paraId="1299C43A" w14:textId="77777777" w:rsidR="005927E7" w:rsidRDefault="005927E7" w:rsidP="00B57E9B">
                            <w:pPr>
                              <w:spacing w:line="240" w:lineRule="auto"/>
                              <w:ind w:firstLine="0"/>
                              <w:jc w:val="center"/>
                            </w:pPr>
                          </w:p>
                          <w:p w14:paraId="4DDBEF00" w14:textId="77777777" w:rsidR="005927E7" w:rsidRDefault="005927E7" w:rsidP="00B57E9B">
                            <w:pPr>
                              <w:spacing w:line="240" w:lineRule="auto"/>
                              <w:ind w:firstLine="0"/>
                              <w:jc w:val="center"/>
                            </w:pPr>
                          </w:p>
                          <w:p w14:paraId="3461D779" w14:textId="77777777" w:rsidR="005927E7" w:rsidRDefault="005927E7" w:rsidP="00B57E9B">
                            <w:pPr>
                              <w:spacing w:line="240" w:lineRule="auto"/>
                              <w:ind w:firstLine="0"/>
                              <w:jc w:val="center"/>
                            </w:pPr>
                          </w:p>
                          <w:p w14:paraId="3CF2D8B6" w14:textId="77777777" w:rsidR="005927E7" w:rsidRDefault="005927E7" w:rsidP="00B57E9B">
                            <w:pPr>
                              <w:spacing w:line="240" w:lineRule="auto"/>
                              <w:ind w:firstLine="0"/>
                              <w:jc w:val="center"/>
                            </w:pPr>
                          </w:p>
                          <w:p w14:paraId="0FB78278" w14:textId="77777777" w:rsidR="005927E7" w:rsidRDefault="005927E7" w:rsidP="00B57E9B">
                            <w:pPr>
                              <w:spacing w:line="240" w:lineRule="auto"/>
                              <w:ind w:firstLine="0"/>
                              <w:jc w:val="center"/>
                            </w:pPr>
                          </w:p>
                          <w:p w14:paraId="30AE4F2C" w14:textId="77777777" w:rsidR="005927E7" w:rsidRPr="00AB08F3" w:rsidRDefault="005927E7" w:rsidP="00337CC7">
                            <w:pPr>
                              <w:ind w:firstLine="0"/>
                              <w:jc w:val="center"/>
                            </w:pPr>
                            <w:r w:rsidRPr="00AB08F3">
                              <w:t>University of Pittsburg</w:t>
                            </w:r>
                            <w:r>
                              <w:t>h</w:t>
                            </w:r>
                          </w:p>
                          <w:p w14:paraId="5C61D62B" w14:textId="77777777" w:rsidR="005927E7" w:rsidRPr="00AB08F3" w:rsidRDefault="005927E7" w:rsidP="00B57E9B">
                            <w:pPr>
                              <w:ind w:firstLine="0"/>
                              <w:jc w:val="center"/>
                              <w:rPr>
                                <w:noProof/>
                              </w:rPr>
                            </w:pPr>
                            <w:r>
                              <w:t>2018</w:t>
                            </w:r>
                          </w:p>
                          <w:p w14:paraId="1FC39945" w14:textId="77777777" w:rsidR="005927E7" w:rsidRPr="004E3B59" w:rsidRDefault="005927E7"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3A832" id="_x0000_t202" coordsize="21600,21600" o:spt="202" path="m,l,21600r21600,l21600,xe">
                <v:stroke joinstyle="miter"/>
                <v:path gradientshapeok="t" o:connecttype="rect"/>
              </v:shapetype>
              <v:shape id="Text Box 14" o:spid="_x0000_s1026" type="#_x0000_t202" style="position:absolute;left:0;text-align:left;margin-left:1in;margin-top:90pt;width:468pt;height:6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KuJegIAAAE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" stroked="f">
                <v:textbox inset="0,0,0,0">
                  <w:txbxContent>
                    <w:p w14:paraId="4E02F836" w14:textId="77777777" w:rsidR="005927E7" w:rsidRDefault="005927E7" w:rsidP="00536110">
                      <w:pPr>
                        <w:spacing w:line="240" w:lineRule="auto"/>
                        <w:ind w:firstLine="0"/>
                        <w:jc w:val="center"/>
                        <w:rPr>
                          <w:b/>
                        </w:rPr>
                      </w:pPr>
                      <w:r>
                        <w:rPr>
                          <w:b/>
                        </w:rPr>
                        <w:t>READABILITY AND SUITABILITY OF HEALTH EDUCATIONAL MATERIAL PROVIDED AT OUTPATIENT VISITS AT A LARGE TERTIARY CARE CHILDREN’S HOSPITAL</w:t>
                      </w:r>
                    </w:p>
                    <w:p w14:paraId="672A6659" w14:textId="77777777" w:rsidR="005927E7" w:rsidRDefault="005927E7" w:rsidP="00536110">
                      <w:pPr>
                        <w:spacing w:line="240" w:lineRule="auto"/>
                        <w:ind w:firstLine="0"/>
                        <w:jc w:val="center"/>
                        <w:rPr>
                          <w:b/>
                        </w:rPr>
                      </w:pPr>
                    </w:p>
                    <w:p w14:paraId="0A37501D" w14:textId="77777777" w:rsidR="005927E7" w:rsidRDefault="005927E7" w:rsidP="00536110">
                      <w:pPr>
                        <w:spacing w:line="240" w:lineRule="auto"/>
                        <w:ind w:firstLine="0"/>
                        <w:jc w:val="center"/>
                        <w:rPr>
                          <w:b/>
                        </w:rPr>
                      </w:pPr>
                    </w:p>
                    <w:p w14:paraId="5DAB6C7B" w14:textId="77777777" w:rsidR="005927E7" w:rsidRDefault="005927E7" w:rsidP="00536110">
                      <w:pPr>
                        <w:spacing w:line="240" w:lineRule="auto"/>
                        <w:ind w:firstLine="0"/>
                        <w:jc w:val="center"/>
                        <w:rPr>
                          <w:b/>
                        </w:rPr>
                      </w:pPr>
                    </w:p>
                    <w:p w14:paraId="02EB378F" w14:textId="77777777" w:rsidR="005927E7" w:rsidRDefault="005927E7" w:rsidP="00536110">
                      <w:pPr>
                        <w:spacing w:line="240" w:lineRule="auto"/>
                        <w:ind w:firstLine="0"/>
                        <w:jc w:val="center"/>
                        <w:rPr>
                          <w:b/>
                        </w:rPr>
                      </w:pPr>
                    </w:p>
                    <w:p w14:paraId="6A05A809" w14:textId="77777777" w:rsidR="005927E7" w:rsidRDefault="005927E7" w:rsidP="00536110">
                      <w:pPr>
                        <w:spacing w:line="240" w:lineRule="auto"/>
                        <w:ind w:firstLine="0"/>
                        <w:jc w:val="center"/>
                        <w:rPr>
                          <w:b/>
                        </w:rPr>
                      </w:pPr>
                    </w:p>
                    <w:p w14:paraId="5A39BBE3" w14:textId="77777777" w:rsidR="005927E7" w:rsidRDefault="005927E7" w:rsidP="00536110">
                      <w:pPr>
                        <w:spacing w:line="240" w:lineRule="auto"/>
                        <w:ind w:firstLine="0"/>
                        <w:jc w:val="center"/>
                        <w:rPr>
                          <w:b/>
                        </w:rPr>
                      </w:pPr>
                    </w:p>
                    <w:p w14:paraId="41C8F396" w14:textId="77777777" w:rsidR="005927E7" w:rsidRDefault="005927E7" w:rsidP="00536110">
                      <w:pPr>
                        <w:spacing w:line="240" w:lineRule="auto"/>
                        <w:ind w:firstLine="0"/>
                        <w:jc w:val="center"/>
                        <w:rPr>
                          <w:b/>
                        </w:rPr>
                      </w:pPr>
                    </w:p>
                    <w:p w14:paraId="72A3D3EC" w14:textId="77777777" w:rsidR="005927E7" w:rsidRDefault="005927E7" w:rsidP="00536110">
                      <w:pPr>
                        <w:spacing w:line="240" w:lineRule="auto"/>
                        <w:ind w:firstLine="0"/>
                        <w:jc w:val="center"/>
                        <w:rPr>
                          <w:b/>
                        </w:rPr>
                      </w:pPr>
                    </w:p>
                    <w:p w14:paraId="60535034" w14:textId="77777777" w:rsidR="005927E7" w:rsidRDefault="005927E7" w:rsidP="00B57E9B">
                      <w:pPr>
                        <w:ind w:firstLine="0"/>
                        <w:jc w:val="center"/>
                      </w:pPr>
                      <w:proofErr w:type="gramStart"/>
                      <w:r>
                        <w:t>by</w:t>
                      </w:r>
                      <w:proofErr w:type="gramEnd"/>
                    </w:p>
                    <w:p w14:paraId="5C04F95D" w14:textId="77777777" w:rsidR="005927E7" w:rsidRDefault="005927E7" w:rsidP="00B57E9B">
                      <w:pPr>
                        <w:ind w:firstLine="0"/>
                        <w:jc w:val="center"/>
                      </w:pPr>
                      <w:r>
                        <w:rPr>
                          <w:b/>
                        </w:rPr>
                        <w:t>Jeffrey M. Mortenson</w:t>
                      </w:r>
                    </w:p>
                    <w:p w14:paraId="0DF8984D" w14:textId="77777777" w:rsidR="005927E7" w:rsidRDefault="005927E7" w:rsidP="00F35BC4">
                      <w:pPr>
                        <w:spacing w:line="240" w:lineRule="auto"/>
                        <w:ind w:firstLine="0"/>
                        <w:jc w:val="center"/>
                      </w:pPr>
                      <w:r>
                        <w:t>BS, Georgetown University, 2011</w:t>
                      </w:r>
                    </w:p>
                    <w:p w14:paraId="0D0B940D" w14:textId="77777777" w:rsidR="005927E7" w:rsidRDefault="005927E7" w:rsidP="00536110">
                      <w:pPr>
                        <w:spacing w:line="240" w:lineRule="auto"/>
                        <w:ind w:firstLine="0"/>
                        <w:jc w:val="center"/>
                      </w:pPr>
                    </w:p>
                    <w:p w14:paraId="52B3782C" w14:textId="77777777" w:rsidR="005927E7" w:rsidRDefault="005927E7" w:rsidP="00536110">
                      <w:pPr>
                        <w:spacing w:line="240" w:lineRule="auto"/>
                        <w:ind w:firstLine="0"/>
                        <w:jc w:val="center"/>
                      </w:pPr>
                      <w:r>
                        <w:t>MD, University of Pittsburgh, 2018</w:t>
                      </w:r>
                    </w:p>
                    <w:p w14:paraId="0E27B00A" w14:textId="77777777" w:rsidR="005927E7" w:rsidRPr="00834193" w:rsidRDefault="005927E7" w:rsidP="00536110">
                      <w:pPr>
                        <w:spacing w:line="240" w:lineRule="auto"/>
                        <w:ind w:firstLine="0"/>
                        <w:jc w:val="center"/>
                        <w:rPr>
                          <w:noProof/>
                        </w:rPr>
                      </w:pPr>
                    </w:p>
                    <w:p w14:paraId="60061E4C" w14:textId="77777777" w:rsidR="005927E7" w:rsidRDefault="005927E7" w:rsidP="00536110">
                      <w:pPr>
                        <w:spacing w:line="240" w:lineRule="auto"/>
                        <w:ind w:firstLine="0"/>
                        <w:jc w:val="center"/>
                        <w:rPr>
                          <w:b/>
                        </w:rPr>
                      </w:pPr>
                    </w:p>
                    <w:p w14:paraId="44EAFD9C" w14:textId="77777777" w:rsidR="005927E7" w:rsidRDefault="005927E7" w:rsidP="00536110">
                      <w:pPr>
                        <w:spacing w:line="240" w:lineRule="auto"/>
                        <w:ind w:firstLine="0"/>
                        <w:jc w:val="center"/>
                        <w:rPr>
                          <w:b/>
                        </w:rPr>
                      </w:pPr>
                    </w:p>
                    <w:p w14:paraId="4B94D5A5" w14:textId="77777777" w:rsidR="005927E7" w:rsidRDefault="005927E7" w:rsidP="00536110">
                      <w:pPr>
                        <w:spacing w:line="240" w:lineRule="auto"/>
                        <w:ind w:firstLine="0"/>
                        <w:jc w:val="center"/>
                        <w:rPr>
                          <w:b/>
                        </w:rPr>
                      </w:pPr>
                    </w:p>
                    <w:p w14:paraId="3DEEC669" w14:textId="77777777" w:rsidR="005927E7" w:rsidRDefault="005927E7" w:rsidP="00536110">
                      <w:pPr>
                        <w:spacing w:line="240" w:lineRule="auto"/>
                        <w:ind w:firstLine="0"/>
                        <w:jc w:val="center"/>
                        <w:rPr>
                          <w:b/>
                        </w:rPr>
                      </w:pPr>
                    </w:p>
                    <w:p w14:paraId="3656B9AB" w14:textId="77777777" w:rsidR="005927E7" w:rsidRDefault="005927E7" w:rsidP="00536110">
                      <w:pPr>
                        <w:spacing w:line="240" w:lineRule="auto"/>
                        <w:ind w:firstLine="0"/>
                        <w:jc w:val="center"/>
                        <w:rPr>
                          <w:b/>
                        </w:rPr>
                      </w:pPr>
                    </w:p>
                    <w:p w14:paraId="45FB0818" w14:textId="77777777" w:rsidR="005927E7" w:rsidRDefault="005927E7" w:rsidP="00536110">
                      <w:pPr>
                        <w:spacing w:line="240" w:lineRule="auto"/>
                        <w:ind w:firstLine="0"/>
                        <w:jc w:val="center"/>
                        <w:rPr>
                          <w:b/>
                        </w:rPr>
                      </w:pPr>
                    </w:p>
                    <w:p w14:paraId="049F31CB" w14:textId="77777777" w:rsidR="005927E7" w:rsidRDefault="005927E7" w:rsidP="00536110">
                      <w:pPr>
                        <w:spacing w:line="240" w:lineRule="auto"/>
                        <w:ind w:firstLine="0"/>
                        <w:jc w:val="center"/>
                        <w:rPr>
                          <w:b/>
                        </w:rPr>
                      </w:pPr>
                    </w:p>
                    <w:p w14:paraId="53128261" w14:textId="77777777" w:rsidR="005927E7" w:rsidRDefault="005927E7" w:rsidP="00536110">
                      <w:pPr>
                        <w:spacing w:line="240" w:lineRule="auto"/>
                        <w:ind w:firstLine="0"/>
                        <w:jc w:val="center"/>
                        <w:rPr>
                          <w:b/>
                        </w:rPr>
                      </w:pPr>
                    </w:p>
                    <w:p w14:paraId="5938E346" w14:textId="77777777" w:rsidR="005927E7" w:rsidRDefault="005927E7" w:rsidP="00B57E9B">
                      <w:pPr>
                        <w:ind w:firstLine="0"/>
                        <w:jc w:val="center"/>
                      </w:pPr>
                      <w:r>
                        <w:t>Submitted to the Graduate Faculty of</w:t>
                      </w:r>
                    </w:p>
                    <w:p w14:paraId="1FC2EB75" w14:textId="77777777" w:rsidR="005927E7" w:rsidRDefault="005927E7" w:rsidP="00B57E9B">
                      <w:pPr>
                        <w:ind w:firstLine="0"/>
                        <w:jc w:val="center"/>
                      </w:pPr>
                      <w:proofErr w:type="gramStart"/>
                      <w:r>
                        <w:t>the</w:t>
                      </w:r>
                      <w:proofErr w:type="gramEnd"/>
                      <w:r>
                        <w:t xml:space="preserve"> Multidisciplinary MPH Program</w:t>
                      </w:r>
                    </w:p>
                    <w:p w14:paraId="356F821F" w14:textId="77777777" w:rsidR="005927E7" w:rsidRDefault="005927E7" w:rsidP="00B57E9B">
                      <w:pPr>
                        <w:ind w:firstLine="0"/>
                        <w:jc w:val="center"/>
                      </w:pPr>
                      <w:r>
                        <w:t xml:space="preserve">Graduate School of Public Health in partial fulfillment </w:t>
                      </w:r>
                    </w:p>
                    <w:p w14:paraId="76015A2C" w14:textId="77777777" w:rsidR="005927E7" w:rsidRDefault="005927E7" w:rsidP="00B57E9B">
                      <w:pPr>
                        <w:ind w:firstLine="0"/>
                        <w:jc w:val="center"/>
                      </w:pPr>
                      <w:proofErr w:type="gramStart"/>
                      <w:r>
                        <w:t>of</w:t>
                      </w:r>
                      <w:proofErr w:type="gramEnd"/>
                      <w:r>
                        <w:t xml:space="preserve"> the requirements for the degree of</w:t>
                      </w:r>
                    </w:p>
                    <w:p w14:paraId="2B2115A9" w14:textId="77777777" w:rsidR="005927E7" w:rsidRDefault="005927E7" w:rsidP="00536110">
                      <w:pPr>
                        <w:spacing w:line="240" w:lineRule="auto"/>
                        <w:ind w:firstLine="0"/>
                        <w:jc w:val="center"/>
                      </w:pPr>
                      <w:r>
                        <w:t xml:space="preserve">Master of Public Health </w:t>
                      </w:r>
                    </w:p>
                    <w:p w14:paraId="62486C05" w14:textId="77777777" w:rsidR="005927E7" w:rsidRDefault="005927E7" w:rsidP="00536110">
                      <w:pPr>
                        <w:spacing w:line="240" w:lineRule="auto"/>
                        <w:ind w:firstLine="0"/>
                        <w:jc w:val="center"/>
                      </w:pPr>
                    </w:p>
                    <w:p w14:paraId="4101652C" w14:textId="77777777" w:rsidR="005927E7" w:rsidRDefault="005927E7" w:rsidP="00536110">
                      <w:pPr>
                        <w:spacing w:line="240" w:lineRule="auto"/>
                        <w:ind w:firstLine="0"/>
                        <w:jc w:val="center"/>
                      </w:pPr>
                    </w:p>
                    <w:p w14:paraId="4B99056E" w14:textId="77777777" w:rsidR="005927E7" w:rsidRDefault="005927E7" w:rsidP="00B57E9B">
                      <w:pPr>
                        <w:spacing w:line="240" w:lineRule="auto"/>
                        <w:ind w:firstLine="0"/>
                        <w:jc w:val="center"/>
                      </w:pPr>
                    </w:p>
                    <w:p w14:paraId="1299C43A" w14:textId="77777777" w:rsidR="005927E7" w:rsidRDefault="005927E7" w:rsidP="00B57E9B">
                      <w:pPr>
                        <w:spacing w:line="240" w:lineRule="auto"/>
                        <w:ind w:firstLine="0"/>
                        <w:jc w:val="center"/>
                      </w:pPr>
                    </w:p>
                    <w:p w14:paraId="4DDBEF00" w14:textId="77777777" w:rsidR="005927E7" w:rsidRDefault="005927E7" w:rsidP="00B57E9B">
                      <w:pPr>
                        <w:spacing w:line="240" w:lineRule="auto"/>
                        <w:ind w:firstLine="0"/>
                        <w:jc w:val="center"/>
                      </w:pPr>
                    </w:p>
                    <w:p w14:paraId="3461D779" w14:textId="77777777" w:rsidR="005927E7" w:rsidRDefault="005927E7" w:rsidP="00B57E9B">
                      <w:pPr>
                        <w:spacing w:line="240" w:lineRule="auto"/>
                        <w:ind w:firstLine="0"/>
                        <w:jc w:val="center"/>
                      </w:pPr>
                    </w:p>
                    <w:p w14:paraId="3CF2D8B6" w14:textId="77777777" w:rsidR="005927E7" w:rsidRDefault="005927E7" w:rsidP="00B57E9B">
                      <w:pPr>
                        <w:spacing w:line="240" w:lineRule="auto"/>
                        <w:ind w:firstLine="0"/>
                        <w:jc w:val="center"/>
                      </w:pPr>
                    </w:p>
                    <w:p w14:paraId="0FB78278" w14:textId="77777777" w:rsidR="005927E7" w:rsidRDefault="005927E7" w:rsidP="00B57E9B">
                      <w:pPr>
                        <w:spacing w:line="240" w:lineRule="auto"/>
                        <w:ind w:firstLine="0"/>
                        <w:jc w:val="center"/>
                      </w:pPr>
                    </w:p>
                    <w:p w14:paraId="30AE4F2C" w14:textId="77777777" w:rsidR="005927E7" w:rsidRPr="00AB08F3" w:rsidRDefault="005927E7" w:rsidP="00337CC7">
                      <w:pPr>
                        <w:ind w:firstLine="0"/>
                        <w:jc w:val="center"/>
                      </w:pPr>
                      <w:r w:rsidRPr="00AB08F3">
                        <w:t>University of Pittsburg</w:t>
                      </w:r>
                      <w:r>
                        <w:t>h</w:t>
                      </w:r>
                    </w:p>
                    <w:p w14:paraId="5C61D62B" w14:textId="77777777" w:rsidR="005927E7" w:rsidRPr="00AB08F3" w:rsidRDefault="005927E7" w:rsidP="00B57E9B">
                      <w:pPr>
                        <w:ind w:firstLine="0"/>
                        <w:jc w:val="center"/>
                        <w:rPr>
                          <w:noProof/>
                        </w:rPr>
                      </w:pPr>
                      <w:r>
                        <w:t>2018</w:t>
                      </w:r>
                    </w:p>
                    <w:p w14:paraId="1FC39945" w14:textId="77777777" w:rsidR="005927E7" w:rsidRPr="004E3B59" w:rsidRDefault="005927E7" w:rsidP="006B1124">
                      <w:pPr>
                        <w:ind w:firstLine="0"/>
                        <w:jc w:val="center"/>
                        <w:rPr>
                          <w:b/>
                        </w:rPr>
                      </w:pPr>
                    </w:p>
                  </w:txbxContent>
                </v:textbox>
                <w10:wrap type="square" anchorx="page" anchory="page"/>
              </v:shape>
            </w:pict>
          </mc:Fallback>
        </mc:AlternateContent>
      </w:r>
    </w:p>
    <w:p w14:paraId="42A0C7A5" w14:textId="77777777" w:rsidR="00432249" w:rsidRDefault="000B510B" w:rsidP="69CFA879">
      <w:pPr>
        <w:pStyle w:val="Noindent"/>
        <w:spacing w:line="240" w:lineRule="auto"/>
      </w:pPr>
      <w:r>
        <w:rPr>
          <w:noProof/>
        </w:rPr>
        <w:lastRenderedPageBreak/>
        <mc:AlternateContent>
          <mc:Choice Requires="wps">
            <w:drawing>
              <wp:anchor distT="0" distB="0" distL="114300" distR="114300" simplePos="0" relativeHeight="251657216" behindDoc="0" locked="0" layoutInCell="1" allowOverlap="1" wp14:anchorId="34940D31" wp14:editId="07777777">
                <wp:simplePos x="0" y="0"/>
                <wp:positionH relativeFrom="page">
                  <wp:align>center</wp:align>
                </wp:positionH>
                <wp:positionV relativeFrom="margin">
                  <wp:posOffset>301625</wp:posOffset>
                </wp:positionV>
                <wp:extent cx="5943600" cy="7242175"/>
                <wp:effectExtent l="0" t="0" r="0" b="0"/>
                <wp:wrapSquare wrapText="bothSides"/>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4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23D32" w14:textId="77777777" w:rsidR="005927E7" w:rsidRDefault="005927E7" w:rsidP="006B1124">
                            <w:pPr>
                              <w:ind w:firstLine="0"/>
                              <w:jc w:val="center"/>
                            </w:pPr>
                            <w:r>
                              <w:t>UNIVERSITY OF PITTSBURGH</w:t>
                            </w:r>
                          </w:p>
                          <w:p w14:paraId="06D49CEE" w14:textId="77777777" w:rsidR="005927E7" w:rsidRDefault="005927E7" w:rsidP="00536110">
                            <w:pPr>
                              <w:spacing w:line="240" w:lineRule="auto"/>
                              <w:ind w:firstLine="0"/>
                              <w:jc w:val="center"/>
                            </w:pPr>
                            <w:r>
                              <w:t>GRADUATE SCHOOL OF PUBLIC HEALTH</w:t>
                            </w:r>
                          </w:p>
                          <w:p w14:paraId="3A0FF5F2" w14:textId="77777777" w:rsidR="005927E7" w:rsidRDefault="005927E7" w:rsidP="00536110">
                            <w:pPr>
                              <w:spacing w:line="240" w:lineRule="auto"/>
                              <w:ind w:firstLine="0"/>
                              <w:jc w:val="center"/>
                            </w:pPr>
                          </w:p>
                          <w:p w14:paraId="5630AD66" w14:textId="77777777" w:rsidR="005927E7" w:rsidRDefault="005927E7" w:rsidP="00536110">
                            <w:pPr>
                              <w:spacing w:line="240" w:lineRule="auto"/>
                              <w:ind w:firstLine="0"/>
                              <w:jc w:val="center"/>
                            </w:pPr>
                          </w:p>
                          <w:p w14:paraId="61829076" w14:textId="77777777" w:rsidR="005927E7" w:rsidRDefault="005927E7" w:rsidP="00536110">
                            <w:pPr>
                              <w:spacing w:line="240" w:lineRule="auto"/>
                              <w:ind w:firstLine="0"/>
                              <w:jc w:val="center"/>
                            </w:pPr>
                          </w:p>
                          <w:p w14:paraId="2BA226A1" w14:textId="77777777" w:rsidR="005927E7" w:rsidRDefault="005927E7" w:rsidP="00536110">
                            <w:pPr>
                              <w:spacing w:line="240" w:lineRule="auto"/>
                              <w:ind w:firstLine="0"/>
                              <w:jc w:val="center"/>
                            </w:pPr>
                          </w:p>
                          <w:p w14:paraId="17AD93B2" w14:textId="77777777" w:rsidR="005927E7" w:rsidRDefault="005927E7" w:rsidP="00536110">
                            <w:pPr>
                              <w:spacing w:line="240" w:lineRule="auto"/>
                              <w:ind w:firstLine="0"/>
                              <w:jc w:val="center"/>
                            </w:pPr>
                          </w:p>
                          <w:p w14:paraId="0DE4B5B7" w14:textId="77777777" w:rsidR="005927E7" w:rsidRDefault="005927E7" w:rsidP="00536110">
                            <w:pPr>
                              <w:spacing w:line="240" w:lineRule="auto"/>
                              <w:ind w:firstLine="0"/>
                              <w:jc w:val="center"/>
                            </w:pPr>
                          </w:p>
                          <w:p w14:paraId="0010C083" w14:textId="77777777" w:rsidR="005927E7" w:rsidRDefault="005927E7" w:rsidP="006A5780">
                            <w:pPr>
                              <w:ind w:firstLine="0"/>
                              <w:jc w:val="center"/>
                            </w:pPr>
                            <w:r>
                              <w:t xml:space="preserve">This essay </w:t>
                            </w:r>
                            <w:proofErr w:type="gramStart"/>
                            <w:r>
                              <w:t>is submitted</w:t>
                            </w:r>
                            <w:proofErr w:type="gramEnd"/>
                          </w:p>
                          <w:p w14:paraId="477744B6" w14:textId="77777777" w:rsidR="005927E7" w:rsidRDefault="005927E7" w:rsidP="006B1124">
                            <w:pPr>
                              <w:ind w:firstLine="0"/>
                              <w:jc w:val="center"/>
                            </w:pPr>
                            <w:proofErr w:type="gramStart"/>
                            <w:r>
                              <w:t>by</w:t>
                            </w:r>
                            <w:proofErr w:type="gramEnd"/>
                          </w:p>
                          <w:p w14:paraId="68728EE1" w14:textId="77777777" w:rsidR="005927E7" w:rsidRDefault="005927E7" w:rsidP="006A5780">
                            <w:pPr>
                              <w:spacing w:line="240" w:lineRule="auto"/>
                              <w:ind w:firstLine="0"/>
                              <w:jc w:val="center"/>
                            </w:pPr>
                            <w:r>
                              <w:t>Jeffrey M. Mortenson</w:t>
                            </w:r>
                          </w:p>
                          <w:p w14:paraId="66204FF1" w14:textId="77777777" w:rsidR="005927E7" w:rsidRDefault="005927E7" w:rsidP="006A5780">
                            <w:pPr>
                              <w:spacing w:line="240" w:lineRule="auto"/>
                              <w:ind w:firstLine="0"/>
                              <w:jc w:val="center"/>
                            </w:pPr>
                          </w:p>
                          <w:p w14:paraId="2F2FA70D" w14:textId="77777777" w:rsidR="005927E7" w:rsidRDefault="005927E7" w:rsidP="006A5780">
                            <w:pPr>
                              <w:spacing w:line="240" w:lineRule="auto"/>
                              <w:ind w:firstLine="0"/>
                              <w:jc w:val="center"/>
                            </w:pPr>
                            <w:proofErr w:type="gramStart"/>
                            <w:r>
                              <w:t>on</w:t>
                            </w:r>
                            <w:proofErr w:type="gramEnd"/>
                          </w:p>
                          <w:p w14:paraId="2DBF0D7D" w14:textId="77777777" w:rsidR="005927E7" w:rsidRDefault="005927E7" w:rsidP="006A5780">
                            <w:pPr>
                              <w:spacing w:line="240" w:lineRule="auto"/>
                              <w:ind w:firstLine="0"/>
                              <w:jc w:val="center"/>
                            </w:pPr>
                          </w:p>
                          <w:p w14:paraId="5E9F1F5D" w14:textId="77777777" w:rsidR="005927E7" w:rsidRDefault="005927E7" w:rsidP="006A5780">
                            <w:pPr>
                              <w:ind w:firstLine="0"/>
                              <w:jc w:val="center"/>
                            </w:pPr>
                            <w:r>
                              <w:t>August 1</w:t>
                            </w:r>
                            <w:r w:rsidRPr="00F35BC4">
                              <w:rPr>
                                <w:vertAlign w:val="superscript"/>
                              </w:rPr>
                              <w:t>st</w:t>
                            </w:r>
                            <w:r>
                              <w:t>, 2018</w:t>
                            </w:r>
                          </w:p>
                          <w:p w14:paraId="396CDF8E" w14:textId="77777777" w:rsidR="005927E7" w:rsidRDefault="005927E7" w:rsidP="006A5780">
                            <w:pPr>
                              <w:ind w:firstLine="0"/>
                              <w:jc w:val="center"/>
                            </w:pPr>
                            <w:proofErr w:type="gramStart"/>
                            <w:r>
                              <w:t>and</w:t>
                            </w:r>
                            <w:proofErr w:type="gramEnd"/>
                            <w:r>
                              <w:t xml:space="preserve"> approved by</w:t>
                            </w:r>
                          </w:p>
                          <w:p w14:paraId="6B62F1B3" w14:textId="77777777" w:rsidR="005927E7" w:rsidRDefault="005927E7" w:rsidP="006A5780">
                            <w:pPr>
                              <w:ind w:firstLine="0"/>
                              <w:jc w:val="center"/>
                            </w:pPr>
                          </w:p>
                          <w:p w14:paraId="54232C98" w14:textId="77777777" w:rsidR="005927E7" w:rsidRDefault="005927E7" w:rsidP="00030D3B">
                            <w:pPr>
                              <w:spacing w:line="240" w:lineRule="auto"/>
                              <w:ind w:firstLine="0"/>
                            </w:pPr>
                            <w:r>
                              <w:t>Essay Advisor:</w:t>
                            </w:r>
                            <w:r>
                              <w:tab/>
                            </w:r>
                            <w:r>
                              <w:tab/>
                            </w:r>
                            <w:r>
                              <w:tab/>
                            </w:r>
                            <w:r>
                              <w:tab/>
                              <w:t>______________________________________</w:t>
                            </w:r>
                          </w:p>
                          <w:p w14:paraId="22410E27" w14:textId="77777777" w:rsidR="005927E7" w:rsidRDefault="005927E7" w:rsidP="00030D3B">
                            <w:pPr>
                              <w:spacing w:line="240" w:lineRule="auto"/>
                              <w:ind w:firstLine="0"/>
                            </w:pPr>
                            <w:r>
                              <w:t xml:space="preserve">Thistle I. Elias, </w:t>
                            </w:r>
                            <w:proofErr w:type="spellStart"/>
                            <w:r>
                              <w:t>DrPH</w:t>
                            </w:r>
                            <w:proofErr w:type="spellEnd"/>
                            <w:r>
                              <w:t>, MPA</w:t>
                            </w:r>
                            <w:r>
                              <w:tab/>
                            </w:r>
                            <w:r>
                              <w:tab/>
                            </w:r>
                          </w:p>
                          <w:p w14:paraId="370B3607" w14:textId="77777777" w:rsidR="005927E7" w:rsidRDefault="005927E7" w:rsidP="00030D3B">
                            <w:pPr>
                              <w:spacing w:line="240" w:lineRule="auto"/>
                              <w:ind w:firstLine="0"/>
                            </w:pPr>
                            <w:r>
                              <w:t>Assistant Professor</w:t>
                            </w:r>
                            <w:r>
                              <w:tab/>
                            </w:r>
                            <w:r>
                              <w:tab/>
                            </w:r>
                            <w:r>
                              <w:tab/>
                            </w:r>
                            <w:r>
                              <w:tab/>
                            </w:r>
                          </w:p>
                          <w:p w14:paraId="7C654CAD" w14:textId="77777777" w:rsidR="005927E7" w:rsidRDefault="005927E7" w:rsidP="00030D3B">
                            <w:pPr>
                              <w:spacing w:line="240" w:lineRule="auto"/>
                              <w:ind w:firstLine="0"/>
                            </w:pPr>
                            <w:r>
                              <w:t>Behavioral and Community Health Sciences</w:t>
                            </w:r>
                            <w:r>
                              <w:tab/>
                            </w:r>
                            <w:r>
                              <w:tab/>
                            </w:r>
                            <w:r>
                              <w:tab/>
                            </w:r>
                          </w:p>
                          <w:p w14:paraId="74679B1F" w14:textId="77777777" w:rsidR="005927E7" w:rsidRDefault="005927E7" w:rsidP="00030D3B">
                            <w:pPr>
                              <w:spacing w:line="240" w:lineRule="auto"/>
                              <w:ind w:firstLine="0"/>
                            </w:pPr>
                            <w:r>
                              <w:t>Graduate School of Public Health</w:t>
                            </w:r>
                          </w:p>
                          <w:p w14:paraId="23B2D000" w14:textId="77777777" w:rsidR="005927E7" w:rsidRDefault="005927E7" w:rsidP="00030D3B">
                            <w:pPr>
                              <w:spacing w:line="240" w:lineRule="auto"/>
                              <w:ind w:firstLine="0"/>
                            </w:pPr>
                            <w:r>
                              <w:t>University of Pittsburgh</w:t>
                            </w:r>
                          </w:p>
                          <w:p w14:paraId="02F2C34E" w14:textId="77777777" w:rsidR="005927E7" w:rsidRDefault="005927E7" w:rsidP="00030D3B">
                            <w:pPr>
                              <w:spacing w:line="240" w:lineRule="auto"/>
                              <w:ind w:firstLine="0"/>
                            </w:pPr>
                          </w:p>
                          <w:p w14:paraId="680A4E5D" w14:textId="77777777" w:rsidR="005927E7" w:rsidRDefault="005927E7" w:rsidP="00030D3B">
                            <w:pPr>
                              <w:spacing w:line="240" w:lineRule="auto"/>
                              <w:ind w:firstLine="0"/>
                            </w:pPr>
                          </w:p>
                          <w:p w14:paraId="79CE93DC" w14:textId="77777777" w:rsidR="005927E7" w:rsidRDefault="005927E7" w:rsidP="00030D3B">
                            <w:pPr>
                              <w:spacing w:line="240" w:lineRule="auto"/>
                              <w:ind w:firstLine="0"/>
                            </w:pPr>
                            <w:r>
                              <w:t>Essay Reader:</w:t>
                            </w:r>
                          </w:p>
                          <w:p w14:paraId="0367D7D1" w14:textId="77777777" w:rsidR="005927E7" w:rsidRDefault="005927E7" w:rsidP="00030D3B">
                            <w:pPr>
                              <w:spacing w:line="240" w:lineRule="auto"/>
                              <w:ind w:firstLine="0"/>
                            </w:pPr>
                            <w:r>
                              <w:t>David N. Finegold, MD</w:t>
                            </w:r>
                            <w:r>
                              <w:tab/>
                            </w:r>
                            <w:r>
                              <w:tab/>
                            </w:r>
                            <w:r>
                              <w:tab/>
                              <w:t>______________________________________</w:t>
                            </w:r>
                          </w:p>
                          <w:p w14:paraId="29E71C87" w14:textId="77777777" w:rsidR="005927E7" w:rsidRDefault="005927E7" w:rsidP="00030D3B">
                            <w:pPr>
                              <w:spacing w:line="240" w:lineRule="auto"/>
                              <w:ind w:firstLine="0"/>
                            </w:pPr>
                            <w:r>
                              <w:t>Professor</w:t>
                            </w:r>
                          </w:p>
                          <w:p w14:paraId="75BD4502" w14:textId="77777777" w:rsidR="005927E7" w:rsidRDefault="005927E7" w:rsidP="00030D3B">
                            <w:pPr>
                              <w:spacing w:line="240" w:lineRule="auto"/>
                              <w:ind w:firstLine="0"/>
                            </w:pPr>
                            <w:r>
                              <w:t>Human Genetics</w:t>
                            </w:r>
                          </w:p>
                          <w:p w14:paraId="3B962317" w14:textId="77777777" w:rsidR="005927E7" w:rsidRDefault="005927E7" w:rsidP="00030D3B">
                            <w:pPr>
                              <w:spacing w:line="240" w:lineRule="auto"/>
                              <w:ind w:firstLine="0"/>
                            </w:pPr>
                            <w:r>
                              <w:t>Graduate School of Public Health</w:t>
                            </w:r>
                          </w:p>
                          <w:p w14:paraId="46014B17" w14:textId="77777777" w:rsidR="005927E7" w:rsidRDefault="005927E7" w:rsidP="00030D3B">
                            <w:pPr>
                              <w:spacing w:line="240" w:lineRule="auto"/>
                              <w:ind w:firstLine="0"/>
                            </w:pPr>
                            <w:r>
                              <w:t>University of Pittsburgh</w:t>
                            </w:r>
                          </w:p>
                          <w:p w14:paraId="19219836" w14:textId="77777777" w:rsidR="005927E7" w:rsidRDefault="005927E7" w:rsidP="00030D3B">
                            <w:pPr>
                              <w:spacing w:line="240" w:lineRule="auto"/>
                              <w:ind w:firstLine="0"/>
                            </w:pPr>
                          </w:p>
                          <w:p w14:paraId="296FEF7D" w14:textId="77777777" w:rsidR="005927E7" w:rsidRDefault="005927E7" w:rsidP="00030D3B">
                            <w:pPr>
                              <w:spacing w:line="240" w:lineRule="auto"/>
                              <w:ind w:firstLine="0"/>
                            </w:pPr>
                          </w:p>
                          <w:p w14:paraId="7194DBDC" w14:textId="77777777" w:rsidR="005927E7" w:rsidRDefault="005927E7" w:rsidP="00030D3B">
                            <w:pPr>
                              <w:spacing w:line="240" w:lineRule="auto"/>
                              <w:ind w:firstLine="0"/>
                            </w:pPr>
                          </w:p>
                          <w:p w14:paraId="769D0D3C" w14:textId="77777777" w:rsidR="005927E7" w:rsidRPr="00936D40" w:rsidRDefault="005927E7" w:rsidP="006B1124">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40D31" id="Text Box 26" o:spid="_x0000_s1027" type="#_x0000_t202" style="position:absolute;left:0;text-align:left;margin-left:0;margin-top:23.75pt;width:468pt;height:570.2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" stroked="f">
                <v:textbox>
                  <w:txbxContent>
                    <w:p w14:paraId="19123D32" w14:textId="77777777" w:rsidR="005927E7" w:rsidRDefault="005927E7" w:rsidP="006B1124">
                      <w:pPr>
                        <w:ind w:firstLine="0"/>
                        <w:jc w:val="center"/>
                      </w:pPr>
                      <w:r>
                        <w:t>UNIVERSITY OF PITTSBURGH</w:t>
                      </w:r>
                    </w:p>
                    <w:p w14:paraId="06D49CEE" w14:textId="77777777" w:rsidR="005927E7" w:rsidRDefault="005927E7" w:rsidP="00536110">
                      <w:pPr>
                        <w:spacing w:line="240" w:lineRule="auto"/>
                        <w:ind w:firstLine="0"/>
                        <w:jc w:val="center"/>
                      </w:pPr>
                      <w:r>
                        <w:t>GRADUATE SCHOOL OF PUBLIC HEALTH</w:t>
                      </w:r>
                    </w:p>
                    <w:p w14:paraId="3A0FF5F2" w14:textId="77777777" w:rsidR="005927E7" w:rsidRDefault="005927E7" w:rsidP="00536110">
                      <w:pPr>
                        <w:spacing w:line="240" w:lineRule="auto"/>
                        <w:ind w:firstLine="0"/>
                        <w:jc w:val="center"/>
                      </w:pPr>
                    </w:p>
                    <w:p w14:paraId="5630AD66" w14:textId="77777777" w:rsidR="005927E7" w:rsidRDefault="005927E7" w:rsidP="00536110">
                      <w:pPr>
                        <w:spacing w:line="240" w:lineRule="auto"/>
                        <w:ind w:firstLine="0"/>
                        <w:jc w:val="center"/>
                      </w:pPr>
                    </w:p>
                    <w:p w14:paraId="61829076" w14:textId="77777777" w:rsidR="005927E7" w:rsidRDefault="005927E7" w:rsidP="00536110">
                      <w:pPr>
                        <w:spacing w:line="240" w:lineRule="auto"/>
                        <w:ind w:firstLine="0"/>
                        <w:jc w:val="center"/>
                      </w:pPr>
                    </w:p>
                    <w:p w14:paraId="2BA226A1" w14:textId="77777777" w:rsidR="005927E7" w:rsidRDefault="005927E7" w:rsidP="00536110">
                      <w:pPr>
                        <w:spacing w:line="240" w:lineRule="auto"/>
                        <w:ind w:firstLine="0"/>
                        <w:jc w:val="center"/>
                      </w:pPr>
                    </w:p>
                    <w:p w14:paraId="17AD93B2" w14:textId="77777777" w:rsidR="005927E7" w:rsidRDefault="005927E7" w:rsidP="00536110">
                      <w:pPr>
                        <w:spacing w:line="240" w:lineRule="auto"/>
                        <w:ind w:firstLine="0"/>
                        <w:jc w:val="center"/>
                      </w:pPr>
                    </w:p>
                    <w:p w14:paraId="0DE4B5B7" w14:textId="77777777" w:rsidR="005927E7" w:rsidRDefault="005927E7" w:rsidP="00536110">
                      <w:pPr>
                        <w:spacing w:line="240" w:lineRule="auto"/>
                        <w:ind w:firstLine="0"/>
                        <w:jc w:val="center"/>
                      </w:pPr>
                    </w:p>
                    <w:p w14:paraId="0010C083" w14:textId="77777777" w:rsidR="005927E7" w:rsidRDefault="005927E7" w:rsidP="006A5780">
                      <w:pPr>
                        <w:ind w:firstLine="0"/>
                        <w:jc w:val="center"/>
                      </w:pPr>
                      <w:r>
                        <w:t xml:space="preserve">This essay </w:t>
                      </w:r>
                      <w:proofErr w:type="gramStart"/>
                      <w:r>
                        <w:t>is submitted</w:t>
                      </w:r>
                      <w:proofErr w:type="gramEnd"/>
                    </w:p>
                    <w:p w14:paraId="477744B6" w14:textId="77777777" w:rsidR="005927E7" w:rsidRDefault="005927E7" w:rsidP="006B1124">
                      <w:pPr>
                        <w:ind w:firstLine="0"/>
                        <w:jc w:val="center"/>
                      </w:pPr>
                      <w:proofErr w:type="gramStart"/>
                      <w:r>
                        <w:t>by</w:t>
                      </w:r>
                      <w:proofErr w:type="gramEnd"/>
                    </w:p>
                    <w:p w14:paraId="68728EE1" w14:textId="77777777" w:rsidR="005927E7" w:rsidRDefault="005927E7" w:rsidP="006A5780">
                      <w:pPr>
                        <w:spacing w:line="240" w:lineRule="auto"/>
                        <w:ind w:firstLine="0"/>
                        <w:jc w:val="center"/>
                      </w:pPr>
                      <w:r>
                        <w:t>Jeffrey M. Mortenson</w:t>
                      </w:r>
                    </w:p>
                    <w:p w14:paraId="66204FF1" w14:textId="77777777" w:rsidR="005927E7" w:rsidRDefault="005927E7" w:rsidP="006A5780">
                      <w:pPr>
                        <w:spacing w:line="240" w:lineRule="auto"/>
                        <w:ind w:firstLine="0"/>
                        <w:jc w:val="center"/>
                      </w:pPr>
                    </w:p>
                    <w:p w14:paraId="2F2FA70D" w14:textId="77777777" w:rsidR="005927E7" w:rsidRDefault="005927E7" w:rsidP="006A5780">
                      <w:pPr>
                        <w:spacing w:line="240" w:lineRule="auto"/>
                        <w:ind w:firstLine="0"/>
                        <w:jc w:val="center"/>
                      </w:pPr>
                      <w:proofErr w:type="gramStart"/>
                      <w:r>
                        <w:t>on</w:t>
                      </w:r>
                      <w:proofErr w:type="gramEnd"/>
                    </w:p>
                    <w:p w14:paraId="2DBF0D7D" w14:textId="77777777" w:rsidR="005927E7" w:rsidRDefault="005927E7" w:rsidP="006A5780">
                      <w:pPr>
                        <w:spacing w:line="240" w:lineRule="auto"/>
                        <w:ind w:firstLine="0"/>
                        <w:jc w:val="center"/>
                      </w:pPr>
                    </w:p>
                    <w:p w14:paraId="5E9F1F5D" w14:textId="77777777" w:rsidR="005927E7" w:rsidRDefault="005927E7" w:rsidP="006A5780">
                      <w:pPr>
                        <w:ind w:firstLine="0"/>
                        <w:jc w:val="center"/>
                      </w:pPr>
                      <w:r>
                        <w:t>August 1</w:t>
                      </w:r>
                      <w:r w:rsidRPr="00F35BC4">
                        <w:rPr>
                          <w:vertAlign w:val="superscript"/>
                        </w:rPr>
                        <w:t>st</w:t>
                      </w:r>
                      <w:r>
                        <w:t>, 2018</w:t>
                      </w:r>
                    </w:p>
                    <w:p w14:paraId="396CDF8E" w14:textId="77777777" w:rsidR="005927E7" w:rsidRDefault="005927E7" w:rsidP="006A5780">
                      <w:pPr>
                        <w:ind w:firstLine="0"/>
                        <w:jc w:val="center"/>
                      </w:pPr>
                      <w:proofErr w:type="gramStart"/>
                      <w:r>
                        <w:t>and</w:t>
                      </w:r>
                      <w:proofErr w:type="gramEnd"/>
                      <w:r>
                        <w:t xml:space="preserve"> approved by</w:t>
                      </w:r>
                    </w:p>
                    <w:p w14:paraId="6B62F1B3" w14:textId="77777777" w:rsidR="005927E7" w:rsidRDefault="005927E7" w:rsidP="006A5780">
                      <w:pPr>
                        <w:ind w:firstLine="0"/>
                        <w:jc w:val="center"/>
                      </w:pPr>
                    </w:p>
                    <w:p w14:paraId="54232C98" w14:textId="77777777" w:rsidR="005927E7" w:rsidRDefault="005927E7" w:rsidP="00030D3B">
                      <w:pPr>
                        <w:spacing w:line="240" w:lineRule="auto"/>
                        <w:ind w:firstLine="0"/>
                      </w:pPr>
                      <w:r>
                        <w:t>Essay Advisor:</w:t>
                      </w:r>
                      <w:r>
                        <w:tab/>
                      </w:r>
                      <w:r>
                        <w:tab/>
                      </w:r>
                      <w:r>
                        <w:tab/>
                      </w:r>
                      <w:r>
                        <w:tab/>
                        <w:t>______________________________________</w:t>
                      </w:r>
                    </w:p>
                    <w:p w14:paraId="22410E27" w14:textId="77777777" w:rsidR="005927E7" w:rsidRDefault="005927E7" w:rsidP="00030D3B">
                      <w:pPr>
                        <w:spacing w:line="240" w:lineRule="auto"/>
                        <w:ind w:firstLine="0"/>
                      </w:pPr>
                      <w:r>
                        <w:t xml:space="preserve">Thistle I. Elias, </w:t>
                      </w:r>
                      <w:proofErr w:type="spellStart"/>
                      <w:r>
                        <w:t>DrPH</w:t>
                      </w:r>
                      <w:proofErr w:type="spellEnd"/>
                      <w:r>
                        <w:t>, MPA</w:t>
                      </w:r>
                      <w:r>
                        <w:tab/>
                      </w:r>
                      <w:r>
                        <w:tab/>
                      </w:r>
                    </w:p>
                    <w:p w14:paraId="370B3607" w14:textId="77777777" w:rsidR="005927E7" w:rsidRDefault="005927E7" w:rsidP="00030D3B">
                      <w:pPr>
                        <w:spacing w:line="240" w:lineRule="auto"/>
                        <w:ind w:firstLine="0"/>
                      </w:pPr>
                      <w:r>
                        <w:t>Assistant Professor</w:t>
                      </w:r>
                      <w:r>
                        <w:tab/>
                      </w:r>
                      <w:r>
                        <w:tab/>
                      </w:r>
                      <w:r>
                        <w:tab/>
                      </w:r>
                      <w:r>
                        <w:tab/>
                      </w:r>
                    </w:p>
                    <w:p w14:paraId="7C654CAD" w14:textId="77777777" w:rsidR="005927E7" w:rsidRDefault="005927E7" w:rsidP="00030D3B">
                      <w:pPr>
                        <w:spacing w:line="240" w:lineRule="auto"/>
                        <w:ind w:firstLine="0"/>
                      </w:pPr>
                      <w:r>
                        <w:t>Behavioral and Community Health Sciences</w:t>
                      </w:r>
                      <w:r>
                        <w:tab/>
                      </w:r>
                      <w:r>
                        <w:tab/>
                      </w:r>
                      <w:r>
                        <w:tab/>
                      </w:r>
                    </w:p>
                    <w:p w14:paraId="74679B1F" w14:textId="77777777" w:rsidR="005927E7" w:rsidRDefault="005927E7" w:rsidP="00030D3B">
                      <w:pPr>
                        <w:spacing w:line="240" w:lineRule="auto"/>
                        <w:ind w:firstLine="0"/>
                      </w:pPr>
                      <w:r>
                        <w:t>Graduate School of Public Health</w:t>
                      </w:r>
                    </w:p>
                    <w:p w14:paraId="23B2D000" w14:textId="77777777" w:rsidR="005927E7" w:rsidRDefault="005927E7" w:rsidP="00030D3B">
                      <w:pPr>
                        <w:spacing w:line="240" w:lineRule="auto"/>
                        <w:ind w:firstLine="0"/>
                      </w:pPr>
                      <w:r>
                        <w:t>University of Pittsburgh</w:t>
                      </w:r>
                    </w:p>
                    <w:p w14:paraId="02F2C34E" w14:textId="77777777" w:rsidR="005927E7" w:rsidRDefault="005927E7" w:rsidP="00030D3B">
                      <w:pPr>
                        <w:spacing w:line="240" w:lineRule="auto"/>
                        <w:ind w:firstLine="0"/>
                      </w:pPr>
                    </w:p>
                    <w:p w14:paraId="680A4E5D" w14:textId="77777777" w:rsidR="005927E7" w:rsidRDefault="005927E7" w:rsidP="00030D3B">
                      <w:pPr>
                        <w:spacing w:line="240" w:lineRule="auto"/>
                        <w:ind w:firstLine="0"/>
                      </w:pPr>
                    </w:p>
                    <w:p w14:paraId="79CE93DC" w14:textId="77777777" w:rsidR="005927E7" w:rsidRDefault="005927E7" w:rsidP="00030D3B">
                      <w:pPr>
                        <w:spacing w:line="240" w:lineRule="auto"/>
                        <w:ind w:firstLine="0"/>
                      </w:pPr>
                      <w:r>
                        <w:t>Essay Reader:</w:t>
                      </w:r>
                    </w:p>
                    <w:p w14:paraId="0367D7D1" w14:textId="77777777" w:rsidR="005927E7" w:rsidRDefault="005927E7" w:rsidP="00030D3B">
                      <w:pPr>
                        <w:spacing w:line="240" w:lineRule="auto"/>
                        <w:ind w:firstLine="0"/>
                      </w:pPr>
                      <w:r>
                        <w:t>David N. Finegold, MD</w:t>
                      </w:r>
                      <w:r>
                        <w:tab/>
                      </w:r>
                      <w:r>
                        <w:tab/>
                      </w:r>
                      <w:r>
                        <w:tab/>
                        <w:t>______________________________________</w:t>
                      </w:r>
                    </w:p>
                    <w:p w14:paraId="29E71C87" w14:textId="77777777" w:rsidR="005927E7" w:rsidRDefault="005927E7" w:rsidP="00030D3B">
                      <w:pPr>
                        <w:spacing w:line="240" w:lineRule="auto"/>
                        <w:ind w:firstLine="0"/>
                      </w:pPr>
                      <w:r>
                        <w:t>Professor</w:t>
                      </w:r>
                    </w:p>
                    <w:p w14:paraId="75BD4502" w14:textId="77777777" w:rsidR="005927E7" w:rsidRDefault="005927E7" w:rsidP="00030D3B">
                      <w:pPr>
                        <w:spacing w:line="240" w:lineRule="auto"/>
                        <w:ind w:firstLine="0"/>
                      </w:pPr>
                      <w:r>
                        <w:t>Human Genetics</w:t>
                      </w:r>
                    </w:p>
                    <w:p w14:paraId="3B962317" w14:textId="77777777" w:rsidR="005927E7" w:rsidRDefault="005927E7" w:rsidP="00030D3B">
                      <w:pPr>
                        <w:spacing w:line="240" w:lineRule="auto"/>
                        <w:ind w:firstLine="0"/>
                      </w:pPr>
                      <w:r>
                        <w:t>Graduate School of Public Health</w:t>
                      </w:r>
                    </w:p>
                    <w:p w14:paraId="46014B17" w14:textId="77777777" w:rsidR="005927E7" w:rsidRDefault="005927E7" w:rsidP="00030D3B">
                      <w:pPr>
                        <w:spacing w:line="240" w:lineRule="auto"/>
                        <w:ind w:firstLine="0"/>
                      </w:pPr>
                      <w:r>
                        <w:t>University of Pittsburgh</w:t>
                      </w:r>
                    </w:p>
                    <w:p w14:paraId="19219836" w14:textId="77777777" w:rsidR="005927E7" w:rsidRDefault="005927E7" w:rsidP="00030D3B">
                      <w:pPr>
                        <w:spacing w:line="240" w:lineRule="auto"/>
                        <w:ind w:firstLine="0"/>
                      </w:pPr>
                    </w:p>
                    <w:p w14:paraId="296FEF7D" w14:textId="77777777" w:rsidR="005927E7" w:rsidRDefault="005927E7" w:rsidP="00030D3B">
                      <w:pPr>
                        <w:spacing w:line="240" w:lineRule="auto"/>
                        <w:ind w:firstLine="0"/>
                      </w:pPr>
                    </w:p>
                    <w:p w14:paraId="7194DBDC" w14:textId="77777777" w:rsidR="005927E7" w:rsidRDefault="005927E7" w:rsidP="00030D3B">
                      <w:pPr>
                        <w:spacing w:line="240" w:lineRule="auto"/>
                        <w:ind w:firstLine="0"/>
                      </w:pPr>
                    </w:p>
                    <w:p w14:paraId="769D0D3C" w14:textId="77777777" w:rsidR="005927E7" w:rsidRPr="00936D40" w:rsidRDefault="005927E7" w:rsidP="006B1124">
                      <w:pPr>
                        <w:ind w:firstLine="0"/>
                        <w:jc w:val="center"/>
                      </w:pPr>
                    </w:p>
                  </w:txbxContent>
                </v:textbox>
                <w10:wrap type="square" anchorx="page" anchory="margin"/>
              </v:shape>
            </w:pict>
          </mc:Fallback>
        </mc:AlternateContent>
      </w:r>
      <w:r w:rsidR="00834193">
        <w:br w:type="page"/>
      </w:r>
    </w:p>
    <w:p w14:paraId="6E025F03" w14:textId="77777777" w:rsidR="00432249" w:rsidRDefault="00432249" w:rsidP="69CFA879">
      <w:pPr>
        <w:pStyle w:val="Noindent"/>
        <w:spacing w:line="240" w:lineRule="auto"/>
      </w:pPr>
    </w:p>
    <w:p w14:paraId="68A37CB2" w14:textId="77777777" w:rsidR="00432249" w:rsidRDefault="00432249" w:rsidP="69CFA879">
      <w:pPr>
        <w:pStyle w:val="Noindent"/>
        <w:spacing w:line="240" w:lineRule="auto"/>
      </w:pPr>
    </w:p>
    <w:p w14:paraId="7B7EABB2" w14:textId="77777777" w:rsidR="00432249" w:rsidRDefault="00432249" w:rsidP="69CFA879">
      <w:pPr>
        <w:pStyle w:val="Noindent"/>
        <w:spacing w:line="240" w:lineRule="auto"/>
      </w:pPr>
    </w:p>
    <w:p w14:paraId="693BBD18" w14:textId="7332B60B" w:rsidR="0028782F" w:rsidRPr="007F763B" w:rsidRDefault="000B510B" w:rsidP="69CFA879">
      <w:pPr>
        <w:pStyle w:val="Noindent"/>
        <w:spacing w:line="240" w:lineRule="auto"/>
        <w:rPr>
          <w:b/>
          <w:bCs/>
        </w:rPr>
      </w:pPr>
      <w:r>
        <w:rPr>
          <w:noProof/>
        </w:rPr>
        <mc:AlternateContent>
          <mc:Choice Requires="wps">
            <w:drawing>
              <wp:anchor distT="0" distB="0" distL="114300" distR="114300" simplePos="0" relativeHeight="251658240" behindDoc="0" locked="0" layoutInCell="1" allowOverlap="1" wp14:anchorId="3456453D" wp14:editId="07777777">
                <wp:simplePos x="0" y="0"/>
                <wp:positionH relativeFrom="page">
                  <wp:align>center</wp:align>
                </wp:positionH>
                <wp:positionV relativeFrom="page">
                  <wp:posOffset>4648200</wp:posOffset>
                </wp:positionV>
                <wp:extent cx="5943600" cy="1066800"/>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5FBD8" w14:textId="77777777" w:rsidR="005927E7" w:rsidRDefault="005927E7" w:rsidP="006B1124">
                            <w:pPr>
                              <w:ind w:firstLine="0"/>
                              <w:jc w:val="center"/>
                            </w:pPr>
                            <w:r>
                              <w:t>Copyright © by Jeffrey M. Mortenson</w:t>
                            </w:r>
                          </w:p>
                          <w:p w14:paraId="722956E6" w14:textId="77777777" w:rsidR="005927E7" w:rsidRDefault="005927E7" w:rsidP="006B1124">
                            <w:pPr>
                              <w:ind w:firstLine="0"/>
                              <w:jc w:val="center"/>
                            </w:pPr>
                            <w: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6453D" id="Text Box 30" o:spid="_x0000_s1028" type="#_x0000_t202" style="position:absolute;left:0;text-align:left;margin-left:0;margin-top:366pt;width:468pt;height:84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XKhw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" stroked="f">
                <v:textbox>
                  <w:txbxContent>
                    <w:p w14:paraId="6CF5FBD8" w14:textId="77777777" w:rsidR="005927E7" w:rsidRDefault="005927E7" w:rsidP="006B1124">
                      <w:pPr>
                        <w:ind w:firstLine="0"/>
                        <w:jc w:val="center"/>
                      </w:pPr>
                      <w:r>
                        <w:t>Copyright © by Jeffrey M. Mortenson</w:t>
                      </w:r>
                    </w:p>
                    <w:p w14:paraId="722956E6" w14:textId="77777777" w:rsidR="005927E7" w:rsidRDefault="005927E7" w:rsidP="006B1124">
                      <w:pPr>
                        <w:ind w:firstLine="0"/>
                        <w:jc w:val="center"/>
                      </w:pPr>
                      <w:r>
                        <w:t>2018</w:t>
                      </w:r>
                    </w:p>
                  </w:txbxContent>
                </v:textbox>
                <w10:wrap type="square" anchorx="page" anchory="page"/>
              </v:shape>
            </w:pict>
          </mc:Fallback>
        </mc:AlternateContent>
      </w:r>
      <w:r w:rsidR="002D01B1">
        <w:br w:type="page"/>
      </w:r>
      <w:r>
        <w:rPr>
          <w:noProof/>
        </w:rPr>
        <w:lastRenderedPageBreak/>
        <mc:AlternateContent>
          <mc:Choice Requires="wps">
            <w:drawing>
              <wp:anchor distT="0" distB="0" distL="114300" distR="114300" simplePos="0" relativeHeight="251659264" behindDoc="0" locked="0" layoutInCell="1" allowOverlap="1" wp14:anchorId="2D4FA5B4" wp14:editId="07777777">
                <wp:simplePos x="0" y="0"/>
                <wp:positionH relativeFrom="column">
                  <wp:align>center</wp:align>
                </wp:positionH>
                <wp:positionV relativeFrom="margin">
                  <wp:posOffset>-222250</wp:posOffset>
                </wp:positionV>
                <wp:extent cx="5943600" cy="2489200"/>
                <wp:effectExtent l="0" t="0" r="0" b="0"/>
                <wp:wrapSquare wrapText="bothSides"/>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7E483" w14:textId="77777777" w:rsidR="005927E7" w:rsidRDefault="005927E7" w:rsidP="005F1BB6">
                            <w:pPr>
                              <w:ind w:firstLine="0"/>
                              <w:jc w:val="right"/>
                            </w:pPr>
                            <w:r>
                              <w:t xml:space="preserve">Thistle I. Elias, </w:t>
                            </w:r>
                            <w:proofErr w:type="spellStart"/>
                            <w:r>
                              <w:t>DrPH</w:t>
                            </w:r>
                            <w:proofErr w:type="spellEnd"/>
                            <w:r>
                              <w:t>, MPA</w:t>
                            </w:r>
                          </w:p>
                          <w:p w14:paraId="65F9C3DC" w14:textId="77777777" w:rsidR="005927E7" w:rsidRPr="005F1BB6" w:rsidRDefault="005927E7" w:rsidP="005F1BB6">
                            <w:pPr>
                              <w:ind w:firstLine="0"/>
                              <w:jc w:val="right"/>
                            </w:pPr>
                          </w:p>
                          <w:p w14:paraId="1A358E3F" w14:textId="77777777" w:rsidR="005927E7" w:rsidRDefault="005927E7" w:rsidP="006B1124">
                            <w:pPr>
                              <w:ind w:firstLine="0"/>
                              <w:jc w:val="center"/>
                              <w:rPr>
                                <w:b/>
                              </w:rPr>
                            </w:pPr>
                            <w:r>
                              <w:rPr>
                                <w:b/>
                              </w:rPr>
                              <w:t>READABILITY AND SUITABILITY OF HEALTH EDUCATIONAL MATERIAL PROVIDED AT OUTPATIENT VISITS AT A LARGE TERTIARY CARE CHILDREN’S HOSPITAL</w:t>
                            </w:r>
                          </w:p>
                          <w:p w14:paraId="1291AEE8" w14:textId="77777777" w:rsidR="005927E7" w:rsidRDefault="005927E7" w:rsidP="006B1124">
                            <w:pPr>
                              <w:ind w:firstLine="0"/>
                              <w:jc w:val="center"/>
                            </w:pPr>
                            <w:r>
                              <w:t>Jeffrey M. Mortenson, MPH</w:t>
                            </w:r>
                          </w:p>
                          <w:p w14:paraId="1CFD7ED0" w14:textId="77777777" w:rsidR="005927E7" w:rsidRDefault="005927E7" w:rsidP="006B1124">
                            <w:pPr>
                              <w:ind w:firstLine="0"/>
                              <w:jc w:val="center"/>
                            </w:pPr>
                            <w:r>
                              <w:t>University of Pittsburgh, 2018</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FA5B4" id="Text Box 33" o:spid="_x0000_s1029" type="#_x0000_t202" style="position:absolute;left:0;text-align:left;margin-left:0;margin-top:-17.5pt;width:468pt;height:196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gLtg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" filled="f" stroked="f">
                <v:textbox>
                  <w:txbxContent>
                    <w:p w14:paraId="3AD7E483" w14:textId="77777777" w:rsidR="005927E7" w:rsidRDefault="005927E7" w:rsidP="005F1BB6">
                      <w:pPr>
                        <w:ind w:firstLine="0"/>
                        <w:jc w:val="right"/>
                      </w:pPr>
                      <w:r>
                        <w:t xml:space="preserve">Thistle I. Elias, </w:t>
                      </w:r>
                      <w:proofErr w:type="spellStart"/>
                      <w:r>
                        <w:t>DrPH</w:t>
                      </w:r>
                      <w:proofErr w:type="spellEnd"/>
                      <w:r>
                        <w:t>, MPA</w:t>
                      </w:r>
                    </w:p>
                    <w:p w14:paraId="65F9C3DC" w14:textId="77777777" w:rsidR="005927E7" w:rsidRPr="005F1BB6" w:rsidRDefault="005927E7" w:rsidP="005F1BB6">
                      <w:pPr>
                        <w:ind w:firstLine="0"/>
                        <w:jc w:val="right"/>
                      </w:pPr>
                    </w:p>
                    <w:p w14:paraId="1A358E3F" w14:textId="77777777" w:rsidR="005927E7" w:rsidRDefault="005927E7" w:rsidP="006B1124">
                      <w:pPr>
                        <w:ind w:firstLine="0"/>
                        <w:jc w:val="center"/>
                        <w:rPr>
                          <w:b/>
                        </w:rPr>
                      </w:pPr>
                      <w:r>
                        <w:rPr>
                          <w:b/>
                        </w:rPr>
                        <w:t>READABILITY AND SUITABILITY OF HEALTH EDUCATIONAL MATERIAL PROVIDED AT OUTPATIENT VISITS AT A LARGE TERTIARY CARE CHILDREN’S HOSPITAL</w:t>
                      </w:r>
                    </w:p>
                    <w:p w14:paraId="1291AEE8" w14:textId="77777777" w:rsidR="005927E7" w:rsidRDefault="005927E7" w:rsidP="006B1124">
                      <w:pPr>
                        <w:ind w:firstLine="0"/>
                        <w:jc w:val="center"/>
                      </w:pPr>
                      <w:r>
                        <w:t>Jeffrey M. Mortenson, MPH</w:t>
                      </w:r>
                    </w:p>
                    <w:p w14:paraId="1CFD7ED0" w14:textId="77777777" w:rsidR="005927E7" w:rsidRDefault="005927E7" w:rsidP="006B1124">
                      <w:pPr>
                        <w:ind w:firstLine="0"/>
                        <w:jc w:val="center"/>
                      </w:pPr>
                      <w:r>
                        <w:t>University of Pittsburgh, 2018</w:t>
                      </w:r>
                      <w:r>
                        <w:br w:type="page"/>
                      </w:r>
                    </w:p>
                  </w:txbxContent>
                </v:textbox>
                <w10:wrap type="square" anchory="margin"/>
              </v:shape>
            </w:pict>
          </mc:Fallback>
        </mc:AlternateContent>
      </w:r>
      <w:r w:rsidR="007F763B" w:rsidRPr="69CFA879">
        <w:rPr>
          <w:b/>
          <w:bCs/>
        </w:rPr>
        <w:t>ABSTRACT</w:t>
      </w:r>
    </w:p>
    <w:p w14:paraId="1F3B1409" w14:textId="77777777" w:rsidR="007F763B" w:rsidRDefault="007F763B" w:rsidP="007F763B">
      <w:pPr>
        <w:pStyle w:val="Noindent"/>
        <w:spacing w:line="240" w:lineRule="auto"/>
      </w:pPr>
    </w:p>
    <w:p w14:paraId="6367951B" w14:textId="77777777" w:rsidR="00BB6405" w:rsidRDefault="69CFA879" w:rsidP="008A110F">
      <w:pPr>
        <w:pStyle w:val="Noindent"/>
      </w:pPr>
      <w:r>
        <w:t xml:space="preserve">When leaving an outpatient clinic appointment, patients typically have unacceptably low understanding of their diagnosis, their prognosis, and their treatment plan. This inevitably leads to non-adherence with prescribed therapy and excess morbidity and mortality at the population level. This fact is of public health significance, as it represents a potential point of intervention to improve health outcomes across the entire population. </w:t>
      </w:r>
    </w:p>
    <w:p w14:paraId="1F95E131" w14:textId="3967B48B" w:rsidR="006B1124" w:rsidRDefault="3EEF55E6" w:rsidP="00BB6405">
      <w:pPr>
        <w:pStyle w:val="Noindent"/>
        <w:ind w:firstLine="720"/>
      </w:pPr>
      <w:r>
        <w:t xml:space="preserve">In this </w:t>
      </w:r>
      <w:proofErr w:type="gramStart"/>
      <w:r>
        <w:t>paper</w:t>
      </w:r>
      <w:proofErr w:type="gramEnd"/>
      <w:r>
        <w:t xml:space="preserve"> I discuss the current status of health education materials in the United States, with a particular focus on pediatrics. I also discuss how health education materials </w:t>
      </w:r>
      <w:proofErr w:type="gramStart"/>
      <w:r>
        <w:t>can be evaluated and improved by clinicians and researchers that are so inclined</w:t>
      </w:r>
      <w:proofErr w:type="gramEnd"/>
      <w:r>
        <w:t xml:space="preserve">. Finally, I performed a survey of materials that </w:t>
      </w:r>
      <w:proofErr w:type="gramStart"/>
      <w:r>
        <w:t>are provided</w:t>
      </w:r>
      <w:proofErr w:type="gramEnd"/>
      <w:r>
        <w:t xml:space="preserve"> by outpatient clinics at a large tertiary care children’s hospital, taking into account the grade level at which the materials were written (using the SMOG formula) as well as their overall suitability as measured by SAM analysis. </w:t>
      </w:r>
    </w:p>
    <w:p w14:paraId="2526BE5E" w14:textId="51BCB0A7" w:rsidR="00BB6405" w:rsidRDefault="3EEF55E6" w:rsidP="00BB6405">
      <w:r>
        <w:t>Overall, the materials had an average grade level of 10.38 (</w:t>
      </w:r>
      <w:proofErr w:type="spellStart"/>
      <w:r>
        <w:t>s.d.</w:t>
      </w:r>
      <w:proofErr w:type="spellEnd"/>
      <w:r>
        <w:t xml:space="preserve"> = 2.39), which is significantly higher than would be appropriate for the general population. </w:t>
      </w:r>
      <w:proofErr w:type="gramStart"/>
      <w:r>
        <w:t>70%</w:t>
      </w:r>
      <w:proofErr w:type="gramEnd"/>
      <w:r>
        <w:t xml:space="preserve"> were labeled as “adequate” by the SAM rubric. American Academy of Pediatrics materials performed particularly well, achieving an average grade level of 8.1 (</w:t>
      </w:r>
      <w:proofErr w:type="spellStart"/>
      <w:r>
        <w:t>s.d.</w:t>
      </w:r>
      <w:proofErr w:type="spellEnd"/>
      <w:r>
        <w:t xml:space="preserve"> = 1.53) and a perfect 100% “adequate” score by the SAM rubric. </w:t>
      </w:r>
    </w:p>
    <w:p w14:paraId="60BD33C2" w14:textId="77777777" w:rsidR="006510F0" w:rsidRPr="00BB6405" w:rsidRDefault="69CFA879" w:rsidP="00BB6405">
      <w:r>
        <w:lastRenderedPageBreak/>
        <w:t xml:space="preserve">Moving forward, I would recommend that clinicians and researchers use both grade level formulas and SAM analysis to evaluate their documents when they are creating materials and/or selecting materials to provide to patients in an outpatient setting. They should also be sure that their materials </w:t>
      </w:r>
      <w:proofErr w:type="gramStart"/>
      <w:r>
        <w:t>are focused</w:t>
      </w:r>
      <w:proofErr w:type="gramEnd"/>
      <w:r>
        <w:t xml:space="preserve"> on being understandable to Americans with below average literacy. In the long term, we should also seek to move away from paper and towards multimedia, interactive, and behavior driven modalities. These modalities have been almost universally successful in improving patient centered outcomes, and have certainly been more successful than paper-based interventions. </w:t>
      </w:r>
    </w:p>
    <w:p w14:paraId="562C75D1" w14:textId="77777777" w:rsidR="00AA2C6A" w:rsidRDefault="00AA2C6A" w:rsidP="00AA2C6A"/>
    <w:p w14:paraId="664355AD" w14:textId="77777777" w:rsidR="00AA2C6A" w:rsidRPr="00AA2C6A" w:rsidRDefault="00AA2C6A" w:rsidP="00AA2C6A"/>
    <w:p w14:paraId="78356A93" w14:textId="77777777" w:rsidR="008A110F" w:rsidRDefault="69CFA879" w:rsidP="69CFA879">
      <w:pPr>
        <w:pStyle w:val="Preliminary"/>
      </w:pPr>
      <w:bookmarkStart w:id="0" w:name="_Toc106717784"/>
      <w:r>
        <w:lastRenderedPageBreak/>
        <w:t>TABLE OF CONTENTS</w:t>
      </w:r>
      <w:bookmarkEnd w:id="0"/>
    </w:p>
    <w:p w14:paraId="6E3DBD0D" w14:textId="43BE96EB" w:rsidR="004D592C" w:rsidRDefault="006E5D78">
      <w:pPr>
        <w:pStyle w:val="TOC1"/>
        <w:tabs>
          <w:tab w:val="right" w:leader="dot" w:pos="9350"/>
        </w:tabs>
        <w:rPr>
          <w:rFonts w:asciiTheme="minorHAnsi" w:eastAsiaTheme="minorEastAsia" w:hAnsiTheme="minorHAnsi" w:cstheme="minorBidi"/>
          <w:b w:val="0"/>
          <w:caps w:val="0"/>
          <w:noProof/>
          <w:sz w:val="22"/>
          <w:szCs w:val="22"/>
        </w:rPr>
      </w:pPr>
      <w:r w:rsidRPr="69CFA879">
        <w:fldChar w:fldCharType="begin"/>
      </w:r>
      <w:r>
        <w:instrText xml:space="preserve"> TOC \o "2-3" \h \z \t "Heading 1,1,Appendix,1,Appendix Title,1,Heading,1" </w:instrText>
      </w:r>
      <w:r w:rsidRPr="69CFA879">
        <w:fldChar w:fldCharType="separate"/>
      </w:r>
      <w:hyperlink w:anchor="_Toc525805115" w:history="1">
        <w:r w:rsidR="004D592C" w:rsidRPr="00AF6017">
          <w:rPr>
            <w:rStyle w:val="Hyperlink"/>
            <w:noProof/>
          </w:rPr>
          <w:t>preface</w:t>
        </w:r>
        <w:r w:rsidR="004D592C">
          <w:rPr>
            <w:noProof/>
            <w:webHidden/>
          </w:rPr>
          <w:tab/>
        </w:r>
        <w:r w:rsidR="004D592C">
          <w:rPr>
            <w:noProof/>
            <w:webHidden/>
          </w:rPr>
          <w:fldChar w:fldCharType="begin"/>
        </w:r>
        <w:r w:rsidR="004D592C">
          <w:rPr>
            <w:noProof/>
            <w:webHidden/>
          </w:rPr>
          <w:instrText xml:space="preserve"> PAGEREF _Toc525805115 \h </w:instrText>
        </w:r>
        <w:r w:rsidR="004D592C">
          <w:rPr>
            <w:noProof/>
            <w:webHidden/>
          </w:rPr>
        </w:r>
        <w:r w:rsidR="004D592C">
          <w:rPr>
            <w:noProof/>
            <w:webHidden/>
          </w:rPr>
          <w:fldChar w:fldCharType="separate"/>
        </w:r>
        <w:r w:rsidR="004D592C">
          <w:rPr>
            <w:noProof/>
            <w:webHidden/>
          </w:rPr>
          <w:t>x</w:t>
        </w:r>
        <w:r w:rsidR="004D592C">
          <w:rPr>
            <w:noProof/>
            <w:webHidden/>
          </w:rPr>
          <w:fldChar w:fldCharType="end"/>
        </w:r>
      </w:hyperlink>
    </w:p>
    <w:p w14:paraId="518A994D" w14:textId="64A5B9A1" w:rsidR="004D592C" w:rsidRDefault="004D592C">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25805116" w:history="1">
        <w:r w:rsidRPr="00AF6017">
          <w:rPr>
            <w:rStyle w:val="Hyperlink"/>
            <w:noProof/>
          </w:rPr>
          <w:t>1.0</w:t>
        </w:r>
        <w:r>
          <w:rPr>
            <w:rFonts w:asciiTheme="minorHAnsi" w:eastAsiaTheme="minorEastAsia" w:hAnsiTheme="minorHAnsi" w:cstheme="minorBidi"/>
            <w:b w:val="0"/>
            <w:caps w:val="0"/>
            <w:noProof/>
            <w:sz w:val="22"/>
            <w:szCs w:val="22"/>
          </w:rPr>
          <w:tab/>
        </w:r>
        <w:r w:rsidRPr="00AF6017">
          <w:rPr>
            <w:rStyle w:val="Hyperlink"/>
            <w:noProof/>
          </w:rPr>
          <w:t>Introduction</w:t>
        </w:r>
        <w:r>
          <w:rPr>
            <w:noProof/>
            <w:webHidden/>
          </w:rPr>
          <w:tab/>
        </w:r>
        <w:r>
          <w:rPr>
            <w:noProof/>
            <w:webHidden/>
          </w:rPr>
          <w:fldChar w:fldCharType="begin"/>
        </w:r>
        <w:r>
          <w:rPr>
            <w:noProof/>
            <w:webHidden/>
          </w:rPr>
          <w:instrText xml:space="preserve"> PAGEREF _Toc525805116 \h </w:instrText>
        </w:r>
        <w:r>
          <w:rPr>
            <w:noProof/>
            <w:webHidden/>
          </w:rPr>
        </w:r>
        <w:r>
          <w:rPr>
            <w:noProof/>
            <w:webHidden/>
          </w:rPr>
          <w:fldChar w:fldCharType="separate"/>
        </w:r>
        <w:r>
          <w:rPr>
            <w:noProof/>
            <w:webHidden/>
          </w:rPr>
          <w:t>1</w:t>
        </w:r>
        <w:r>
          <w:rPr>
            <w:noProof/>
            <w:webHidden/>
          </w:rPr>
          <w:fldChar w:fldCharType="end"/>
        </w:r>
      </w:hyperlink>
    </w:p>
    <w:p w14:paraId="4D28094C" w14:textId="3E6B5156" w:rsidR="004D592C" w:rsidRDefault="004D592C">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25805117" w:history="1">
        <w:r w:rsidRPr="00AF6017">
          <w:rPr>
            <w:rStyle w:val="Hyperlink"/>
            <w:noProof/>
          </w:rPr>
          <w:t>2.0</w:t>
        </w:r>
        <w:r>
          <w:rPr>
            <w:rFonts w:asciiTheme="minorHAnsi" w:eastAsiaTheme="minorEastAsia" w:hAnsiTheme="minorHAnsi" w:cstheme="minorBidi"/>
            <w:b w:val="0"/>
            <w:caps w:val="0"/>
            <w:noProof/>
            <w:sz w:val="22"/>
            <w:szCs w:val="22"/>
          </w:rPr>
          <w:tab/>
        </w:r>
        <w:r w:rsidRPr="00AF6017">
          <w:rPr>
            <w:rStyle w:val="Hyperlink"/>
            <w:noProof/>
          </w:rPr>
          <w:t>Background</w:t>
        </w:r>
        <w:r>
          <w:rPr>
            <w:noProof/>
            <w:webHidden/>
          </w:rPr>
          <w:tab/>
        </w:r>
        <w:r>
          <w:rPr>
            <w:noProof/>
            <w:webHidden/>
          </w:rPr>
          <w:fldChar w:fldCharType="begin"/>
        </w:r>
        <w:r>
          <w:rPr>
            <w:noProof/>
            <w:webHidden/>
          </w:rPr>
          <w:instrText xml:space="preserve"> PAGEREF _Toc525805117 \h </w:instrText>
        </w:r>
        <w:r>
          <w:rPr>
            <w:noProof/>
            <w:webHidden/>
          </w:rPr>
        </w:r>
        <w:r>
          <w:rPr>
            <w:noProof/>
            <w:webHidden/>
          </w:rPr>
          <w:fldChar w:fldCharType="separate"/>
        </w:r>
        <w:r>
          <w:rPr>
            <w:noProof/>
            <w:webHidden/>
          </w:rPr>
          <w:t>3</w:t>
        </w:r>
        <w:r>
          <w:rPr>
            <w:noProof/>
            <w:webHidden/>
          </w:rPr>
          <w:fldChar w:fldCharType="end"/>
        </w:r>
      </w:hyperlink>
    </w:p>
    <w:p w14:paraId="13F978C9" w14:textId="43043690" w:rsidR="004D592C" w:rsidRDefault="004D592C">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5805118" w:history="1">
        <w:r w:rsidRPr="00AF6017">
          <w:rPr>
            <w:rStyle w:val="Hyperlink"/>
            <w:noProof/>
          </w:rPr>
          <w:t>2.1</w:t>
        </w:r>
        <w:r>
          <w:rPr>
            <w:rFonts w:asciiTheme="minorHAnsi" w:eastAsiaTheme="minorEastAsia" w:hAnsiTheme="minorHAnsi" w:cstheme="minorBidi"/>
            <w:b w:val="0"/>
            <w:caps w:val="0"/>
            <w:noProof/>
            <w:sz w:val="22"/>
            <w:szCs w:val="22"/>
          </w:rPr>
          <w:tab/>
        </w:r>
        <w:r w:rsidRPr="00AF6017">
          <w:rPr>
            <w:rStyle w:val="Hyperlink"/>
            <w:noProof/>
          </w:rPr>
          <w:t>issues of provider communication</w:t>
        </w:r>
        <w:r>
          <w:rPr>
            <w:noProof/>
            <w:webHidden/>
          </w:rPr>
          <w:tab/>
        </w:r>
        <w:r>
          <w:rPr>
            <w:noProof/>
            <w:webHidden/>
          </w:rPr>
          <w:fldChar w:fldCharType="begin"/>
        </w:r>
        <w:r>
          <w:rPr>
            <w:noProof/>
            <w:webHidden/>
          </w:rPr>
          <w:instrText xml:space="preserve"> PAGEREF _Toc525805118 \h </w:instrText>
        </w:r>
        <w:r>
          <w:rPr>
            <w:noProof/>
            <w:webHidden/>
          </w:rPr>
        </w:r>
        <w:r>
          <w:rPr>
            <w:noProof/>
            <w:webHidden/>
          </w:rPr>
          <w:fldChar w:fldCharType="separate"/>
        </w:r>
        <w:r>
          <w:rPr>
            <w:noProof/>
            <w:webHidden/>
          </w:rPr>
          <w:t>4</w:t>
        </w:r>
        <w:r>
          <w:rPr>
            <w:noProof/>
            <w:webHidden/>
          </w:rPr>
          <w:fldChar w:fldCharType="end"/>
        </w:r>
      </w:hyperlink>
    </w:p>
    <w:p w14:paraId="649B7821" w14:textId="40DB8AD0" w:rsidR="004D592C" w:rsidRDefault="004D592C">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5805119" w:history="1">
        <w:r w:rsidRPr="00AF6017">
          <w:rPr>
            <w:rStyle w:val="Hyperlink"/>
            <w:noProof/>
          </w:rPr>
          <w:t>2.2</w:t>
        </w:r>
        <w:r>
          <w:rPr>
            <w:rFonts w:asciiTheme="minorHAnsi" w:eastAsiaTheme="minorEastAsia" w:hAnsiTheme="minorHAnsi" w:cstheme="minorBidi"/>
            <w:b w:val="0"/>
            <w:caps w:val="0"/>
            <w:noProof/>
            <w:sz w:val="22"/>
            <w:szCs w:val="22"/>
          </w:rPr>
          <w:tab/>
        </w:r>
        <w:r w:rsidRPr="00AF6017">
          <w:rPr>
            <w:rStyle w:val="Hyperlink"/>
            <w:noProof/>
          </w:rPr>
          <w:t>Current status of patient understanding</w:t>
        </w:r>
        <w:r>
          <w:rPr>
            <w:noProof/>
            <w:webHidden/>
          </w:rPr>
          <w:tab/>
        </w:r>
        <w:r>
          <w:rPr>
            <w:noProof/>
            <w:webHidden/>
          </w:rPr>
          <w:fldChar w:fldCharType="begin"/>
        </w:r>
        <w:r>
          <w:rPr>
            <w:noProof/>
            <w:webHidden/>
          </w:rPr>
          <w:instrText xml:space="preserve"> PAGEREF _Toc525805119 \h </w:instrText>
        </w:r>
        <w:r>
          <w:rPr>
            <w:noProof/>
            <w:webHidden/>
          </w:rPr>
        </w:r>
        <w:r>
          <w:rPr>
            <w:noProof/>
            <w:webHidden/>
          </w:rPr>
          <w:fldChar w:fldCharType="separate"/>
        </w:r>
        <w:r>
          <w:rPr>
            <w:noProof/>
            <w:webHidden/>
          </w:rPr>
          <w:t>6</w:t>
        </w:r>
        <w:r>
          <w:rPr>
            <w:noProof/>
            <w:webHidden/>
          </w:rPr>
          <w:fldChar w:fldCharType="end"/>
        </w:r>
      </w:hyperlink>
    </w:p>
    <w:p w14:paraId="3B5C8446" w14:textId="06655CB5" w:rsidR="004D592C" w:rsidRDefault="004D592C">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5805120" w:history="1">
        <w:r w:rsidRPr="00AF6017">
          <w:rPr>
            <w:rStyle w:val="Hyperlink"/>
            <w:noProof/>
          </w:rPr>
          <w:t>2.3</w:t>
        </w:r>
        <w:r>
          <w:rPr>
            <w:rFonts w:asciiTheme="minorHAnsi" w:eastAsiaTheme="minorEastAsia" w:hAnsiTheme="minorHAnsi" w:cstheme="minorBidi"/>
            <w:b w:val="0"/>
            <w:caps w:val="0"/>
            <w:noProof/>
            <w:sz w:val="22"/>
            <w:szCs w:val="22"/>
          </w:rPr>
          <w:tab/>
        </w:r>
        <w:r w:rsidRPr="00AF6017">
          <w:rPr>
            <w:rStyle w:val="Hyperlink"/>
            <w:noProof/>
          </w:rPr>
          <w:t>How can we continue to improve patient understanding?</w:t>
        </w:r>
        <w:r>
          <w:rPr>
            <w:noProof/>
            <w:webHidden/>
          </w:rPr>
          <w:tab/>
        </w:r>
        <w:r>
          <w:rPr>
            <w:noProof/>
            <w:webHidden/>
          </w:rPr>
          <w:fldChar w:fldCharType="begin"/>
        </w:r>
        <w:r>
          <w:rPr>
            <w:noProof/>
            <w:webHidden/>
          </w:rPr>
          <w:instrText xml:space="preserve"> PAGEREF _Toc525805120 \h </w:instrText>
        </w:r>
        <w:r>
          <w:rPr>
            <w:noProof/>
            <w:webHidden/>
          </w:rPr>
        </w:r>
        <w:r>
          <w:rPr>
            <w:noProof/>
            <w:webHidden/>
          </w:rPr>
          <w:fldChar w:fldCharType="separate"/>
        </w:r>
        <w:r>
          <w:rPr>
            <w:noProof/>
            <w:webHidden/>
          </w:rPr>
          <w:t>8</w:t>
        </w:r>
        <w:r>
          <w:rPr>
            <w:noProof/>
            <w:webHidden/>
          </w:rPr>
          <w:fldChar w:fldCharType="end"/>
        </w:r>
      </w:hyperlink>
    </w:p>
    <w:p w14:paraId="674B35B0" w14:textId="2295AE9C" w:rsidR="004D592C" w:rsidRDefault="004D592C">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5805121" w:history="1">
        <w:r w:rsidRPr="00AF6017">
          <w:rPr>
            <w:rStyle w:val="Hyperlink"/>
            <w:noProof/>
          </w:rPr>
          <w:t>2.4</w:t>
        </w:r>
        <w:r>
          <w:rPr>
            <w:rFonts w:asciiTheme="minorHAnsi" w:eastAsiaTheme="minorEastAsia" w:hAnsiTheme="minorHAnsi" w:cstheme="minorBidi"/>
            <w:b w:val="0"/>
            <w:caps w:val="0"/>
            <w:noProof/>
            <w:sz w:val="22"/>
            <w:szCs w:val="22"/>
          </w:rPr>
          <w:tab/>
        </w:r>
        <w:r w:rsidRPr="00AF6017">
          <w:rPr>
            <w:rStyle w:val="Hyperlink"/>
            <w:noProof/>
          </w:rPr>
          <w:t>Readability of health education material and grade level analysis</w:t>
        </w:r>
        <w:r>
          <w:rPr>
            <w:noProof/>
            <w:webHidden/>
          </w:rPr>
          <w:tab/>
        </w:r>
        <w:r>
          <w:rPr>
            <w:noProof/>
            <w:webHidden/>
          </w:rPr>
          <w:fldChar w:fldCharType="begin"/>
        </w:r>
        <w:r>
          <w:rPr>
            <w:noProof/>
            <w:webHidden/>
          </w:rPr>
          <w:instrText xml:space="preserve"> PAGEREF _Toc525805121 \h </w:instrText>
        </w:r>
        <w:r>
          <w:rPr>
            <w:noProof/>
            <w:webHidden/>
          </w:rPr>
        </w:r>
        <w:r>
          <w:rPr>
            <w:noProof/>
            <w:webHidden/>
          </w:rPr>
          <w:fldChar w:fldCharType="separate"/>
        </w:r>
        <w:r>
          <w:rPr>
            <w:noProof/>
            <w:webHidden/>
          </w:rPr>
          <w:t>11</w:t>
        </w:r>
        <w:r>
          <w:rPr>
            <w:noProof/>
            <w:webHidden/>
          </w:rPr>
          <w:fldChar w:fldCharType="end"/>
        </w:r>
      </w:hyperlink>
    </w:p>
    <w:p w14:paraId="4B578CFC" w14:textId="3243BD94" w:rsidR="004D592C" w:rsidRDefault="004D592C">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5805122" w:history="1">
        <w:r w:rsidRPr="00AF6017">
          <w:rPr>
            <w:rStyle w:val="Hyperlink"/>
            <w:noProof/>
          </w:rPr>
          <w:t>2.5</w:t>
        </w:r>
        <w:r>
          <w:rPr>
            <w:rFonts w:asciiTheme="minorHAnsi" w:eastAsiaTheme="minorEastAsia" w:hAnsiTheme="minorHAnsi" w:cstheme="minorBidi"/>
            <w:b w:val="0"/>
            <w:caps w:val="0"/>
            <w:noProof/>
            <w:sz w:val="22"/>
            <w:szCs w:val="22"/>
          </w:rPr>
          <w:tab/>
        </w:r>
        <w:r w:rsidRPr="00AF6017">
          <w:rPr>
            <w:rStyle w:val="Hyperlink"/>
            <w:noProof/>
          </w:rPr>
          <w:t>Comprehensibility and cognitive load theory</w:t>
        </w:r>
        <w:r>
          <w:rPr>
            <w:noProof/>
            <w:webHidden/>
          </w:rPr>
          <w:tab/>
        </w:r>
        <w:r>
          <w:rPr>
            <w:noProof/>
            <w:webHidden/>
          </w:rPr>
          <w:fldChar w:fldCharType="begin"/>
        </w:r>
        <w:r>
          <w:rPr>
            <w:noProof/>
            <w:webHidden/>
          </w:rPr>
          <w:instrText xml:space="preserve"> PAGEREF _Toc525805122 \h </w:instrText>
        </w:r>
        <w:r>
          <w:rPr>
            <w:noProof/>
            <w:webHidden/>
          </w:rPr>
        </w:r>
        <w:r>
          <w:rPr>
            <w:noProof/>
            <w:webHidden/>
          </w:rPr>
          <w:fldChar w:fldCharType="separate"/>
        </w:r>
        <w:r>
          <w:rPr>
            <w:noProof/>
            <w:webHidden/>
          </w:rPr>
          <w:t>13</w:t>
        </w:r>
        <w:r>
          <w:rPr>
            <w:noProof/>
            <w:webHidden/>
          </w:rPr>
          <w:fldChar w:fldCharType="end"/>
        </w:r>
      </w:hyperlink>
    </w:p>
    <w:p w14:paraId="78C87689" w14:textId="77B587F1" w:rsidR="004D592C" w:rsidRDefault="004D592C">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5805123" w:history="1">
        <w:r w:rsidRPr="00AF6017">
          <w:rPr>
            <w:rStyle w:val="Hyperlink"/>
            <w:noProof/>
          </w:rPr>
          <w:t>2.6</w:t>
        </w:r>
        <w:r>
          <w:rPr>
            <w:rFonts w:asciiTheme="minorHAnsi" w:eastAsiaTheme="minorEastAsia" w:hAnsiTheme="minorHAnsi" w:cstheme="minorBidi"/>
            <w:b w:val="0"/>
            <w:caps w:val="0"/>
            <w:noProof/>
            <w:sz w:val="22"/>
            <w:szCs w:val="22"/>
          </w:rPr>
          <w:tab/>
        </w:r>
        <w:r w:rsidRPr="00AF6017">
          <w:rPr>
            <w:rStyle w:val="Hyperlink"/>
            <w:noProof/>
          </w:rPr>
          <w:t>Suitability assessment of materials to evaluate comprehensibility</w:t>
        </w:r>
        <w:r>
          <w:rPr>
            <w:noProof/>
            <w:webHidden/>
          </w:rPr>
          <w:tab/>
        </w:r>
        <w:r>
          <w:rPr>
            <w:noProof/>
            <w:webHidden/>
          </w:rPr>
          <w:fldChar w:fldCharType="begin"/>
        </w:r>
        <w:r>
          <w:rPr>
            <w:noProof/>
            <w:webHidden/>
          </w:rPr>
          <w:instrText xml:space="preserve"> PAGEREF _Toc525805123 \h </w:instrText>
        </w:r>
        <w:r>
          <w:rPr>
            <w:noProof/>
            <w:webHidden/>
          </w:rPr>
        </w:r>
        <w:r>
          <w:rPr>
            <w:noProof/>
            <w:webHidden/>
          </w:rPr>
          <w:fldChar w:fldCharType="separate"/>
        </w:r>
        <w:r>
          <w:rPr>
            <w:noProof/>
            <w:webHidden/>
          </w:rPr>
          <w:t>15</w:t>
        </w:r>
        <w:r>
          <w:rPr>
            <w:noProof/>
            <w:webHidden/>
          </w:rPr>
          <w:fldChar w:fldCharType="end"/>
        </w:r>
      </w:hyperlink>
    </w:p>
    <w:p w14:paraId="3D78618D" w14:textId="74925EBA" w:rsidR="004D592C" w:rsidRDefault="004D592C">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5805124" w:history="1">
        <w:r w:rsidRPr="00AF6017">
          <w:rPr>
            <w:rStyle w:val="Hyperlink"/>
            <w:noProof/>
          </w:rPr>
          <w:t>2.7</w:t>
        </w:r>
        <w:r>
          <w:rPr>
            <w:rFonts w:asciiTheme="minorHAnsi" w:eastAsiaTheme="minorEastAsia" w:hAnsiTheme="minorHAnsi" w:cstheme="minorBidi"/>
            <w:b w:val="0"/>
            <w:caps w:val="0"/>
            <w:noProof/>
            <w:sz w:val="22"/>
            <w:szCs w:val="22"/>
          </w:rPr>
          <w:tab/>
        </w:r>
        <w:r w:rsidRPr="00AF6017">
          <w:rPr>
            <w:rStyle w:val="Hyperlink"/>
            <w:noProof/>
          </w:rPr>
          <w:t>Relationship between health literacy and patient understanding</w:t>
        </w:r>
        <w:r>
          <w:rPr>
            <w:noProof/>
            <w:webHidden/>
          </w:rPr>
          <w:tab/>
        </w:r>
        <w:r>
          <w:rPr>
            <w:noProof/>
            <w:webHidden/>
          </w:rPr>
          <w:fldChar w:fldCharType="begin"/>
        </w:r>
        <w:r>
          <w:rPr>
            <w:noProof/>
            <w:webHidden/>
          </w:rPr>
          <w:instrText xml:space="preserve"> PAGEREF _Toc525805124 \h </w:instrText>
        </w:r>
        <w:r>
          <w:rPr>
            <w:noProof/>
            <w:webHidden/>
          </w:rPr>
        </w:r>
        <w:r>
          <w:rPr>
            <w:noProof/>
            <w:webHidden/>
          </w:rPr>
          <w:fldChar w:fldCharType="separate"/>
        </w:r>
        <w:r>
          <w:rPr>
            <w:noProof/>
            <w:webHidden/>
          </w:rPr>
          <w:t>16</w:t>
        </w:r>
        <w:r>
          <w:rPr>
            <w:noProof/>
            <w:webHidden/>
          </w:rPr>
          <w:fldChar w:fldCharType="end"/>
        </w:r>
      </w:hyperlink>
    </w:p>
    <w:p w14:paraId="4E433AC2" w14:textId="43E1CC66" w:rsidR="004D592C" w:rsidRDefault="004D592C">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5805125" w:history="1">
        <w:r w:rsidRPr="00AF6017">
          <w:rPr>
            <w:rStyle w:val="Hyperlink"/>
            <w:noProof/>
          </w:rPr>
          <w:t>2.8</w:t>
        </w:r>
        <w:r>
          <w:rPr>
            <w:rFonts w:asciiTheme="minorHAnsi" w:eastAsiaTheme="minorEastAsia" w:hAnsiTheme="minorHAnsi" w:cstheme="minorBidi"/>
            <w:b w:val="0"/>
            <w:caps w:val="0"/>
            <w:noProof/>
            <w:sz w:val="22"/>
            <w:szCs w:val="22"/>
          </w:rPr>
          <w:tab/>
        </w:r>
        <w:r w:rsidRPr="00AF6017">
          <w:rPr>
            <w:rStyle w:val="Hyperlink"/>
            <w:noProof/>
          </w:rPr>
          <w:t>Adult literacy in the united states</w:t>
        </w:r>
        <w:r>
          <w:rPr>
            <w:noProof/>
            <w:webHidden/>
          </w:rPr>
          <w:tab/>
        </w:r>
        <w:r>
          <w:rPr>
            <w:noProof/>
            <w:webHidden/>
          </w:rPr>
          <w:fldChar w:fldCharType="begin"/>
        </w:r>
        <w:r>
          <w:rPr>
            <w:noProof/>
            <w:webHidden/>
          </w:rPr>
          <w:instrText xml:space="preserve"> PAGEREF _Toc525805125 \h </w:instrText>
        </w:r>
        <w:r>
          <w:rPr>
            <w:noProof/>
            <w:webHidden/>
          </w:rPr>
        </w:r>
        <w:r>
          <w:rPr>
            <w:noProof/>
            <w:webHidden/>
          </w:rPr>
          <w:fldChar w:fldCharType="separate"/>
        </w:r>
        <w:r>
          <w:rPr>
            <w:noProof/>
            <w:webHidden/>
          </w:rPr>
          <w:t>18</w:t>
        </w:r>
        <w:r>
          <w:rPr>
            <w:noProof/>
            <w:webHidden/>
          </w:rPr>
          <w:fldChar w:fldCharType="end"/>
        </w:r>
      </w:hyperlink>
    </w:p>
    <w:p w14:paraId="04320AD5" w14:textId="499755BD" w:rsidR="004D592C" w:rsidRDefault="004D592C">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5805126" w:history="1">
        <w:r w:rsidRPr="00AF6017">
          <w:rPr>
            <w:rStyle w:val="Hyperlink"/>
            <w:noProof/>
          </w:rPr>
          <w:t>2.9</w:t>
        </w:r>
        <w:r>
          <w:rPr>
            <w:rFonts w:asciiTheme="minorHAnsi" w:eastAsiaTheme="minorEastAsia" w:hAnsiTheme="minorHAnsi" w:cstheme="minorBidi"/>
            <w:b w:val="0"/>
            <w:caps w:val="0"/>
            <w:noProof/>
            <w:sz w:val="22"/>
            <w:szCs w:val="22"/>
          </w:rPr>
          <w:tab/>
        </w:r>
        <w:r w:rsidRPr="00AF6017">
          <w:rPr>
            <w:rStyle w:val="Hyperlink"/>
            <w:noProof/>
          </w:rPr>
          <w:t>Status of health education materials currently available</w:t>
        </w:r>
        <w:r>
          <w:rPr>
            <w:noProof/>
            <w:webHidden/>
          </w:rPr>
          <w:tab/>
        </w:r>
        <w:r>
          <w:rPr>
            <w:noProof/>
            <w:webHidden/>
          </w:rPr>
          <w:fldChar w:fldCharType="begin"/>
        </w:r>
        <w:r>
          <w:rPr>
            <w:noProof/>
            <w:webHidden/>
          </w:rPr>
          <w:instrText xml:space="preserve"> PAGEREF _Toc525805126 \h </w:instrText>
        </w:r>
        <w:r>
          <w:rPr>
            <w:noProof/>
            <w:webHidden/>
          </w:rPr>
        </w:r>
        <w:r>
          <w:rPr>
            <w:noProof/>
            <w:webHidden/>
          </w:rPr>
          <w:fldChar w:fldCharType="separate"/>
        </w:r>
        <w:r>
          <w:rPr>
            <w:noProof/>
            <w:webHidden/>
          </w:rPr>
          <w:t>20</w:t>
        </w:r>
        <w:r>
          <w:rPr>
            <w:noProof/>
            <w:webHidden/>
          </w:rPr>
          <w:fldChar w:fldCharType="end"/>
        </w:r>
      </w:hyperlink>
    </w:p>
    <w:p w14:paraId="0ED64581" w14:textId="230B8E31" w:rsidR="004D592C" w:rsidRDefault="004D592C">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25805127" w:history="1">
        <w:r w:rsidRPr="00AF6017">
          <w:rPr>
            <w:rStyle w:val="Hyperlink"/>
            <w:noProof/>
          </w:rPr>
          <w:t>3.0</w:t>
        </w:r>
        <w:r>
          <w:rPr>
            <w:rFonts w:asciiTheme="minorHAnsi" w:eastAsiaTheme="minorEastAsia" w:hAnsiTheme="minorHAnsi" w:cstheme="minorBidi"/>
            <w:b w:val="0"/>
            <w:caps w:val="0"/>
            <w:noProof/>
            <w:sz w:val="22"/>
            <w:szCs w:val="22"/>
          </w:rPr>
          <w:tab/>
        </w:r>
        <w:r w:rsidRPr="00AF6017">
          <w:rPr>
            <w:rStyle w:val="Hyperlink"/>
            <w:noProof/>
          </w:rPr>
          <w:t>methods</w:t>
        </w:r>
        <w:r>
          <w:rPr>
            <w:noProof/>
            <w:webHidden/>
          </w:rPr>
          <w:tab/>
        </w:r>
        <w:r>
          <w:rPr>
            <w:noProof/>
            <w:webHidden/>
          </w:rPr>
          <w:fldChar w:fldCharType="begin"/>
        </w:r>
        <w:r>
          <w:rPr>
            <w:noProof/>
            <w:webHidden/>
          </w:rPr>
          <w:instrText xml:space="preserve"> PAGEREF _Toc525805127 \h </w:instrText>
        </w:r>
        <w:r>
          <w:rPr>
            <w:noProof/>
            <w:webHidden/>
          </w:rPr>
        </w:r>
        <w:r>
          <w:rPr>
            <w:noProof/>
            <w:webHidden/>
          </w:rPr>
          <w:fldChar w:fldCharType="separate"/>
        </w:r>
        <w:r>
          <w:rPr>
            <w:noProof/>
            <w:webHidden/>
          </w:rPr>
          <w:t>23</w:t>
        </w:r>
        <w:r>
          <w:rPr>
            <w:noProof/>
            <w:webHidden/>
          </w:rPr>
          <w:fldChar w:fldCharType="end"/>
        </w:r>
      </w:hyperlink>
    </w:p>
    <w:p w14:paraId="4D351B36" w14:textId="57DBA11F" w:rsidR="004D592C" w:rsidRDefault="004D592C">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25805128" w:history="1">
        <w:r w:rsidRPr="00AF6017">
          <w:rPr>
            <w:rStyle w:val="Hyperlink"/>
            <w:noProof/>
          </w:rPr>
          <w:t>4.0</w:t>
        </w:r>
        <w:r>
          <w:rPr>
            <w:rFonts w:asciiTheme="minorHAnsi" w:eastAsiaTheme="minorEastAsia" w:hAnsiTheme="minorHAnsi" w:cstheme="minorBidi"/>
            <w:b w:val="0"/>
            <w:caps w:val="0"/>
            <w:noProof/>
            <w:sz w:val="22"/>
            <w:szCs w:val="22"/>
          </w:rPr>
          <w:tab/>
        </w:r>
        <w:r w:rsidRPr="00AF6017">
          <w:rPr>
            <w:rStyle w:val="Hyperlink"/>
            <w:noProof/>
          </w:rPr>
          <w:t>Results</w:t>
        </w:r>
        <w:r>
          <w:rPr>
            <w:noProof/>
            <w:webHidden/>
          </w:rPr>
          <w:tab/>
        </w:r>
        <w:r>
          <w:rPr>
            <w:noProof/>
            <w:webHidden/>
          </w:rPr>
          <w:fldChar w:fldCharType="begin"/>
        </w:r>
        <w:r>
          <w:rPr>
            <w:noProof/>
            <w:webHidden/>
          </w:rPr>
          <w:instrText xml:space="preserve"> PAGEREF _Toc525805128 \h </w:instrText>
        </w:r>
        <w:r>
          <w:rPr>
            <w:noProof/>
            <w:webHidden/>
          </w:rPr>
        </w:r>
        <w:r>
          <w:rPr>
            <w:noProof/>
            <w:webHidden/>
          </w:rPr>
          <w:fldChar w:fldCharType="separate"/>
        </w:r>
        <w:r>
          <w:rPr>
            <w:noProof/>
            <w:webHidden/>
          </w:rPr>
          <w:t>27</w:t>
        </w:r>
        <w:r>
          <w:rPr>
            <w:noProof/>
            <w:webHidden/>
          </w:rPr>
          <w:fldChar w:fldCharType="end"/>
        </w:r>
      </w:hyperlink>
    </w:p>
    <w:p w14:paraId="0961CD0C" w14:textId="6B468D73" w:rsidR="004D592C" w:rsidRDefault="004D592C">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25805129" w:history="1">
        <w:r w:rsidRPr="00AF6017">
          <w:rPr>
            <w:rStyle w:val="Hyperlink"/>
            <w:noProof/>
          </w:rPr>
          <w:t>5.0</w:t>
        </w:r>
        <w:r>
          <w:rPr>
            <w:rFonts w:asciiTheme="minorHAnsi" w:eastAsiaTheme="minorEastAsia" w:hAnsiTheme="minorHAnsi" w:cstheme="minorBidi"/>
            <w:b w:val="0"/>
            <w:caps w:val="0"/>
            <w:noProof/>
            <w:sz w:val="22"/>
            <w:szCs w:val="22"/>
          </w:rPr>
          <w:tab/>
        </w:r>
        <w:r w:rsidRPr="00AF6017">
          <w:rPr>
            <w:rStyle w:val="Hyperlink"/>
            <w:noProof/>
          </w:rPr>
          <w:t>Discussion</w:t>
        </w:r>
        <w:r>
          <w:rPr>
            <w:noProof/>
            <w:webHidden/>
          </w:rPr>
          <w:tab/>
        </w:r>
        <w:r>
          <w:rPr>
            <w:noProof/>
            <w:webHidden/>
          </w:rPr>
          <w:fldChar w:fldCharType="begin"/>
        </w:r>
        <w:r>
          <w:rPr>
            <w:noProof/>
            <w:webHidden/>
          </w:rPr>
          <w:instrText xml:space="preserve"> PAGEREF _Toc525805129 \h </w:instrText>
        </w:r>
        <w:r>
          <w:rPr>
            <w:noProof/>
            <w:webHidden/>
          </w:rPr>
        </w:r>
        <w:r>
          <w:rPr>
            <w:noProof/>
            <w:webHidden/>
          </w:rPr>
          <w:fldChar w:fldCharType="separate"/>
        </w:r>
        <w:r>
          <w:rPr>
            <w:noProof/>
            <w:webHidden/>
          </w:rPr>
          <w:t>34</w:t>
        </w:r>
        <w:r>
          <w:rPr>
            <w:noProof/>
            <w:webHidden/>
          </w:rPr>
          <w:fldChar w:fldCharType="end"/>
        </w:r>
      </w:hyperlink>
    </w:p>
    <w:p w14:paraId="08040474" w14:textId="2AB6F3C2" w:rsidR="004D592C" w:rsidRDefault="004D592C">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5805130" w:history="1">
        <w:r w:rsidRPr="00AF6017">
          <w:rPr>
            <w:rStyle w:val="Hyperlink"/>
            <w:noProof/>
          </w:rPr>
          <w:t>5.1</w:t>
        </w:r>
        <w:r>
          <w:rPr>
            <w:rFonts w:asciiTheme="minorHAnsi" w:eastAsiaTheme="minorEastAsia" w:hAnsiTheme="minorHAnsi" w:cstheme="minorBidi"/>
            <w:b w:val="0"/>
            <w:caps w:val="0"/>
            <w:noProof/>
            <w:sz w:val="22"/>
            <w:szCs w:val="22"/>
          </w:rPr>
          <w:tab/>
        </w:r>
        <w:r w:rsidRPr="00AF6017">
          <w:rPr>
            <w:rStyle w:val="Hyperlink"/>
            <w:noProof/>
          </w:rPr>
          <w:t>Practical Considerations: How did we do, and how can we do better?</w:t>
        </w:r>
        <w:r>
          <w:rPr>
            <w:noProof/>
            <w:webHidden/>
          </w:rPr>
          <w:tab/>
        </w:r>
        <w:r>
          <w:rPr>
            <w:noProof/>
            <w:webHidden/>
          </w:rPr>
          <w:fldChar w:fldCharType="begin"/>
        </w:r>
        <w:r>
          <w:rPr>
            <w:noProof/>
            <w:webHidden/>
          </w:rPr>
          <w:instrText xml:space="preserve"> PAGEREF _Toc525805130 \h </w:instrText>
        </w:r>
        <w:r>
          <w:rPr>
            <w:noProof/>
            <w:webHidden/>
          </w:rPr>
        </w:r>
        <w:r>
          <w:rPr>
            <w:noProof/>
            <w:webHidden/>
          </w:rPr>
          <w:fldChar w:fldCharType="separate"/>
        </w:r>
        <w:r>
          <w:rPr>
            <w:noProof/>
            <w:webHidden/>
          </w:rPr>
          <w:t>34</w:t>
        </w:r>
        <w:r>
          <w:rPr>
            <w:noProof/>
            <w:webHidden/>
          </w:rPr>
          <w:fldChar w:fldCharType="end"/>
        </w:r>
      </w:hyperlink>
    </w:p>
    <w:p w14:paraId="1D2B875F" w14:textId="090A1501" w:rsidR="004D592C" w:rsidRDefault="004D592C">
      <w:pPr>
        <w:pStyle w:val="TOC3"/>
        <w:tabs>
          <w:tab w:val="left" w:pos="1760"/>
          <w:tab w:val="right" w:leader="dot" w:pos="9350"/>
        </w:tabs>
        <w:rPr>
          <w:rFonts w:asciiTheme="minorHAnsi" w:eastAsiaTheme="minorEastAsia" w:hAnsiTheme="minorHAnsi" w:cstheme="minorBidi"/>
          <w:b w:val="0"/>
          <w:noProof/>
          <w:sz w:val="22"/>
          <w:szCs w:val="22"/>
        </w:rPr>
      </w:pPr>
      <w:hyperlink w:anchor="_Toc525805131" w:history="1">
        <w:r w:rsidRPr="00AF6017">
          <w:rPr>
            <w:rStyle w:val="Hyperlink"/>
            <w:noProof/>
          </w:rPr>
          <w:t>5.1.1</w:t>
        </w:r>
        <w:r>
          <w:rPr>
            <w:rFonts w:asciiTheme="minorHAnsi" w:eastAsiaTheme="minorEastAsia" w:hAnsiTheme="minorHAnsi" w:cstheme="minorBidi"/>
            <w:b w:val="0"/>
            <w:noProof/>
            <w:sz w:val="22"/>
            <w:szCs w:val="22"/>
          </w:rPr>
          <w:tab/>
        </w:r>
        <w:r w:rsidRPr="00AF6017">
          <w:rPr>
            <w:rStyle w:val="Hyperlink"/>
            <w:noProof/>
          </w:rPr>
          <w:t>Overview of Surveyed Materials</w:t>
        </w:r>
        <w:r>
          <w:rPr>
            <w:noProof/>
            <w:webHidden/>
          </w:rPr>
          <w:tab/>
        </w:r>
        <w:r>
          <w:rPr>
            <w:noProof/>
            <w:webHidden/>
          </w:rPr>
          <w:fldChar w:fldCharType="begin"/>
        </w:r>
        <w:r>
          <w:rPr>
            <w:noProof/>
            <w:webHidden/>
          </w:rPr>
          <w:instrText xml:space="preserve"> PAGEREF _Toc525805131 \h </w:instrText>
        </w:r>
        <w:r>
          <w:rPr>
            <w:noProof/>
            <w:webHidden/>
          </w:rPr>
        </w:r>
        <w:r>
          <w:rPr>
            <w:noProof/>
            <w:webHidden/>
          </w:rPr>
          <w:fldChar w:fldCharType="separate"/>
        </w:r>
        <w:r>
          <w:rPr>
            <w:noProof/>
            <w:webHidden/>
          </w:rPr>
          <w:t>34</w:t>
        </w:r>
        <w:r>
          <w:rPr>
            <w:noProof/>
            <w:webHidden/>
          </w:rPr>
          <w:fldChar w:fldCharType="end"/>
        </w:r>
      </w:hyperlink>
    </w:p>
    <w:p w14:paraId="29F507F4" w14:textId="4F0AD401" w:rsidR="004D592C" w:rsidRDefault="004D592C">
      <w:pPr>
        <w:pStyle w:val="TOC3"/>
        <w:tabs>
          <w:tab w:val="left" w:pos="1760"/>
          <w:tab w:val="right" w:leader="dot" w:pos="9350"/>
        </w:tabs>
        <w:rPr>
          <w:rFonts w:asciiTheme="minorHAnsi" w:eastAsiaTheme="minorEastAsia" w:hAnsiTheme="minorHAnsi" w:cstheme="minorBidi"/>
          <w:b w:val="0"/>
          <w:noProof/>
          <w:sz w:val="22"/>
          <w:szCs w:val="22"/>
        </w:rPr>
      </w:pPr>
      <w:hyperlink w:anchor="_Toc525805132" w:history="1">
        <w:r w:rsidRPr="00AF6017">
          <w:rPr>
            <w:rStyle w:val="Hyperlink"/>
            <w:noProof/>
          </w:rPr>
          <w:t>5.1.2</w:t>
        </w:r>
        <w:r>
          <w:rPr>
            <w:rFonts w:asciiTheme="minorHAnsi" w:eastAsiaTheme="minorEastAsia" w:hAnsiTheme="minorHAnsi" w:cstheme="minorBidi"/>
            <w:b w:val="0"/>
            <w:noProof/>
            <w:sz w:val="22"/>
            <w:szCs w:val="22"/>
          </w:rPr>
          <w:tab/>
        </w:r>
        <w:r w:rsidRPr="00AF6017">
          <w:rPr>
            <w:rStyle w:val="Hyperlink"/>
            <w:noProof/>
          </w:rPr>
          <w:t>The Curious Case of Endocrine</w:t>
        </w:r>
        <w:r>
          <w:rPr>
            <w:noProof/>
            <w:webHidden/>
          </w:rPr>
          <w:tab/>
        </w:r>
        <w:r>
          <w:rPr>
            <w:noProof/>
            <w:webHidden/>
          </w:rPr>
          <w:fldChar w:fldCharType="begin"/>
        </w:r>
        <w:r>
          <w:rPr>
            <w:noProof/>
            <w:webHidden/>
          </w:rPr>
          <w:instrText xml:space="preserve"> PAGEREF _Toc525805132 \h </w:instrText>
        </w:r>
        <w:r>
          <w:rPr>
            <w:noProof/>
            <w:webHidden/>
          </w:rPr>
        </w:r>
        <w:r>
          <w:rPr>
            <w:noProof/>
            <w:webHidden/>
          </w:rPr>
          <w:fldChar w:fldCharType="separate"/>
        </w:r>
        <w:r>
          <w:rPr>
            <w:noProof/>
            <w:webHidden/>
          </w:rPr>
          <w:t>36</w:t>
        </w:r>
        <w:r>
          <w:rPr>
            <w:noProof/>
            <w:webHidden/>
          </w:rPr>
          <w:fldChar w:fldCharType="end"/>
        </w:r>
      </w:hyperlink>
    </w:p>
    <w:p w14:paraId="383ED736" w14:textId="62BEB64E" w:rsidR="004D592C" w:rsidRDefault="004D592C">
      <w:pPr>
        <w:pStyle w:val="TOC3"/>
        <w:tabs>
          <w:tab w:val="left" w:pos="1760"/>
          <w:tab w:val="right" w:leader="dot" w:pos="9350"/>
        </w:tabs>
        <w:rPr>
          <w:rFonts w:asciiTheme="minorHAnsi" w:eastAsiaTheme="minorEastAsia" w:hAnsiTheme="minorHAnsi" w:cstheme="minorBidi"/>
          <w:b w:val="0"/>
          <w:noProof/>
          <w:sz w:val="22"/>
          <w:szCs w:val="22"/>
        </w:rPr>
      </w:pPr>
      <w:hyperlink w:anchor="_Toc525805133" w:history="1">
        <w:r w:rsidRPr="00AF6017">
          <w:rPr>
            <w:rStyle w:val="Hyperlink"/>
            <w:noProof/>
          </w:rPr>
          <w:t>5.1.3</w:t>
        </w:r>
        <w:r>
          <w:rPr>
            <w:rFonts w:asciiTheme="minorHAnsi" w:eastAsiaTheme="minorEastAsia" w:hAnsiTheme="minorHAnsi" w:cstheme="minorBidi"/>
            <w:b w:val="0"/>
            <w:noProof/>
            <w:sz w:val="22"/>
            <w:szCs w:val="22"/>
          </w:rPr>
          <w:tab/>
        </w:r>
        <w:r w:rsidRPr="00AF6017">
          <w:rPr>
            <w:rStyle w:val="Hyperlink"/>
            <w:noProof/>
          </w:rPr>
          <w:t>General Recommendations to Outpatient Clinics</w:t>
        </w:r>
        <w:r>
          <w:rPr>
            <w:noProof/>
            <w:webHidden/>
          </w:rPr>
          <w:tab/>
        </w:r>
        <w:r>
          <w:rPr>
            <w:noProof/>
            <w:webHidden/>
          </w:rPr>
          <w:fldChar w:fldCharType="begin"/>
        </w:r>
        <w:r>
          <w:rPr>
            <w:noProof/>
            <w:webHidden/>
          </w:rPr>
          <w:instrText xml:space="preserve"> PAGEREF _Toc525805133 \h </w:instrText>
        </w:r>
        <w:r>
          <w:rPr>
            <w:noProof/>
            <w:webHidden/>
          </w:rPr>
        </w:r>
        <w:r>
          <w:rPr>
            <w:noProof/>
            <w:webHidden/>
          </w:rPr>
          <w:fldChar w:fldCharType="separate"/>
        </w:r>
        <w:r>
          <w:rPr>
            <w:noProof/>
            <w:webHidden/>
          </w:rPr>
          <w:t>38</w:t>
        </w:r>
        <w:r>
          <w:rPr>
            <w:noProof/>
            <w:webHidden/>
          </w:rPr>
          <w:fldChar w:fldCharType="end"/>
        </w:r>
      </w:hyperlink>
    </w:p>
    <w:p w14:paraId="5DD2F59A" w14:textId="7E9E486A" w:rsidR="004D592C" w:rsidRDefault="004D592C">
      <w:pPr>
        <w:pStyle w:val="TOC3"/>
        <w:tabs>
          <w:tab w:val="left" w:pos="1760"/>
          <w:tab w:val="right" w:leader="dot" w:pos="9350"/>
        </w:tabs>
        <w:rPr>
          <w:rFonts w:asciiTheme="minorHAnsi" w:eastAsiaTheme="minorEastAsia" w:hAnsiTheme="minorHAnsi" w:cstheme="minorBidi"/>
          <w:b w:val="0"/>
          <w:noProof/>
          <w:sz w:val="22"/>
          <w:szCs w:val="22"/>
        </w:rPr>
      </w:pPr>
      <w:hyperlink w:anchor="_Toc525805134" w:history="1">
        <w:r w:rsidRPr="00AF6017">
          <w:rPr>
            <w:rStyle w:val="Hyperlink"/>
            <w:noProof/>
          </w:rPr>
          <w:t>5.1.4</w:t>
        </w:r>
        <w:r>
          <w:rPr>
            <w:rFonts w:asciiTheme="minorHAnsi" w:eastAsiaTheme="minorEastAsia" w:hAnsiTheme="minorHAnsi" w:cstheme="minorBidi"/>
            <w:b w:val="0"/>
            <w:noProof/>
            <w:sz w:val="22"/>
            <w:szCs w:val="22"/>
          </w:rPr>
          <w:tab/>
        </w:r>
        <w:r w:rsidRPr="00AF6017">
          <w:rPr>
            <w:rStyle w:val="Hyperlink"/>
            <w:noProof/>
          </w:rPr>
          <w:t>How Should Clinics Approach Selection and Improvement of Materials?</w:t>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_Toc525805134 \h </w:instrText>
        </w:r>
        <w:r>
          <w:rPr>
            <w:noProof/>
            <w:webHidden/>
          </w:rPr>
        </w:r>
        <w:r>
          <w:rPr>
            <w:noProof/>
            <w:webHidden/>
          </w:rPr>
          <w:fldChar w:fldCharType="separate"/>
        </w:r>
        <w:r>
          <w:rPr>
            <w:noProof/>
            <w:webHidden/>
          </w:rPr>
          <w:t>39</w:t>
        </w:r>
        <w:r>
          <w:rPr>
            <w:noProof/>
            <w:webHidden/>
          </w:rPr>
          <w:fldChar w:fldCharType="end"/>
        </w:r>
      </w:hyperlink>
    </w:p>
    <w:p w14:paraId="0124FDA0" w14:textId="54D9CF5D" w:rsidR="004D592C" w:rsidRDefault="004D592C">
      <w:pPr>
        <w:pStyle w:val="TOC3"/>
        <w:tabs>
          <w:tab w:val="left" w:pos="1760"/>
          <w:tab w:val="right" w:leader="dot" w:pos="9350"/>
        </w:tabs>
        <w:rPr>
          <w:rFonts w:asciiTheme="minorHAnsi" w:eastAsiaTheme="minorEastAsia" w:hAnsiTheme="minorHAnsi" w:cstheme="minorBidi"/>
          <w:b w:val="0"/>
          <w:noProof/>
          <w:sz w:val="22"/>
          <w:szCs w:val="22"/>
        </w:rPr>
      </w:pPr>
      <w:hyperlink w:anchor="_Toc525805135" w:history="1">
        <w:r w:rsidRPr="00AF6017">
          <w:rPr>
            <w:rStyle w:val="Hyperlink"/>
            <w:noProof/>
          </w:rPr>
          <w:t>5.1.5</w:t>
        </w:r>
        <w:r>
          <w:rPr>
            <w:rFonts w:asciiTheme="minorHAnsi" w:eastAsiaTheme="minorEastAsia" w:hAnsiTheme="minorHAnsi" w:cstheme="minorBidi"/>
            <w:b w:val="0"/>
            <w:noProof/>
            <w:sz w:val="22"/>
            <w:szCs w:val="22"/>
          </w:rPr>
          <w:tab/>
        </w:r>
        <w:r w:rsidRPr="00AF6017">
          <w:rPr>
            <w:rStyle w:val="Hyperlink"/>
            <w:noProof/>
          </w:rPr>
          <w:t>Beyond Print Materials</w:t>
        </w:r>
        <w:r>
          <w:rPr>
            <w:noProof/>
            <w:webHidden/>
          </w:rPr>
          <w:tab/>
        </w:r>
        <w:r>
          <w:rPr>
            <w:noProof/>
            <w:webHidden/>
          </w:rPr>
          <w:fldChar w:fldCharType="begin"/>
        </w:r>
        <w:r>
          <w:rPr>
            <w:noProof/>
            <w:webHidden/>
          </w:rPr>
          <w:instrText xml:space="preserve"> PAGEREF _Toc525805135 \h </w:instrText>
        </w:r>
        <w:r>
          <w:rPr>
            <w:noProof/>
            <w:webHidden/>
          </w:rPr>
        </w:r>
        <w:r>
          <w:rPr>
            <w:noProof/>
            <w:webHidden/>
          </w:rPr>
          <w:fldChar w:fldCharType="separate"/>
        </w:r>
        <w:r>
          <w:rPr>
            <w:noProof/>
            <w:webHidden/>
          </w:rPr>
          <w:t>41</w:t>
        </w:r>
        <w:r>
          <w:rPr>
            <w:noProof/>
            <w:webHidden/>
          </w:rPr>
          <w:fldChar w:fldCharType="end"/>
        </w:r>
      </w:hyperlink>
    </w:p>
    <w:p w14:paraId="03228D17" w14:textId="318AD167" w:rsidR="004D592C" w:rsidRDefault="004D592C">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5805136" w:history="1">
        <w:r w:rsidRPr="00AF6017">
          <w:rPr>
            <w:rStyle w:val="Hyperlink"/>
            <w:noProof/>
          </w:rPr>
          <w:t>5.2</w:t>
        </w:r>
        <w:r>
          <w:rPr>
            <w:rFonts w:asciiTheme="minorHAnsi" w:eastAsiaTheme="minorEastAsia" w:hAnsiTheme="minorHAnsi" w:cstheme="minorBidi"/>
            <w:b w:val="0"/>
            <w:caps w:val="0"/>
            <w:noProof/>
            <w:sz w:val="22"/>
            <w:szCs w:val="22"/>
          </w:rPr>
          <w:tab/>
        </w:r>
        <w:r w:rsidRPr="00AF6017">
          <w:rPr>
            <w:rStyle w:val="Hyperlink"/>
            <w:noProof/>
          </w:rPr>
          <w:t>Theoretical Considerations: Grade level, readability, and comprehensibility</w:t>
        </w:r>
        <w:r>
          <w:rPr>
            <w:noProof/>
            <w:webHidden/>
          </w:rPr>
          <w:tab/>
        </w:r>
        <w:r>
          <w:rPr>
            <w:noProof/>
            <w:webHidden/>
          </w:rPr>
          <w:fldChar w:fldCharType="begin"/>
        </w:r>
        <w:r>
          <w:rPr>
            <w:noProof/>
            <w:webHidden/>
          </w:rPr>
          <w:instrText xml:space="preserve"> PAGEREF _Toc525805136 \h </w:instrText>
        </w:r>
        <w:r>
          <w:rPr>
            <w:noProof/>
            <w:webHidden/>
          </w:rPr>
        </w:r>
        <w:r>
          <w:rPr>
            <w:noProof/>
            <w:webHidden/>
          </w:rPr>
          <w:fldChar w:fldCharType="separate"/>
        </w:r>
        <w:r>
          <w:rPr>
            <w:noProof/>
            <w:webHidden/>
          </w:rPr>
          <w:t>42</w:t>
        </w:r>
        <w:r>
          <w:rPr>
            <w:noProof/>
            <w:webHidden/>
          </w:rPr>
          <w:fldChar w:fldCharType="end"/>
        </w:r>
      </w:hyperlink>
    </w:p>
    <w:p w14:paraId="5F8B540B" w14:textId="69D0C9E6" w:rsidR="004D592C" w:rsidRDefault="004D592C">
      <w:pPr>
        <w:pStyle w:val="TOC3"/>
        <w:tabs>
          <w:tab w:val="left" w:pos="1760"/>
          <w:tab w:val="right" w:leader="dot" w:pos="9350"/>
        </w:tabs>
        <w:rPr>
          <w:rFonts w:asciiTheme="minorHAnsi" w:eastAsiaTheme="minorEastAsia" w:hAnsiTheme="minorHAnsi" w:cstheme="minorBidi"/>
          <w:b w:val="0"/>
          <w:noProof/>
          <w:sz w:val="22"/>
          <w:szCs w:val="22"/>
        </w:rPr>
      </w:pPr>
      <w:hyperlink w:anchor="_Toc525805137" w:history="1">
        <w:r w:rsidRPr="00AF6017">
          <w:rPr>
            <w:rStyle w:val="Hyperlink"/>
            <w:noProof/>
          </w:rPr>
          <w:t>5.2.1</w:t>
        </w:r>
        <w:r>
          <w:rPr>
            <w:rFonts w:asciiTheme="minorHAnsi" w:eastAsiaTheme="minorEastAsia" w:hAnsiTheme="minorHAnsi" w:cstheme="minorBidi"/>
            <w:b w:val="0"/>
            <w:noProof/>
            <w:sz w:val="22"/>
            <w:szCs w:val="22"/>
          </w:rPr>
          <w:tab/>
        </w:r>
        <w:r w:rsidRPr="00AF6017">
          <w:rPr>
            <w:rStyle w:val="Hyperlink"/>
            <w:noProof/>
          </w:rPr>
          <w:t>Statistics of Grade Level Formulas</w:t>
        </w:r>
        <w:r>
          <w:rPr>
            <w:noProof/>
            <w:webHidden/>
          </w:rPr>
          <w:tab/>
        </w:r>
        <w:r>
          <w:rPr>
            <w:noProof/>
            <w:webHidden/>
          </w:rPr>
          <w:fldChar w:fldCharType="begin"/>
        </w:r>
        <w:r>
          <w:rPr>
            <w:noProof/>
            <w:webHidden/>
          </w:rPr>
          <w:instrText xml:space="preserve"> PAGEREF _Toc525805137 \h </w:instrText>
        </w:r>
        <w:r>
          <w:rPr>
            <w:noProof/>
            <w:webHidden/>
          </w:rPr>
        </w:r>
        <w:r>
          <w:rPr>
            <w:noProof/>
            <w:webHidden/>
          </w:rPr>
          <w:fldChar w:fldCharType="separate"/>
        </w:r>
        <w:r>
          <w:rPr>
            <w:noProof/>
            <w:webHidden/>
          </w:rPr>
          <w:t>42</w:t>
        </w:r>
        <w:r>
          <w:rPr>
            <w:noProof/>
            <w:webHidden/>
          </w:rPr>
          <w:fldChar w:fldCharType="end"/>
        </w:r>
      </w:hyperlink>
    </w:p>
    <w:p w14:paraId="7F24012B" w14:textId="02DCE118" w:rsidR="004D592C" w:rsidRDefault="004D592C">
      <w:pPr>
        <w:pStyle w:val="TOC3"/>
        <w:tabs>
          <w:tab w:val="left" w:pos="1760"/>
          <w:tab w:val="right" w:leader="dot" w:pos="9350"/>
        </w:tabs>
        <w:rPr>
          <w:rFonts w:asciiTheme="minorHAnsi" w:eastAsiaTheme="minorEastAsia" w:hAnsiTheme="minorHAnsi" w:cstheme="minorBidi"/>
          <w:b w:val="0"/>
          <w:noProof/>
          <w:sz w:val="22"/>
          <w:szCs w:val="22"/>
        </w:rPr>
      </w:pPr>
      <w:hyperlink w:anchor="_Toc525805138" w:history="1">
        <w:r w:rsidRPr="00AF6017">
          <w:rPr>
            <w:rStyle w:val="Hyperlink"/>
            <w:noProof/>
          </w:rPr>
          <w:t>5.2.2</w:t>
        </w:r>
        <w:r>
          <w:rPr>
            <w:rFonts w:asciiTheme="minorHAnsi" w:eastAsiaTheme="minorEastAsia" w:hAnsiTheme="minorHAnsi" w:cstheme="minorBidi"/>
            <w:b w:val="0"/>
            <w:noProof/>
            <w:sz w:val="22"/>
            <w:szCs w:val="22"/>
          </w:rPr>
          <w:tab/>
        </w:r>
        <w:r w:rsidRPr="00AF6017">
          <w:rPr>
            <w:rStyle w:val="Hyperlink"/>
            <w:noProof/>
          </w:rPr>
          <w:t>Problems with the Definitions of Readability and Comprehensibility</w:t>
        </w:r>
        <w:r>
          <w:rPr>
            <w:noProof/>
            <w:webHidden/>
          </w:rPr>
          <w:tab/>
        </w:r>
        <w:r>
          <w:rPr>
            <w:noProof/>
            <w:webHidden/>
          </w:rPr>
          <w:fldChar w:fldCharType="begin"/>
        </w:r>
        <w:r>
          <w:rPr>
            <w:noProof/>
            <w:webHidden/>
          </w:rPr>
          <w:instrText xml:space="preserve"> PAGEREF _Toc525805138 \h </w:instrText>
        </w:r>
        <w:r>
          <w:rPr>
            <w:noProof/>
            <w:webHidden/>
          </w:rPr>
        </w:r>
        <w:r>
          <w:rPr>
            <w:noProof/>
            <w:webHidden/>
          </w:rPr>
          <w:fldChar w:fldCharType="separate"/>
        </w:r>
        <w:r>
          <w:rPr>
            <w:noProof/>
            <w:webHidden/>
          </w:rPr>
          <w:t>44</w:t>
        </w:r>
        <w:r>
          <w:rPr>
            <w:noProof/>
            <w:webHidden/>
          </w:rPr>
          <w:fldChar w:fldCharType="end"/>
        </w:r>
      </w:hyperlink>
    </w:p>
    <w:p w14:paraId="234DD80B" w14:textId="6FDD3BF7" w:rsidR="004D592C" w:rsidRDefault="004D592C">
      <w:pPr>
        <w:pStyle w:val="TOC3"/>
        <w:tabs>
          <w:tab w:val="left" w:pos="1760"/>
          <w:tab w:val="right" w:leader="dot" w:pos="9350"/>
        </w:tabs>
        <w:rPr>
          <w:rFonts w:asciiTheme="minorHAnsi" w:eastAsiaTheme="minorEastAsia" w:hAnsiTheme="minorHAnsi" w:cstheme="minorBidi"/>
          <w:b w:val="0"/>
          <w:noProof/>
          <w:sz w:val="22"/>
          <w:szCs w:val="22"/>
        </w:rPr>
      </w:pPr>
      <w:hyperlink w:anchor="_Toc525805139" w:history="1">
        <w:r w:rsidRPr="00AF6017">
          <w:rPr>
            <w:rStyle w:val="Hyperlink"/>
            <w:noProof/>
          </w:rPr>
          <w:t>5.2.3</w:t>
        </w:r>
        <w:r>
          <w:rPr>
            <w:rFonts w:asciiTheme="minorHAnsi" w:eastAsiaTheme="minorEastAsia" w:hAnsiTheme="minorHAnsi" w:cstheme="minorBidi"/>
            <w:b w:val="0"/>
            <w:noProof/>
            <w:sz w:val="22"/>
            <w:szCs w:val="22"/>
          </w:rPr>
          <w:tab/>
        </w:r>
        <w:r w:rsidRPr="00AF6017">
          <w:rPr>
            <w:rStyle w:val="Hyperlink"/>
            <w:noProof/>
          </w:rPr>
          <w:t>Strength of SAM: Cognitive Load Theory</w:t>
        </w:r>
        <w:r>
          <w:rPr>
            <w:noProof/>
            <w:webHidden/>
          </w:rPr>
          <w:tab/>
        </w:r>
        <w:r>
          <w:rPr>
            <w:noProof/>
            <w:webHidden/>
          </w:rPr>
          <w:fldChar w:fldCharType="begin"/>
        </w:r>
        <w:r>
          <w:rPr>
            <w:noProof/>
            <w:webHidden/>
          </w:rPr>
          <w:instrText xml:space="preserve"> PAGEREF _Toc525805139 \h </w:instrText>
        </w:r>
        <w:r>
          <w:rPr>
            <w:noProof/>
            <w:webHidden/>
          </w:rPr>
        </w:r>
        <w:r>
          <w:rPr>
            <w:noProof/>
            <w:webHidden/>
          </w:rPr>
          <w:fldChar w:fldCharType="separate"/>
        </w:r>
        <w:r>
          <w:rPr>
            <w:noProof/>
            <w:webHidden/>
          </w:rPr>
          <w:t>45</w:t>
        </w:r>
        <w:r>
          <w:rPr>
            <w:noProof/>
            <w:webHidden/>
          </w:rPr>
          <w:fldChar w:fldCharType="end"/>
        </w:r>
      </w:hyperlink>
    </w:p>
    <w:p w14:paraId="7C65D690" w14:textId="6D4E8D10" w:rsidR="004D592C" w:rsidRDefault="004D592C">
      <w:pPr>
        <w:pStyle w:val="TOC3"/>
        <w:tabs>
          <w:tab w:val="left" w:pos="1760"/>
          <w:tab w:val="right" w:leader="dot" w:pos="9350"/>
        </w:tabs>
        <w:rPr>
          <w:rFonts w:asciiTheme="minorHAnsi" w:eastAsiaTheme="minorEastAsia" w:hAnsiTheme="minorHAnsi" w:cstheme="minorBidi"/>
          <w:b w:val="0"/>
          <w:noProof/>
          <w:sz w:val="22"/>
          <w:szCs w:val="22"/>
        </w:rPr>
      </w:pPr>
      <w:hyperlink w:anchor="_Toc525805140" w:history="1">
        <w:r w:rsidRPr="00AF6017">
          <w:rPr>
            <w:rStyle w:val="Hyperlink"/>
            <w:noProof/>
          </w:rPr>
          <w:t>5.2.4</w:t>
        </w:r>
        <w:r>
          <w:rPr>
            <w:rFonts w:asciiTheme="minorHAnsi" w:eastAsiaTheme="minorEastAsia" w:hAnsiTheme="minorHAnsi" w:cstheme="minorBidi"/>
            <w:b w:val="0"/>
            <w:noProof/>
            <w:sz w:val="22"/>
            <w:szCs w:val="22"/>
          </w:rPr>
          <w:tab/>
        </w:r>
        <w:r w:rsidRPr="00AF6017">
          <w:rPr>
            <w:rStyle w:val="Hyperlink"/>
            <w:noProof/>
          </w:rPr>
          <w:t>Literacy Subscore and the Future of Grade Level Formulas</w:t>
        </w:r>
        <w:r>
          <w:rPr>
            <w:noProof/>
            <w:webHidden/>
          </w:rPr>
          <w:tab/>
        </w:r>
        <w:r>
          <w:rPr>
            <w:noProof/>
            <w:webHidden/>
          </w:rPr>
          <w:fldChar w:fldCharType="begin"/>
        </w:r>
        <w:r>
          <w:rPr>
            <w:noProof/>
            <w:webHidden/>
          </w:rPr>
          <w:instrText xml:space="preserve"> PAGEREF _Toc525805140 \h </w:instrText>
        </w:r>
        <w:r>
          <w:rPr>
            <w:noProof/>
            <w:webHidden/>
          </w:rPr>
        </w:r>
        <w:r>
          <w:rPr>
            <w:noProof/>
            <w:webHidden/>
          </w:rPr>
          <w:fldChar w:fldCharType="separate"/>
        </w:r>
        <w:r>
          <w:rPr>
            <w:noProof/>
            <w:webHidden/>
          </w:rPr>
          <w:t>46</w:t>
        </w:r>
        <w:r>
          <w:rPr>
            <w:noProof/>
            <w:webHidden/>
          </w:rPr>
          <w:fldChar w:fldCharType="end"/>
        </w:r>
      </w:hyperlink>
    </w:p>
    <w:p w14:paraId="69E557D5" w14:textId="068B8D73" w:rsidR="004D592C" w:rsidRDefault="004D592C">
      <w:pPr>
        <w:pStyle w:val="TOC3"/>
        <w:tabs>
          <w:tab w:val="left" w:pos="1760"/>
          <w:tab w:val="right" w:leader="dot" w:pos="9350"/>
        </w:tabs>
        <w:rPr>
          <w:rFonts w:asciiTheme="minorHAnsi" w:eastAsiaTheme="minorEastAsia" w:hAnsiTheme="minorHAnsi" w:cstheme="minorBidi"/>
          <w:b w:val="0"/>
          <w:noProof/>
          <w:sz w:val="22"/>
          <w:szCs w:val="22"/>
        </w:rPr>
      </w:pPr>
      <w:hyperlink w:anchor="_Toc525805141" w:history="1">
        <w:r w:rsidRPr="00AF6017">
          <w:rPr>
            <w:rStyle w:val="Hyperlink"/>
            <w:noProof/>
          </w:rPr>
          <w:t>5.2.5</w:t>
        </w:r>
        <w:r>
          <w:rPr>
            <w:rFonts w:asciiTheme="minorHAnsi" w:eastAsiaTheme="minorEastAsia" w:hAnsiTheme="minorHAnsi" w:cstheme="minorBidi"/>
            <w:b w:val="0"/>
            <w:noProof/>
            <w:sz w:val="22"/>
            <w:szCs w:val="22"/>
          </w:rPr>
          <w:tab/>
        </w:r>
        <w:r w:rsidRPr="00AF6017">
          <w:rPr>
            <w:rStyle w:val="Hyperlink"/>
            <w:noProof/>
          </w:rPr>
          <w:t>Cultural Appropriateness</w:t>
        </w:r>
        <w:r>
          <w:rPr>
            <w:noProof/>
            <w:webHidden/>
          </w:rPr>
          <w:tab/>
        </w:r>
        <w:r>
          <w:rPr>
            <w:noProof/>
            <w:webHidden/>
          </w:rPr>
          <w:fldChar w:fldCharType="begin"/>
        </w:r>
        <w:r>
          <w:rPr>
            <w:noProof/>
            <w:webHidden/>
          </w:rPr>
          <w:instrText xml:space="preserve"> PAGEREF _Toc525805141 \h </w:instrText>
        </w:r>
        <w:r>
          <w:rPr>
            <w:noProof/>
            <w:webHidden/>
          </w:rPr>
        </w:r>
        <w:r>
          <w:rPr>
            <w:noProof/>
            <w:webHidden/>
          </w:rPr>
          <w:fldChar w:fldCharType="separate"/>
        </w:r>
        <w:r>
          <w:rPr>
            <w:noProof/>
            <w:webHidden/>
          </w:rPr>
          <w:t>49</w:t>
        </w:r>
        <w:r>
          <w:rPr>
            <w:noProof/>
            <w:webHidden/>
          </w:rPr>
          <w:fldChar w:fldCharType="end"/>
        </w:r>
      </w:hyperlink>
    </w:p>
    <w:p w14:paraId="1E677A98" w14:textId="55B3C7ED" w:rsidR="004D592C" w:rsidRDefault="004D592C">
      <w:pPr>
        <w:pStyle w:val="TOC3"/>
        <w:tabs>
          <w:tab w:val="left" w:pos="1760"/>
          <w:tab w:val="right" w:leader="dot" w:pos="9350"/>
        </w:tabs>
        <w:rPr>
          <w:rFonts w:asciiTheme="minorHAnsi" w:eastAsiaTheme="minorEastAsia" w:hAnsiTheme="minorHAnsi" w:cstheme="minorBidi"/>
          <w:b w:val="0"/>
          <w:noProof/>
          <w:sz w:val="22"/>
          <w:szCs w:val="22"/>
        </w:rPr>
      </w:pPr>
      <w:hyperlink w:anchor="_Toc525805142" w:history="1">
        <w:r w:rsidRPr="00AF6017">
          <w:rPr>
            <w:rStyle w:val="Hyperlink"/>
            <w:noProof/>
          </w:rPr>
          <w:t>5.2.6</w:t>
        </w:r>
        <w:r>
          <w:rPr>
            <w:rFonts w:asciiTheme="minorHAnsi" w:eastAsiaTheme="minorEastAsia" w:hAnsiTheme="minorHAnsi" w:cstheme="minorBidi"/>
            <w:b w:val="0"/>
            <w:noProof/>
            <w:sz w:val="22"/>
            <w:szCs w:val="22"/>
          </w:rPr>
          <w:tab/>
        </w:r>
        <w:r w:rsidRPr="00AF6017">
          <w:rPr>
            <w:rStyle w:val="Hyperlink"/>
            <w:noProof/>
          </w:rPr>
          <w:t>Weaknesses of SAM</w:t>
        </w:r>
        <w:r>
          <w:rPr>
            <w:noProof/>
            <w:webHidden/>
          </w:rPr>
          <w:tab/>
        </w:r>
        <w:r>
          <w:rPr>
            <w:noProof/>
            <w:webHidden/>
          </w:rPr>
          <w:fldChar w:fldCharType="begin"/>
        </w:r>
        <w:r>
          <w:rPr>
            <w:noProof/>
            <w:webHidden/>
          </w:rPr>
          <w:instrText xml:space="preserve"> PAGEREF _Toc525805142 \h </w:instrText>
        </w:r>
        <w:r>
          <w:rPr>
            <w:noProof/>
            <w:webHidden/>
          </w:rPr>
        </w:r>
        <w:r>
          <w:rPr>
            <w:noProof/>
            <w:webHidden/>
          </w:rPr>
          <w:fldChar w:fldCharType="separate"/>
        </w:r>
        <w:r>
          <w:rPr>
            <w:noProof/>
            <w:webHidden/>
          </w:rPr>
          <w:t>50</w:t>
        </w:r>
        <w:r>
          <w:rPr>
            <w:noProof/>
            <w:webHidden/>
          </w:rPr>
          <w:fldChar w:fldCharType="end"/>
        </w:r>
      </w:hyperlink>
    </w:p>
    <w:p w14:paraId="02D6E87F" w14:textId="05E0662D" w:rsidR="004D592C" w:rsidRDefault="004D592C">
      <w:pPr>
        <w:pStyle w:val="TOC3"/>
        <w:tabs>
          <w:tab w:val="left" w:pos="1760"/>
          <w:tab w:val="right" w:leader="dot" w:pos="9350"/>
        </w:tabs>
        <w:rPr>
          <w:rFonts w:asciiTheme="minorHAnsi" w:eastAsiaTheme="minorEastAsia" w:hAnsiTheme="minorHAnsi" w:cstheme="minorBidi"/>
          <w:b w:val="0"/>
          <w:noProof/>
          <w:sz w:val="22"/>
          <w:szCs w:val="22"/>
        </w:rPr>
      </w:pPr>
      <w:hyperlink w:anchor="_Toc525805143" w:history="1">
        <w:r w:rsidRPr="00AF6017">
          <w:rPr>
            <w:rStyle w:val="Hyperlink"/>
            <w:noProof/>
          </w:rPr>
          <w:t>5.2.7</w:t>
        </w:r>
        <w:r>
          <w:rPr>
            <w:rFonts w:asciiTheme="minorHAnsi" w:eastAsiaTheme="minorEastAsia" w:hAnsiTheme="minorHAnsi" w:cstheme="minorBidi"/>
            <w:b w:val="0"/>
            <w:noProof/>
            <w:sz w:val="22"/>
            <w:szCs w:val="22"/>
          </w:rPr>
          <w:tab/>
        </w:r>
        <w:r w:rsidRPr="00AF6017">
          <w:rPr>
            <w:rStyle w:val="Hyperlink"/>
            <w:noProof/>
          </w:rPr>
          <w:t>SAM Analysis Going Forward</w:t>
        </w:r>
        <w:r>
          <w:rPr>
            <w:noProof/>
            <w:webHidden/>
          </w:rPr>
          <w:tab/>
        </w:r>
        <w:r>
          <w:rPr>
            <w:noProof/>
            <w:webHidden/>
          </w:rPr>
          <w:fldChar w:fldCharType="begin"/>
        </w:r>
        <w:r>
          <w:rPr>
            <w:noProof/>
            <w:webHidden/>
          </w:rPr>
          <w:instrText xml:space="preserve"> PAGEREF _Toc525805143 \h </w:instrText>
        </w:r>
        <w:r>
          <w:rPr>
            <w:noProof/>
            <w:webHidden/>
          </w:rPr>
        </w:r>
        <w:r>
          <w:rPr>
            <w:noProof/>
            <w:webHidden/>
          </w:rPr>
          <w:fldChar w:fldCharType="separate"/>
        </w:r>
        <w:r>
          <w:rPr>
            <w:noProof/>
            <w:webHidden/>
          </w:rPr>
          <w:t>52</w:t>
        </w:r>
        <w:r>
          <w:rPr>
            <w:noProof/>
            <w:webHidden/>
          </w:rPr>
          <w:fldChar w:fldCharType="end"/>
        </w:r>
      </w:hyperlink>
    </w:p>
    <w:p w14:paraId="09A20A5C" w14:textId="10E5081E" w:rsidR="004D592C" w:rsidRDefault="004D592C">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25805144" w:history="1">
        <w:r w:rsidRPr="00AF6017">
          <w:rPr>
            <w:rStyle w:val="Hyperlink"/>
            <w:noProof/>
          </w:rPr>
          <w:t>6.0</w:t>
        </w:r>
        <w:r>
          <w:rPr>
            <w:rFonts w:asciiTheme="minorHAnsi" w:eastAsiaTheme="minorEastAsia" w:hAnsiTheme="minorHAnsi" w:cstheme="minorBidi"/>
            <w:b w:val="0"/>
            <w:caps w:val="0"/>
            <w:noProof/>
            <w:sz w:val="22"/>
            <w:szCs w:val="22"/>
          </w:rPr>
          <w:tab/>
        </w:r>
        <w:r w:rsidRPr="00AF6017">
          <w:rPr>
            <w:rStyle w:val="Hyperlink"/>
            <w:noProof/>
          </w:rPr>
          <w:t>Conclusion</w:t>
        </w:r>
        <w:r>
          <w:rPr>
            <w:noProof/>
            <w:webHidden/>
          </w:rPr>
          <w:tab/>
        </w:r>
        <w:r>
          <w:rPr>
            <w:noProof/>
            <w:webHidden/>
          </w:rPr>
          <w:fldChar w:fldCharType="begin"/>
        </w:r>
        <w:r>
          <w:rPr>
            <w:noProof/>
            <w:webHidden/>
          </w:rPr>
          <w:instrText xml:space="preserve"> PAGEREF _Toc525805144 \h </w:instrText>
        </w:r>
        <w:r>
          <w:rPr>
            <w:noProof/>
            <w:webHidden/>
          </w:rPr>
        </w:r>
        <w:r>
          <w:rPr>
            <w:noProof/>
            <w:webHidden/>
          </w:rPr>
          <w:fldChar w:fldCharType="separate"/>
        </w:r>
        <w:r>
          <w:rPr>
            <w:noProof/>
            <w:webHidden/>
          </w:rPr>
          <w:t>54</w:t>
        </w:r>
        <w:r>
          <w:rPr>
            <w:noProof/>
            <w:webHidden/>
          </w:rPr>
          <w:fldChar w:fldCharType="end"/>
        </w:r>
      </w:hyperlink>
    </w:p>
    <w:p w14:paraId="28742412" w14:textId="4485AB80" w:rsidR="004D592C" w:rsidRDefault="004D592C">
      <w:pPr>
        <w:pStyle w:val="TOC1"/>
        <w:tabs>
          <w:tab w:val="right" w:leader="dot" w:pos="9350"/>
        </w:tabs>
        <w:rPr>
          <w:rFonts w:asciiTheme="minorHAnsi" w:eastAsiaTheme="minorEastAsia" w:hAnsiTheme="minorHAnsi" w:cstheme="minorBidi"/>
          <w:b w:val="0"/>
          <w:caps w:val="0"/>
          <w:noProof/>
          <w:sz w:val="22"/>
          <w:szCs w:val="22"/>
        </w:rPr>
      </w:pPr>
      <w:hyperlink w:anchor="_Toc525805145" w:history="1">
        <w:r w:rsidRPr="00AF6017">
          <w:rPr>
            <w:rStyle w:val="Hyperlink"/>
            <w:bCs/>
            <w:noProof/>
          </w:rPr>
          <w:t>Appendix A : FIVE LEVELS OF ADULT LITERACY</w:t>
        </w:r>
        <w:r>
          <w:rPr>
            <w:noProof/>
            <w:webHidden/>
          </w:rPr>
          <w:tab/>
        </w:r>
        <w:r>
          <w:rPr>
            <w:noProof/>
            <w:webHidden/>
          </w:rPr>
          <w:fldChar w:fldCharType="begin"/>
        </w:r>
        <w:r>
          <w:rPr>
            <w:noProof/>
            <w:webHidden/>
          </w:rPr>
          <w:instrText xml:space="preserve"> PAGEREF _Toc525805145 \h </w:instrText>
        </w:r>
        <w:r>
          <w:rPr>
            <w:noProof/>
            <w:webHidden/>
          </w:rPr>
        </w:r>
        <w:r>
          <w:rPr>
            <w:noProof/>
            <w:webHidden/>
          </w:rPr>
          <w:fldChar w:fldCharType="separate"/>
        </w:r>
        <w:r>
          <w:rPr>
            <w:noProof/>
            <w:webHidden/>
          </w:rPr>
          <w:t>55</w:t>
        </w:r>
        <w:r>
          <w:rPr>
            <w:noProof/>
            <w:webHidden/>
          </w:rPr>
          <w:fldChar w:fldCharType="end"/>
        </w:r>
      </w:hyperlink>
    </w:p>
    <w:p w14:paraId="0A989D4D" w14:textId="5797D2EE" w:rsidR="004D592C" w:rsidRDefault="004D592C">
      <w:pPr>
        <w:pStyle w:val="TOC1"/>
        <w:tabs>
          <w:tab w:val="right" w:leader="dot" w:pos="9350"/>
        </w:tabs>
        <w:rPr>
          <w:rFonts w:asciiTheme="minorHAnsi" w:eastAsiaTheme="minorEastAsia" w:hAnsiTheme="minorHAnsi" w:cstheme="minorBidi"/>
          <w:b w:val="0"/>
          <w:caps w:val="0"/>
          <w:noProof/>
          <w:sz w:val="22"/>
          <w:szCs w:val="22"/>
        </w:rPr>
      </w:pPr>
      <w:hyperlink w:anchor="_Toc525805146" w:history="1">
        <w:r w:rsidRPr="00AF6017">
          <w:rPr>
            <w:rStyle w:val="Hyperlink"/>
            <w:bCs/>
            <w:noProof/>
          </w:rPr>
          <w:t>Appendix B : SAM RUBRIC USED FOR THIS ANALYSIS</w:t>
        </w:r>
        <w:r>
          <w:rPr>
            <w:noProof/>
            <w:webHidden/>
          </w:rPr>
          <w:tab/>
        </w:r>
        <w:r>
          <w:rPr>
            <w:noProof/>
            <w:webHidden/>
          </w:rPr>
          <w:fldChar w:fldCharType="begin"/>
        </w:r>
        <w:r>
          <w:rPr>
            <w:noProof/>
            <w:webHidden/>
          </w:rPr>
          <w:instrText xml:space="preserve"> PAGEREF _Toc525805146 \h </w:instrText>
        </w:r>
        <w:r>
          <w:rPr>
            <w:noProof/>
            <w:webHidden/>
          </w:rPr>
        </w:r>
        <w:r>
          <w:rPr>
            <w:noProof/>
            <w:webHidden/>
          </w:rPr>
          <w:fldChar w:fldCharType="separate"/>
        </w:r>
        <w:r>
          <w:rPr>
            <w:noProof/>
            <w:webHidden/>
          </w:rPr>
          <w:t>57</w:t>
        </w:r>
        <w:r>
          <w:rPr>
            <w:noProof/>
            <w:webHidden/>
          </w:rPr>
          <w:fldChar w:fldCharType="end"/>
        </w:r>
      </w:hyperlink>
    </w:p>
    <w:p w14:paraId="1BD7443E" w14:textId="5B8EB831" w:rsidR="004D592C" w:rsidRDefault="004D592C">
      <w:pPr>
        <w:pStyle w:val="TOC1"/>
        <w:tabs>
          <w:tab w:val="right" w:leader="dot" w:pos="9350"/>
        </w:tabs>
        <w:rPr>
          <w:rFonts w:asciiTheme="minorHAnsi" w:eastAsiaTheme="minorEastAsia" w:hAnsiTheme="minorHAnsi" w:cstheme="minorBidi"/>
          <w:b w:val="0"/>
          <w:caps w:val="0"/>
          <w:noProof/>
          <w:sz w:val="22"/>
          <w:szCs w:val="22"/>
        </w:rPr>
      </w:pPr>
      <w:hyperlink w:anchor="_Toc525805147" w:history="1">
        <w:r w:rsidRPr="00AF6017">
          <w:rPr>
            <w:rStyle w:val="Hyperlink"/>
            <w:noProof/>
          </w:rPr>
          <w:t>bibliography</w:t>
        </w:r>
        <w:r>
          <w:rPr>
            <w:noProof/>
            <w:webHidden/>
          </w:rPr>
          <w:tab/>
        </w:r>
        <w:r>
          <w:rPr>
            <w:noProof/>
            <w:webHidden/>
          </w:rPr>
          <w:fldChar w:fldCharType="begin"/>
        </w:r>
        <w:r>
          <w:rPr>
            <w:noProof/>
            <w:webHidden/>
          </w:rPr>
          <w:instrText xml:space="preserve"> PAGEREF _Toc525805147 \h </w:instrText>
        </w:r>
        <w:r>
          <w:rPr>
            <w:noProof/>
            <w:webHidden/>
          </w:rPr>
        </w:r>
        <w:r>
          <w:rPr>
            <w:noProof/>
            <w:webHidden/>
          </w:rPr>
          <w:fldChar w:fldCharType="separate"/>
        </w:r>
        <w:r>
          <w:rPr>
            <w:noProof/>
            <w:webHidden/>
          </w:rPr>
          <w:t>64</w:t>
        </w:r>
        <w:r>
          <w:rPr>
            <w:noProof/>
            <w:webHidden/>
          </w:rPr>
          <w:fldChar w:fldCharType="end"/>
        </w:r>
      </w:hyperlink>
    </w:p>
    <w:p w14:paraId="18CDD7FE" w14:textId="046693B8" w:rsidR="00CB03F9" w:rsidRDefault="006E5D78" w:rsidP="69CFA879">
      <w:pPr>
        <w:pStyle w:val="Preliminary"/>
      </w:pPr>
      <w:r w:rsidRPr="69CFA879">
        <w:lastRenderedPageBreak/>
        <w:fldChar w:fldCharType="end"/>
      </w:r>
      <w:r w:rsidR="00CB03F9">
        <w:t xml:space="preserve">List of </w:t>
      </w:r>
      <w:r w:rsidR="00CB03F9" w:rsidRPr="00B424B6">
        <w:t>tables</w:t>
      </w:r>
    </w:p>
    <w:p w14:paraId="5789D40F" w14:textId="78935C43" w:rsidR="004D592C"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25805148" w:history="1">
        <w:r w:rsidR="004D592C" w:rsidRPr="00EF15A6">
          <w:rPr>
            <w:rStyle w:val="Hyperlink"/>
            <w:noProof/>
          </w:rPr>
          <w:t>Table 1. Cut-Off Ranges for SAM Analysis</w:t>
        </w:r>
        <w:r w:rsidR="004D592C">
          <w:rPr>
            <w:noProof/>
            <w:webHidden/>
          </w:rPr>
          <w:tab/>
        </w:r>
        <w:r w:rsidR="004D592C">
          <w:rPr>
            <w:noProof/>
            <w:webHidden/>
          </w:rPr>
          <w:fldChar w:fldCharType="begin"/>
        </w:r>
        <w:r w:rsidR="004D592C">
          <w:rPr>
            <w:noProof/>
            <w:webHidden/>
          </w:rPr>
          <w:instrText xml:space="preserve"> PAGEREF _Toc525805148 \h </w:instrText>
        </w:r>
        <w:r w:rsidR="004D592C">
          <w:rPr>
            <w:noProof/>
            <w:webHidden/>
          </w:rPr>
        </w:r>
        <w:r w:rsidR="004D592C">
          <w:rPr>
            <w:noProof/>
            <w:webHidden/>
          </w:rPr>
          <w:fldChar w:fldCharType="separate"/>
        </w:r>
        <w:r w:rsidR="004D592C">
          <w:rPr>
            <w:noProof/>
            <w:webHidden/>
          </w:rPr>
          <w:t>24</w:t>
        </w:r>
        <w:r w:rsidR="004D592C">
          <w:rPr>
            <w:noProof/>
            <w:webHidden/>
          </w:rPr>
          <w:fldChar w:fldCharType="end"/>
        </w:r>
      </w:hyperlink>
    </w:p>
    <w:p w14:paraId="5D99206F" w14:textId="3442CD17" w:rsidR="004D592C" w:rsidRDefault="004D592C">
      <w:pPr>
        <w:pStyle w:val="TableofFigures"/>
        <w:tabs>
          <w:tab w:val="right" w:leader="dot" w:pos="9350"/>
        </w:tabs>
        <w:rPr>
          <w:rFonts w:asciiTheme="minorHAnsi" w:eastAsiaTheme="minorEastAsia" w:hAnsiTheme="minorHAnsi" w:cstheme="minorBidi"/>
          <w:noProof/>
          <w:sz w:val="22"/>
          <w:szCs w:val="22"/>
        </w:rPr>
      </w:pPr>
      <w:hyperlink w:anchor="_Toc525805149" w:history="1">
        <w:r w:rsidRPr="00EF15A6">
          <w:rPr>
            <w:rStyle w:val="Hyperlink"/>
            <w:noProof/>
          </w:rPr>
          <w:t>Table 2. Mean SMOG Scores and the Proportion of Materials Achieving a 6</w:t>
        </w:r>
        <w:r w:rsidRPr="00EF15A6">
          <w:rPr>
            <w:rStyle w:val="Hyperlink"/>
            <w:noProof/>
            <w:vertAlign w:val="superscript"/>
          </w:rPr>
          <w:t>th</w:t>
        </w:r>
        <w:r w:rsidRPr="00EF15A6">
          <w:rPr>
            <w:rStyle w:val="Hyperlink"/>
            <w:noProof/>
          </w:rPr>
          <w:t xml:space="preserve"> Grade or Lower and an 8</w:t>
        </w:r>
        <w:r w:rsidRPr="00EF15A6">
          <w:rPr>
            <w:rStyle w:val="Hyperlink"/>
            <w:noProof/>
            <w:vertAlign w:val="superscript"/>
          </w:rPr>
          <w:t>th</w:t>
        </w:r>
        <w:r w:rsidRPr="00EF15A6">
          <w:rPr>
            <w:rStyle w:val="Hyperlink"/>
            <w:noProof/>
          </w:rPr>
          <w:t xml:space="preserve"> Grade or Lower Reading level</w:t>
        </w:r>
        <w:r>
          <w:rPr>
            <w:noProof/>
            <w:webHidden/>
          </w:rPr>
          <w:tab/>
        </w:r>
        <w:r>
          <w:rPr>
            <w:noProof/>
            <w:webHidden/>
          </w:rPr>
          <w:fldChar w:fldCharType="begin"/>
        </w:r>
        <w:r>
          <w:rPr>
            <w:noProof/>
            <w:webHidden/>
          </w:rPr>
          <w:instrText xml:space="preserve"> PAGEREF _Toc525805149 \h </w:instrText>
        </w:r>
        <w:r>
          <w:rPr>
            <w:noProof/>
            <w:webHidden/>
          </w:rPr>
        </w:r>
        <w:r>
          <w:rPr>
            <w:noProof/>
            <w:webHidden/>
          </w:rPr>
          <w:fldChar w:fldCharType="separate"/>
        </w:r>
        <w:r>
          <w:rPr>
            <w:noProof/>
            <w:webHidden/>
          </w:rPr>
          <w:t>27</w:t>
        </w:r>
        <w:r>
          <w:rPr>
            <w:noProof/>
            <w:webHidden/>
          </w:rPr>
          <w:fldChar w:fldCharType="end"/>
        </w:r>
      </w:hyperlink>
    </w:p>
    <w:p w14:paraId="567E2C1F" w14:textId="3F18B8F3" w:rsidR="004D592C" w:rsidRDefault="004D592C">
      <w:pPr>
        <w:pStyle w:val="TableofFigures"/>
        <w:tabs>
          <w:tab w:val="right" w:leader="dot" w:pos="9350"/>
        </w:tabs>
        <w:rPr>
          <w:rFonts w:asciiTheme="minorHAnsi" w:eastAsiaTheme="minorEastAsia" w:hAnsiTheme="minorHAnsi" w:cstheme="minorBidi"/>
          <w:noProof/>
          <w:sz w:val="22"/>
          <w:szCs w:val="22"/>
        </w:rPr>
      </w:pPr>
      <w:hyperlink w:anchor="_Toc525805150" w:history="1">
        <w:r w:rsidRPr="00EF15A6">
          <w:rPr>
            <w:rStyle w:val="Hyperlink"/>
            <w:noProof/>
          </w:rPr>
          <w:t>Table 3. Post-hoc Pairwise Comparison of the Mean SMOG Grade Level of Materials from Each Clinic</w:t>
        </w:r>
        <w:r>
          <w:rPr>
            <w:noProof/>
            <w:webHidden/>
          </w:rPr>
          <w:tab/>
        </w:r>
        <w:r>
          <w:rPr>
            <w:noProof/>
            <w:webHidden/>
          </w:rPr>
          <w:fldChar w:fldCharType="begin"/>
        </w:r>
        <w:r>
          <w:rPr>
            <w:noProof/>
            <w:webHidden/>
          </w:rPr>
          <w:instrText xml:space="preserve"> PAGEREF _Toc525805150 \h </w:instrText>
        </w:r>
        <w:r>
          <w:rPr>
            <w:noProof/>
            <w:webHidden/>
          </w:rPr>
        </w:r>
        <w:r>
          <w:rPr>
            <w:noProof/>
            <w:webHidden/>
          </w:rPr>
          <w:fldChar w:fldCharType="separate"/>
        </w:r>
        <w:r>
          <w:rPr>
            <w:noProof/>
            <w:webHidden/>
          </w:rPr>
          <w:t>29</w:t>
        </w:r>
        <w:r>
          <w:rPr>
            <w:noProof/>
            <w:webHidden/>
          </w:rPr>
          <w:fldChar w:fldCharType="end"/>
        </w:r>
      </w:hyperlink>
    </w:p>
    <w:p w14:paraId="416F8D62" w14:textId="4E3DF03B" w:rsidR="004D592C" w:rsidRDefault="004D592C">
      <w:pPr>
        <w:pStyle w:val="TableofFigures"/>
        <w:tabs>
          <w:tab w:val="right" w:leader="dot" w:pos="9350"/>
        </w:tabs>
        <w:rPr>
          <w:rFonts w:asciiTheme="minorHAnsi" w:eastAsiaTheme="minorEastAsia" w:hAnsiTheme="minorHAnsi" w:cstheme="minorBidi"/>
          <w:noProof/>
          <w:sz w:val="22"/>
          <w:szCs w:val="22"/>
        </w:rPr>
      </w:pPr>
      <w:hyperlink w:anchor="_Toc525805151" w:history="1">
        <w:r w:rsidRPr="00EF15A6">
          <w:rPr>
            <w:rStyle w:val="Hyperlink"/>
            <w:noProof/>
          </w:rPr>
          <w:t>Table 4. Mean SAM Total Score, Mean SAM Literacy Subscore and the Proportion of Materials Achieving an “Adequate” SAM Total Score</w:t>
        </w:r>
        <w:r>
          <w:rPr>
            <w:noProof/>
            <w:webHidden/>
          </w:rPr>
          <w:tab/>
        </w:r>
        <w:r>
          <w:rPr>
            <w:noProof/>
            <w:webHidden/>
          </w:rPr>
          <w:fldChar w:fldCharType="begin"/>
        </w:r>
        <w:r>
          <w:rPr>
            <w:noProof/>
            <w:webHidden/>
          </w:rPr>
          <w:instrText xml:space="preserve"> PAGEREF _Toc525805151 \h </w:instrText>
        </w:r>
        <w:r>
          <w:rPr>
            <w:noProof/>
            <w:webHidden/>
          </w:rPr>
        </w:r>
        <w:r>
          <w:rPr>
            <w:noProof/>
            <w:webHidden/>
          </w:rPr>
          <w:fldChar w:fldCharType="separate"/>
        </w:r>
        <w:r>
          <w:rPr>
            <w:noProof/>
            <w:webHidden/>
          </w:rPr>
          <w:t>30</w:t>
        </w:r>
        <w:r>
          <w:rPr>
            <w:noProof/>
            <w:webHidden/>
          </w:rPr>
          <w:fldChar w:fldCharType="end"/>
        </w:r>
      </w:hyperlink>
    </w:p>
    <w:p w14:paraId="6F8FC68F" w14:textId="6F3482C2" w:rsidR="004D592C" w:rsidRDefault="004D592C">
      <w:pPr>
        <w:pStyle w:val="TableofFigures"/>
        <w:tabs>
          <w:tab w:val="right" w:leader="dot" w:pos="9350"/>
        </w:tabs>
        <w:rPr>
          <w:rFonts w:asciiTheme="minorHAnsi" w:eastAsiaTheme="minorEastAsia" w:hAnsiTheme="minorHAnsi" w:cstheme="minorBidi"/>
          <w:noProof/>
          <w:sz w:val="22"/>
          <w:szCs w:val="22"/>
        </w:rPr>
      </w:pPr>
      <w:hyperlink w:anchor="_Toc525805152" w:history="1">
        <w:r w:rsidRPr="00EF15A6">
          <w:rPr>
            <w:rStyle w:val="Hyperlink"/>
            <w:noProof/>
          </w:rPr>
          <w:t>Table 5. Comparison of In-house to Outside Patient Education Materials</w:t>
        </w:r>
        <w:r>
          <w:rPr>
            <w:noProof/>
            <w:webHidden/>
          </w:rPr>
          <w:tab/>
        </w:r>
        <w:r>
          <w:rPr>
            <w:noProof/>
            <w:webHidden/>
          </w:rPr>
          <w:fldChar w:fldCharType="begin"/>
        </w:r>
        <w:r>
          <w:rPr>
            <w:noProof/>
            <w:webHidden/>
          </w:rPr>
          <w:instrText xml:space="preserve"> PAGEREF _Toc525805152 \h </w:instrText>
        </w:r>
        <w:r>
          <w:rPr>
            <w:noProof/>
            <w:webHidden/>
          </w:rPr>
        </w:r>
        <w:r>
          <w:rPr>
            <w:noProof/>
            <w:webHidden/>
          </w:rPr>
          <w:fldChar w:fldCharType="separate"/>
        </w:r>
        <w:r>
          <w:rPr>
            <w:noProof/>
            <w:webHidden/>
          </w:rPr>
          <w:t>31</w:t>
        </w:r>
        <w:r>
          <w:rPr>
            <w:noProof/>
            <w:webHidden/>
          </w:rPr>
          <w:fldChar w:fldCharType="end"/>
        </w:r>
      </w:hyperlink>
    </w:p>
    <w:p w14:paraId="79C1539B" w14:textId="0FC81C14" w:rsidR="004D592C" w:rsidRDefault="004D592C">
      <w:pPr>
        <w:pStyle w:val="TableofFigures"/>
        <w:tabs>
          <w:tab w:val="right" w:leader="dot" w:pos="9350"/>
        </w:tabs>
        <w:rPr>
          <w:rFonts w:asciiTheme="minorHAnsi" w:eastAsiaTheme="minorEastAsia" w:hAnsiTheme="minorHAnsi" w:cstheme="minorBidi"/>
          <w:noProof/>
          <w:sz w:val="22"/>
          <w:szCs w:val="22"/>
        </w:rPr>
      </w:pPr>
      <w:hyperlink w:anchor="_Toc525805153" w:history="1">
        <w:r w:rsidRPr="00EF15A6">
          <w:rPr>
            <w:rStyle w:val="Hyperlink"/>
            <w:noProof/>
          </w:rPr>
          <w:t>Table 6. Comparison of AAP Produced Materials to all other Materials in our Sample</w:t>
        </w:r>
        <w:r>
          <w:rPr>
            <w:noProof/>
            <w:webHidden/>
          </w:rPr>
          <w:tab/>
        </w:r>
        <w:r>
          <w:rPr>
            <w:noProof/>
            <w:webHidden/>
          </w:rPr>
          <w:fldChar w:fldCharType="begin"/>
        </w:r>
        <w:r>
          <w:rPr>
            <w:noProof/>
            <w:webHidden/>
          </w:rPr>
          <w:instrText xml:space="preserve"> PAGEREF _Toc525805153 \h </w:instrText>
        </w:r>
        <w:r>
          <w:rPr>
            <w:noProof/>
            <w:webHidden/>
          </w:rPr>
        </w:r>
        <w:r>
          <w:rPr>
            <w:noProof/>
            <w:webHidden/>
          </w:rPr>
          <w:fldChar w:fldCharType="separate"/>
        </w:r>
        <w:r>
          <w:rPr>
            <w:noProof/>
            <w:webHidden/>
          </w:rPr>
          <w:t>32</w:t>
        </w:r>
        <w:r>
          <w:rPr>
            <w:noProof/>
            <w:webHidden/>
          </w:rPr>
          <w:fldChar w:fldCharType="end"/>
        </w:r>
      </w:hyperlink>
    </w:p>
    <w:p w14:paraId="08B164A9" w14:textId="67F868C9" w:rsidR="004D592C" w:rsidRDefault="004D592C">
      <w:pPr>
        <w:pStyle w:val="TableofFigures"/>
        <w:tabs>
          <w:tab w:val="right" w:leader="dot" w:pos="9350"/>
        </w:tabs>
        <w:rPr>
          <w:rFonts w:asciiTheme="minorHAnsi" w:eastAsiaTheme="minorEastAsia" w:hAnsiTheme="minorHAnsi" w:cstheme="minorBidi"/>
          <w:noProof/>
          <w:sz w:val="22"/>
          <w:szCs w:val="22"/>
        </w:rPr>
      </w:pPr>
      <w:hyperlink w:anchor="_Toc525805154" w:history="1">
        <w:r w:rsidRPr="00EF15A6">
          <w:rPr>
            <w:rStyle w:val="Hyperlink"/>
            <w:noProof/>
          </w:rPr>
          <w:t>Table 7. Comparison of AAP Produced “Bright Futures” Materials and “Patient Education of Children, Teens, and Parents” Materials</w:t>
        </w:r>
        <w:r>
          <w:rPr>
            <w:noProof/>
            <w:webHidden/>
          </w:rPr>
          <w:tab/>
        </w:r>
        <w:r>
          <w:rPr>
            <w:noProof/>
            <w:webHidden/>
          </w:rPr>
          <w:fldChar w:fldCharType="begin"/>
        </w:r>
        <w:r>
          <w:rPr>
            <w:noProof/>
            <w:webHidden/>
          </w:rPr>
          <w:instrText xml:space="preserve"> PAGEREF _Toc525805154 \h </w:instrText>
        </w:r>
        <w:r>
          <w:rPr>
            <w:noProof/>
            <w:webHidden/>
          </w:rPr>
        </w:r>
        <w:r>
          <w:rPr>
            <w:noProof/>
            <w:webHidden/>
          </w:rPr>
          <w:fldChar w:fldCharType="separate"/>
        </w:r>
        <w:r>
          <w:rPr>
            <w:noProof/>
            <w:webHidden/>
          </w:rPr>
          <w:t>33</w:t>
        </w:r>
        <w:r>
          <w:rPr>
            <w:noProof/>
            <w:webHidden/>
          </w:rPr>
          <w:fldChar w:fldCharType="end"/>
        </w:r>
      </w:hyperlink>
    </w:p>
    <w:p w14:paraId="60D52E91" w14:textId="7568FB9E" w:rsidR="00B424B6" w:rsidRDefault="00CB03F9" w:rsidP="69CFA879">
      <w:pPr>
        <w:pStyle w:val="Preliminary"/>
      </w:pPr>
      <w:r>
        <w:lastRenderedPageBreak/>
        <w:fldChar w:fldCharType="end"/>
      </w:r>
      <w:r w:rsidR="00B424B6">
        <w:t>List of figures</w:t>
      </w:r>
    </w:p>
    <w:p w14:paraId="58668AFF" w14:textId="59D65F4D" w:rsidR="004D592C" w:rsidRDefault="00B424B6">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525805155" w:history="1">
        <w:r w:rsidR="004D592C" w:rsidRPr="00464548">
          <w:rPr>
            <w:rStyle w:val="Hyperlink"/>
            <w:noProof/>
          </w:rPr>
          <w:t>Figure 1. Potential Causal Relationship between Low Health Literacy and Low Patient Understanding</w:t>
        </w:r>
        <w:r w:rsidR="004D592C">
          <w:rPr>
            <w:noProof/>
            <w:webHidden/>
          </w:rPr>
          <w:tab/>
        </w:r>
        <w:r w:rsidR="004D592C">
          <w:rPr>
            <w:noProof/>
            <w:webHidden/>
          </w:rPr>
          <w:fldChar w:fldCharType="begin"/>
        </w:r>
        <w:r w:rsidR="004D592C">
          <w:rPr>
            <w:noProof/>
            <w:webHidden/>
          </w:rPr>
          <w:instrText xml:space="preserve"> PAGEREF _Toc525805155 \h </w:instrText>
        </w:r>
        <w:r w:rsidR="004D592C">
          <w:rPr>
            <w:noProof/>
            <w:webHidden/>
          </w:rPr>
        </w:r>
        <w:r w:rsidR="004D592C">
          <w:rPr>
            <w:noProof/>
            <w:webHidden/>
          </w:rPr>
          <w:fldChar w:fldCharType="separate"/>
        </w:r>
        <w:r w:rsidR="004D592C">
          <w:rPr>
            <w:noProof/>
            <w:webHidden/>
          </w:rPr>
          <w:t>17</w:t>
        </w:r>
        <w:r w:rsidR="004D592C">
          <w:rPr>
            <w:noProof/>
            <w:webHidden/>
          </w:rPr>
          <w:fldChar w:fldCharType="end"/>
        </w:r>
      </w:hyperlink>
    </w:p>
    <w:p w14:paraId="19CA3BF7" w14:textId="3D21E54D" w:rsidR="00B424B6" w:rsidRDefault="00B424B6" w:rsidP="69CFA879">
      <w:pPr>
        <w:pStyle w:val="Heading"/>
      </w:pPr>
      <w:r>
        <w:lastRenderedPageBreak/>
        <w:fldChar w:fldCharType="end"/>
      </w:r>
      <w:bookmarkStart w:id="1" w:name="_Toc525805115"/>
      <w:r w:rsidR="00AA2C6A">
        <w:t>preface</w:t>
      </w:r>
      <w:bookmarkEnd w:id="1"/>
    </w:p>
    <w:p w14:paraId="4CECA777" w14:textId="77777777" w:rsidR="00AA2C6A" w:rsidRDefault="69CFA879" w:rsidP="00AA2C6A">
      <w:pPr>
        <w:pStyle w:val="Noindent"/>
      </w:pPr>
      <w:r>
        <w:t xml:space="preserve">A special thanks to Dr. Thistle Elias for inspiring this project and for dragging me through it, probably against her better judgement. Thanks also to my parents for helping me through the </w:t>
      </w:r>
      <w:proofErr w:type="gramStart"/>
      <w:r>
        <w:t>ups and downs</w:t>
      </w:r>
      <w:proofErr w:type="gramEnd"/>
      <w:r>
        <w:t xml:space="preserve"> of nine years of post-secondary education. Finally, thank you to Dr. Julia Cook, my partner of the past five years, for joining me on this very long journey.</w:t>
      </w:r>
    </w:p>
    <w:p w14:paraId="1A965116" w14:textId="77777777" w:rsidR="00AA2C6A" w:rsidRDefault="00AA2C6A" w:rsidP="00AA2C6A"/>
    <w:p w14:paraId="7DF4E37C" w14:textId="77777777" w:rsidR="00AA2C6A" w:rsidRDefault="00AA2C6A" w:rsidP="00AA2C6A"/>
    <w:p w14:paraId="44FB30F8" w14:textId="77777777" w:rsidR="00AA2C6A" w:rsidRPr="00AA2C6A" w:rsidRDefault="00AA2C6A" w:rsidP="00AA2C6A"/>
    <w:p w14:paraId="1DA6542E" w14:textId="77777777" w:rsidR="00AA2C6A" w:rsidRDefault="00AA2C6A" w:rsidP="00AA2C6A">
      <w:pPr>
        <w:ind w:firstLine="0"/>
      </w:pPr>
    </w:p>
    <w:p w14:paraId="3041E394" w14:textId="77777777" w:rsidR="00AA2C6A" w:rsidRPr="00AA2C6A" w:rsidRDefault="00AA2C6A" w:rsidP="00AA2C6A">
      <w:pPr>
        <w:ind w:firstLine="0"/>
        <w:sectPr w:rsidR="00AA2C6A" w:rsidRPr="00AA2C6A" w:rsidSect="00367476">
          <w:footerReference w:type="default" r:id="rId8"/>
          <w:pgSz w:w="12240" w:h="15840"/>
          <w:pgMar w:top="1440" w:right="1440" w:bottom="1440" w:left="1440" w:header="720" w:footer="720" w:gutter="0"/>
          <w:pgNumType w:fmt="lowerRoman" w:start="1"/>
          <w:cols w:space="720"/>
          <w:titlePg/>
          <w:docGrid w:linePitch="360"/>
        </w:sectPr>
      </w:pPr>
    </w:p>
    <w:p w14:paraId="3E7A9F1C" w14:textId="77777777" w:rsidR="006B1124" w:rsidRDefault="69CFA879" w:rsidP="006B1124">
      <w:pPr>
        <w:pStyle w:val="Heading1"/>
      </w:pPr>
      <w:bookmarkStart w:id="2" w:name="_Toc106513527"/>
      <w:bookmarkStart w:id="3" w:name="_Toc106717785"/>
      <w:bookmarkStart w:id="4" w:name="_Toc525805116"/>
      <w:r>
        <w:lastRenderedPageBreak/>
        <w:t>Introduction</w:t>
      </w:r>
      <w:bookmarkEnd w:id="2"/>
      <w:bookmarkEnd w:id="3"/>
      <w:bookmarkEnd w:id="4"/>
    </w:p>
    <w:p w14:paraId="666F922A" w14:textId="77777777" w:rsidR="00B917F0" w:rsidRDefault="3EEF55E6" w:rsidP="00F41FB3">
      <w:pPr>
        <w:pStyle w:val="Noindent"/>
      </w:pPr>
      <w:r w:rsidRPr="3EEF55E6">
        <w:rPr>
          <w:color w:val="000000" w:themeColor="text1"/>
        </w:rPr>
        <w:t xml:space="preserve">Over the past few decades, it has become clear that low health literacy is a significant social determinant of health in the United States (Berkman et al, 2011). Low health literacy </w:t>
      </w:r>
      <w:proofErr w:type="gramStart"/>
      <w:r w:rsidRPr="3EEF55E6">
        <w:rPr>
          <w:color w:val="000000" w:themeColor="text1"/>
        </w:rPr>
        <w:t>is generally correlated</w:t>
      </w:r>
      <w:proofErr w:type="gramEnd"/>
      <w:r w:rsidRPr="3EEF55E6">
        <w:rPr>
          <w:color w:val="000000" w:themeColor="text1"/>
        </w:rPr>
        <w:t xml:space="preserve"> with low understanding of diagnoses and treatment plans, and thus leads to poor outcomes. This disparity similarly applies to children of parents with low health literacy (</w:t>
      </w:r>
      <w:proofErr w:type="spellStart"/>
      <w:r w:rsidRPr="3EEF55E6">
        <w:rPr>
          <w:color w:val="000000" w:themeColor="text1"/>
        </w:rPr>
        <w:t>Dewalt</w:t>
      </w:r>
      <w:proofErr w:type="spellEnd"/>
      <w:r w:rsidRPr="3EEF55E6">
        <w:rPr>
          <w:color w:val="000000" w:themeColor="text1"/>
        </w:rPr>
        <w:t xml:space="preserve"> &amp; </w:t>
      </w:r>
      <w:proofErr w:type="spellStart"/>
      <w:r w:rsidRPr="3EEF55E6">
        <w:rPr>
          <w:color w:val="000000" w:themeColor="text1"/>
        </w:rPr>
        <w:t>Hink</w:t>
      </w:r>
      <w:proofErr w:type="spellEnd"/>
      <w:r w:rsidRPr="3EEF55E6">
        <w:rPr>
          <w:color w:val="000000" w:themeColor="text1"/>
        </w:rPr>
        <w:t xml:space="preserve">, 2009). One intervention that </w:t>
      </w:r>
      <w:proofErr w:type="gramStart"/>
      <w:r w:rsidRPr="3EEF55E6">
        <w:rPr>
          <w:color w:val="000000" w:themeColor="text1"/>
        </w:rPr>
        <w:t>is commonly used</w:t>
      </w:r>
      <w:proofErr w:type="gramEnd"/>
      <w:r w:rsidRPr="3EEF55E6">
        <w:rPr>
          <w:color w:val="000000" w:themeColor="text1"/>
        </w:rPr>
        <w:t xml:space="preserve"> in an attempt to address this issue is patient-focused health education materials. Unfortunately, it has become clear that the quality of health education materials in the United States is often quite poor: they are difficult to parse and usually much too complex for the average American. Steps have been made, </w:t>
      </w:r>
      <w:proofErr w:type="gramStart"/>
      <w:r w:rsidRPr="3EEF55E6">
        <w:rPr>
          <w:color w:val="000000" w:themeColor="text1"/>
        </w:rPr>
        <w:t>both by governmental groups, as well as individual</w:t>
      </w:r>
      <w:proofErr w:type="gramEnd"/>
      <w:r w:rsidRPr="3EEF55E6">
        <w:rPr>
          <w:color w:val="000000" w:themeColor="text1"/>
        </w:rPr>
        <w:t xml:space="preserve"> health systems by way of QI projects, to correct this issue. However, there is still much work </w:t>
      </w:r>
      <w:proofErr w:type="gramStart"/>
      <w:r w:rsidRPr="3EEF55E6">
        <w:rPr>
          <w:color w:val="000000" w:themeColor="text1"/>
        </w:rPr>
        <w:t>left to be done</w:t>
      </w:r>
      <w:proofErr w:type="gramEnd"/>
      <w:r w:rsidRPr="3EEF55E6">
        <w:rPr>
          <w:color w:val="000000" w:themeColor="text1"/>
        </w:rPr>
        <w:t xml:space="preserve">. In this paper, the author will briefly discuss the issue of poor patient understanding and its relationship to health literacy. The author will also discuss why, despite their </w:t>
      </w:r>
      <w:proofErr w:type="gramStart"/>
      <w:r w:rsidRPr="3EEF55E6">
        <w:rPr>
          <w:color w:val="000000" w:themeColor="text1"/>
        </w:rPr>
        <w:t>current status</w:t>
      </w:r>
      <w:proofErr w:type="gramEnd"/>
      <w:r w:rsidRPr="3EEF55E6">
        <w:rPr>
          <w:color w:val="000000" w:themeColor="text1"/>
        </w:rPr>
        <w:t xml:space="preserve">, patient-focused, paper-based health education materials do represent a reasonable intervention going forward. The author will then delve into how health education materials </w:t>
      </w:r>
      <w:proofErr w:type="gramStart"/>
      <w:r w:rsidRPr="3EEF55E6">
        <w:rPr>
          <w:color w:val="000000" w:themeColor="text1"/>
        </w:rPr>
        <w:t>should be assessed</w:t>
      </w:r>
      <w:proofErr w:type="gramEnd"/>
      <w:r w:rsidRPr="3EEF55E6">
        <w:rPr>
          <w:color w:val="000000" w:themeColor="text1"/>
        </w:rPr>
        <w:t xml:space="preserve">. Finally, the author will review and assess collected health education materials from clinics associated with a </w:t>
      </w:r>
      <w:proofErr w:type="gramStart"/>
      <w:r w:rsidRPr="3EEF55E6">
        <w:rPr>
          <w:color w:val="000000" w:themeColor="text1"/>
        </w:rPr>
        <w:t>free-standing</w:t>
      </w:r>
      <w:proofErr w:type="gramEnd"/>
      <w:r w:rsidRPr="3EEF55E6">
        <w:rPr>
          <w:color w:val="000000" w:themeColor="text1"/>
        </w:rPr>
        <w:t xml:space="preserve"> children’s hospital. This study </w:t>
      </w:r>
      <w:proofErr w:type="gramStart"/>
      <w:r w:rsidRPr="3EEF55E6">
        <w:rPr>
          <w:color w:val="000000" w:themeColor="text1"/>
        </w:rPr>
        <w:t>is particularly focused</w:t>
      </w:r>
      <w:proofErr w:type="gramEnd"/>
      <w:r w:rsidRPr="3EEF55E6">
        <w:rPr>
          <w:color w:val="000000" w:themeColor="text1"/>
        </w:rPr>
        <w:t xml:space="preserve"> on the materials being provided by children’s hospitals, as health early in life is highly correlated with health later in life (Dietz, 1998; Barker et al, 1991; Lynch &amp; Smith, 2005). </w:t>
      </w:r>
      <w:r w:rsidRPr="3EEF55E6">
        <w:rPr>
          <w:color w:val="000000" w:themeColor="text1"/>
        </w:rPr>
        <w:lastRenderedPageBreak/>
        <w:t>Ultimately, the goal of this study to assess the state of health materials that are making it into the hands of community members, and provide recommendations on how to improve these materials.</w:t>
      </w:r>
    </w:p>
    <w:p w14:paraId="2E0A6F91" w14:textId="77777777" w:rsidR="00B917F0" w:rsidRDefault="69CFA879" w:rsidP="00B917F0">
      <w:pPr>
        <w:pStyle w:val="Heading1"/>
      </w:pPr>
      <w:bookmarkStart w:id="5" w:name="_Toc525805117"/>
      <w:r>
        <w:lastRenderedPageBreak/>
        <w:t>Background</w:t>
      </w:r>
      <w:bookmarkEnd w:id="5"/>
    </w:p>
    <w:p w14:paraId="453B4633" w14:textId="77777777" w:rsidR="00D46B2C" w:rsidRPr="00E563F8" w:rsidRDefault="3EEF55E6" w:rsidP="69CFA879">
      <w:pPr>
        <w:pStyle w:val="NormalWeb"/>
        <w:spacing w:before="0" w:beforeAutospacing="0" w:after="0" w:afterAutospacing="0" w:line="480" w:lineRule="auto"/>
        <w:jc w:val="both"/>
      </w:pPr>
      <w:r w:rsidRPr="3EEF55E6">
        <w:rPr>
          <w:color w:val="000000" w:themeColor="text1"/>
        </w:rPr>
        <w:t xml:space="preserve">The data are clear that at baseline, patients frequently leave clinic appointment with serious misconceptions about their diagnosis and treatment plan. For example, only 50% of newly diagnosed atrial fibrillation patients drawn from a multicenter study population understood the importance and purpose of their anticoagulation regimen (Kaufman et al, 2018). This understanding improved after six months but remained suboptimal for such an important treatment modality (Kaufman et al, 2018). Similarly, a study of the patients served by 42 providers in an adult cystic fibrosis clinic found that patient understanding of treatment plan is low overall, and low understanding </w:t>
      </w:r>
      <w:proofErr w:type="gramStart"/>
      <w:r w:rsidRPr="3EEF55E6">
        <w:rPr>
          <w:color w:val="000000" w:themeColor="text1"/>
        </w:rPr>
        <w:t>is unsurprisingly correlated</w:t>
      </w:r>
      <w:proofErr w:type="gramEnd"/>
      <w:r w:rsidRPr="3EEF55E6">
        <w:rPr>
          <w:color w:val="000000" w:themeColor="text1"/>
        </w:rPr>
        <w:t xml:space="preserve"> with low compliance (</w:t>
      </w:r>
      <w:proofErr w:type="spellStart"/>
      <w:r w:rsidRPr="3EEF55E6">
        <w:rPr>
          <w:color w:val="000000" w:themeColor="text1"/>
        </w:rPr>
        <w:t>Pakhale</w:t>
      </w:r>
      <w:proofErr w:type="spellEnd"/>
      <w:r w:rsidRPr="3EEF55E6">
        <w:rPr>
          <w:color w:val="000000" w:themeColor="text1"/>
        </w:rPr>
        <w:t xml:space="preserve"> et al, 2016). Similar results have been found in pediatric asthma (Gray et al, 2018), diabetes (</w:t>
      </w:r>
      <w:proofErr w:type="spellStart"/>
      <w:r w:rsidRPr="3EEF55E6">
        <w:rPr>
          <w:color w:val="000000" w:themeColor="text1"/>
        </w:rPr>
        <w:t>Heisler</w:t>
      </w:r>
      <w:proofErr w:type="spellEnd"/>
      <w:r w:rsidRPr="3EEF55E6">
        <w:rPr>
          <w:color w:val="000000" w:themeColor="text1"/>
        </w:rPr>
        <w:t xml:space="preserve"> et al, 2002), HIV (Stone et al, 2001), and even traumatic injury (Swartz et al, 2018). It is clear that in all pathologies, from the chronic to the </w:t>
      </w:r>
      <w:proofErr w:type="spellStart"/>
      <w:r w:rsidRPr="3EEF55E6">
        <w:rPr>
          <w:color w:val="000000" w:themeColor="text1"/>
        </w:rPr>
        <w:t>hyperacute</w:t>
      </w:r>
      <w:proofErr w:type="spellEnd"/>
      <w:r w:rsidRPr="3EEF55E6">
        <w:rPr>
          <w:color w:val="000000" w:themeColor="text1"/>
        </w:rPr>
        <w:t>, understanding the diagnosis and treatment plan will lead to better compliance, and thus better outcomes.</w:t>
      </w:r>
    </w:p>
    <w:p w14:paraId="4D46ACF3" w14:textId="77777777" w:rsidR="00D46B2C" w:rsidRPr="00E563F8" w:rsidRDefault="00D46B2C" w:rsidP="69CFA879">
      <w:pPr>
        <w:pStyle w:val="NormalWeb"/>
        <w:spacing w:before="0" w:beforeAutospacing="0" w:after="0" w:afterAutospacing="0" w:line="480" w:lineRule="auto"/>
        <w:jc w:val="both"/>
      </w:pPr>
      <w:r w:rsidRPr="00E563F8">
        <w:rPr>
          <w:rStyle w:val="apple-tab-span"/>
          <w:color w:val="000000"/>
        </w:rPr>
        <w:tab/>
      </w:r>
      <w:r w:rsidR="001C0E68">
        <w:rPr>
          <w:color w:val="000000"/>
        </w:rPr>
        <w:t>W</w:t>
      </w:r>
      <w:r w:rsidRPr="00E563F8">
        <w:rPr>
          <w:color w:val="000000"/>
        </w:rPr>
        <w:t xml:space="preserve">hile it is clear that </w:t>
      </w:r>
      <w:r w:rsidR="00CB5F2E">
        <w:rPr>
          <w:color w:val="000000"/>
        </w:rPr>
        <w:t xml:space="preserve">patients’ </w:t>
      </w:r>
      <w:r w:rsidRPr="00E563F8">
        <w:rPr>
          <w:color w:val="000000"/>
        </w:rPr>
        <w:t xml:space="preserve">low understanding will lead to worse compliance and poor outcomes, the mechanisms leading to this low understanding are complex and likely multifactorial. Potential contributing factors include ineffective provider communication, low patient health literacy, and inappropriate health education materials. These issues </w:t>
      </w:r>
      <w:proofErr w:type="gramStart"/>
      <w:r w:rsidRPr="00E563F8">
        <w:rPr>
          <w:color w:val="000000"/>
        </w:rPr>
        <w:t>will be discussed</w:t>
      </w:r>
      <w:proofErr w:type="gramEnd"/>
      <w:r w:rsidRPr="00E563F8">
        <w:rPr>
          <w:color w:val="000000"/>
        </w:rPr>
        <w:t xml:space="preserve"> in the following sections.</w:t>
      </w:r>
    </w:p>
    <w:p w14:paraId="722B00AE" w14:textId="77777777" w:rsidR="002706BA" w:rsidRDefault="002706BA" w:rsidP="002706BA"/>
    <w:p w14:paraId="3BA294E1" w14:textId="77777777" w:rsidR="00B917F0" w:rsidRDefault="69CFA879" w:rsidP="00B917F0">
      <w:pPr>
        <w:pStyle w:val="Heading2"/>
      </w:pPr>
      <w:bookmarkStart w:id="6" w:name="_Toc525805118"/>
      <w:r>
        <w:lastRenderedPageBreak/>
        <w:t>issues of provider communication</w:t>
      </w:r>
      <w:bookmarkEnd w:id="6"/>
    </w:p>
    <w:p w14:paraId="3EBF5761" w14:textId="77777777" w:rsidR="00035EA8" w:rsidRPr="00035EA8" w:rsidRDefault="69CFA879" w:rsidP="69CFA879">
      <w:pPr>
        <w:pStyle w:val="NormalWeb"/>
        <w:spacing w:before="0" w:beforeAutospacing="0" w:after="0" w:afterAutospacing="0" w:line="480" w:lineRule="auto"/>
        <w:jc w:val="both"/>
      </w:pPr>
      <w:r w:rsidRPr="69CFA879">
        <w:rPr>
          <w:color w:val="000000" w:themeColor="text1"/>
        </w:rPr>
        <w:t xml:space="preserve">A common pitfall for medical providers is the use of “medical jargon,” or terms and phrases that would not be familiar to someone without a medical background. Studies that attempt </w:t>
      </w:r>
      <w:proofErr w:type="gramStart"/>
      <w:r w:rsidRPr="69CFA879">
        <w:rPr>
          <w:color w:val="000000" w:themeColor="text1"/>
        </w:rPr>
        <w:t>to directly measure</w:t>
      </w:r>
      <w:proofErr w:type="gramEnd"/>
      <w:r w:rsidRPr="69CFA879">
        <w:rPr>
          <w:color w:val="000000" w:themeColor="text1"/>
        </w:rPr>
        <w:t xml:space="preserve"> the use of medical jargon during outpatient visits are typically small and often contradictory. </w:t>
      </w:r>
      <w:proofErr w:type="gramStart"/>
      <w:r w:rsidRPr="69CFA879">
        <w:rPr>
          <w:color w:val="000000" w:themeColor="text1"/>
        </w:rPr>
        <w:t>One representative study was published by Castro, et al in 2007</w:t>
      </w:r>
      <w:proofErr w:type="gramEnd"/>
      <w:r w:rsidRPr="69CFA879">
        <w:rPr>
          <w:color w:val="000000" w:themeColor="text1"/>
        </w:rPr>
        <w:t xml:space="preserve">. They found that in 74 visits at a single diabetes clinic, physicians used an average of four undefined medical terms per visit (Castro et al, 2007). On the other hand, a study by Skelton &amp; Hobbs using quantitative linguistic methods found that 40 primary care physicians, across 373 patient encounters, did not use medical jargon at all (Skelton &amp; Hobbs, 1999). Given this discordance, it is fair to assume that the use of medical jargon varies between individual providers and clinics, and perhaps even between medical specialties. Unfortunately, this author was unable to find any study that identifies characteristics that make a physician or other clinician more likely to use technical language. </w:t>
      </w:r>
    </w:p>
    <w:p w14:paraId="19C3533A" w14:textId="77777777" w:rsidR="00035EA8" w:rsidRPr="00035EA8" w:rsidRDefault="3EEF55E6" w:rsidP="69CFA879">
      <w:pPr>
        <w:pStyle w:val="NormalWeb"/>
        <w:spacing w:before="0" w:beforeAutospacing="0" w:after="0" w:afterAutospacing="0" w:line="480" w:lineRule="auto"/>
        <w:ind w:firstLine="720"/>
        <w:jc w:val="both"/>
      </w:pPr>
      <w:r w:rsidRPr="3EEF55E6">
        <w:rPr>
          <w:color w:val="000000" w:themeColor="text1"/>
        </w:rPr>
        <w:t xml:space="preserve">It would be logical to assume that medical jargon is most harmful when it goes undefined. Conversely, if a clinician explicitly defines the jargon they are using, it should be less deleterious to patient understanding. Unfortunately, this assumption may be incorrect. One particularly interesting study that touches on this issue examined the language used by 19 oncologists while discussing molecular testing with patients. Across 60 patient encounters, this study found that the physicians used technical terminology during a large majority of visits. That said, 80% of patients understood how molecular testing would </w:t>
      </w:r>
      <w:proofErr w:type="gramStart"/>
      <w:r w:rsidRPr="3EEF55E6">
        <w:rPr>
          <w:color w:val="000000" w:themeColor="text1"/>
        </w:rPr>
        <w:t>impact</w:t>
      </w:r>
      <w:proofErr w:type="gramEnd"/>
      <w:r w:rsidRPr="3EEF55E6">
        <w:rPr>
          <w:color w:val="000000" w:themeColor="text1"/>
        </w:rPr>
        <w:t xml:space="preserve"> their treatment decisions, despite the use of jargon (</w:t>
      </w:r>
      <w:proofErr w:type="spellStart"/>
      <w:r w:rsidRPr="3EEF55E6">
        <w:rPr>
          <w:color w:val="000000" w:themeColor="text1"/>
        </w:rPr>
        <w:t>Pentz</w:t>
      </w:r>
      <w:proofErr w:type="spellEnd"/>
      <w:r w:rsidRPr="3EEF55E6">
        <w:rPr>
          <w:color w:val="000000" w:themeColor="text1"/>
        </w:rPr>
        <w:t xml:space="preserve"> et al, 2017). </w:t>
      </w:r>
      <w:proofErr w:type="gramStart"/>
      <w:r w:rsidRPr="3EEF55E6">
        <w:rPr>
          <w:color w:val="000000" w:themeColor="text1"/>
        </w:rPr>
        <w:t>Thus</w:t>
      </w:r>
      <w:proofErr w:type="gramEnd"/>
      <w:r w:rsidRPr="3EEF55E6">
        <w:rPr>
          <w:color w:val="000000" w:themeColor="text1"/>
        </w:rPr>
        <w:t xml:space="preserve"> it is clear that use of medical jargon alone is not enough to sabotage patient understanding. </w:t>
      </w:r>
      <w:proofErr w:type="gramStart"/>
      <w:r w:rsidRPr="3EEF55E6">
        <w:rPr>
          <w:color w:val="000000" w:themeColor="text1"/>
        </w:rPr>
        <w:t xml:space="preserve">Perhaps </w:t>
      </w:r>
      <w:proofErr w:type="spellStart"/>
      <w:r w:rsidRPr="3EEF55E6">
        <w:rPr>
          <w:color w:val="000000" w:themeColor="text1"/>
        </w:rPr>
        <w:t>unintuitively</w:t>
      </w:r>
      <w:proofErr w:type="spellEnd"/>
      <w:r w:rsidRPr="3EEF55E6">
        <w:rPr>
          <w:color w:val="000000" w:themeColor="text1"/>
        </w:rPr>
        <w:t xml:space="preserve">, it did not matter whether or not physicians defined the technical terms that they used: patients were able to explain technical terms used during their visit at the same rate regardless of whether or not the physician took the time to explain their </w:t>
      </w:r>
      <w:r w:rsidRPr="3EEF55E6">
        <w:rPr>
          <w:color w:val="000000" w:themeColor="text1"/>
        </w:rPr>
        <w:lastRenderedPageBreak/>
        <w:t>meanings (43% for defined technical terms and 45% for undefined technical terms) (</w:t>
      </w:r>
      <w:proofErr w:type="spellStart"/>
      <w:r w:rsidRPr="3EEF55E6">
        <w:rPr>
          <w:color w:val="000000" w:themeColor="text1"/>
        </w:rPr>
        <w:t>Pentz</w:t>
      </w:r>
      <w:proofErr w:type="spellEnd"/>
      <w:r w:rsidRPr="3EEF55E6">
        <w:rPr>
          <w:color w:val="000000" w:themeColor="text1"/>
        </w:rPr>
        <w:t xml:space="preserve"> et al, 2017).</w:t>
      </w:r>
      <w:proofErr w:type="gramEnd"/>
      <w:r w:rsidRPr="3EEF55E6">
        <w:rPr>
          <w:color w:val="000000" w:themeColor="text1"/>
        </w:rPr>
        <w:t xml:space="preserve"> What this study demonstrates is that patient understanding is certainly multifactorial, and the use or lack of jargon alone is not enough </w:t>
      </w:r>
      <w:proofErr w:type="gramStart"/>
      <w:r w:rsidRPr="3EEF55E6">
        <w:rPr>
          <w:color w:val="000000" w:themeColor="text1"/>
        </w:rPr>
        <w:t>to sufficiently explain</w:t>
      </w:r>
      <w:proofErr w:type="gramEnd"/>
      <w:r w:rsidRPr="3EEF55E6">
        <w:rPr>
          <w:color w:val="000000" w:themeColor="text1"/>
        </w:rPr>
        <w:t xml:space="preserve"> it. </w:t>
      </w:r>
    </w:p>
    <w:p w14:paraId="270FAD2B" w14:textId="77777777" w:rsidR="00035EA8" w:rsidRPr="00035EA8" w:rsidRDefault="69CFA879" w:rsidP="69CFA879">
      <w:pPr>
        <w:pStyle w:val="NormalWeb"/>
        <w:spacing w:before="0" w:beforeAutospacing="0" w:after="0" w:afterAutospacing="0" w:line="480" w:lineRule="auto"/>
        <w:ind w:firstLine="720"/>
        <w:jc w:val="both"/>
      </w:pPr>
      <w:r w:rsidRPr="69CFA879">
        <w:rPr>
          <w:color w:val="000000" w:themeColor="text1"/>
        </w:rPr>
        <w:t xml:space="preserve">Interestingly, research has shown that over the course of medical school, medical students actually become more pessimistic about how much medical jargon the average patients can understand. In aggregate, they tend to have a </w:t>
      </w:r>
      <w:proofErr w:type="gramStart"/>
      <w:r w:rsidRPr="69CFA879">
        <w:rPr>
          <w:color w:val="000000" w:themeColor="text1"/>
        </w:rPr>
        <w:t>fairly accurate</w:t>
      </w:r>
      <w:proofErr w:type="gramEnd"/>
      <w:r w:rsidRPr="69CFA879">
        <w:rPr>
          <w:color w:val="000000" w:themeColor="text1"/>
        </w:rPr>
        <w:t xml:space="preserve"> sense of the proportion of patients who can define a given term (LeBlanc et al, 2014). Thus, it remains possible that the use of jargon does not stem from misconceptions about what a patient is able to understand. Rather, it may be that the jargon slips into the physicians’ speech subconsciously, possibly </w:t>
      </w:r>
      <w:proofErr w:type="gramStart"/>
      <w:r w:rsidRPr="69CFA879">
        <w:rPr>
          <w:color w:val="000000" w:themeColor="text1"/>
        </w:rPr>
        <w:t>due to the fact that</w:t>
      </w:r>
      <w:proofErr w:type="gramEnd"/>
      <w:r w:rsidRPr="69CFA879">
        <w:rPr>
          <w:color w:val="000000" w:themeColor="text1"/>
        </w:rPr>
        <w:t xml:space="preserve"> translating complex concepts from “medical-ese” to plain English may simply be a difficult task. This possibility </w:t>
      </w:r>
      <w:proofErr w:type="gramStart"/>
      <w:r w:rsidRPr="69CFA879">
        <w:rPr>
          <w:color w:val="000000" w:themeColor="text1"/>
        </w:rPr>
        <w:t>is supported</w:t>
      </w:r>
      <w:proofErr w:type="gramEnd"/>
      <w:r w:rsidRPr="69CFA879">
        <w:rPr>
          <w:color w:val="000000" w:themeColor="text1"/>
        </w:rPr>
        <w:t xml:space="preserve"> by a recent survey of resident physicians. The study confirmed that residents are aware of the need to avoid medical terminology, but very much overrate how well they succeed at that aim when observed in standardized patient encounters (Howard et al, 2013). </w:t>
      </w:r>
    </w:p>
    <w:p w14:paraId="6E55210D" w14:textId="77777777" w:rsidR="00B917F0" w:rsidRPr="00035EA8" w:rsidRDefault="3EEF55E6" w:rsidP="69CFA879">
      <w:pPr>
        <w:pStyle w:val="NormalWeb"/>
        <w:spacing w:before="0" w:beforeAutospacing="0" w:after="0" w:afterAutospacing="0" w:line="480" w:lineRule="auto"/>
        <w:ind w:firstLine="720"/>
        <w:jc w:val="both"/>
      </w:pPr>
      <w:r w:rsidRPr="3EEF55E6">
        <w:rPr>
          <w:color w:val="000000" w:themeColor="text1"/>
        </w:rPr>
        <w:t xml:space="preserve">Regardless of why physicians use medical jargon, multiple studies have made it clear that use of jargon has a negative impact on patient understanding. Not surprisingly, avoiding medical terminology in communication </w:t>
      </w:r>
      <w:proofErr w:type="gramStart"/>
      <w:r w:rsidRPr="3EEF55E6">
        <w:rPr>
          <w:color w:val="000000" w:themeColor="text1"/>
        </w:rPr>
        <w:t>has been found</w:t>
      </w:r>
      <w:proofErr w:type="gramEnd"/>
      <w:r w:rsidRPr="3EEF55E6">
        <w:rPr>
          <w:color w:val="000000" w:themeColor="text1"/>
        </w:rPr>
        <w:t xml:space="preserve"> to lead to better understanding among patients (</w:t>
      </w:r>
      <w:proofErr w:type="spellStart"/>
      <w:r w:rsidRPr="3EEF55E6">
        <w:rPr>
          <w:color w:val="000000" w:themeColor="text1"/>
        </w:rPr>
        <w:t>Wernick</w:t>
      </w:r>
      <w:proofErr w:type="spellEnd"/>
      <w:r w:rsidRPr="3EEF55E6">
        <w:rPr>
          <w:color w:val="000000" w:themeColor="text1"/>
        </w:rPr>
        <w:t xml:space="preserve"> 2016). Perhaps even more dangerous </w:t>
      </w:r>
      <w:proofErr w:type="gramStart"/>
      <w:r w:rsidRPr="3EEF55E6">
        <w:rPr>
          <w:color w:val="000000" w:themeColor="text1"/>
        </w:rPr>
        <w:t>than simply not understanding</w:t>
      </w:r>
      <w:proofErr w:type="gramEnd"/>
      <w:r w:rsidRPr="3EEF55E6">
        <w:rPr>
          <w:color w:val="000000" w:themeColor="text1"/>
        </w:rPr>
        <w:t xml:space="preserve"> a term at all, patients can often misunderstand the definition of medical terminology due to preexisting misconceptions. For example, two independent studies found that patients were unaware that a fracture was synonymous with a broken bone; they tended to think a fracture was a less severe injury (</w:t>
      </w:r>
      <w:proofErr w:type="spellStart"/>
      <w:r w:rsidRPr="3EEF55E6">
        <w:rPr>
          <w:color w:val="000000" w:themeColor="text1"/>
        </w:rPr>
        <w:t>Dua</w:t>
      </w:r>
      <w:proofErr w:type="spellEnd"/>
      <w:r w:rsidRPr="3EEF55E6">
        <w:rPr>
          <w:color w:val="000000" w:themeColor="text1"/>
        </w:rPr>
        <w:t xml:space="preserve"> et al, 2015; </w:t>
      </w:r>
      <w:proofErr w:type="spellStart"/>
      <w:r w:rsidRPr="3EEF55E6">
        <w:rPr>
          <w:color w:val="000000" w:themeColor="text1"/>
        </w:rPr>
        <w:t>Ghorbanhoseini</w:t>
      </w:r>
      <w:proofErr w:type="spellEnd"/>
      <w:r w:rsidRPr="3EEF55E6">
        <w:rPr>
          <w:color w:val="000000" w:themeColor="text1"/>
        </w:rPr>
        <w:t xml:space="preserve"> et al, 2017). Similarly, concerns </w:t>
      </w:r>
      <w:proofErr w:type="gramStart"/>
      <w:r w:rsidRPr="3EEF55E6">
        <w:rPr>
          <w:color w:val="000000" w:themeColor="text1"/>
        </w:rPr>
        <w:t>have been raised</w:t>
      </w:r>
      <w:proofErr w:type="gramEnd"/>
      <w:r w:rsidRPr="3EEF55E6">
        <w:rPr>
          <w:color w:val="000000" w:themeColor="text1"/>
        </w:rPr>
        <w:t xml:space="preserve"> that patients respond differently to the identically defined phrases “Hypertension” and “High blood pressure” (</w:t>
      </w:r>
      <w:proofErr w:type="spellStart"/>
      <w:r w:rsidRPr="3EEF55E6">
        <w:rPr>
          <w:color w:val="000000" w:themeColor="text1"/>
        </w:rPr>
        <w:t>Bokhour</w:t>
      </w:r>
      <w:proofErr w:type="spellEnd"/>
      <w:r w:rsidRPr="3EEF55E6">
        <w:rPr>
          <w:color w:val="000000" w:themeColor="text1"/>
        </w:rPr>
        <w:t xml:space="preserve"> &amp; </w:t>
      </w:r>
      <w:proofErr w:type="spellStart"/>
      <w:r w:rsidRPr="3EEF55E6">
        <w:rPr>
          <w:color w:val="000000" w:themeColor="text1"/>
        </w:rPr>
        <w:t>Kressin</w:t>
      </w:r>
      <w:proofErr w:type="spellEnd"/>
      <w:r w:rsidRPr="3EEF55E6">
        <w:rPr>
          <w:color w:val="000000" w:themeColor="text1"/>
        </w:rPr>
        <w:t>, 2015). Indeed, numerous studies (</w:t>
      </w:r>
      <w:proofErr w:type="spellStart"/>
      <w:r w:rsidRPr="3EEF55E6">
        <w:rPr>
          <w:color w:val="000000" w:themeColor="text1"/>
        </w:rPr>
        <w:t>Bokhour</w:t>
      </w:r>
      <w:proofErr w:type="spellEnd"/>
      <w:r w:rsidRPr="3EEF55E6">
        <w:rPr>
          <w:color w:val="000000" w:themeColor="text1"/>
        </w:rPr>
        <w:t xml:space="preserve"> et al, 2012; Marshall et al, 2012; </w:t>
      </w:r>
      <w:proofErr w:type="spellStart"/>
      <w:r w:rsidRPr="3EEF55E6">
        <w:rPr>
          <w:color w:val="000000" w:themeColor="text1"/>
        </w:rPr>
        <w:t>Boutin</w:t>
      </w:r>
      <w:proofErr w:type="spellEnd"/>
      <w:r w:rsidRPr="3EEF55E6">
        <w:rPr>
          <w:color w:val="000000" w:themeColor="text1"/>
        </w:rPr>
        <w:t>-</w:t>
      </w:r>
      <w:r w:rsidRPr="3EEF55E6">
        <w:rPr>
          <w:color w:val="000000" w:themeColor="text1"/>
        </w:rPr>
        <w:lastRenderedPageBreak/>
        <w:t xml:space="preserve">Foster et al, 2007) have shown that patients diagnosed with high blood pressure tend to have misconceptions about their disease and treatment plan specifically due to the name “hypertension,” and that these misconceptions can negatively impact compliance. </w:t>
      </w:r>
      <w:proofErr w:type="gramStart"/>
      <w:r w:rsidRPr="3EEF55E6">
        <w:rPr>
          <w:color w:val="000000" w:themeColor="text1"/>
        </w:rPr>
        <w:t>So</w:t>
      </w:r>
      <w:proofErr w:type="gramEnd"/>
      <w:r w:rsidRPr="3EEF55E6">
        <w:rPr>
          <w:color w:val="000000" w:themeColor="text1"/>
        </w:rPr>
        <w:t xml:space="preserve"> while physicians are aware that health literacy and overuse of medical jargon is an issue in the abstract, they are not always aware of the specific misconceptions that their patients may have. The fracture versus broken bone example above is one such common misconception, though many others exist, including attitudes concerning vaccinations (Clift &amp; </w:t>
      </w:r>
      <w:proofErr w:type="spellStart"/>
      <w:r w:rsidRPr="3EEF55E6">
        <w:rPr>
          <w:color w:val="000000" w:themeColor="text1"/>
        </w:rPr>
        <w:t>Rizzolo</w:t>
      </w:r>
      <w:proofErr w:type="spellEnd"/>
      <w:r w:rsidRPr="3EEF55E6">
        <w:rPr>
          <w:color w:val="000000" w:themeColor="text1"/>
        </w:rPr>
        <w:t>, 2014), antibiotics (</w:t>
      </w:r>
      <w:proofErr w:type="spellStart"/>
      <w:r w:rsidRPr="3EEF55E6">
        <w:rPr>
          <w:color w:val="000000" w:themeColor="text1"/>
        </w:rPr>
        <w:t>Vaz</w:t>
      </w:r>
      <w:proofErr w:type="spellEnd"/>
      <w:r w:rsidRPr="3EEF55E6">
        <w:rPr>
          <w:color w:val="000000" w:themeColor="text1"/>
        </w:rPr>
        <w:t xml:space="preserve"> et al, 2015), patient expectations for surgery (</w:t>
      </w:r>
      <w:proofErr w:type="spellStart"/>
      <w:r w:rsidRPr="3EEF55E6">
        <w:rPr>
          <w:color w:val="000000" w:themeColor="text1"/>
        </w:rPr>
        <w:t>Denberg</w:t>
      </w:r>
      <w:proofErr w:type="spellEnd"/>
      <w:r w:rsidRPr="3EEF55E6">
        <w:rPr>
          <w:color w:val="000000" w:themeColor="text1"/>
        </w:rPr>
        <w:t xml:space="preserve"> et al, 2006; Wee et al, 2006) and the signs of breast cancer (Rauscher et al, 2010), to name a few.</w:t>
      </w:r>
    </w:p>
    <w:p w14:paraId="552E25E9" w14:textId="77777777" w:rsidR="00B917F0" w:rsidRDefault="69CFA879" w:rsidP="00B917F0">
      <w:pPr>
        <w:pStyle w:val="Heading2"/>
      </w:pPr>
      <w:bookmarkStart w:id="7" w:name="_Toc525805119"/>
      <w:r>
        <w:t>Current status of patient understanding</w:t>
      </w:r>
      <w:bookmarkEnd w:id="7"/>
    </w:p>
    <w:p w14:paraId="1664BE4C" w14:textId="77777777" w:rsidR="00035EA8" w:rsidRPr="00035EA8" w:rsidRDefault="69CFA879" w:rsidP="69CFA879">
      <w:pPr>
        <w:pStyle w:val="NormalWeb"/>
        <w:spacing w:before="0" w:beforeAutospacing="0" w:after="0" w:afterAutospacing="0" w:line="480" w:lineRule="auto"/>
        <w:jc w:val="both"/>
      </w:pPr>
      <w:r w:rsidRPr="69CFA879">
        <w:rPr>
          <w:color w:val="000000" w:themeColor="text1"/>
        </w:rPr>
        <w:t xml:space="preserve">As researchers have recognized these trends, attempts </w:t>
      </w:r>
      <w:proofErr w:type="gramStart"/>
      <w:r w:rsidRPr="69CFA879">
        <w:rPr>
          <w:color w:val="000000" w:themeColor="text1"/>
        </w:rPr>
        <w:t>have been made</w:t>
      </w:r>
      <w:proofErr w:type="gramEnd"/>
      <w:r w:rsidRPr="69CFA879">
        <w:rPr>
          <w:color w:val="000000" w:themeColor="text1"/>
        </w:rPr>
        <w:t xml:space="preserve"> at the organizational level to improve patient understanding in the outpatient setting. Unfortunately, these programs </w:t>
      </w:r>
      <w:proofErr w:type="gramStart"/>
      <w:r w:rsidRPr="69CFA879">
        <w:rPr>
          <w:color w:val="000000" w:themeColor="text1"/>
        </w:rPr>
        <w:t>have been met</w:t>
      </w:r>
      <w:proofErr w:type="gramEnd"/>
      <w:r w:rsidRPr="69CFA879">
        <w:rPr>
          <w:color w:val="000000" w:themeColor="text1"/>
        </w:rPr>
        <w:t xml:space="preserve"> with mixed success. A study from the United Kingdom showed that understanding in inflammatory bowel disease patients did not significantly improve between 1999 and 2013 (Wardle &amp; Mayberry, 2015). This is despite the adoption of published standards on how to approach patient education in inflammatory bowel disease by the British National Health Services (IBD Standards Group, 2013). The authors suggested that the lack of progress </w:t>
      </w:r>
      <w:proofErr w:type="gramStart"/>
      <w:r w:rsidRPr="69CFA879">
        <w:rPr>
          <w:color w:val="000000" w:themeColor="text1"/>
        </w:rPr>
        <w:t>may</w:t>
      </w:r>
      <w:proofErr w:type="gramEnd"/>
      <w:r w:rsidRPr="69CFA879">
        <w:rPr>
          <w:color w:val="000000" w:themeColor="text1"/>
        </w:rPr>
        <w:t xml:space="preserve"> be due to fact that the approach published by the NHS was a theoretical framework on how to approach patient education, but did not actually produce any educational materials intended for patient use (Wardle &amp; Mayberry, 2015). </w:t>
      </w:r>
    </w:p>
    <w:p w14:paraId="7E6A9DAF" w14:textId="77777777" w:rsidR="00035EA8" w:rsidRPr="00035EA8" w:rsidRDefault="3EEF55E6" w:rsidP="69CFA879">
      <w:pPr>
        <w:pStyle w:val="NormalWeb"/>
        <w:spacing w:before="0" w:beforeAutospacing="0" w:after="0" w:afterAutospacing="0" w:line="480" w:lineRule="auto"/>
        <w:ind w:firstLine="720"/>
        <w:jc w:val="both"/>
      </w:pPr>
      <w:r w:rsidRPr="3EEF55E6">
        <w:rPr>
          <w:color w:val="000000" w:themeColor="text1"/>
        </w:rPr>
        <w:lastRenderedPageBreak/>
        <w:t xml:space="preserve">A review of the rheumatoid arthritis literature concluded that there was strong evidence that patient understanding of disease, medication, and medication </w:t>
      </w:r>
      <w:proofErr w:type="gramStart"/>
      <w:r w:rsidRPr="3EEF55E6">
        <w:rPr>
          <w:color w:val="000000" w:themeColor="text1"/>
        </w:rPr>
        <w:t>side-effects</w:t>
      </w:r>
      <w:proofErr w:type="gramEnd"/>
      <w:r w:rsidRPr="3EEF55E6">
        <w:rPr>
          <w:color w:val="000000" w:themeColor="text1"/>
        </w:rPr>
        <w:t xml:space="preserve"> were all positively correlated with medication adherence (Wong, 2016). Interestingly, multiple studies found that severity of disability </w:t>
      </w:r>
      <w:proofErr w:type="gramStart"/>
      <w:r w:rsidRPr="3EEF55E6">
        <w:rPr>
          <w:color w:val="000000" w:themeColor="text1"/>
        </w:rPr>
        <w:t>was not related</w:t>
      </w:r>
      <w:proofErr w:type="gramEnd"/>
      <w:r w:rsidRPr="3EEF55E6">
        <w:rPr>
          <w:color w:val="000000" w:themeColor="text1"/>
        </w:rPr>
        <w:t xml:space="preserve"> to adherence (van </w:t>
      </w:r>
      <w:proofErr w:type="spellStart"/>
      <w:r w:rsidRPr="3EEF55E6">
        <w:rPr>
          <w:color w:val="000000" w:themeColor="text1"/>
        </w:rPr>
        <w:t>dem</w:t>
      </w:r>
      <w:proofErr w:type="spellEnd"/>
      <w:r w:rsidRPr="3EEF55E6">
        <w:rPr>
          <w:color w:val="000000" w:themeColor="text1"/>
        </w:rPr>
        <w:t xml:space="preserve"> </w:t>
      </w:r>
      <w:proofErr w:type="spellStart"/>
      <w:r w:rsidRPr="3EEF55E6">
        <w:rPr>
          <w:color w:val="000000" w:themeColor="text1"/>
        </w:rPr>
        <w:t>Bemt</w:t>
      </w:r>
      <w:proofErr w:type="spellEnd"/>
      <w:r w:rsidRPr="3EEF55E6">
        <w:rPr>
          <w:color w:val="000000" w:themeColor="text1"/>
        </w:rPr>
        <w:t xml:space="preserve"> et al, 2009; de </w:t>
      </w:r>
      <w:proofErr w:type="spellStart"/>
      <w:r w:rsidRPr="3EEF55E6">
        <w:rPr>
          <w:color w:val="000000" w:themeColor="text1"/>
        </w:rPr>
        <w:t>Thurah</w:t>
      </w:r>
      <w:proofErr w:type="spellEnd"/>
      <w:r w:rsidRPr="3EEF55E6">
        <w:rPr>
          <w:color w:val="000000" w:themeColor="text1"/>
        </w:rPr>
        <w:t xml:space="preserve"> et al, 2010; Müller et al, 2012). The author of the review specifically hypothesizes that the tendency of patient education material to focus on complicated biomedical concepts may be a fundamental flaw in the current educational approach. They base this on the fact that across multiple studies, educational interventions that focused on etiology and available treatments have not been effective in improving understanding or medication adherence (</w:t>
      </w:r>
      <w:proofErr w:type="spellStart"/>
      <w:r w:rsidRPr="3EEF55E6">
        <w:rPr>
          <w:color w:val="000000" w:themeColor="text1"/>
        </w:rPr>
        <w:t>Brus</w:t>
      </w:r>
      <w:proofErr w:type="spellEnd"/>
      <w:r w:rsidRPr="3EEF55E6">
        <w:rPr>
          <w:color w:val="000000" w:themeColor="text1"/>
        </w:rPr>
        <w:t xml:space="preserve"> et al, 1998; Elliott, 2008; </w:t>
      </w:r>
      <w:proofErr w:type="spellStart"/>
      <w:r w:rsidRPr="3EEF55E6">
        <w:rPr>
          <w:color w:val="000000" w:themeColor="text1"/>
        </w:rPr>
        <w:t>Niedermann</w:t>
      </w:r>
      <w:proofErr w:type="spellEnd"/>
      <w:r w:rsidRPr="3EEF55E6">
        <w:rPr>
          <w:color w:val="000000" w:themeColor="text1"/>
        </w:rPr>
        <w:t xml:space="preserve"> et al, 2004). One experiment found that patients who attended seven 30-minute long visits with specialty trained rheumatology nurses had higher rates of compliance (Hill et al, 2001), though this was not considered feasible to provide for all patients. In contrast to the lackluster results of traditional educational materials, a study of 111 patients found that visual and multimedia educational materials at time of diagnosis and at follow-up visits produced improved compliance and subjective understanding (El </w:t>
      </w:r>
      <w:proofErr w:type="spellStart"/>
      <w:r w:rsidRPr="3EEF55E6">
        <w:rPr>
          <w:color w:val="000000" w:themeColor="text1"/>
        </w:rPr>
        <w:t>Miedany</w:t>
      </w:r>
      <w:proofErr w:type="spellEnd"/>
      <w:r w:rsidRPr="3EEF55E6">
        <w:rPr>
          <w:color w:val="000000" w:themeColor="text1"/>
        </w:rPr>
        <w:t xml:space="preserve"> et al, 2012).</w:t>
      </w:r>
    </w:p>
    <w:p w14:paraId="63B9C022" w14:textId="77777777" w:rsidR="00035EA8" w:rsidRPr="00035EA8" w:rsidRDefault="69CFA879" w:rsidP="69CFA879">
      <w:pPr>
        <w:pStyle w:val="NormalWeb"/>
        <w:spacing w:before="0" w:beforeAutospacing="0" w:after="0" w:afterAutospacing="0" w:line="480" w:lineRule="auto"/>
        <w:ind w:firstLine="720"/>
        <w:jc w:val="both"/>
      </w:pPr>
      <w:r w:rsidRPr="69CFA879">
        <w:rPr>
          <w:color w:val="000000" w:themeColor="text1"/>
        </w:rPr>
        <w:t xml:space="preserve">While not directly related to patient understanding of chronic disease or long-term patient adherence, the current state of informed consent is also relevant to the topic of patient education. After all, the entire purpose of informed consent is quite literally to educate the patient on the risks and benefits of a test or procedure. Unfortunately, a large study of patients consented for hip arthroplasty found that the average patient was able to recall potential complications no better than patients fifteen years prior, despite changes in clinician approach and a larger focus on the importance of informed consent in the intervening years (Singh et al, 2017). </w:t>
      </w:r>
    </w:p>
    <w:p w14:paraId="1B1BEF34" w14:textId="77777777" w:rsidR="00035EA8" w:rsidRDefault="69CFA879" w:rsidP="69CFA879">
      <w:pPr>
        <w:pStyle w:val="NormalWeb"/>
        <w:spacing w:before="0" w:beforeAutospacing="0" w:after="0" w:afterAutospacing="0" w:line="480" w:lineRule="auto"/>
        <w:ind w:firstLine="720"/>
        <w:jc w:val="both"/>
        <w:rPr>
          <w:color w:val="000000" w:themeColor="text1"/>
        </w:rPr>
      </w:pPr>
      <w:r w:rsidRPr="69CFA879">
        <w:rPr>
          <w:color w:val="000000" w:themeColor="text1"/>
        </w:rPr>
        <w:lastRenderedPageBreak/>
        <w:t xml:space="preserve">Of course, not all efforts to improve patient education have been futile. In the field of oncology, a review by Kao, et al., found four studies that demonstrated an improvement in patient understanding of chemotherapy risks and benefits in the context of clinical trials. Three of these studies made use of patient centered audio-visual materials, while the fourth used specially designed clinician training to facilitate patient understanding (Kao et al, 2017). A study of 55 cirrhosis patients found that an audiovisual presentation, designed in concert by patient advocates and clinical </w:t>
      </w:r>
      <w:proofErr w:type="spellStart"/>
      <w:r w:rsidRPr="69CFA879">
        <w:rPr>
          <w:color w:val="000000" w:themeColor="text1"/>
        </w:rPr>
        <w:t>hepatologists</w:t>
      </w:r>
      <w:proofErr w:type="spellEnd"/>
      <w:r w:rsidRPr="69CFA879">
        <w:rPr>
          <w:color w:val="000000" w:themeColor="text1"/>
        </w:rPr>
        <w:t xml:space="preserve">, improved mean patient understanding from 25% to 66.7%. Patients </w:t>
      </w:r>
      <w:proofErr w:type="gramStart"/>
      <w:r w:rsidRPr="69CFA879">
        <w:rPr>
          <w:color w:val="000000" w:themeColor="text1"/>
        </w:rPr>
        <w:t>were given</w:t>
      </w:r>
      <w:proofErr w:type="gramEnd"/>
      <w:r w:rsidRPr="69CFA879">
        <w:rPr>
          <w:color w:val="000000" w:themeColor="text1"/>
        </w:rPr>
        <w:t xml:space="preserve"> the survey prior to viewing the presentation and again one to six months after the presentation, which indicated that the contents of the presentation were not immediately forgotten (Goldsworthy et al, 2017). Additionally, the median time from diagnosis of the cohort was three years, suggesting that such interventions can have a meaningful impact at times other than diagnosis. Techniques to assist with informed consent have also been in development. For example, a recent study found that patients with renal tumors showed better understanding of their condition, their proposed surgery, and associated risks and benefits when the surgeon used a 3D-printed model of their kidney and tumor in the informed consent process (Bernhard et al, 2016).</w:t>
      </w:r>
    </w:p>
    <w:p w14:paraId="5A571E5C" w14:textId="77777777" w:rsidR="006864E1" w:rsidRDefault="69CFA879" w:rsidP="006864E1">
      <w:pPr>
        <w:pStyle w:val="Heading2"/>
      </w:pPr>
      <w:bookmarkStart w:id="8" w:name="_Toc525805120"/>
      <w:r>
        <w:t>How can we continue to improve patient understanding?</w:t>
      </w:r>
      <w:bookmarkEnd w:id="8"/>
    </w:p>
    <w:p w14:paraId="241A4246" w14:textId="77777777" w:rsidR="006864E1" w:rsidRPr="00C74791" w:rsidRDefault="3EEF55E6" w:rsidP="006864E1">
      <w:pPr>
        <w:ind w:firstLine="0"/>
      </w:pPr>
      <w:r>
        <w:t xml:space="preserve">It is clear then that across a wide spectrum of disease, patients typically leave clinic visits with a poor understanding of their diagnosis and treatment plan. There are two fundamental ways to address this problem: the first would be to improve communication during the visit itself, while the second would be to provide educational materials that the patient can review </w:t>
      </w:r>
      <w:proofErr w:type="gramStart"/>
      <w:r>
        <w:t>at a later time</w:t>
      </w:r>
      <w:proofErr w:type="gramEnd"/>
      <w:r>
        <w:t xml:space="preserve">. It </w:t>
      </w:r>
      <w:r>
        <w:lastRenderedPageBreak/>
        <w:t>is certainly easy to place a majority of blame on providers, and argue that their communication skills are at fault. Certainly, any attempts to improve clinicians communication is a worthy endeavor, especially in a world where the median time that physicians spend with their patients is 13-16 minutes (</w:t>
      </w:r>
      <w:proofErr w:type="spellStart"/>
      <w:r>
        <w:t>Peckham</w:t>
      </w:r>
      <w:proofErr w:type="spellEnd"/>
      <w:r>
        <w:t>, 2016). That said</w:t>
      </w:r>
      <w:proofErr w:type="gramStart"/>
      <w:r>
        <w:t>,</w:t>
      </w:r>
      <w:proofErr w:type="gramEnd"/>
      <w:r>
        <w:t xml:space="preserve"> focusing on this avenue also ignores a fundamental aspect of human behavior. Namely, that under high-stress situations, such as sitting in a specialist’s office waiting for the results of a cancer screening, human recall is not going to be at its best. While the </w:t>
      </w:r>
      <w:proofErr w:type="gramStart"/>
      <w:r>
        <w:t>diagnosis and prognosis are typically internalized by the patient</w:t>
      </w:r>
      <w:proofErr w:type="gramEnd"/>
      <w:r>
        <w:t>, supporting details that are necessary for forming a treatment plan are not well recalled (</w:t>
      </w:r>
      <w:proofErr w:type="spellStart"/>
      <w:r>
        <w:t>Gabrijel</w:t>
      </w:r>
      <w:proofErr w:type="spellEnd"/>
      <w:r>
        <w:t xml:space="preserve"> et al, 2008; </w:t>
      </w:r>
      <w:proofErr w:type="spellStart"/>
      <w:r>
        <w:t>Schwabe</w:t>
      </w:r>
      <w:proofErr w:type="spellEnd"/>
      <w:r>
        <w:t xml:space="preserve"> et al, 2012). </w:t>
      </w:r>
    </w:p>
    <w:p w14:paraId="46764A2D" w14:textId="77777777" w:rsidR="006864E1" w:rsidRPr="00C74791" w:rsidRDefault="69CFA879" w:rsidP="006864E1">
      <w:r>
        <w:t xml:space="preserve">Given the aims of this study, this section will focus on clinician-parent interaction in the pediatric setting. One should not need data to recognize that the diagnosis of life-threatening and/or chronic illness in children will be a particularly stressful time in any parents’ life. Data describing this do, in fact, exist (Woolley et al, 1989; </w:t>
      </w:r>
      <w:proofErr w:type="spellStart"/>
      <w:r>
        <w:t>Jedlicka-Köhler</w:t>
      </w:r>
      <w:proofErr w:type="spellEnd"/>
      <w:r>
        <w:t xml:space="preserve"> et al, 1996; Firth, 1983). Parents are able to recall with startling accuracy the moment that they received their child’s diagnosis (Woolley et al, 1989; Firth, 1983), which can set the stage for future interactions with the healthcare system. Additionally, data exist that parents have poor recall of the information that </w:t>
      </w:r>
      <w:proofErr w:type="gramStart"/>
      <w:r>
        <w:t>is delivered</w:t>
      </w:r>
      <w:proofErr w:type="gramEnd"/>
      <w:r>
        <w:t xml:space="preserve"> after a new diagnosis (</w:t>
      </w:r>
      <w:proofErr w:type="spellStart"/>
      <w:r>
        <w:t>Fallowfield</w:t>
      </w:r>
      <w:proofErr w:type="spellEnd"/>
      <w:r>
        <w:t xml:space="preserve"> &amp; Jenkins, 2004). Not only is it likely impossible for a clinician to impart full understanding upon child and parents in such a scenario, it is unclear that it is even wise to attempt to this. In fact, parents from the previously cited studies stated that empathy and directness (or lack thereof) were the most important thing they remembered from the day of their child’s diagnosis (Woolley et al, 1989). </w:t>
      </w:r>
    </w:p>
    <w:p w14:paraId="566BC6C7" w14:textId="77777777" w:rsidR="006864E1" w:rsidRPr="00C74791" w:rsidRDefault="69CFA879" w:rsidP="006864E1">
      <w:r>
        <w:t xml:space="preserve">This leaves clinics in a difficult situation: even with perfect communication, it is likely impossible </w:t>
      </w:r>
      <w:proofErr w:type="gramStart"/>
      <w:r>
        <w:t>to fully educate</w:t>
      </w:r>
      <w:proofErr w:type="gramEnd"/>
      <w:r>
        <w:t xml:space="preserve"> a patient or family during the visit when a serious diagnosis is </w:t>
      </w:r>
      <w:r>
        <w:lastRenderedPageBreak/>
        <w:t xml:space="preserve">delivered. In an ideal world, regular, frequent follow-up visits would be a place to clarify questions and provide additional guidance. Of course, the issue here is that low understanding also correlates with poor follow-up. This </w:t>
      </w:r>
      <w:proofErr w:type="gramStart"/>
      <w:r>
        <w:t>has been observed</w:t>
      </w:r>
      <w:proofErr w:type="gramEnd"/>
      <w:r>
        <w:t xml:space="preserve"> directly (Swartz et al, 2018) and can be inferred from the fact that patients with poor understanding typically cannot correctly identify their follow-up plan when discharged from the emergency department (Crane, 1997; Engel et al, 2009; Engel et al, 2012) or hospital (Calkins et al, 1997; </w:t>
      </w:r>
      <w:proofErr w:type="spellStart"/>
      <w:r>
        <w:t>Horwitz</w:t>
      </w:r>
      <w:proofErr w:type="spellEnd"/>
      <w:r>
        <w:t xml:space="preserve"> et al, 2013). In an attempt to improve understanding and follow-up, the United States Department of Health and Human Services (HHS) has recommended the universal adoption of a document called an “after-visit summary (AVS).”  An AVS includes, at the minimum: the time and date of the appointment; the provider that </w:t>
      </w:r>
      <w:proofErr w:type="gramStart"/>
      <w:r>
        <w:t>was seen</w:t>
      </w:r>
      <w:proofErr w:type="gramEnd"/>
      <w:r>
        <w:t xml:space="preserve">; the phone number and address of the clinic; the patient’s relevant diagnoses; any medication changes; any procedures; and follow-up instructions. HHS has additionally produced instructional materials on how individual hospital systems and clinics can develop their own AVS (Hummel &amp; Evans, 2012). The idea behind an AVS is that each patient should leave clinic with documentation of any changes to their treatment plan, as well as a phone number to call with questions. On the other hand, it does little to help a patient understand </w:t>
      </w:r>
      <w:proofErr w:type="gramStart"/>
      <w:r>
        <w:t>their disease, the rationale of their treatment plan, or what could happen if they do not follow their treatment plan (i.e. poor outcomes)</w:t>
      </w:r>
      <w:proofErr w:type="gramEnd"/>
      <w:r>
        <w:t xml:space="preserve">. Though formal data is sparse, it is not particularly heartening: the only RCT that examined </w:t>
      </w:r>
      <w:proofErr w:type="gramStart"/>
      <w:r>
        <w:t>AVS’s</w:t>
      </w:r>
      <w:proofErr w:type="gramEnd"/>
      <w:r>
        <w:t xml:space="preserve"> found that while patient satisfaction with them was high overall, the content of the AVS was effectively meaningless and recall was low in all groups (</w:t>
      </w:r>
      <w:proofErr w:type="spellStart"/>
      <w:r>
        <w:t>Pavlik</w:t>
      </w:r>
      <w:proofErr w:type="spellEnd"/>
      <w:r>
        <w:t xml:space="preserve"> et al, 2014). To quote the </w:t>
      </w:r>
      <w:proofErr w:type="gramStart"/>
      <w:r>
        <w:t>authors:</w:t>
      </w:r>
      <w:proofErr w:type="gramEnd"/>
      <w:r>
        <w:t xml:space="preserve"> “Primary care patients like to receive an AVS, but the amount of information included does not affect content recall or satisfaction with the information.” Clearly then, the widespread adoption of the AVS is not a sufficient response to the issue of low patient understanding. </w:t>
      </w:r>
    </w:p>
    <w:p w14:paraId="219665C6" w14:textId="77777777" w:rsidR="006864E1" w:rsidRPr="00C74791" w:rsidRDefault="69CFA879" w:rsidP="006864E1">
      <w:r>
        <w:lastRenderedPageBreak/>
        <w:t>There is certainly space in the outpatient clinic for an alternative, more personally tailored form of patient education material: namely, a type that focuses on disease specific teaching at a level appropriate and useful for the average patient. Such materials already exist, and can take a variety of different forms, from massive patient “binders” (Cleveland Clinic Foundation, 2013) to informational videos (</w:t>
      </w:r>
      <w:proofErr w:type="spellStart"/>
      <w:r>
        <w:t>Arterburn</w:t>
      </w:r>
      <w:proofErr w:type="spellEnd"/>
      <w:r>
        <w:t xml:space="preserve"> et al, 2011). Of note, among patients considering bariatric surgery, patients who received a video-based, interactive decision aid had higher understanding, more realistic expectations, and lower uncertainty about treatment modality compared to those who received traditional verbal and written information (</w:t>
      </w:r>
      <w:proofErr w:type="spellStart"/>
      <w:r>
        <w:t>Arterburn</w:t>
      </w:r>
      <w:proofErr w:type="spellEnd"/>
      <w:r>
        <w:t xml:space="preserve"> et al, 2011). </w:t>
      </w:r>
    </w:p>
    <w:p w14:paraId="2500A851" w14:textId="77777777" w:rsidR="006864E1" w:rsidRDefault="3EEF55E6" w:rsidP="00A833F2">
      <w:pPr>
        <w:pStyle w:val="Noindent"/>
        <w:ind w:firstLine="720"/>
      </w:pPr>
      <w:r>
        <w:t xml:space="preserve">Still, the simplest types of materials are in the form of pamphlets and other paper-based handouts. The upsides of this modality are obvious: they are easy and cheap to reproduce, easy to take home, and </w:t>
      </w:r>
      <w:proofErr w:type="gramStart"/>
      <w:r>
        <w:t>can be referred</w:t>
      </w:r>
      <w:proofErr w:type="gramEnd"/>
      <w:r>
        <w:t xml:space="preserve"> to at the convenience of the patient. The major downside of this modality is more subtle: it is exceedingly difficult to create effective patient handouts.</w:t>
      </w:r>
    </w:p>
    <w:p w14:paraId="46390CFD" w14:textId="77777777" w:rsidR="006864E1" w:rsidRDefault="69CFA879" w:rsidP="006864E1">
      <w:pPr>
        <w:pStyle w:val="Heading2"/>
      </w:pPr>
      <w:bookmarkStart w:id="9" w:name="_Toc525805121"/>
      <w:r>
        <w:t>Readability of health education material and grade level analysis</w:t>
      </w:r>
      <w:bookmarkEnd w:id="9"/>
    </w:p>
    <w:p w14:paraId="0EB4B701" w14:textId="77777777" w:rsidR="006864E1" w:rsidRPr="00C74791" w:rsidRDefault="69CFA879" w:rsidP="006864E1">
      <w:pPr>
        <w:ind w:firstLine="0"/>
      </w:pPr>
      <w:proofErr w:type="gramStart"/>
      <w:r>
        <w:t>There are two major issues that</w:t>
      </w:r>
      <w:proofErr w:type="gramEnd"/>
      <w:r>
        <w:t xml:space="preserve"> arise when composing paper-based patient education materials. The first is readability, while the second is comprehensibility. Readability </w:t>
      </w:r>
      <w:proofErr w:type="gramStart"/>
      <w:r>
        <w:t>is typically measured</w:t>
      </w:r>
      <w:proofErr w:type="gramEnd"/>
      <w:r>
        <w:t xml:space="preserve"> by “grade level,” or the numbers of years of formal schooling a subject would need to be able to understand and internalize the content of the text. Numerous formulas and metrics exist for estimating grade level, typically taking into account average word length in syllables as well as average sentence length. The “Simple Measure of Gobbledygook,” or SMOG score, is one such metric. Over time, it has become a commonly used metric in analyzing the readability of health </w:t>
      </w:r>
      <w:r>
        <w:lastRenderedPageBreak/>
        <w:t xml:space="preserve">documents. It is considered </w:t>
      </w:r>
      <w:proofErr w:type="gramStart"/>
      <w:r>
        <w:t>to be particularly</w:t>
      </w:r>
      <w:proofErr w:type="gramEnd"/>
      <w:r>
        <w:t xml:space="preserve"> well suited for health communication documents, as other common metrics can underestimate the difficulty of understanding these materials (Fitzsimmons et al, 2010). Unlike many other metrics, SMOG scores </w:t>
      </w:r>
      <w:proofErr w:type="gramStart"/>
      <w:r>
        <w:t>were initially validated</w:t>
      </w:r>
      <w:proofErr w:type="gramEnd"/>
      <w:r>
        <w:t xml:space="preserve"> by correlating them directly to student comprehension. That is to say, the creator of the SMOG score actually had students read passages, take a test on the passages, and then correlated their comprehension with their metric (McLaughlin, 1969).  Other metrics were validated using methods that did not directly assess comprehension. For example, the initial study that established the Flesch-Kincaid grade level used cloze testing to scale their formula (Kincaid et al, 1975). Cloze testing involves successfully filling missing words in a passage, and does not directly assess comprehension. In fact, Kincaid freely admits in his initial paper that despite the fact that they were focused on comprehension, their methods “resulted in higher estimates of reading ability than would have resulted” from more complete testing in line with the literature of the day (Kincaid et al, 1975). Ideally, only information that is important and relevant to a patient’s diagnosis and treatment plan should be included in educational materials. In this context, it seems appropriate to use a metric, such as SMOG, that </w:t>
      </w:r>
      <w:proofErr w:type="gramStart"/>
      <w:r>
        <w:t>was directly correlated</w:t>
      </w:r>
      <w:proofErr w:type="gramEnd"/>
      <w:r>
        <w:t xml:space="preserve"> with 100% understanding. </w:t>
      </w:r>
    </w:p>
    <w:p w14:paraId="35A4D9B2" w14:textId="77777777" w:rsidR="006864E1" w:rsidRPr="006864E1" w:rsidRDefault="3EEF55E6" w:rsidP="00A833F2">
      <w:pPr>
        <w:pStyle w:val="Noindent"/>
        <w:ind w:firstLine="720"/>
      </w:pPr>
      <w:r>
        <w:t xml:space="preserve">The SMOG formula </w:t>
      </w:r>
      <w:proofErr w:type="gramStart"/>
      <w:r>
        <w:t>has been validated</w:t>
      </w:r>
      <w:proofErr w:type="gramEnd"/>
      <w:r>
        <w:t xml:space="preserve"> against actual subject comprehension as measured by reading tests in numerous studies. In the initial paper describing the SMOG score, the authors found a correlation coefficient of R = 0.985 between SMOG score and full understanding of the document, though the author is clear to note that figure is likely due to statistical techniques and should not be taken at face value (McLaughlin, 1969). Instead, the standard error of roughly 1.5 should be the focus of the metrics reliability. In practice, this standard error means that 68% percent of materials evaluated using SMOG will fall within 1.5 grade levels of their “true” grade level. To be clear, these metrics are not perfect. For one, they are subject to the uncertainty noted previously. </w:t>
      </w:r>
      <w:r>
        <w:lastRenderedPageBreak/>
        <w:t xml:space="preserve">They also </w:t>
      </w:r>
      <w:proofErr w:type="gramStart"/>
      <w:r>
        <w:t>make no</w:t>
      </w:r>
      <w:proofErr w:type="gramEnd"/>
      <w:r>
        <w:t xml:space="preserve"> attempt to measure cohesion between subsequent sentences; that is to say, how one sentence flows logically from the previous sentence. This is an important factor in readability (</w:t>
      </w:r>
      <w:proofErr w:type="spellStart"/>
      <w:r>
        <w:t>Kandula</w:t>
      </w:r>
      <w:proofErr w:type="spellEnd"/>
      <w:r>
        <w:t xml:space="preserve"> &amp; Zeng-</w:t>
      </w:r>
      <w:proofErr w:type="spellStart"/>
      <w:r>
        <w:t>Treitler</w:t>
      </w:r>
      <w:proofErr w:type="spellEnd"/>
      <w:r>
        <w:t>, 2008), but is impossible to evaluate using any formula that takes word length and sentence length as its only inputs. Unfortunately, short of actually bringing in dozens of subjects to review education materials, these readability formulas are likely the best proxy available to estimate readability of the text.</w:t>
      </w:r>
    </w:p>
    <w:p w14:paraId="38D579D4" w14:textId="77777777" w:rsidR="00A833F2" w:rsidRDefault="69CFA879" w:rsidP="00A833F2">
      <w:pPr>
        <w:pStyle w:val="Heading2"/>
      </w:pPr>
      <w:bookmarkStart w:id="10" w:name="_Toc525805122"/>
      <w:r>
        <w:t>Comprehensibility and cognitive load theory</w:t>
      </w:r>
      <w:bookmarkEnd w:id="10"/>
    </w:p>
    <w:p w14:paraId="404822C9" w14:textId="77777777" w:rsidR="00A833F2" w:rsidRPr="00C74791" w:rsidRDefault="69CFA879" w:rsidP="00A833F2">
      <w:pPr>
        <w:ind w:firstLine="0"/>
      </w:pPr>
      <w:r>
        <w:t>That said</w:t>
      </w:r>
      <w:proofErr w:type="gramStart"/>
      <w:r>
        <w:t>,</w:t>
      </w:r>
      <w:proofErr w:type="gramEnd"/>
      <w:r>
        <w:t xml:space="preserve"> there is a second issue with only using grade level analysis of readability to rate health education material. This relates to the “comprehensibility” of a document. The comprehensibility of a document describes the ability of a person to internalize the meaning and key points of the document. While readability is one key factor in comprehensibility, it is not the only one. A single text, presented to subjects in two different ways, can vary in comprehensibility despite having, by definition, identical readability. Intuitively, this should not be surprising. One can imagine a block of black text on a white sheet of paper might be more difficult to comprehend than a colorful pamphlet with pictures and clear, bulleted lists, even if the textual content of each document were identical. As an example, a recent paper showed that the perceived complexity of healthcare related documents by non-experts does not always correlate with readability metrics. Specifically, they compared patient notes from the electronic health record (EHR) to Wikipedia pages on biomedical topics. All reading level metrics, including SMOG, graded the EHR notes as significantly easier than the Wikipedia articles. Meanwhile, non-expert subjects rated both as equally complex subjectively (Zheng &amp; Yu, 2017). Put another way, readability metrics do not always agree with </w:t>
      </w:r>
      <w:r>
        <w:lastRenderedPageBreak/>
        <w:t>actual human subjects when describing the comprehensibility of a document. Since neither EHR notes nor Wikipedia articles are acceptable patient education documents, the specific details of this paper do not seem directly relevant to this study. That said</w:t>
      </w:r>
      <w:proofErr w:type="gramStart"/>
      <w:r>
        <w:t>,</w:t>
      </w:r>
      <w:proofErr w:type="gramEnd"/>
      <w:r>
        <w:t xml:space="preserve"> it is useful for illustrating particular shortcomings and biases of grade-level metrics when looking at documents on biomedical topics. </w:t>
      </w:r>
    </w:p>
    <w:p w14:paraId="1428D875" w14:textId="77777777" w:rsidR="00A833F2" w:rsidRPr="00C74791" w:rsidRDefault="3EEF55E6" w:rsidP="00A833F2">
      <w:r>
        <w:t xml:space="preserve">There are further data to support this intuition. </w:t>
      </w:r>
      <w:proofErr w:type="gramStart"/>
      <w:r>
        <w:t>First</w:t>
      </w:r>
      <w:proofErr w:type="gramEnd"/>
      <w:r>
        <w:t xml:space="preserve"> though, we must consider Cognitive Load Theory, which provides a framework through which we can explain the connection between learning and working memory. The theory posits that any behavior or information that </w:t>
      </w:r>
      <w:proofErr w:type="gramStart"/>
      <w:r>
        <w:t>is not programmed</w:t>
      </w:r>
      <w:proofErr w:type="gramEnd"/>
      <w:r>
        <w:t xml:space="preserve"> evolutionarily must be learned via working memory. This </w:t>
      </w:r>
      <w:proofErr w:type="gramStart"/>
      <w:r>
        <w:t>would, of course, include</w:t>
      </w:r>
      <w:proofErr w:type="gramEnd"/>
      <w:r>
        <w:t xml:space="preserve"> any information related to a patient’s diagnosis or treatment plan. Working memory is, simply put, the “conscious” part of one’s brain. It is finite, and as such, the more tasks that one’s working memory must tackle simultaneously, the less successful one will be at </w:t>
      </w:r>
      <w:proofErr w:type="gramStart"/>
      <w:r>
        <w:t>problem-solving</w:t>
      </w:r>
      <w:proofErr w:type="gramEnd"/>
      <w:r>
        <w:t xml:space="preserve"> and/or information recall (</w:t>
      </w:r>
      <w:proofErr w:type="spellStart"/>
      <w:r>
        <w:t>Sweller</w:t>
      </w:r>
      <w:proofErr w:type="spellEnd"/>
      <w:r>
        <w:t xml:space="preserve">, 2011). This framework is one way to conceptualize the difference between readability and comprehensibility. A more comprehensible document </w:t>
      </w:r>
      <w:proofErr w:type="gramStart"/>
      <w:r>
        <w:t>will be designed and presented in a way that reduces the cognitive load of the document as a whole</w:t>
      </w:r>
      <w:proofErr w:type="gramEnd"/>
      <w:r>
        <w:t xml:space="preserve">. In health education materials, this might include helpful illustrations, visual explanations, bulleted lists, efficient and logical organization, and many other techniques (Wilson &amp; Wolf, 2009). With this reduction in cognitive load, a larger proportion of working memory will be able to focus on the content of the text, leading to better internalization of the core concepts of the materials. </w:t>
      </w:r>
    </w:p>
    <w:p w14:paraId="4BDB816D" w14:textId="77777777" w:rsidR="006864E1" w:rsidRDefault="3EEF55E6" w:rsidP="00A833F2">
      <w:r>
        <w:t>A related concept is dual coding theory, or the idea that humans process visual and language information in distinctly different ways (</w:t>
      </w:r>
      <w:proofErr w:type="spellStart"/>
      <w:r>
        <w:t>Paivio</w:t>
      </w:r>
      <w:proofErr w:type="spellEnd"/>
      <w:r>
        <w:t xml:space="preserve">, 1991). Building on this concept, multimedia theory suggests that combining visuals with written information will improve how much of the information a subject can internalize in a given time period, compared to if they were only provided with text-based information (Mayer, 2005). A perfect example of this fact </w:t>
      </w:r>
      <w:proofErr w:type="gramStart"/>
      <w:r>
        <w:t xml:space="preserve">can be </w:t>
      </w:r>
      <w:r>
        <w:lastRenderedPageBreak/>
        <w:t>seen</w:t>
      </w:r>
      <w:proofErr w:type="gramEnd"/>
      <w:r>
        <w:t xml:space="preserve"> in the simple cognitive experiment performed by </w:t>
      </w:r>
      <w:proofErr w:type="spellStart"/>
      <w:r>
        <w:t>Ishi</w:t>
      </w:r>
      <w:proofErr w:type="spellEnd"/>
      <w:r>
        <w:t xml:space="preserve"> &amp; Yamauchi, in which they asked subjects to memorize a series of sentences. Notably, subjects had better recall of sentences when these sentences </w:t>
      </w:r>
      <w:proofErr w:type="gramStart"/>
      <w:r>
        <w:t>were presented</w:t>
      </w:r>
      <w:proofErr w:type="gramEnd"/>
      <w:r>
        <w:t xml:space="preserve"> alongside a corresponding visual figure (</w:t>
      </w:r>
      <w:proofErr w:type="spellStart"/>
      <w:r>
        <w:t>Ishi</w:t>
      </w:r>
      <w:proofErr w:type="spellEnd"/>
      <w:r>
        <w:t xml:space="preserve"> &amp; Yamauchi, 1994). Both cognitive load and multimedia theories are useful to consider when trying </w:t>
      </w:r>
      <w:proofErr w:type="gramStart"/>
      <w:r>
        <w:t>to improve</w:t>
      </w:r>
      <w:proofErr w:type="gramEnd"/>
      <w:r>
        <w:t xml:space="preserve"> patient understanding of written materials.</w:t>
      </w:r>
    </w:p>
    <w:p w14:paraId="7A57AE6B" w14:textId="77777777" w:rsidR="00A833F2" w:rsidRDefault="69CFA879" w:rsidP="00A833F2">
      <w:pPr>
        <w:pStyle w:val="Heading2"/>
      </w:pPr>
      <w:bookmarkStart w:id="11" w:name="_Toc525805123"/>
      <w:r>
        <w:t>Suitability assessment of materials to evaluate comprehensibility</w:t>
      </w:r>
      <w:bookmarkEnd w:id="11"/>
    </w:p>
    <w:p w14:paraId="25BA8DBE" w14:textId="77777777" w:rsidR="00A833F2" w:rsidRPr="00CF6086" w:rsidRDefault="3EEF55E6" w:rsidP="3EEF55E6">
      <w:pPr>
        <w:pStyle w:val="Caption"/>
        <w:keepNext/>
        <w:ind w:firstLine="0"/>
        <w:rPr>
          <w:b w:val="0"/>
          <w:bCs w:val="0"/>
          <w:sz w:val="24"/>
          <w:szCs w:val="24"/>
        </w:rPr>
      </w:pPr>
      <w:r w:rsidRPr="3EEF55E6">
        <w:rPr>
          <w:b w:val="0"/>
          <w:bCs w:val="0"/>
          <w:sz w:val="24"/>
          <w:szCs w:val="24"/>
        </w:rPr>
        <w:t xml:space="preserve">While numerous papers </w:t>
      </w:r>
      <w:proofErr w:type="gramStart"/>
      <w:r w:rsidRPr="3EEF55E6">
        <w:rPr>
          <w:b w:val="0"/>
          <w:bCs w:val="0"/>
          <w:sz w:val="24"/>
          <w:szCs w:val="24"/>
        </w:rPr>
        <w:t>have been written</w:t>
      </w:r>
      <w:proofErr w:type="gramEnd"/>
      <w:r w:rsidRPr="3EEF55E6">
        <w:rPr>
          <w:b w:val="0"/>
          <w:bCs w:val="0"/>
          <w:sz w:val="24"/>
          <w:szCs w:val="24"/>
        </w:rPr>
        <w:t xml:space="preserve"> on how to design outpatient documents, it is also important to develop an evaluation tool for said documents. The “Suitability Assessment of Materials” (SAM) score is perhaps the gold standard for </w:t>
      </w:r>
      <w:proofErr w:type="gramStart"/>
      <w:r w:rsidRPr="3EEF55E6">
        <w:rPr>
          <w:b w:val="0"/>
          <w:bCs w:val="0"/>
          <w:sz w:val="24"/>
          <w:szCs w:val="24"/>
        </w:rPr>
        <w:t>health education document comprehensibility evaluation</w:t>
      </w:r>
      <w:proofErr w:type="gramEnd"/>
      <w:r w:rsidRPr="3EEF55E6">
        <w:rPr>
          <w:b w:val="0"/>
          <w:bCs w:val="0"/>
          <w:sz w:val="24"/>
          <w:szCs w:val="24"/>
        </w:rPr>
        <w:t>. It is an evaluation tool that assesses a document in a number of domains, including content, literacy demand, graphics, layout, learning stimulation, and cultural appropriateness (</w:t>
      </w:r>
      <w:proofErr w:type="spellStart"/>
      <w:r w:rsidRPr="3EEF55E6">
        <w:rPr>
          <w:b w:val="0"/>
          <w:bCs w:val="0"/>
          <w:sz w:val="24"/>
          <w:szCs w:val="24"/>
        </w:rPr>
        <w:t>Doak</w:t>
      </w:r>
      <w:proofErr w:type="spellEnd"/>
      <w:r w:rsidRPr="3EEF55E6">
        <w:rPr>
          <w:b w:val="0"/>
          <w:bCs w:val="0"/>
          <w:sz w:val="24"/>
          <w:szCs w:val="24"/>
        </w:rPr>
        <w:t xml:space="preserve"> et al, 1996) This metric attempts to evaluate the suitability of health education documents as a whole, with readability as only a single domain. It </w:t>
      </w:r>
      <w:proofErr w:type="gramStart"/>
      <w:r w:rsidRPr="3EEF55E6">
        <w:rPr>
          <w:b w:val="0"/>
          <w:bCs w:val="0"/>
          <w:sz w:val="24"/>
          <w:szCs w:val="24"/>
        </w:rPr>
        <w:t>is regularly used</w:t>
      </w:r>
      <w:proofErr w:type="gramEnd"/>
      <w:r w:rsidRPr="3EEF55E6">
        <w:rPr>
          <w:b w:val="0"/>
          <w:bCs w:val="0"/>
          <w:sz w:val="24"/>
          <w:szCs w:val="24"/>
        </w:rPr>
        <w:t xml:space="preserve"> to evaluate health education materials on a large selection of topics from a wide variety of sources </w:t>
      </w:r>
      <w:r w:rsidRPr="3EEF55E6">
        <w:rPr>
          <w:b w:val="0"/>
          <w:bCs w:val="0"/>
          <w:sz w:val="24"/>
          <w:szCs w:val="24"/>
        </w:rPr>
        <w:lastRenderedPageBreak/>
        <w:t xml:space="preserve">(Weintraub et al, 2004; Rhee et al, 2013; Smith &amp; Cason, 1998; Tian et al, 2014; </w:t>
      </w:r>
      <w:proofErr w:type="spellStart"/>
      <w:r w:rsidRPr="3EEF55E6">
        <w:rPr>
          <w:b w:val="0"/>
          <w:bCs w:val="0"/>
          <w:sz w:val="24"/>
          <w:szCs w:val="24"/>
        </w:rPr>
        <w:t>Vallance</w:t>
      </w:r>
      <w:proofErr w:type="spellEnd"/>
      <w:r w:rsidRPr="3EEF55E6">
        <w:rPr>
          <w:b w:val="0"/>
          <w:bCs w:val="0"/>
          <w:sz w:val="24"/>
          <w:szCs w:val="24"/>
        </w:rPr>
        <w:t xml:space="preserve"> et al, 2008; </w:t>
      </w:r>
      <w:proofErr w:type="spellStart"/>
      <w:r w:rsidRPr="3EEF55E6">
        <w:rPr>
          <w:b w:val="0"/>
          <w:bCs w:val="0"/>
          <w:sz w:val="24"/>
          <w:szCs w:val="24"/>
        </w:rPr>
        <w:t>Tuot</w:t>
      </w:r>
      <w:proofErr w:type="spellEnd"/>
      <w:r w:rsidRPr="3EEF55E6">
        <w:rPr>
          <w:b w:val="0"/>
          <w:bCs w:val="0"/>
          <w:sz w:val="24"/>
          <w:szCs w:val="24"/>
        </w:rPr>
        <w:t xml:space="preserve"> et al, 2013; </w:t>
      </w:r>
      <w:proofErr w:type="spellStart"/>
      <w:r w:rsidRPr="3EEF55E6">
        <w:rPr>
          <w:b w:val="0"/>
          <w:bCs w:val="0"/>
          <w:sz w:val="24"/>
          <w:szCs w:val="24"/>
        </w:rPr>
        <w:t>Badarudeen</w:t>
      </w:r>
      <w:proofErr w:type="spellEnd"/>
      <w:r w:rsidRPr="3EEF55E6">
        <w:rPr>
          <w:b w:val="0"/>
          <w:bCs w:val="0"/>
          <w:sz w:val="24"/>
          <w:szCs w:val="24"/>
        </w:rPr>
        <w:t xml:space="preserve"> &amp; Sabharwal, 2010; </w:t>
      </w:r>
      <w:proofErr w:type="spellStart"/>
      <w:r w:rsidRPr="3EEF55E6">
        <w:rPr>
          <w:b w:val="0"/>
          <w:bCs w:val="0"/>
          <w:sz w:val="24"/>
          <w:szCs w:val="24"/>
        </w:rPr>
        <w:t>Helitzer</w:t>
      </w:r>
      <w:proofErr w:type="spellEnd"/>
      <w:r w:rsidRPr="3EEF55E6">
        <w:rPr>
          <w:b w:val="0"/>
          <w:bCs w:val="0"/>
          <w:sz w:val="24"/>
          <w:szCs w:val="24"/>
        </w:rPr>
        <w:t xml:space="preserve"> et al, 2009).</w:t>
      </w:r>
    </w:p>
    <w:p w14:paraId="71579970" w14:textId="77777777" w:rsidR="00A833F2" w:rsidRDefault="69CFA879" w:rsidP="00A833F2">
      <w:pPr>
        <w:pStyle w:val="Heading2"/>
      </w:pPr>
      <w:bookmarkStart w:id="12" w:name="_Toc525805124"/>
      <w:r>
        <w:t>Relationship between health literacy and patient understanding</w:t>
      </w:r>
      <w:bookmarkEnd w:id="12"/>
    </w:p>
    <w:p w14:paraId="5A6B7BF0" w14:textId="77777777" w:rsidR="00CF6086" w:rsidRDefault="69CFA879" w:rsidP="00CF6086">
      <w:pPr>
        <w:ind w:firstLine="0"/>
      </w:pPr>
      <w:r>
        <w:t xml:space="preserve">As is clear from previously cited studies, low patient understanding correlates with poor compliance. Poor compliance with an evidence-based treatment plan will, by definition, lead to a worse outcome. One difficult aspect of research in this field is how the concepts of patient understanding and low health literacy overlap. Countless studies have examined the interaction between health literacy and outcome. The extensive review by Berkman et al (2011) shows that low health literacy </w:t>
      </w:r>
      <w:proofErr w:type="gramStart"/>
      <w:r>
        <w:t>has been continuously correlated</w:t>
      </w:r>
      <w:proofErr w:type="gramEnd"/>
      <w:r>
        <w:t xml:space="preserve"> with worse outcomes for a wide variety of diseases. Relevant to this study, children of parents with high health literacy have better outcomes with regard to child health promotion and disease prevention (Sander et al, 2009). This begs the question, how do health literacy, parent/patient understanding, and poor outcomes fit together in a cause-and-effect model? One possibility is that low health literacy and low understanding are both independent factors leading to poor outcomes. Conversely, </w:t>
      </w:r>
      <w:proofErr w:type="gramStart"/>
      <w:r>
        <w:t>it’s</w:t>
      </w:r>
      <w:proofErr w:type="gramEnd"/>
      <w:r>
        <w:t xml:space="preserve"> possible that low health literacy is independently responsible for low understanding and poor outcomes. Finally, low understanding of a disease of treatment plan might be an intermediary that links poor health literacy with poor outcomes (</w:t>
      </w:r>
      <w:r w:rsidRPr="69CFA879">
        <w:rPr>
          <w:b/>
          <w:bCs/>
        </w:rPr>
        <w:t>Figure 1</w:t>
      </w:r>
      <w:r>
        <w:t xml:space="preserve">). </w:t>
      </w:r>
    </w:p>
    <w:p w14:paraId="42C6D796" w14:textId="77777777" w:rsidR="00B61C43" w:rsidRPr="00C74791" w:rsidRDefault="00B61C43" w:rsidP="00CF6086">
      <w:pPr>
        <w:ind w:firstLine="0"/>
      </w:pPr>
    </w:p>
    <w:p w14:paraId="6E1831B3" w14:textId="77777777" w:rsidR="00A06ED5" w:rsidRDefault="000B510B" w:rsidP="00A06ED5">
      <w:r>
        <w:rPr>
          <w:noProof/>
        </w:rPr>
        <w:lastRenderedPageBreak/>
        <w:drawing>
          <wp:inline distT="0" distB="0" distL="0" distR="0" wp14:anchorId="1D41B4D9" wp14:editId="07777777">
            <wp:extent cx="5838190" cy="262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190" cy="2629535"/>
                    </a:xfrm>
                    <a:prstGeom prst="rect">
                      <a:avLst/>
                    </a:prstGeom>
                    <a:noFill/>
                    <a:ln>
                      <a:noFill/>
                    </a:ln>
                  </pic:spPr>
                </pic:pic>
              </a:graphicData>
            </a:graphic>
          </wp:inline>
        </w:drawing>
      </w:r>
    </w:p>
    <w:p w14:paraId="3C93C9B8" w14:textId="77777777" w:rsidR="00A06ED5" w:rsidRDefault="00A06ED5" w:rsidP="69CFA879">
      <w:pPr>
        <w:pStyle w:val="Caption"/>
        <w:ind w:firstLine="540"/>
        <w:jc w:val="center"/>
        <w:rPr>
          <w:b w:val="0"/>
          <w:bCs w:val="0"/>
          <w:i/>
          <w:iCs/>
        </w:rPr>
      </w:pPr>
      <w:bookmarkStart w:id="13" w:name="_Toc525805155"/>
      <w:r>
        <w:t xml:space="preserve">Figure </w:t>
      </w:r>
      <w:r w:rsidR="00FB6957">
        <w:fldChar w:fldCharType="begin"/>
      </w:r>
      <w:r w:rsidR="00FB6957">
        <w:instrText xml:space="preserve"> SEQ Figure \* ARABIC </w:instrText>
      </w:r>
      <w:r w:rsidR="00FB6957">
        <w:fldChar w:fldCharType="separate"/>
      </w:r>
      <w:r w:rsidR="009E497A" w:rsidRPr="69CFA879">
        <w:t>1</w:t>
      </w:r>
      <w:r w:rsidR="00FB6957">
        <w:fldChar w:fldCharType="end"/>
      </w:r>
      <w:r>
        <w:t xml:space="preserve">. </w:t>
      </w:r>
      <w:r w:rsidRPr="000261F9">
        <w:t xml:space="preserve">Potential Causal Relationship </w:t>
      </w:r>
      <w:r w:rsidR="00075887" w:rsidRPr="000261F9">
        <w:t>between</w:t>
      </w:r>
      <w:r w:rsidRPr="000261F9">
        <w:t xml:space="preserve"> Low Health Literacy and Low Patient Understanding</w:t>
      </w:r>
      <w:bookmarkEnd w:id="13"/>
    </w:p>
    <w:p w14:paraId="54E11D2A" w14:textId="77777777" w:rsidR="00A06ED5" w:rsidRDefault="00A06ED5" w:rsidP="00A06ED5">
      <w:pPr>
        <w:ind w:firstLine="0"/>
      </w:pPr>
    </w:p>
    <w:p w14:paraId="5D91115A" w14:textId="77777777" w:rsidR="00CF6086" w:rsidRPr="00C74791" w:rsidRDefault="3EEF55E6" w:rsidP="3EEF55E6">
      <w:pPr>
        <w:rPr>
          <w:highlight w:val="white"/>
        </w:rPr>
      </w:pPr>
      <w:r>
        <w:t xml:space="preserve">Given the broad scope of this question, it is difficult </w:t>
      </w:r>
      <w:proofErr w:type="gramStart"/>
      <w:r>
        <w:t>to definitively state</w:t>
      </w:r>
      <w:proofErr w:type="gramEnd"/>
      <w:r>
        <w:t xml:space="preserve"> which of these models is correct. The fact that the definition of “health literacy” has historically been nebulous (</w:t>
      </w:r>
      <w:proofErr w:type="spellStart"/>
      <w:r>
        <w:t>Sørensen</w:t>
      </w:r>
      <w:proofErr w:type="spellEnd"/>
      <w:r>
        <w:t xml:space="preserve"> et al, 2012) additionally complicates this issue. The author’s preferred definition of health literacy is that proposed by The American Medical Association: “</w:t>
      </w:r>
      <w:r w:rsidRPr="3EEF55E6">
        <w:rPr>
          <w:highlight w:val="white"/>
        </w:rPr>
        <w:t>The ability to obtain, process, and understand basic health information and services needed to make appropriate health decisions and follow instructions for treatment” (Weiss, 2007). In this framework, low health literacy is a broader challenge that an individual faces which applies to a wide breadth of interactions across the healthcare system. Low understanding of a particular diagnosis and/or treatment plan would thus be a consequence of low health literacy. This understanding of health literacy and low understanding would correspond most closely to model number 3 above (</w:t>
      </w:r>
      <w:r w:rsidRPr="3EEF55E6">
        <w:rPr>
          <w:b/>
          <w:bCs/>
          <w:highlight w:val="white"/>
        </w:rPr>
        <w:t>Figure 1</w:t>
      </w:r>
      <w:r w:rsidRPr="3EEF55E6">
        <w:rPr>
          <w:highlight w:val="white"/>
        </w:rPr>
        <w:t xml:space="preserve">). </w:t>
      </w:r>
    </w:p>
    <w:p w14:paraId="0A74C291" w14:textId="77777777" w:rsidR="00A833F2" w:rsidRDefault="69CFA879" w:rsidP="00CA50C0">
      <w:r>
        <w:t xml:space="preserve">While this framework is useful for thinking about how health education materials fit into the broader context of health literacy, the precise direction of the relationship does not actually affect the aims of this study, as long as one accepts the premise that patient understanding is a </w:t>
      </w:r>
      <w:r>
        <w:lastRenderedPageBreak/>
        <w:t>modifiable factor. If one accepts this premise, then producing and distributing patient education material is a way to both improve health on a population level and potentially reduce healthcare disparities, regardless of whether understanding is distinct from health literacy or a direct result of it.</w:t>
      </w:r>
    </w:p>
    <w:p w14:paraId="18FE3888" w14:textId="77777777" w:rsidR="00CA50C0" w:rsidRDefault="69CFA879" w:rsidP="00CA50C0">
      <w:pPr>
        <w:pStyle w:val="Heading2"/>
      </w:pPr>
      <w:bookmarkStart w:id="14" w:name="_Toc525805125"/>
      <w:r>
        <w:t>Adult literacy in the united states</w:t>
      </w:r>
      <w:bookmarkEnd w:id="14"/>
    </w:p>
    <w:p w14:paraId="5EAB1F47" w14:textId="77777777" w:rsidR="00CA50C0" w:rsidRPr="00C74791" w:rsidRDefault="3EEF55E6" w:rsidP="00CA50C0">
      <w:pPr>
        <w:ind w:firstLine="0"/>
      </w:pPr>
      <w:r>
        <w:t>With all of that said, in order to produce an effective intervention, materials must be both readable and comprehensible to a significant majority of the population. Though the relationships between socioeconomic status, overall literacy, and health literacy are complex, there are number of factors that reinforce this point. Socioeconomic status is a construct in public health and sociological research that primarily takes into account one’s education level and income (</w:t>
      </w:r>
      <w:proofErr w:type="spellStart"/>
      <w:r>
        <w:t>Braveman</w:t>
      </w:r>
      <w:proofErr w:type="spellEnd"/>
      <w:r>
        <w:t xml:space="preserve"> et al, 2005), and it correlates with health outcomes and disease burden in a number of complicated ways. In the broadest sense, lower socioeconomic status (Adler &amp; </w:t>
      </w:r>
      <w:proofErr w:type="spellStart"/>
      <w:r>
        <w:t>Ostrove</w:t>
      </w:r>
      <w:proofErr w:type="spellEnd"/>
      <w:r>
        <w:t>, 1999) and lower general literacy (</w:t>
      </w:r>
      <w:proofErr w:type="spellStart"/>
      <w:r>
        <w:t>DeWalt</w:t>
      </w:r>
      <w:proofErr w:type="spellEnd"/>
      <w:r>
        <w:t xml:space="preserve"> et al, 2004) both correlate with adverse health outcomes. Thus, if the goal of health education materials is to make an impact on the health of the whole population, it is only logical that we would aim for readability and comprehensibility that is appropriate for individuals well below the United States median in these metrics. </w:t>
      </w:r>
    </w:p>
    <w:p w14:paraId="61956944" w14:textId="77777777" w:rsidR="00CA50C0" w:rsidRPr="00C74791" w:rsidRDefault="3EEF55E6" w:rsidP="3EEF55E6">
      <w:pPr>
        <w:rPr>
          <w:i/>
          <w:iCs/>
        </w:rPr>
      </w:pPr>
      <w:r>
        <w:t xml:space="preserve">With this in mind, it is important to understand the data surrounding literacy among adults in the United States. The parameters of this study include documents written in English, and as such will only review literacy statistics referencing English-speaking individuals. Of note, modern government documents no longer use “grade level” to evaluate literacy among adults. As reported by the United States National Center for Education Statistics, the National Adult Literacy Survey’s </w:t>
      </w:r>
      <w:r>
        <w:lastRenderedPageBreak/>
        <w:t xml:space="preserve">Literacy Definition Committee “agreed that expressing the literacy  proficiencies of adults in school-based terms or grade-level scores is inappropriate” (Kirsch et al, 2002). Instead, most national and international surveys of literacy define one’s literacy along a five-point scale, frequently referred to as the PIAAC literacy scale (Appendix A). A major strength of this scale and the surveys that employ it is the fact that it evaluates literacy among three domains: prose literacy, document literacy, and quantitative literacy (National Center for Education Statistics, </w:t>
      </w:r>
      <w:proofErr w:type="spellStart"/>
      <w:r>
        <w:t>n.d.</w:t>
      </w:r>
      <w:proofErr w:type="spellEnd"/>
      <w:r>
        <w:t xml:space="preserve"> a). Thus, it broadly defines and evaluates literacy to be meaningful to one’s functioning in the </w:t>
      </w:r>
      <w:proofErr w:type="gramStart"/>
      <w:r>
        <w:t>real-world</w:t>
      </w:r>
      <w:proofErr w:type="gramEnd"/>
      <w:r>
        <w:t xml:space="preserve">. The downside of this survey is that its one-to-five scale cannot be easily applied to individual documents (as the SMOG grade level can), </w:t>
      </w:r>
      <w:proofErr w:type="gramStart"/>
      <w:r>
        <w:t>and also</w:t>
      </w:r>
      <w:proofErr w:type="gramEnd"/>
      <w:r>
        <w:t xml:space="preserve"> does not have a known correlation with grade level. At this time, there is no accepted method for converting this score to a corresponding grave level. Scores of </w:t>
      </w:r>
      <w:proofErr w:type="gramStart"/>
      <w:r>
        <w:t>0</w:t>
      </w:r>
      <w:proofErr w:type="gramEnd"/>
      <w:r>
        <w:t xml:space="preserve"> or 1 are defined as “below basic” literacy, and in the most recent survey (National Center for Education Statistics, 2016) 19.2% of U.S. adults fell into this category. Low SES individual, people of color, and subjects &gt;65 years of age have historically been disproportionately represented in this group (National Center for Education Statistics, 2003). More recent surveys have not continued these demographic breakdowns, and have in fact excluded participants greater than 65 years of age (National Center for Education Statistics, 2016), which likely causes an overestimation of the overall literacy of the adult population. With that caveat, an additional 32.8% of U.S. adults scored at level </w:t>
      </w:r>
      <w:proofErr w:type="gramStart"/>
      <w:r>
        <w:t>2</w:t>
      </w:r>
      <w:proofErr w:type="gramEnd"/>
      <w:r>
        <w:t xml:space="preserve"> (National Center for Education Statistics, 2016). A defining factor of level </w:t>
      </w:r>
      <w:proofErr w:type="gramStart"/>
      <w:r>
        <w:t>2</w:t>
      </w:r>
      <w:proofErr w:type="gramEnd"/>
      <w:r>
        <w:t xml:space="preserve"> is the ability to make “low-level” inferences (National Center for Education Statistics, </w:t>
      </w:r>
      <w:proofErr w:type="spellStart"/>
      <w:r>
        <w:t>n.d.</w:t>
      </w:r>
      <w:proofErr w:type="spellEnd"/>
      <w:r>
        <w:t xml:space="preserve"> b). For an example of a “low-level” inference, imagine two documents: the first clearly </w:t>
      </w:r>
      <w:proofErr w:type="gramStart"/>
      <w:r>
        <w:t>states that</w:t>
      </w:r>
      <w:proofErr w:type="gramEnd"/>
      <w:r>
        <w:t xml:space="preserve"> “A implies B” while the second clearly states “B implies C.” Assuming that both documents </w:t>
      </w:r>
      <w:proofErr w:type="gramStart"/>
      <w:r>
        <w:t>are written</w:t>
      </w:r>
      <w:proofErr w:type="gramEnd"/>
      <w:r>
        <w:t xml:space="preserve"> in a simple and straightforward manner, individuals with level 2 literacy would be expected to have the capacity to conclude that A implies C. Any inference more </w:t>
      </w:r>
      <w:r>
        <w:lastRenderedPageBreak/>
        <w:t>complicated than this would likely be beyond their abilities. Again, 32.8% of U.S. adults are, at best, capable of this type of reading comprehension. An additional 19.2% of adults would thus be unable to perform even that type of simple inference between documents.</w:t>
      </w:r>
    </w:p>
    <w:p w14:paraId="052E3621" w14:textId="77777777" w:rsidR="00A833F2" w:rsidRPr="00A833F2" w:rsidRDefault="69CFA879" w:rsidP="0022690E">
      <w:r>
        <w:t xml:space="preserve">In the past, many professional and governmental groups have made recommendations on the maximum reading level of health education material based on these studies. The American Academy of Family Physicians (AAFP) has recommended that all materials </w:t>
      </w:r>
      <w:proofErr w:type="gramStart"/>
      <w:r>
        <w:t>be written</w:t>
      </w:r>
      <w:proofErr w:type="gramEnd"/>
      <w:r>
        <w:t xml:space="preserve"> at a 6th grade level (</w:t>
      </w:r>
      <w:proofErr w:type="spellStart"/>
      <w:r>
        <w:t>Safeer</w:t>
      </w:r>
      <w:proofErr w:type="spellEnd"/>
      <w:r>
        <w:t xml:space="preserve"> &amp; Keenan, 2005; </w:t>
      </w:r>
      <w:proofErr w:type="spellStart"/>
      <w:r>
        <w:t>Hersh</w:t>
      </w:r>
      <w:proofErr w:type="spellEnd"/>
      <w:r>
        <w:t xml:space="preserve"> et al, 2015). In materials produced in 1999, the CDC recommended aiming for a 6th or 7th grade reading level for materials intended for the general population (CDC, 1999). Of note, upon revision in 2009, this recommendation </w:t>
      </w:r>
      <w:proofErr w:type="gramStart"/>
      <w:r>
        <w:t>was removed</w:t>
      </w:r>
      <w:proofErr w:type="gramEnd"/>
      <w:r>
        <w:t xml:space="preserve"> and no explicit target grade level was given (CDC, 2015). The Centers for Medicare and Medicaid Services (CMS) agree that readability formulas are an important tool when assessing patient education materials, but recommends against an explicit target grade level (McGee, 2012).</w:t>
      </w:r>
    </w:p>
    <w:p w14:paraId="4B244BDA" w14:textId="77777777" w:rsidR="00A833F2" w:rsidRPr="0022690E" w:rsidRDefault="69CFA879" w:rsidP="0022690E">
      <w:pPr>
        <w:pStyle w:val="Heading2"/>
      </w:pPr>
      <w:bookmarkStart w:id="15" w:name="_Toc525805126"/>
      <w:r>
        <w:t>Status of health education materials currently available</w:t>
      </w:r>
      <w:bookmarkEnd w:id="15"/>
    </w:p>
    <w:p w14:paraId="41CBE705" w14:textId="77777777" w:rsidR="0022690E" w:rsidRPr="00C74791" w:rsidRDefault="3EEF55E6" w:rsidP="0022690E">
      <w:pPr>
        <w:ind w:firstLine="0"/>
      </w:pPr>
      <w:r>
        <w:t xml:space="preserve">With these data in mind, it is useful to examine the grade level of health education materials currently available. Unfortunately, a majority of studies reveal that the grade levels are far too high to be useful to the majority of the population. In 2005, </w:t>
      </w:r>
      <w:proofErr w:type="spellStart"/>
      <w:r>
        <w:t>Cotugna</w:t>
      </w:r>
      <w:proofErr w:type="spellEnd"/>
      <w:r>
        <w:t xml:space="preserve"> found that half of the education materials intended for patient use and published in health care journals were at a 9th grade reading level or higher (</w:t>
      </w:r>
      <w:proofErr w:type="spellStart"/>
      <w:r>
        <w:t>Cotugna</w:t>
      </w:r>
      <w:proofErr w:type="spellEnd"/>
      <w:r>
        <w:t xml:space="preserve"> et al, 2005). This study used the Flesch-Kincaid (FK) index to estimate grade level, which as noted above, can often underestimate the difficulty of materials. Reinforcing this point, a study of web-based pediatric health education materials were found to have an average </w:t>
      </w:r>
      <w:r>
        <w:lastRenderedPageBreak/>
        <w:t xml:space="preserve">SMOG grade level of 12.2 but an average FK grade of 7.1 (D’Alessandro et al, 2001). Remaining in the realm of pediatrics specifically, one study found that every single piece of American Academy of Pediatrics (AAP) patient education material in 2005 to be at a 9th grade reading level or higher (Freda, 2005). Around the same time, the AAFP found that their educational materials had an average grade level of 9.43 (Wallace &amp; Lennon, 2004). </w:t>
      </w:r>
    </w:p>
    <w:p w14:paraId="074A5D64" w14:textId="77777777" w:rsidR="0022690E" w:rsidRPr="00C74791" w:rsidRDefault="3EEF55E6" w:rsidP="0022690E">
      <w:proofErr w:type="gramStart"/>
      <w:r>
        <w:t>More recent studies</w:t>
      </w:r>
      <w:proofErr w:type="gramEnd"/>
      <w:r>
        <w:t xml:space="preserve"> have produced more encouraging results.  A 2014 paper that focused on materials intended for low education families found that only 28% of materials were above an 8th grade level (Ryan et al, 2014), representing an improvement from a decade earlier. In addition, a large array of professional, academic and governmental groups have put forth recommendations on how to address </w:t>
      </w:r>
      <w:proofErr w:type="gramStart"/>
      <w:r>
        <w:t>these shortcoming</w:t>
      </w:r>
      <w:proofErr w:type="gramEnd"/>
      <w:r>
        <w:t xml:space="preserve"> (CDC, 2009; CDC, 2016; Minnesota Health Literacy Partnership, 2016; American Medical Association, 2007; </w:t>
      </w:r>
      <w:proofErr w:type="spellStart"/>
      <w:r>
        <w:t>Brega</w:t>
      </w:r>
      <w:proofErr w:type="spellEnd"/>
      <w:r>
        <w:t xml:space="preserve"> et al, 2015).</w:t>
      </w:r>
    </w:p>
    <w:p w14:paraId="6ECE11A9" w14:textId="77777777" w:rsidR="0022690E" w:rsidRDefault="69CFA879" w:rsidP="0022690E">
      <w:r>
        <w:t xml:space="preserve">Clearly, poor outcomes secondary to low understanding of diagnosis and treatment plan is a modifiable risk factor that </w:t>
      </w:r>
      <w:proofErr w:type="gramStart"/>
      <w:r>
        <w:t>can potentially be addressed</w:t>
      </w:r>
      <w:proofErr w:type="gramEnd"/>
      <w:r>
        <w:t xml:space="preserve"> by high quality health education materials. As noted above, pediatrics is an area that should be of particular focus for healthcare utilization reasons; health issues earlier in life tend to prognosticate chronic disease in adulthood (Dietz, 1998; Barker et al, 1991; Lynch &amp; Smith, 2005). This author also believes there is a strong social justice argument to </w:t>
      </w:r>
      <w:proofErr w:type="gramStart"/>
      <w:r>
        <w:t>be made</w:t>
      </w:r>
      <w:proofErr w:type="gramEnd"/>
      <w:r>
        <w:t xml:space="preserve"> for ensuring that health education materials are understandable by parents. Ethically and statutorily, society has determined that children deserve extra protection with regards to clinical research (Kirk, 2007; Mahon et al, 1996), health insurance (Howell &amp; Kenney, 2012), and protection from abuse (United States Department of Health &amp; Human Services, 2016). A similar argument </w:t>
      </w:r>
      <w:proofErr w:type="gramStart"/>
      <w:r>
        <w:t>can be made</w:t>
      </w:r>
      <w:proofErr w:type="gramEnd"/>
      <w:r>
        <w:t xml:space="preserve"> for the importance of effective health education materials. As such, this author has decided to analyze the </w:t>
      </w:r>
      <w:proofErr w:type="gramStart"/>
      <w:r>
        <w:t>current status</w:t>
      </w:r>
      <w:proofErr w:type="gramEnd"/>
      <w:r>
        <w:t xml:space="preserve"> of outpatient health education materials at a participating free-standing tertiary care children’s hospital. These </w:t>
      </w:r>
      <w:r>
        <w:lastRenderedPageBreak/>
        <w:t xml:space="preserve">materials are especially important because children, especially young children, are unable to have meaningful behavioral control over their own health. The main goal of this study is to collect health education materials from the aforementioned institution and analyze them using SMOG scoring and SAM analysis. The main question the author hopes to answer </w:t>
      </w:r>
      <w:proofErr w:type="gramStart"/>
      <w:r>
        <w:t>is:</w:t>
      </w:r>
      <w:proofErr w:type="gramEnd"/>
      <w:r>
        <w:t xml:space="preserve"> “What is the status of outpatient educational materials distributed at this institution with regards to readability and comprehensibility? Does either of these qualities vary between different clinics?” This is both potentially the first arm of a quality improvement project as well as an attempt to reveal differences between the materials provided by individual clinics within the scope of a single health system. Will they all use similar materials, or will materials vary dramatically? The author is also interested in the relative prevalence of materials that </w:t>
      </w:r>
      <w:proofErr w:type="gramStart"/>
      <w:r>
        <w:t>were written</w:t>
      </w:r>
      <w:proofErr w:type="gramEnd"/>
      <w:r>
        <w:t xml:space="preserve"> in-house vs. those that were produced by outside groups. The assumption would be that professionally produced materials would be better </w:t>
      </w:r>
      <w:proofErr w:type="gramStart"/>
      <w:r>
        <w:t>than those</w:t>
      </w:r>
      <w:proofErr w:type="gramEnd"/>
      <w:r>
        <w:t xml:space="preserve"> written in-house, though the author is interested to see if this bears out in reality.</w:t>
      </w:r>
    </w:p>
    <w:p w14:paraId="0C4A27FC" w14:textId="77777777" w:rsidR="00513CE5" w:rsidRDefault="69CFA879" w:rsidP="00513CE5">
      <w:pPr>
        <w:pStyle w:val="Heading1"/>
      </w:pPr>
      <w:bookmarkStart w:id="16" w:name="_Toc525805127"/>
      <w:r>
        <w:lastRenderedPageBreak/>
        <w:t>methods</w:t>
      </w:r>
      <w:bookmarkEnd w:id="16"/>
    </w:p>
    <w:p w14:paraId="05E71894" w14:textId="77777777" w:rsidR="00513CE5" w:rsidRPr="00C74791" w:rsidRDefault="69CFA879" w:rsidP="00513CE5">
      <w:pPr>
        <w:ind w:firstLine="0"/>
      </w:pPr>
      <w:r>
        <w:t xml:space="preserve">All patient education materials used for this study </w:t>
      </w:r>
      <w:proofErr w:type="gramStart"/>
      <w:r>
        <w:t>were collected</w:t>
      </w:r>
      <w:proofErr w:type="gramEnd"/>
      <w:r>
        <w:t xml:space="preserve"> at primary care and subspecialty outpatient clinics affiliated with a large freestanding tertiary-care children’s hospital in the Northeast. Representatives from each clinic </w:t>
      </w:r>
      <w:proofErr w:type="gramStart"/>
      <w:r>
        <w:t>were contacted</w:t>
      </w:r>
      <w:proofErr w:type="gramEnd"/>
      <w:r>
        <w:t xml:space="preserve"> with an outline of the author’s research question. A request </w:t>
      </w:r>
      <w:proofErr w:type="gramStart"/>
      <w:r>
        <w:t>was made</w:t>
      </w:r>
      <w:proofErr w:type="gramEnd"/>
      <w:r>
        <w:t xml:space="preserve"> for ten pieces of patient education material from each outpatient subspecialty clinic that agreed to participate, and twenty pieces of patient education material from the general pediatrics clinic. These documents </w:t>
      </w:r>
      <w:proofErr w:type="gramStart"/>
      <w:r>
        <w:t>were selected</w:t>
      </w:r>
      <w:proofErr w:type="gramEnd"/>
      <w:r>
        <w:t xml:space="preserve"> by attending physicians or fellows who practice within the clinic, with the explicit instructions to choose “pieces of educational material that you hand out frequently.at outpatient appointments.” Given that the goal of this study is to evaluate these materials based on benefit to the community served by this institution, this author believes that framing the instructions as such will provide a representative sample of the materials that are actually making their way into the community. Additionally, the author believes analyzing a larger number of materials from the general pediatrics clinic is appropriate as a much larger proportion of children and parents </w:t>
      </w:r>
      <w:proofErr w:type="gramStart"/>
      <w:r>
        <w:t>come into contact with</w:t>
      </w:r>
      <w:proofErr w:type="gramEnd"/>
      <w:r>
        <w:t xml:space="preserve"> this clinic compared to the pediatric subspecialties. </w:t>
      </w:r>
    </w:p>
    <w:p w14:paraId="2BCCABDF" w14:textId="77777777" w:rsidR="00513CE5" w:rsidRPr="00C74791" w:rsidRDefault="69CFA879" w:rsidP="00513CE5">
      <w:r>
        <w:t xml:space="preserve">Each piece of patient education material </w:t>
      </w:r>
      <w:proofErr w:type="gramStart"/>
      <w:r>
        <w:t>was classified</w:t>
      </w:r>
      <w:proofErr w:type="gramEnd"/>
      <w:r>
        <w:t xml:space="preserve"> as either being produced in-house or by an “outside group.” Professional groups, advocacy groups, governmental groups, and industry sources are all considered examples of “outside groups” for the purposes of this categorization. The author also calculated the SMOG grade level for each piece of educational material, as per the method outlined by </w:t>
      </w:r>
      <w:proofErr w:type="spellStart"/>
      <w:r>
        <w:t>Hedman</w:t>
      </w:r>
      <w:proofErr w:type="spellEnd"/>
      <w:r>
        <w:t xml:space="preserve"> in 2008 (</w:t>
      </w:r>
      <w:proofErr w:type="spellStart"/>
      <w:r>
        <w:t>Hedman</w:t>
      </w:r>
      <w:proofErr w:type="spellEnd"/>
      <w:r>
        <w:t xml:space="preserve">, 2008). </w:t>
      </w:r>
    </w:p>
    <w:p w14:paraId="66475AB6" w14:textId="77777777" w:rsidR="0022690E" w:rsidRDefault="3EEF55E6" w:rsidP="00513CE5">
      <w:r>
        <w:t xml:space="preserve">Finally, the author applied the SAM rubric developed by the Tasmanian Government’s Department of Health and Human Services and available publicly at their website (Appendix B). </w:t>
      </w:r>
      <w:r>
        <w:lastRenderedPageBreak/>
        <w:t xml:space="preserve">This rubric </w:t>
      </w:r>
      <w:proofErr w:type="gramStart"/>
      <w:r>
        <w:t>is drawn</w:t>
      </w:r>
      <w:proofErr w:type="gramEnd"/>
      <w:r>
        <w:t xml:space="preserve"> directly from the initial evaluation guide published by </w:t>
      </w:r>
      <w:proofErr w:type="spellStart"/>
      <w:r>
        <w:t>Doak</w:t>
      </w:r>
      <w:proofErr w:type="spellEnd"/>
      <w:r>
        <w:t xml:space="preserve"> et al when they originally proposed SAM analysis. Per this metric, documents </w:t>
      </w:r>
      <w:proofErr w:type="gramStart"/>
      <w:r>
        <w:t>are evaluated</w:t>
      </w:r>
      <w:proofErr w:type="gramEnd"/>
      <w:r>
        <w:t xml:space="preserve"> based on the percentage of points that they receive during scoring compared to the total number of available points. Documents </w:t>
      </w:r>
      <w:proofErr w:type="gramStart"/>
      <w:r>
        <w:t>are considered</w:t>
      </w:r>
      <w:proofErr w:type="gramEnd"/>
      <w:r>
        <w:t xml:space="preserve"> unsuitable, adequate, or superior according to the benchmarks in Table 1, as recommended by the authors of the SAM analysis. These cutoffs are expressed as a percentage instead of a raw score </w:t>
      </w:r>
      <w:proofErr w:type="gramStart"/>
      <w:r>
        <w:t>due to the fact that</w:t>
      </w:r>
      <w:proofErr w:type="gramEnd"/>
      <w:r>
        <w:t xml:space="preserve"> not every document can be graded on every component. Thus, the possible number of points earned will differ for each document, necessitating expressing scores as a percentage in order to compare different documents. As a focus of the study is literacy and readability, the author also recorded the Literacy Requirement </w:t>
      </w:r>
      <w:proofErr w:type="spellStart"/>
      <w:r>
        <w:t>subscore</w:t>
      </w:r>
      <w:proofErr w:type="spellEnd"/>
      <w:r>
        <w:t xml:space="preserve"> of the SAM analysis (henceforth known as the “Literacy” </w:t>
      </w:r>
      <w:proofErr w:type="spellStart"/>
      <w:r>
        <w:t>subscore</w:t>
      </w:r>
      <w:proofErr w:type="spellEnd"/>
      <w:r>
        <w:t>) for each document.</w:t>
      </w:r>
    </w:p>
    <w:p w14:paraId="31126E5D" w14:textId="77777777" w:rsidR="00034CB5" w:rsidRDefault="00034CB5" w:rsidP="00034CB5">
      <w:pPr>
        <w:spacing w:line="240" w:lineRule="auto"/>
      </w:pPr>
    </w:p>
    <w:p w14:paraId="5AAB5D71" w14:textId="77777777" w:rsidR="00513CE5" w:rsidRDefault="00927EE4" w:rsidP="00927EE4">
      <w:pPr>
        <w:pStyle w:val="Caption"/>
        <w:keepNext/>
        <w:ind w:firstLine="0"/>
        <w:jc w:val="center"/>
      </w:pPr>
      <w:bookmarkStart w:id="17" w:name="_Toc525805148"/>
      <w:r>
        <w:t xml:space="preserve">Table </w:t>
      </w:r>
      <w:r w:rsidR="00FB6957">
        <w:fldChar w:fldCharType="begin"/>
      </w:r>
      <w:r w:rsidR="00FB6957">
        <w:instrText xml:space="preserve"> SEQ Table \* ARABIC </w:instrText>
      </w:r>
      <w:r w:rsidR="00FB6957">
        <w:fldChar w:fldCharType="separate"/>
      </w:r>
      <w:r w:rsidR="009E497A" w:rsidRPr="69CFA879">
        <w:t>1</w:t>
      </w:r>
      <w:r w:rsidR="00FB6957">
        <w:fldChar w:fldCharType="end"/>
      </w:r>
      <w:r>
        <w:t xml:space="preserve">. </w:t>
      </w:r>
      <w:r w:rsidRPr="00034CB5">
        <w:t>Cut-Off Ranges for SAM Analysis</w:t>
      </w:r>
      <w:bookmarkEnd w:id="17"/>
    </w:p>
    <w:tbl>
      <w:tblPr>
        <w:tblW w:w="5715" w:type="dxa"/>
        <w:tblInd w:w="1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775"/>
      </w:tblGrid>
      <w:tr w:rsidR="00927EE4" w:rsidRPr="00C74791" w14:paraId="5E619765" w14:textId="77777777" w:rsidTr="69CFA879">
        <w:tc>
          <w:tcPr>
            <w:tcW w:w="2940" w:type="dxa"/>
            <w:shd w:val="clear" w:color="auto" w:fill="auto"/>
            <w:tcMar>
              <w:top w:w="100" w:type="dxa"/>
              <w:left w:w="100" w:type="dxa"/>
              <w:bottom w:w="100" w:type="dxa"/>
              <w:right w:w="100" w:type="dxa"/>
            </w:tcMar>
          </w:tcPr>
          <w:p w14:paraId="50E1B160" w14:textId="77777777" w:rsidR="00927EE4" w:rsidRPr="00C74791" w:rsidRDefault="69CFA879" w:rsidP="69CFA879">
            <w:pPr>
              <w:widowControl w:val="0"/>
              <w:pBdr>
                <w:top w:val="nil"/>
                <w:left w:val="nil"/>
                <w:bottom w:val="nil"/>
                <w:right w:val="nil"/>
                <w:between w:val="nil"/>
              </w:pBdr>
              <w:spacing w:line="240" w:lineRule="auto"/>
              <w:rPr>
                <w:b/>
                <w:bCs/>
              </w:rPr>
            </w:pPr>
            <w:r w:rsidRPr="69CFA879">
              <w:rPr>
                <w:b/>
                <w:bCs/>
              </w:rPr>
              <w:t>Grade</w:t>
            </w:r>
          </w:p>
        </w:tc>
        <w:tc>
          <w:tcPr>
            <w:tcW w:w="2775" w:type="dxa"/>
            <w:shd w:val="clear" w:color="auto" w:fill="auto"/>
            <w:tcMar>
              <w:top w:w="100" w:type="dxa"/>
              <w:left w:w="100" w:type="dxa"/>
              <w:bottom w:w="100" w:type="dxa"/>
              <w:right w:w="100" w:type="dxa"/>
            </w:tcMar>
          </w:tcPr>
          <w:p w14:paraId="6A6251F2" w14:textId="77777777" w:rsidR="00927EE4" w:rsidRPr="00C74791" w:rsidRDefault="69CFA879" w:rsidP="69CFA879">
            <w:pPr>
              <w:widowControl w:val="0"/>
              <w:pBdr>
                <w:top w:val="nil"/>
                <w:left w:val="nil"/>
                <w:bottom w:val="nil"/>
                <w:right w:val="nil"/>
                <w:between w:val="nil"/>
              </w:pBdr>
              <w:spacing w:line="240" w:lineRule="auto"/>
              <w:rPr>
                <w:b/>
                <w:bCs/>
              </w:rPr>
            </w:pPr>
            <w:r w:rsidRPr="69CFA879">
              <w:rPr>
                <w:b/>
                <w:bCs/>
              </w:rPr>
              <w:t>SAM total Score</w:t>
            </w:r>
          </w:p>
        </w:tc>
      </w:tr>
      <w:tr w:rsidR="00927EE4" w:rsidRPr="00C74791" w14:paraId="2E90C128" w14:textId="77777777" w:rsidTr="69CFA879">
        <w:tc>
          <w:tcPr>
            <w:tcW w:w="2940" w:type="dxa"/>
            <w:shd w:val="clear" w:color="auto" w:fill="auto"/>
            <w:tcMar>
              <w:top w:w="100" w:type="dxa"/>
              <w:left w:w="100" w:type="dxa"/>
              <w:bottom w:w="100" w:type="dxa"/>
              <w:right w:w="100" w:type="dxa"/>
            </w:tcMar>
          </w:tcPr>
          <w:p w14:paraId="65CBF5D4" w14:textId="77777777" w:rsidR="00927EE4" w:rsidRPr="00C74791" w:rsidRDefault="69CFA879" w:rsidP="0030012E">
            <w:pPr>
              <w:widowControl w:val="0"/>
              <w:pBdr>
                <w:top w:val="nil"/>
                <w:left w:val="nil"/>
                <w:bottom w:val="nil"/>
                <w:right w:val="nil"/>
                <w:between w:val="nil"/>
              </w:pBdr>
              <w:spacing w:line="240" w:lineRule="auto"/>
            </w:pPr>
            <w:r>
              <w:t>Unsuitable</w:t>
            </w:r>
          </w:p>
        </w:tc>
        <w:tc>
          <w:tcPr>
            <w:tcW w:w="2775" w:type="dxa"/>
            <w:shd w:val="clear" w:color="auto" w:fill="auto"/>
            <w:tcMar>
              <w:top w:w="100" w:type="dxa"/>
              <w:left w:w="100" w:type="dxa"/>
              <w:bottom w:w="100" w:type="dxa"/>
              <w:right w:w="100" w:type="dxa"/>
            </w:tcMar>
          </w:tcPr>
          <w:p w14:paraId="5801C4D7" w14:textId="77777777" w:rsidR="00927EE4" w:rsidRPr="00C74791" w:rsidRDefault="69CFA879" w:rsidP="0030012E">
            <w:pPr>
              <w:widowControl w:val="0"/>
              <w:pBdr>
                <w:top w:val="nil"/>
                <w:left w:val="nil"/>
                <w:bottom w:val="nil"/>
                <w:right w:val="nil"/>
                <w:between w:val="nil"/>
              </w:pBdr>
              <w:spacing w:line="240" w:lineRule="auto"/>
            </w:pPr>
            <w:r>
              <w:t>&lt;40%</w:t>
            </w:r>
          </w:p>
        </w:tc>
      </w:tr>
      <w:tr w:rsidR="00927EE4" w:rsidRPr="00C74791" w14:paraId="3A4A9AED" w14:textId="77777777" w:rsidTr="69CFA879">
        <w:tc>
          <w:tcPr>
            <w:tcW w:w="2940" w:type="dxa"/>
            <w:shd w:val="clear" w:color="auto" w:fill="auto"/>
            <w:tcMar>
              <w:top w:w="100" w:type="dxa"/>
              <w:left w:w="100" w:type="dxa"/>
              <w:bottom w:w="100" w:type="dxa"/>
              <w:right w:w="100" w:type="dxa"/>
            </w:tcMar>
          </w:tcPr>
          <w:p w14:paraId="28B30209" w14:textId="77777777" w:rsidR="00927EE4" w:rsidRPr="00C74791" w:rsidRDefault="69CFA879" w:rsidP="0030012E">
            <w:pPr>
              <w:widowControl w:val="0"/>
              <w:pBdr>
                <w:top w:val="nil"/>
                <w:left w:val="nil"/>
                <w:bottom w:val="nil"/>
                <w:right w:val="nil"/>
                <w:between w:val="nil"/>
              </w:pBdr>
              <w:spacing w:line="240" w:lineRule="auto"/>
            </w:pPr>
            <w:r>
              <w:t>Adequate</w:t>
            </w:r>
          </w:p>
        </w:tc>
        <w:tc>
          <w:tcPr>
            <w:tcW w:w="2775" w:type="dxa"/>
            <w:shd w:val="clear" w:color="auto" w:fill="auto"/>
            <w:tcMar>
              <w:top w:w="100" w:type="dxa"/>
              <w:left w:w="100" w:type="dxa"/>
              <w:bottom w:w="100" w:type="dxa"/>
              <w:right w:w="100" w:type="dxa"/>
            </w:tcMar>
          </w:tcPr>
          <w:p w14:paraId="73D5498E" w14:textId="77777777" w:rsidR="00927EE4" w:rsidRPr="00C74791" w:rsidRDefault="69CFA879" w:rsidP="0030012E">
            <w:pPr>
              <w:widowControl w:val="0"/>
              <w:pBdr>
                <w:top w:val="nil"/>
                <w:left w:val="nil"/>
                <w:bottom w:val="nil"/>
                <w:right w:val="nil"/>
                <w:between w:val="nil"/>
              </w:pBdr>
              <w:spacing w:line="240" w:lineRule="auto"/>
            </w:pPr>
            <w:r>
              <w:t>40-70%</w:t>
            </w:r>
          </w:p>
        </w:tc>
      </w:tr>
      <w:tr w:rsidR="00927EE4" w:rsidRPr="00C74791" w14:paraId="12B48729" w14:textId="77777777" w:rsidTr="69CFA879">
        <w:tc>
          <w:tcPr>
            <w:tcW w:w="2940" w:type="dxa"/>
            <w:shd w:val="clear" w:color="auto" w:fill="auto"/>
            <w:tcMar>
              <w:top w:w="100" w:type="dxa"/>
              <w:left w:w="100" w:type="dxa"/>
              <w:bottom w:w="100" w:type="dxa"/>
              <w:right w:w="100" w:type="dxa"/>
            </w:tcMar>
          </w:tcPr>
          <w:p w14:paraId="40DA79E5" w14:textId="77777777" w:rsidR="00927EE4" w:rsidRPr="00C74791" w:rsidRDefault="69CFA879" w:rsidP="0030012E">
            <w:pPr>
              <w:widowControl w:val="0"/>
              <w:pBdr>
                <w:top w:val="nil"/>
                <w:left w:val="nil"/>
                <w:bottom w:val="nil"/>
                <w:right w:val="nil"/>
                <w:between w:val="nil"/>
              </w:pBdr>
              <w:spacing w:line="240" w:lineRule="auto"/>
            </w:pPr>
            <w:r>
              <w:t>Superior</w:t>
            </w:r>
          </w:p>
        </w:tc>
        <w:tc>
          <w:tcPr>
            <w:tcW w:w="2775" w:type="dxa"/>
            <w:shd w:val="clear" w:color="auto" w:fill="auto"/>
            <w:tcMar>
              <w:top w:w="100" w:type="dxa"/>
              <w:left w:w="100" w:type="dxa"/>
              <w:bottom w:w="100" w:type="dxa"/>
              <w:right w:w="100" w:type="dxa"/>
            </w:tcMar>
          </w:tcPr>
          <w:p w14:paraId="775992BD" w14:textId="77777777" w:rsidR="00927EE4" w:rsidRPr="00C74791" w:rsidRDefault="69CFA879" w:rsidP="0030012E">
            <w:pPr>
              <w:widowControl w:val="0"/>
              <w:pBdr>
                <w:top w:val="nil"/>
                <w:left w:val="nil"/>
                <w:bottom w:val="nil"/>
                <w:right w:val="nil"/>
                <w:between w:val="nil"/>
              </w:pBdr>
              <w:spacing w:line="240" w:lineRule="auto"/>
            </w:pPr>
            <w:r>
              <w:t>&gt;70%</w:t>
            </w:r>
          </w:p>
        </w:tc>
      </w:tr>
    </w:tbl>
    <w:p w14:paraId="2DE403A5" w14:textId="77777777" w:rsidR="00513CE5" w:rsidRDefault="00513CE5" w:rsidP="00927EE4">
      <w:pPr>
        <w:ind w:firstLine="0"/>
      </w:pPr>
    </w:p>
    <w:p w14:paraId="7EF14A77" w14:textId="77777777" w:rsidR="00513CE5" w:rsidRPr="00C74791" w:rsidRDefault="3EEF55E6" w:rsidP="00513CE5">
      <w:r>
        <w:t xml:space="preserve">For SMOG grade level, SAM total score, and SAM literacy </w:t>
      </w:r>
      <w:proofErr w:type="spellStart"/>
      <w:r>
        <w:t>subscore</w:t>
      </w:r>
      <w:proofErr w:type="spellEnd"/>
      <w:r>
        <w:t xml:space="preserve">, the author calculated descriptive statistics (including mean, 95% CI, and standard deviation) for the entire sample as well as for the documents obtained from each individual clinic. The author also calculated the proportion (and 95% C.I.) of documents that were written at less than or equal to a 6th grade reading level, as well as an 8th grade reading level for the total sample and for each individual clinic. As recommended by the originators of SMOG grade level, non-integer grade-levels were rounded to the nearest integer for the purposes of these binary data (for example, a document with a SMOG grade level of 6.4 would qualify as being written at a “6th grade level,” while one with a </w:t>
      </w:r>
      <w:r>
        <w:lastRenderedPageBreak/>
        <w:t xml:space="preserve">SMOG grade level of 6.6 would not). Confidence intervals for these proportions </w:t>
      </w:r>
      <w:proofErr w:type="gramStart"/>
      <w:r>
        <w:t>were calculated</w:t>
      </w:r>
      <w:proofErr w:type="gramEnd"/>
      <w:r>
        <w:t xml:space="preserve"> using a binomial exact test. Similarly, the author calculated the proportion of documents (and 95% C.I.) that had SAM scores &gt;40%, or an “adequate” score. The same was done for SAM scores &gt;70%, which is considered a “superior” score. Finally, the author calculated descriptive statistics for the SAM literacy </w:t>
      </w:r>
      <w:proofErr w:type="spellStart"/>
      <w:r>
        <w:t>subscore</w:t>
      </w:r>
      <w:proofErr w:type="spellEnd"/>
      <w:r>
        <w:t xml:space="preserve"> for the total sample and the sample from each clinic. All calculations and statistical tests performed in this paper were completed using R version 3.5.0 released </w:t>
      </w:r>
      <w:proofErr w:type="gramStart"/>
      <w:r>
        <w:t>April,</w:t>
      </w:r>
      <w:proofErr w:type="gramEnd"/>
      <w:r>
        <w:t xml:space="preserve"> 23rd 2018.  </w:t>
      </w:r>
    </w:p>
    <w:p w14:paraId="19FFA87F" w14:textId="77777777" w:rsidR="00513CE5" w:rsidRPr="00C74791" w:rsidRDefault="69CFA879" w:rsidP="00513CE5">
      <w:r>
        <w:t xml:space="preserve">For SMOG grade level, post-hoc pairwise comparisons between each of the four clinics that provided the author with materials </w:t>
      </w:r>
      <w:proofErr w:type="gramStart"/>
      <w:r>
        <w:t>were also performed</w:t>
      </w:r>
      <w:proofErr w:type="gramEnd"/>
      <w:r>
        <w:t xml:space="preserve">. The Holm correction for pairwise comparisons </w:t>
      </w:r>
      <w:proofErr w:type="gramStart"/>
      <w:r>
        <w:t>was used</w:t>
      </w:r>
      <w:proofErr w:type="gramEnd"/>
      <w:r>
        <w:t xml:space="preserve"> for this analysis.</w:t>
      </w:r>
    </w:p>
    <w:p w14:paraId="2A6D4E3E" w14:textId="77777777" w:rsidR="00513CE5" w:rsidRPr="00C74791" w:rsidRDefault="3EEF55E6" w:rsidP="00513CE5">
      <w:r>
        <w:t xml:space="preserve">The author also calculated descriptive statistics and performed an unpaired t-test comparing the SMOG grade level, SAM total score, and SAM literacy </w:t>
      </w:r>
      <w:proofErr w:type="spellStart"/>
      <w:r>
        <w:t>subscore</w:t>
      </w:r>
      <w:proofErr w:type="spellEnd"/>
      <w:r>
        <w:t xml:space="preserve"> of documents that </w:t>
      </w:r>
      <w:proofErr w:type="gramStart"/>
      <w:r>
        <w:t>were produced</w:t>
      </w:r>
      <w:proofErr w:type="gramEnd"/>
      <w:r>
        <w:t xml:space="preserve"> in-house versus those that were produced by an outside group. As above, the author also compared the proportion of documents that were written at </w:t>
      </w:r>
      <w:proofErr w:type="gramStart"/>
      <w:r>
        <w:t>6th</w:t>
      </w:r>
      <w:proofErr w:type="gramEnd"/>
      <w:r>
        <w:t xml:space="preserve"> and 8th grade levels, as well as the proportion that had an “adequate” total SAM score using Fisher’s exact test.</w:t>
      </w:r>
    </w:p>
    <w:p w14:paraId="5F6129E1" w14:textId="77777777" w:rsidR="00513CE5" w:rsidRPr="00C74791" w:rsidRDefault="3EEF55E6" w:rsidP="00513CE5">
      <w:r>
        <w:t xml:space="preserve">Finally, the general pediatric clinic provided twenty pieces of health education materials produced by the American Academy of Pediatrics (AAP) related to anticipatory guidance. Given that nearly half of collected documents </w:t>
      </w:r>
      <w:proofErr w:type="gramStart"/>
      <w:r>
        <w:t>were published</w:t>
      </w:r>
      <w:proofErr w:type="gramEnd"/>
      <w:r>
        <w:t xml:space="preserve"> by the AAP, the author was curious how these materials related to the remainder of the sample. As such, the author compared the SMOG grade level, the proportion of materials written at an 8th grade level or lower, the mean SAM total score, the mean SAM literacy </w:t>
      </w:r>
      <w:proofErr w:type="spellStart"/>
      <w:r>
        <w:t>subscore</w:t>
      </w:r>
      <w:proofErr w:type="spellEnd"/>
      <w:r>
        <w:t xml:space="preserve">, and the proportion of materials graded as “adequate” between AAP materials and non-AAP materials, using unpaired t-tests and Fisher’s exact test, as appropriate. </w:t>
      </w:r>
    </w:p>
    <w:p w14:paraId="36B4D06C" w14:textId="77777777" w:rsidR="00513CE5" w:rsidRDefault="3EEF55E6" w:rsidP="00513CE5">
      <w:r>
        <w:lastRenderedPageBreak/>
        <w:t xml:space="preserve">The author also noticed that the general pediatrics clinic </w:t>
      </w:r>
      <w:proofErr w:type="gramStart"/>
      <w:r>
        <w:t>had, in particular, provided</w:t>
      </w:r>
      <w:proofErr w:type="gramEnd"/>
      <w:r>
        <w:t xml:space="preserve"> materials from two distinct AAP educational programs: ten each from Bright Future and from their Patient Education for Children, Teens, and Parents (PECTP) series. The author was interested if different document series from the same organization might vary in their readability and comprehensibility. As such, the author calculated descriptive statistics for the SMOG grade level, SAM total score, and SAM literacy </w:t>
      </w:r>
      <w:proofErr w:type="spellStart"/>
      <w:r>
        <w:t>subscore</w:t>
      </w:r>
      <w:proofErr w:type="spellEnd"/>
      <w:r>
        <w:t xml:space="preserve"> for each set of materials. The author performed an unpaired t-test to compare each characteristic between the two sets of materials. As above, the proportion of documents that </w:t>
      </w:r>
      <w:proofErr w:type="gramStart"/>
      <w:r>
        <w:t>were written</w:t>
      </w:r>
      <w:proofErr w:type="gramEnd"/>
      <w:r>
        <w:t xml:space="preserve"> at an 8th grade reading was calculated and a Fisher’s exact test was used to test for a difference. The same </w:t>
      </w:r>
      <w:proofErr w:type="gramStart"/>
      <w:r>
        <w:t>was done</w:t>
      </w:r>
      <w:proofErr w:type="gramEnd"/>
      <w:r>
        <w:t xml:space="preserve"> for the proportion of each group achieving an “adequate” SAM total score.</w:t>
      </w:r>
    </w:p>
    <w:p w14:paraId="62431CDC" w14:textId="77777777" w:rsidR="00D91B56" w:rsidRPr="0022690E" w:rsidRDefault="00D91B56" w:rsidP="00513CE5"/>
    <w:p w14:paraId="36704A0D" w14:textId="77777777" w:rsidR="00D91B56" w:rsidRDefault="69CFA879" w:rsidP="00D91B56">
      <w:pPr>
        <w:pStyle w:val="Heading1"/>
      </w:pPr>
      <w:bookmarkStart w:id="18" w:name="_Toc525805128"/>
      <w:r>
        <w:lastRenderedPageBreak/>
        <w:t>Results</w:t>
      </w:r>
      <w:bookmarkEnd w:id="18"/>
    </w:p>
    <w:p w14:paraId="725C91E5" w14:textId="77777777" w:rsidR="00D91B56" w:rsidRDefault="69CFA879" w:rsidP="00D91B56">
      <w:pPr>
        <w:ind w:firstLine="0"/>
      </w:pPr>
      <w:r>
        <w:t>Three subspecialty clinics affiliated with this freestanding tertiary-care children’s hospital agreed to provide materials for this study: Dermatology, Infectious Disease and Endocrinology. Each provided ten pieces of outpatient education material as per our request. The general pediatrics clinic also agreed to participate and provided twenty materials.</w:t>
      </w:r>
    </w:p>
    <w:p w14:paraId="49E398E2" w14:textId="77777777" w:rsidR="006B73F2" w:rsidRDefault="006B73F2" w:rsidP="006B73F2">
      <w:pPr>
        <w:spacing w:line="240" w:lineRule="auto"/>
        <w:ind w:firstLine="0"/>
      </w:pPr>
    </w:p>
    <w:p w14:paraId="24B6AD12" w14:textId="77777777" w:rsidR="004257A0" w:rsidRDefault="004257A0" w:rsidP="004257A0">
      <w:pPr>
        <w:pStyle w:val="Caption"/>
        <w:keepNext/>
        <w:ind w:firstLine="0"/>
        <w:jc w:val="center"/>
      </w:pPr>
      <w:bookmarkStart w:id="19" w:name="_Toc525805149"/>
      <w:r>
        <w:t xml:space="preserve">Table </w:t>
      </w:r>
      <w:r w:rsidR="00FB6957">
        <w:fldChar w:fldCharType="begin"/>
      </w:r>
      <w:r w:rsidR="00FB6957">
        <w:instrText xml:space="preserve"> SEQ Table \* ARABIC </w:instrText>
      </w:r>
      <w:r w:rsidR="00FB6957">
        <w:fldChar w:fldCharType="separate"/>
      </w:r>
      <w:r w:rsidR="009E497A" w:rsidRPr="69CFA879">
        <w:t>2</w:t>
      </w:r>
      <w:r w:rsidR="00FB6957">
        <w:fldChar w:fldCharType="end"/>
      </w:r>
      <w:r>
        <w:t>. Mean</w:t>
      </w:r>
      <w:r w:rsidRPr="004257A0">
        <w:rPr>
          <w:b w:val="0"/>
          <w:bCs w:val="0"/>
        </w:rPr>
        <w:t xml:space="preserve"> </w:t>
      </w:r>
      <w:r w:rsidRPr="004257A0">
        <w:t>SMOG Scores and the Proportion of Materials Achieving a 6</w:t>
      </w:r>
      <w:r w:rsidRPr="004257A0">
        <w:rPr>
          <w:vertAlign w:val="superscript"/>
        </w:rPr>
        <w:t>th</w:t>
      </w:r>
      <w:r w:rsidRPr="004257A0">
        <w:t xml:space="preserve"> Grade or Lower and an 8</w:t>
      </w:r>
      <w:r w:rsidRPr="004257A0">
        <w:rPr>
          <w:vertAlign w:val="superscript"/>
        </w:rPr>
        <w:t>th</w:t>
      </w:r>
      <w:r w:rsidRPr="004257A0">
        <w:t xml:space="preserve"> Grade or Lower Reading level</w:t>
      </w:r>
      <w:bookmarkEnd w:id="19"/>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700"/>
        <w:gridCol w:w="590"/>
        <w:gridCol w:w="1560"/>
        <w:gridCol w:w="255"/>
        <w:gridCol w:w="780"/>
        <w:gridCol w:w="1395"/>
        <w:gridCol w:w="255"/>
        <w:gridCol w:w="1005"/>
        <w:gridCol w:w="1395"/>
        <w:gridCol w:w="255"/>
      </w:tblGrid>
      <w:tr w:rsidR="00687F7A" w:rsidRPr="00944ABC" w14:paraId="47D2DA61" w14:textId="77777777" w:rsidTr="3EEF55E6">
        <w:trPr>
          <w:trHeight w:val="420"/>
        </w:trPr>
        <w:tc>
          <w:tcPr>
            <w:tcW w:w="1170" w:type="dxa"/>
            <w:shd w:val="clear" w:color="auto" w:fill="auto"/>
            <w:tcMar>
              <w:top w:w="100" w:type="dxa"/>
              <w:left w:w="100" w:type="dxa"/>
              <w:bottom w:w="100" w:type="dxa"/>
              <w:right w:w="100" w:type="dxa"/>
            </w:tcMar>
          </w:tcPr>
          <w:p w14:paraId="16287F21" w14:textId="77777777" w:rsidR="00687F7A" w:rsidRPr="00944ABC" w:rsidRDefault="00687F7A" w:rsidP="0030012E">
            <w:pPr>
              <w:widowControl w:val="0"/>
              <w:pBdr>
                <w:top w:val="nil"/>
                <w:left w:val="nil"/>
                <w:bottom w:val="nil"/>
                <w:right w:val="nil"/>
                <w:between w:val="nil"/>
              </w:pBdr>
              <w:spacing w:line="240" w:lineRule="auto"/>
              <w:rPr>
                <w:sz w:val="20"/>
                <w:szCs w:val="20"/>
              </w:rPr>
            </w:pPr>
          </w:p>
        </w:tc>
        <w:tc>
          <w:tcPr>
            <w:tcW w:w="2850" w:type="dxa"/>
            <w:gridSpan w:val="3"/>
            <w:shd w:val="clear" w:color="auto" w:fill="auto"/>
            <w:tcMar>
              <w:top w:w="100" w:type="dxa"/>
              <w:left w:w="100" w:type="dxa"/>
              <w:bottom w:w="100" w:type="dxa"/>
              <w:right w:w="100" w:type="dxa"/>
            </w:tcMar>
          </w:tcPr>
          <w:p w14:paraId="063FD5D0" w14:textId="77777777" w:rsidR="00687F7A" w:rsidRPr="00944ABC" w:rsidRDefault="69CFA879" w:rsidP="69CFA879">
            <w:pPr>
              <w:widowControl w:val="0"/>
              <w:pBdr>
                <w:top w:val="nil"/>
                <w:left w:val="nil"/>
                <w:bottom w:val="nil"/>
                <w:right w:val="nil"/>
                <w:between w:val="nil"/>
              </w:pBdr>
              <w:spacing w:line="240" w:lineRule="auto"/>
              <w:rPr>
                <w:b/>
                <w:bCs/>
                <w:sz w:val="20"/>
                <w:szCs w:val="20"/>
              </w:rPr>
            </w:pPr>
            <w:r w:rsidRPr="00944ABC">
              <w:rPr>
                <w:b/>
                <w:bCs/>
                <w:sz w:val="20"/>
                <w:szCs w:val="20"/>
              </w:rPr>
              <w:t>SMOG Grade Level</w:t>
            </w:r>
          </w:p>
        </w:tc>
        <w:tc>
          <w:tcPr>
            <w:tcW w:w="255" w:type="dxa"/>
            <w:shd w:val="clear" w:color="auto" w:fill="auto"/>
            <w:tcMar>
              <w:top w:w="100" w:type="dxa"/>
              <w:left w:w="100" w:type="dxa"/>
              <w:bottom w:w="100" w:type="dxa"/>
              <w:right w:w="100" w:type="dxa"/>
            </w:tcMar>
          </w:tcPr>
          <w:p w14:paraId="5BE93A62" w14:textId="77777777" w:rsidR="00687F7A" w:rsidRPr="00944ABC" w:rsidRDefault="00687F7A" w:rsidP="00687F7A">
            <w:pPr>
              <w:widowControl w:val="0"/>
              <w:pBdr>
                <w:top w:val="nil"/>
                <w:left w:val="nil"/>
                <w:bottom w:val="nil"/>
                <w:right w:val="nil"/>
                <w:between w:val="nil"/>
              </w:pBdr>
              <w:spacing w:line="240" w:lineRule="auto"/>
              <w:jc w:val="center"/>
              <w:rPr>
                <w:sz w:val="20"/>
                <w:szCs w:val="20"/>
              </w:rPr>
            </w:pPr>
          </w:p>
        </w:tc>
        <w:tc>
          <w:tcPr>
            <w:tcW w:w="2175" w:type="dxa"/>
            <w:gridSpan w:val="2"/>
            <w:shd w:val="clear" w:color="auto" w:fill="auto"/>
            <w:tcMar>
              <w:top w:w="100" w:type="dxa"/>
              <w:left w:w="100" w:type="dxa"/>
              <w:bottom w:w="100" w:type="dxa"/>
              <w:right w:w="100" w:type="dxa"/>
            </w:tcMar>
          </w:tcPr>
          <w:p w14:paraId="49EDDD14" w14:textId="77777777" w:rsidR="00687F7A" w:rsidRPr="00944ABC" w:rsidRDefault="69CFA879" w:rsidP="69CFA879">
            <w:pPr>
              <w:widowControl w:val="0"/>
              <w:pBdr>
                <w:top w:val="nil"/>
                <w:left w:val="nil"/>
                <w:bottom w:val="nil"/>
                <w:right w:val="nil"/>
                <w:between w:val="nil"/>
              </w:pBdr>
              <w:spacing w:line="240" w:lineRule="auto"/>
              <w:ind w:firstLine="0"/>
              <w:jc w:val="center"/>
              <w:rPr>
                <w:b/>
                <w:bCs/>
                <w:sz w:val="20"/>
                <w:szCs w:val="20"/>
              </w:rPr>
            </w:pPr>
            <w:r w:rsidRPr="00944ABC">
              <w:rPr>
                <w:b/>
                <w:bCs/>
                <w:sz w:val="20"/>
                <w:szCs w:val="20"/>
              </w:rPr>
              <w:t>% at a 6th grade level or lower</w:t>
            </w:r>
          </w:p>
        </w:tc>
        <w:tc>
          <w:tcPr>
            <w:tcW w:w="255" w:type="dxa"/>
            <w:shd w:val="clear" w:color="auto" w:fill="auto"/>
            <w:tcMar>
              <w:top w:w="100" w:type="dxa"/>
              <w:left w:w="100" w:type="dxa"/>
              <w:bottom w:w="100" w:type="dxa"/>
              <w:right w:w="100" w:type="dxa"/>
            </w:tcMar>
          </w:tcPr>
          <w:p w14:paraId="384BA73E" w14:textId="77777777" w:rsidR="00687F7A" w:rsidRPr="00944ABC" w:rsidRDefault="00687F7A" w:rsidP="00687F7A">
            <w:pPr>
              <w:widowControl w:val="0"/>
              <w:pBdr>
                <w:top w:val="nil"/>
                <w:left w:val="nil"/>
                <w:bottom w:val="nil"/>
                <w:right w:val="nil"/>
                <w:between w:val="nil"/>
              </w:pBdr>
              <w:spacing w:line="240" w:lineRule="auto"/>
              <w:jc w:val="center"/>
              <w:rPr>
                <w:sz w:val="20"/>
                <w:szCs w:val="20"/>
              </w:rPr>
            </w:pPr>
          </w:p>
        </w:tc>
        <w:tc>
          <w:tcPr>
            <w:tcW w:w="2400" w:type="dxa"/>
            <w:gridSpan w:val="2"/>
            <w:shd w:val="clear" w:color="auto" w:fill="auto"/>
            <w:tcMar>
              <w:top w:w="100" w:type="dxa"/>
              <w:left w:w="100" w:type="dxa"/>
              <w:bottom w:w="100" w:type="dxa"/>
              <w:right w:w="100" w:type="dxa"/>
            </w:tcMar>
          </w:tcPr>
          <w:p w14:paraId="2CD14D0F" w14:textId="77777777" w:rsidR="00687F7A" w:rsidRPr="00944ABC" w:rsidRDefault="69CFA879" w:rsidP="69CFA879">
            <w:pPr>
              <w:widowControl w:val="0"/>
              <w:spacing w:line="240" w:lineRule="auto"/>
              <w:ind w:firstLine="0"/>
              <w:jc w:val="center"/>
              <w:rPr>
                <w:sz w:val="20"/>
                <w:szCs w:val="20"/>
              </w:rPr>
            </w:pPr>
            <w:r w:rsidRPr="00944ABC">
              <w:rPr>
                <w:b/>
                <w:bCs/>
                <w:sz w:val="20"/>
                <w:szCs w:val="20"/>
              </w:rPr>
              <w:t>% at an 8th grade level or lower</w:t>
            </w:r>
          </w:p>
        </w:tc>
        <w:tc>
          <w:tcPr>
            <w:tcW w:w="255" w:type="dxa"/>
            <w:shd w:val="clear" w:color="auto" w:fill="auto"/>
            <w:tcMar>
              <w:top w:w="100" w:type="dxa"/>
              <w:left w:w="100" w:type="dxa"/>
              <w:bottom w:w="100" w:type="dxa"/>
              <w:right w:w="100" w:type="dxa"/>
            </w:tcMar>
          </w:tcPr>
          <w:p w14:paraId="34B3F2EB" w14:textId="77777777" w:rsidR="00687F7A" w:rsidRPr="00944ABC" w:rsidRDefault="00687F7A" w:rsidP="0030012E">
            <w:pPr>
              <w:widowControl w:val="0"/>
              <w:pBdr>
                <w:top w:val="nil"/>
                <w:left w:val="nil"/>
                <w:bottom w:val="nil"/>
                <w:right w:val="nil"/>
                <w:between w:val="nil"/>
              </w:pBdr>
              <w:spacing w:line="240" w:lineRule="auto"/>
              <w:rPr>
                <w:sz w:val="20"/>
                <w:szCs w:val="20"/>
              </w:rPr>
            </w:pPr>
          </w:p>
        </w:tc>
      </w:tr>
      <w:tr w:rsidR="00687F7A" w:rsidRPr="00944ABC" w14:paraId="6D768C75" w14:textId="77777777" w:rsidTr="00944ABC">
        <w:tc>
          <w:tcPr>
            <w:tcW w:w="1170" w:type="dxa"/>
            <w:shd w:val="clear" w:color="auto" w:fill="auto"/>
            <w:tcMar>
              <w:top w:w="100" w:type="dxa"/>
              <w:left w:w="100" w:type="dxa"/>
              <w:bottom w:w="100" w:type="dxa"/>
              <w:right w:w="100" w:type="dxa"/>
            </w:tcMar>
          </w:tcPr>
          <w:p w14:paraId="7D34F5C7" w14:textId="77777777" w:rsidR="00687F7A" w:rsidRPr="00944ABC" w:rsidRDefault="00687F7A" w:rsidP="0030012E">
            <w:pPr>
              <w:widowControl w:val="0"/>
              <w:pBdr>
                <w:top w:val="nil"/>
                <w:left w:val="nil"/>
                <w:bottom w:val="nil"/>
                <w:right w:val="nil"/>
                <w:between w:val="nil"/>
              </w:pBdr>
              <w:spacing w:line="240" w:lineRule="auto"/>
              <w:rPr>
                <w:sz w:val="20"/>
                <w:szCs w:val="20"/>
              </w:rPr>
            </w:pPr>
          </w:p>
        </w:tc>
        <w:tc>
          <w:tcPr>
            <w:tcW w:w="700" w:type="dxa"/>
            <w:shd w:val="clear" w:color="auto" w:fill="auto"/>
            <w:tcMar>
              <w:top w:w="100" w:type="dxa"/>
              <w:left w:w="100" w:type="dxa"/>
              <w:bottom w:w="100" w:type="dxa"/>
              <w:right w:w="100" w:type="dxa"/>
            </w:tcMar>
          </w:tcPr>
          <w:p w14:paraId="60BBD93E" w14:textId="77777777" w:rsidR="00687F7A"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Mean</w:t>
            </w:r>
          </w:p>
        </w:tc>
        <w:tc>
          <w:tcPr>
            <w:tcW w:w="590" w:type="dxa"/>
            <w:shd w:val="clear" w:color="auto" w:fill="auto"/>
            <w:tcMar>
              <w:top w:w="100" w:type="dxa"/>
              <w:left w:w="100" w:type="dxa"/>
              <w:bottom w:w="100" w:type="dxa"/>
              <w:right w:w="100" w:type="dxa"/>
            </w:tcMar>
          </w:tcPr>
          <w:p w14:paraId="15263C55" w14:textId="77777777" w:rsidR="00687F7A" w:rsidRPr="00944ABC" w:rsidRDefault="3EEF55E6" w:rsidP="3EEF55E6">
            <w:pPr>
              <w:widowControl w:val="0"/>
              <w:pBdr>
                <w:top w:val="nil"/>
                <w:left w:val="nil"/>
                <w:bottom w:val="nil"/>
                <w:right w:val="nil"/>
                <w:between w:val="nil"/>
              </w:pBdr>
              <w:spacing w:line="240" w:lineRule="auto"/>
              <w:ind w:firstLine="0"/>
              <w:jc w:val="center"/>
              <w:rPr>
                <w:sz w:val="20"/>
                <w:szCs w:val="20"/>
              </w:rPr>
            </w:pPr>
            <w:proofErr w:type="spellStart"/>
            <w:r w:rsidRPr="00944ABC">
              <w:rPr>
                <w:sz w:val="20"/>
                <w:szCs w:val="20"/>
              </w:rPr>
              <w:t>s.d.</w:t>
            </w:r>
            <w:proofErr w:type="spellEnd"/>
          </w:p>
        </w:tc>
        <w:tc>
          <w:tcPr>
            <w:tcW w:w="1560" w:type="dxa"/>
            <w:shd w:val="clear" w:color="auto" w:fill="auto"/>
            <w:tcMar>
              <w:top w:w="100" w:type="dxa"/>
              <w:left w:w="100" w:type="dxa"/>
              <w:bottom w:w="100" w:type="dxa"/>
              <w:right w:w="100" w:type="dxa"/>
            </w:tcMar>
          </w:tcPr>
          <w:p w14:paraId="1165754D" w14:textId="77777777" w:rsidR="00687F7A"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(95% CI)</w:t>
            </w:r>
          </w:p>
        </w:tc>
        <w:tc>
          <w:tcPr>
            <w:tcW w:w="255" w:type="dxa"/>
            <w:shd w:val="clear" w:color="auto" w:fill="auto"/>
            <w:tcMar>
              <w:top w:w="100" w:type="dxa"/>
              <w:left w:w="100" w:type="dxa"/>
              <w:bottom w:w="100" w:type="dxa"/>
              <w:right w:w="100" w:type="dxa"/>
            </w:tcMar>
          </w:tcPr>
          <w:p w14:paraId="0B4020A7" w14:textId="77777777" w:rsidR="00687F7A" w:rsidRPr="00944ABC" w:rsidRDefault="00687F7A" w:rsidP="00687F7A">
            <w:pPr>
              <w:widowControl w:val="0"/>
              <w:pBdr>
                <w:top w:val="nil"/>
                <w:left w:val="nil"/>
                <w:bottom w:val="nil"/>
                <w:right w:val="nil"/>
                <w:between w:val="nil"/>
              </w:pBdr>
              <w:spacing w:line="240" w:lineRule="auto"/>
              <w:jc w:val="center"/>
              <w:rPr>
                <w:sz w:val="20"/>
                <w:szCs w:val="20"/>
              </w:rPr>
            </w:pPr>
          </w:p>
        </w:tc>
        <w:tc>
          <w:tcPr>
            <w:tcW w:w="780" w:type="dxa"/>
            <w:shd w:val="clear" w:color="auto" w:fill="auto"/>
            <w:tcMar>
              <w:top w:w="100" w:type="dxa"/>
              <w:left w:w="100" w:type="dxa"/>
              <w:bottom w:w="100" w:type="dxa"/>
              <w:right w:w="100" w:type="dxa"/>
            </w:tcMar>
          </w:tcPr>
          <w:p w14:paraId="6462C093" w14:textId="77777777" w:rsidR="00687F7A"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w:t>
            </w:r>
          </w:p>
        </w:tc>
        <w:tc>
          <w:tcPr>
            <w:tcW w:w="1395" w:type="dxa"/>
            <w:shd w:val="clear" w:color="auto" w:fill="auto"/>
            <w:tcMar>
              <w:top w:w="100" w:type="dxa"/>
              <w:left w:w="100" w:type="dxa"/>
              <w:bottom w:w="100" w:type="dxa"/>
              <w:right w:w="100" w:type="dxa"/>
            </w:tcMar>
          </w:tcPr>
          <w:p w14:paraId="57AECDA1" w14:textId="77777777" w:rsidR="00687F7A" w:rsidRPr="00944ABC" w:rsidRDefault="69CFA879" w:rsidP="69CFA879">
            <w:pPr>
              <w:widowControl w:val="0"/>
              <w:spacing w:line="240" w:lineRule="auto"/>
              <w:ind w:firstLine="0"/>
              <w:jc w:val="center"/>
              <w:rPr>
                <w:sz w:val="20"/>
                <w:szCs w:val="20"/>
              </w:rPr>
            </w:pPr>
            <w:r w:rsidRPr="00944ABC">
              <w:rPr>
                <w:sz w:val="20"/>
                <w:szCs w:val="20"/>
              </w:rPr>
              <w:t>(95% CI)</w:t>
            </w:r>
          </w:p>
        </w:tc>
        <w:tc>
          <w:tcPr>
            <w:tcW w:w="255" w:type="dxa"/>
            <w:shd w:val="clear" w:color="auto" w:fill="auto"/>
            <w:tcMar>
              <w:top w:w="100" w:type="dxa"/>
              <w:left w:w="100" w:type="dxa"/>
              <w:bottom w:w="100" w:type="dxa"/>
              <w:right w:w="100" w:type="dxa"/>
            </w:tcMar>
          </w:tcPr>
          <w:p w14:paraId="1D7B270A" w14:textId="77777777" w:rsidR="00687F7A" w:rsidRPr="00944ABC" w:rsidRDefault="00687F7A" w:rsidP="00687F7A">
            <w:pPr>
              <w:widowControl w:val="0"/>
              <w:pBdr>
                <w:top w:val="nil"/>
                <w:left w:val="nil"/>
                <w:bottom w:val="nil"/>
                <w:right w:val="nil"/>
                <w:between w:val="nil"/>
              </w:pBdr>
              <w:spacing w:line="240" w:lineRule="auto"/>
              <w:jc w:val="center"/>
              <w:rPr>
                <w:sz w:val="20"/>
                <w:szCs w:val="20"/>
              </w:rPr>
            </w:pPr>
          </w:p>
        </w:tc>
        <w:tc>
          <w:tcPr>
            <w:tcW w:w="1005" w:type="dxa"/>
            <w:shd w:val="clear" w:color="auto" w:fill="auto"/>
            <w:tcMar>
              <w:top w:w="100" w:type="dxa"/>
              <w:left w:w="100" w:type="dxa"/>
              <w:bottom w:w="100" w:type="dxa"/>
              <w:right w:w="100" w:type="dxa"/>
            </w:tcMar>
          </w:tcPr>
          <w:p w14:paraId="5E50E1C8" w14:textId="77777777" w:rsidR="00687F7A"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w:t>
            </w:r>
          </w:p>
        </w:tc>
        <w:tc>
          <w:tcPr>
            <w:tcW w:w="1395" w:type="dxa"/>
            <w:shd w:val="clear" w:color="auto" w:fill="auto"/>
            <w:tcMar>
              <w:top w:w="100" w:type="dxa"/>
              <w:left w:w="100" w:type="dxa"/>
              <w:bottom w:w="100" w:type="dxa"/>
              <w:right w:w="100" w:type="dxa"/>
            </w:tcMar>
          </w:tcPr>
          <w:p w14:paraId="37A66033" w14:textId="77777777" w:rsidR="00687F7A" w:rsidRPr="00944ABC" w:rsidRDefault="69CFA879" w:rsidP="69CFA879">
            <w:pPr>
              <w:widowControl w:val="0"/>
              <w:spacing w:line="240" w:lineRule="auto"/>
              <w:ind w:firstLine="0"/>
              <w:jc w:val="center"/>
              <w:rPr>
                <w:sz w:val="20"/>
                <w:szCs w:val="20"/>
              </w:rPr>
            </w:pPr>
            <w:r w:rsidRPr="00944ABC">
              <w:rPr>
                <w:sz w:val="20"/>
                <w:szCs w:val="20"/>
              </w:rPr>
              <w:t>(95% CI)</w:t>
            </w:r>
          </w:p>
        </w:tc>
        <w:tc>
          <w:tcPr>
            <w:tcW w:w="255" w:type="dxa"/>
            <w:shd w:val="clear" w:color="auto" w:fill="auto"/>
            <w:tcMar>
              <w:top w:w="100" w:type="dxa"/>
              <w:left w:w="100" w:type="dxa"/>
              <w:bottom w:w="100" w:type="dxa"/>
              <w:right w:w="100" w:type="dxa"/>
            </w:tcMar>
          </w:tcPr>
          <w:p w14:paraId="4F904CB7" w14:textId="77777777" w:rsidR="00687F7A" w:rsidRPr="00944ABC" w:rsidRDefault="00687F7A" w:rsidP="0030012E">
            <w:pPr>
              <w:widowControl w:val="0"/>
              <w:pBdr>
                <w:top w:val="nil"/>
                <w:left w:val="nil"/>
                <w:bottom w:val="nil"/>
                <w:right w:val="nil"/>
                <w:between w:val="nil"/>
              </w:pBdr>
              <w:spacing w:line="240" w:lineRule="auto"/>
              <w:rPr>
                <w:sz w:val="20"/>
                <w:szCs w:val="20"/>
              </w:rPr>
            </w:pPr>
          </w:p>
        </w:tc>
      </w:tr>
      <w:tr w:rsidR="00687F7A" w:rsidRPr="00944ABC" w14:paraId="06971CD3" w14:textId="77777777" w:rsidTr="00944ABC">
        <w:tc>
          <w:tcPr>
            <w:tcW w:w="1170" w:type="dxa"/>
            <w:shd w:val="clear" w:color="auto" w:fill="auto"/>
            <w:tcMar>
              <w:top w:w="100" w:type="dxa"/>
              <w:left w:w="100" w:type="dxa"/>
              <w:bottom w:w="100" w:type="dxa"/>
              <w:right w:w="100" w:type="dxa"/>
            </w:tcMar>
          </w:tcPr>
          <w:p w14:paraId="2A1F701D" w14:textId="77777777" w:rsidR="00687F7A" w:rsidRPr="00944ABC" w:rsidRDefault="00687F7A" w:rsidP="0030012E">
            <w:pPr>
              <w:widowControl w:val="0"/>
              <w:pBdr>
                <w:top w:val="nil"/>
                <w:left w:val="nil"/>
                <w:bottom w:val="nil"/>
                <w:right w:val="nil"/>
                <w:between w:val="nil"/>
              </w:pBdr>
              <w:spacing w:line="240" w:lineRule="auto"/>
              <w:rPr>
                <w:sz w:val="20"/>
                <w:szCs w:val="20"/>
              </w:rPr>
            </w:pPr>
          </w:p>
        </w:tc>
        <w:tc>
          <w:tcPr>
            <w:tcW w:w="700" w:type="dxa"/>
            <w:shd w:val="clear" w:color="auto" w:fill="auto"/>
            <w:tcMar>
              <w:top w:w="100" w:type="dxa"/>
              <w:left w:w="100" w:type="dxa"/>
              <w:bottom w:w="100" w:type="dxa"/>
              <w:right w:w="100" w:type="dxa"/>
            </w:tcMar>
          </w:tcPr>
          <w:p w14:paraId="03EFCA41" w14:textId="77777777" w:rsidR="00687F7A" w:rsidRPr="00944ABC" w:rsidRDefault="00687F7A" w:rsidP="00687F7A">
            <w:pPr>
              <w:widowControl w:val="0"/>
              <w:pBdr>
                <w:top w:val="nil"/>
                <w:left w:val="nil"/>
                <w:bottom w:val="nil"/>
                <w:right w:val="nil"/>
                <w:between w:val="nil"/>
              </w:pBdr>
              <w:spacing w:line="240" w:lineRule="auto"/>
              <w:jc w:val="center"/>
              <w:rPr>
                <w:sz w:val="20"/>
                <w:szCs w:val="20"/>
              </w:rPr>
            </w:pPr>
          </w:p>
        </w:tc>
        <w:tc>
          <w:tcPr>
            <w:tcW w:w="590" w:type="dxa"/>
            <w:shd w:val="clear" w:color="auto" w:fill="auto"/>
            <w:tcMar>
              <w:top w:w="100" w:type="dxa"/>
              <w:left w:w="100" w:type="dxa"/>
              <w:bottom w:w="100" w:type="dxa"/>
              <w:right w:w="100" w:type="dxa"/>
            </w:tcMar>
          </w:tcPr>
          <w:p w14:paraId="5F96A722" w14:textId="77777777" w:rsidR="00687F7A" w:rsidRPr="00944ABC" w:rsidRDefault="00687F7A" w:rsidP="00687F7A">
            <w:pPr>
              <w:widowControl w:val="0"/>
              <w:pBdr>
                <w:top w:val="nil"/>
                <w:left w:val="nil"/>
                <w:bottom w:val="nil"/>
                <w:right w:val="nil"/>
                <w:between w:val="nil"/>
              </w:pBdr>
              <w:spacing w:line="240" w:lineRule="auto"/>
              <w:jc w:val="center"/>
              <w:rPr>
                <w:sz w:val="20"/>
                <w:szCs w:val="20"/>
              </w:rPr>
            </w:pPr>
          </w:p>
        </w:tc>
        <w:tc>
          <w:tcPr>
            <w:tcW w:w="1560" w:type="dxa"/>
            <w:shd w:val="clear" w:color="auto" w:fill="auto"/>
            <w:tcMar>
              <w:top w:w="100" w:type="dxa"/>
              <w:left w:w="100" w:type="dxa"/>
              <w:bottom w:w="100" w:type="dxa"/>
              <w:right w:w="100" w:type="dxa"/>
            </w:tcMar>
          </w:tcPr>
          <w:p w14:paraId="5B95CD12" w14:textId="77777777" w:rsidR="00687F7A" w:rsidRPr="00944ABC" w:rsidRDefault="00687F7A" w:rsidP="00687F7A">
            <w:pPr>
              <w:widowControl w:val="0"/>
              <w:pBdr>
                <w:top w:val="nil"/>
                <w:left w:val="nil"/>
                <w:bottom w:val="nil"/>
                <w:right w:val="nil"/>
                <w:between w:val="nil"/>
              </w:pBdr>
              <w:spacing w:line="240" w:lineRule="auto"/>
              <w:jc w:val="center"/>
              <w:rPr>
                <w:sz w:val="20"/>
                <w:szCs w:val="20"/>
              </w:rPr>
            </w:pPr>
          </w:p>
        </w:tc>
        <w:tc>
          <w:tcPr>
            <w:tcW w:w="255" w:type="dxa"/>
            <w:shd w:val="clear" w:color="auto" w:fill="auto"/>
            <w:tcMar>
              <w:top w:w="100" w:type="dxa"/>
              <w:left w:w="100" w:type="dxa"/>
              <w:bottom w:w="100" w:type="dxa"/>
              <w:right w:w="100" w:type="dxa"/>
            </w:tcMar>
          </w:tcPr>
          <w:p w14:paraId="5220BBB2" w14:textId="77777777" w:rsidR="00687F7A" w:rsidRPr="00944ABC" w:rsidRDefault="00687F7A" w:rsidP="00687F7A">
            <w:pPr>
              <w:widowControl w:val="0"/>
              <w:pBdr>
                <w:top w:val="nil"/>
                <w:left w:val="nil"/>
                <w:bottom w:val="nil"/>
                <w:right w:val="nil"/>
                <w:between w:val="nil"/>
              </w:pBdr>
              <w:spacing w:line="240" w:lineRule="auto"/>
              <w:jc w:val="center"/>
              <w:rPr>
                <w:sz w:val="20"/>
                <w:szCs w:val="20"/>
              </w:rPr>
            </w:pPr>
          </w:p>
        </w:tc>
        <w:tc>
          <w:tcPr>
            <w:tcW w:w="780" w:type="dxa"/>
            <w:shd w:val="clear" w:color="auto" w:fill="auto"/>
            <w:tcMar>
              <w:top w:w="100" w:type="dxa"/>
              <w:left w:w="100" w:type="dxa"/>
              <w:bottom w:w="100" w:type="dxa"/>
              <w:right w:w="100" w:type="dxa"/>
            </w:tcMar>
          </w:tcPr>
          <w:p w14:paraId="13CB595B" w14:textId="77777777" w:rsidR="00687F7A" w:rsidRPr="00944ABC" w:rsidRDefault="00687F7A" w:rsidP="001B1534">
            <w:pPr>
              <w:widowControl w:val="0"/>
              <w:pBdr>
                <w:top w:val="nil"/>
                <w:left w:val="nil"/>
                <w:bottom w:val="nil"/>
                <w:right w:val="nil"/>
                <w:between w:val="nil"/>
              </w:pBdr>
              <w:spacing w:line="240" w:lineRule="auto"/>
              <w:jc w:val="center"/>
              <w:rPr>
                <w:sz w:val="20"/>
                <w:szCs w:val="20"/>
              </w:rPr>
            </w:pPr>
          </w:p>
        </w:tc>
        <w:tc>
          <w:tcPr>
            <w:tcW w:w="1395" w:type="dxa"/>
            <w:shd w:val="clear" w:color="auto" w:fill="auto"/>
            <w:tcMar>
              <w:top w:w="100" w:type="dxa"/>
              <w:left w:w="100" w:type="dxa"/>
              <w:bottom w:w="100" w:type="dxa"/>
              <w:right w:w="100" w:type="dxa"/>
            </w:tcMar>
          </w:tcPr>
          <w:p w14:paraId="6D9C8D39" w14:textId="77777777" w:rsidR="00687F7A" w:rsidRPr="00944ABC" w:rsidRDefault="00687F7A" w:rsidP="00687F7A">
            <w:pPr>
              <w:widowControl w:val="0"/>
              <w:pBdr>
                <w:top w:val="nil"/>
                <w:left w:val="nil"/>
                <w:bottom w:val="nil"/>
                <w:right w:val="nil"/>
                <w:between w:val="nil"/>
              </w:pBdr>
              <w:spacing w:line="240" w:lineRule="auto"/>
              <w:jc w:val="center"/>
              <w:rPr>
                <w:sz w:val="20"/>
                <w:szCs w:val="20"/>
              </w:rPr>
            </w:pPr>
          </w:p>
        </w:tc>
        <w:tc>
          <w:tcPr>
            <w:tcW w:w="255" w:type="dxa"/>
            <w:shd w:val="clear" w:color="auto" w:fill="auto"/>
            <w:tcMar>
              <w:top w:w="100" w:type="dxa"/>
              <w:left w:w="100" w:type="dxa"/>
              <w:bottom w:w="100" w:type="dxa"/>
              <w:right w:w="100" w:type="dxa"/>
            </w:tcMar>
          </w:tcPr>
          <w:p w14:paraId="675E05EE" w14:textId="77777777" w:rsidR="00687F7A" w:rsidRPr="00944ABC" w:rsidRDefault="00687F7A" w:rsidP="00687F7A">
            <w:pPr>
              <w:widowControl w:val="0"/>
              <w:pBdr>
                <w:top w:val="nil"/>
                <w:left w:val="nil"/>
                <w:bottom w:val="nil"/>
                <w:right w:val="nil"/>
                <w:between w:val="nil"/>
              </w:pBdr>
              <w:spacing w:line="240" w:lineRule="auto"/>
              <w:jc w:val="center"/>
              <w:rPr>
                <w:sz w:val="20"/>
                <w:szCs w:val="20"/>
              </w:rPr>
            </w:pPr>
          </w:p>
        </w:tc>
        <w:tc>
          <w:tcPr>
            <w:tcW w:w="1005" w:type="dxa"/>
            <w:shd w:val="clear" w:color="auto" w:fill="auto"/>
            <w:tcMar>
              <w:top w:w="100" w:type="dxa"/>
              <w:left w:w="100" w:type="dxa"/>
              <w:bottom w:w="100" w:type="dxa"/>
              <w:right w:w="100" w:type="dxa"/>
            </w:tcMar>
          </w:tcPr>
          <w:p w14:paraId="2FC17F8B" w14:textId="77777777" w:rsidR="00687F7A" w:rsidRPr="00944ABC" w:rsidRDefault="00687F7A" w:rsidP="00687F7A">
            <w:pPr>
              <w:widowControl w:val="0"/>
              <w:pBdr>
                <w:top w:val="nil"/>
                <w:left w:val="nil"/>
                <w:bottom w:val="nil"/>
                <w:right w:val="nil"/>
                <w:between w:val="nil"/>
              </w:pBdr>
              <w:spacing w:line="240" w:lineRule="auto"/>
              <w:jc w:val="center"/>
              <w:rPr>
                <w:sz w:val="20"/>
                <w:szCs w:val="20"/>
              </w:rPr>
            </w:pPr>
          </w:p>
        </w:tc>
        <w:tc>
          <w:tcPr>
            <w:tcW w:w="1395" w:type="dxa"/>
            <w:shd w:val="clear" w:color="auto" w:fill="auto"/>
            <w:tcMar>
              <w:top w:w="100" w:type="dxa"/>
              <w:left w:w="100" w:type="dxa"/>
              <w:bottom w:w="100" w:type="dxa"/>
              <w:right w:w="100" w:type="dxa"/>
            </w:tcMar>
          </w:tcPr>
          <w:p w14:paraId="0A4F7224" w14:textId="77777777" w:rsidR="00687F7A" w:rsidRPr="00944ABC" w:rsidRDefault="00687F7A" w:rsidP="00687F7A">
            <w:pPr>
              <w:widowControl w:val="0"/>
              <w:pBdr>
                <w:top w:val="nil"/>
                <w:left w:val="nil"/>
                <w:bottom w:val="nil"/>
                <w:right w:val="nil"/>
                <w:between w:val="nil"/>
              </w:pBdr>
              <w:spacing w:line="240" w:lineRule="auto"/>
              <w:jc w:val="center"/>
              <w:rPr>
                <w:sz w:val="20"/>
                <w:szCs w:val="20"/>
              </w:rPr>
            </w:pPr>
          </w:p>
        </w:tc>
        <w:tc>
          <w:tcPr>
            <w:tcW w:w="255" w:type="dxa"/>
            <w:shd w:val="clear" w:color="auto" w:fill="auto"/>
            <w:tcMar>
              <w:top w:w="100" w:type="dxa"/>
              <w:left w:w="100" w:type="dxa"/>
              <w:bottom w:w="100" w:type="dxa"/>
              <w:right w:w="100" w:type="dxa"/>
            </w:tcMar>
          </w:tcPr>
          <w:p w14:paraId="5AE48A43" w14:textId="77777777" w:rsidR="00687F7A" w:rsidRPr="00944ABC" w:rsidRDefault="00687F7A" w:rsidP="0030012E">
            <w:pPr>
              <w:widowControl w:val="0"/>
              <w:pBdr>
                <w:top w:val="nil"/>
                <w:left w:val="nil"/>
                <w:bottom w:val="nil"/>
                <w:right w:val="nil"/>
                <w:between w:val="nil"/>
              </w:pBdr>
              <w:spacing w:line="240" w:lineRule="auto"/>
              <w:rPr>
                <w:sz w:val="20"/>
                <w:szCs w:val="20"/>
              </w:rPr>
            </w:pPr>
          </w:p>
        </w:tc>
      </w:tr>
      <w:tr w:rsidR="00687F7A" w:rsidRPr="00944ABC" w14:paraId="399A0046" w14:textId="77777777" w:rsidTr="00944ABC">
        <w:tc>
          <w:tcPr>
            <w:tcW w:w="1170" w:type="dxa"/>
            <w:shd w:val="clear" w:color="auto" w:fill="auto"/>
            <w:tcMar>
              <w:top w:w="100" w:type="dxa"/>
              <w:left w:w="100" w:type="dxa"/>
              <w:bottom w:w="100" w:type="dxa"/>
              <w:right w:w="100" w:type="dxa"/>
            </w:tcMar>
          </w:tcPr>
          <w:p w14:paraId="1F65F68A" w14:textId="77777777" w:rsidR="00687F7A" w:rsidRPr="00944ABC" w:rsidRDefault="69CFA879" w:rsidP="69CFA879">
            <w:pPr>
              <w:widowControl w:val="0"/>
              <w:pBdr>
                <w:top w:val="nil"/>
                <w:left w:val="nil"/>
                <w:bottom w:val="nil"/>
                <w:right w:val="nil"/>
                <w:between w:val="nil"/>
              </w:pBdr>
              <w:spacing w:line="240" w:lineRule="auto"/>
              <w:ind w:firstLine="0"/>
              <w:rPr>
                <w:sz w:val="20"/>
                <w:szCs w:val="20"/>
              </w:rPr>
            </w:pPr>
            <w:r w:rsidRPr="00944ABC">
              <w:rPr>
                <w:sz w:val="20"/>
                <w:szCs w:val="20"/>
              </w:rPr>
              <w:t>General Pediatrics</w:t>
            </w:r>
          </w:p>
        </w:tc>
        <w:tc>
          <w:tcPr>
            <w:tcW w:w="700" w:type="dxa"/>
            <w:shd w:val="clear" w:color="auto" w:fill="auto"/>
            <w:tcMar>
              <w:top w:w="100" w:type="dxa"/>
              <w:left w:w="100" w:type="dxa"/>
              <w:bottom w:w="100" w:type="dxa"/>
              <w:right w:w="100" w:type="dxa"/>
            </w:tcMar>
          </w:tcPr>
          <w:p w14:paraId="27516CF2" w14:textId="77777777" w:rsidR="00687F7A" w:rsidRPr="00944ABC" w:rsidRDefault="3EEF55E6" w:rsidP="3EEF55E6">
            <w:pPr>
              <w:widowControl w:val="0"/>
              <w:pBdr>
                <w:top w:val="nil"/>
                <w:left w:val="nil"/>
                <w:bottom w:val="nil"/>
                <w:right w:val="nil"/>
                <w:between w:val="nil"/>
              </w:pBdr>
              <w:spacing w:line="240" w:lineRule="auto"/>
              <w:ind w:firstLine="0"/>
              <w:jc w:val="center"/>
              <w:rPr>
                <w:sz w:val="20"/>
                <w:szCs w:val="20"/>
              </w:rPr>
            </w:pPr>
            <w:r w:rsidRPr="00944ABC">
              <w:rPr>
                <w:sz w:val="20"/>
                <w:szCs w:val="20"/>
              </w:rPr>
              <w:t>8.13</w:t>
            </w:r>
          </w:p>
        </w:tc>
        <w:tc>
          <w:tcPr>
            <w:tcW w:w="590" w:type="dxa"/>
            <w:shd w:val="clear" w:color="auto" w:fill="auto"/>
            <w:tcMar>
              <w:top w:w="100" w:type="dxa"/>
              <w:left w:w="100" w:type="dxa"/>
              <w:bottom w:w="100" w:type="dxa"/>
              <w:right w:w="100" w:type="dxa"/>
            </w:tcMar>
          </w:tcPr>
          <w:p w14:paraId="6B0D3E9A" w14:textId="77777777" w:rsidR="00687F7A" w:rsidRPr="00944ABC" w:rsidRDefault="3EEF55E6" w:rsidP="3EEF55E6">
            <w:pPr>
              <w:widowControl w:val="0"/>
              <w:pBdr>
                <w:top w:val="nil"/>
                <w:left w:val="nil"/>
                <w:bottom w:val="nil"/>
                <w:right w:val="nil"/>
                <w:between w:val="nil"/>
              </w:pBdr>
              <w:spacing w:line="240" w:lineRule="auto"/>
              <w:ind w:firstLine="0"/>
              <w:jc w:val="center"/>
              <w:rPr>
                <w:sz w:val="20"/>
                <w:szCs w:val="20"/>
              </w:rPr>
            </w:pPr>
            <w:r w:rsidRPr="00944ABC">
              <w:rPr>
                <w:sz w:val="20"/>
                <w:szCs w:val="20"/>
              </w:rPr>
              <w:t>1.53</w:t>
            </w:r>
          </w:p>
        </w:tc>
        <w:tc>
          <w:tcPr>
            <w:tcW w:w="1560" w:type="dxa"/>
            <w:shd w:val="clear" w:color="auto" w:fill="auto"/>
            <w:tcMar>
              <w:top w:w="100" w:type="dxa"/>
              <w:left w:w="100" w:type="dxa"/>
              <w:bottom w:w="100" w:type="dxa"/>
              <w:right w:w="100" w:type="dxa"/>
            </w:tcMar>
          </w:tcPr>
          <w:p w14:paraId="4FEF32CE" w14:textId="77777777" w:rsidR="00687F7A"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(7.42-8.85)</w:t>
            </w:r>
          </w:p>
        </w:tc>
        <w:tc>
          <w:tcPr>
            <w:tcW w:w="255" w:type="dxa"/>
            <w:shd w:val="clear" w:color="auto" w:fill="auto"/>
            <w:tcMar>
              <w:top w:w="100" w:type="dxa"/>
              <w:left w:w="100" w:type="dxa"/>
              <w:bottom w:w="100" w:type="dxa"/>
              <w:right w:w="100" w:type="dxa"/>
            </w:tcMar>
          </w:tcPr>
          <w:p w14:paraId="50F40DEB" w14:textId="77777777" w:rsidR="00687F7A" w:rsidRPr="00944ABC" w:rsidRDefault="00687F7A" w:rsidP="00687F7A">
            <w:pPr>
              <w:widowControl w:val="0"/>
              <w:pBdr>
                <w:top w:val="nil"/>
                <w:left w:val="nil"/>
                <w:bottom w:val="nil"/>
                <w:right w:val="nil"/>
                <w:between w:val="nil"/>
              </w:pBdr>
              <w:spacing w:line="240" w:lineRule="auto"/>
              <w:jc w:val="center"/>
              <w:rPr>
                <w:sz w:val="20"/>
                <w:szCs w:val="20"/>
              </w:rPr>
            </w:pPr>
          </w:p>
        </w:tc>
        <w:tc>
          <w:tcPr>
            <w:tcW w:w="780" w:type="dxa"/>
            <w:shd w:val="clear" w:color="auto" w:fill="auto"/>
            <w:tcMar>
              <w:top w:w="100" w:type="dxa"/>
              <w:left w:w="100" w:type="dxa"/>
              <w:bottom w:w="100" w:type="dxa"/>
              <w:right w:w="100" w:type="dxa"/>
            </w:tcMar>
          </w:tcPr>
          <w:p w14:paraId="598B85BA" w14:textId="77777777" w:rsidR="00687F7A"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5%</w:t>
            </w:r>
          </w:p>
        </w:tc>
        <w:tc>
          <w:tcPr>
            <w:tcW w:w="1395" w:type="dxa"/>
            <w:shd w:val="clear" w:color="auto" w:fill="auto"/>
            <w:tcMar>
              <w:top w:w="100" w:type="dxa"/>
              <w:left w:w="100" w:type="dxa"/>
              <w:bottom w:w="100" w:type="dxa"/>
              <w:right w:w="100" w:type="dxa"/>
            </w:tcMar>
          </w:tcPr>
          <w:p w14:paraId="00CFB716" w14:textId="77777777" w:rsidR="00687F7A"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(0.1%-25%)</w:t>
            </w:r>
          </w:p>
        </w:tc>
        <w:tc>
          <w:tcPr>
            <w:tcW w:w="255" w:type="dxa"/>
            <w:shd w:val="clear" w:color="auto" w:fill="auto"/>
            <w:tcMar>
              <w:top w:w="100" w:type="dxa"/>
              <w:left w:w="100" w:type="dxa"/>
              <w:bottom w:w="100" w:type="dxa"/>
              <w:right w:w="100" w:type="dxa"/>
            </w:tcMar>
          </w:tcPr>
          <w:p w14:paraId="77A52294" w14:textId="77777777" w:rsidR="00687F7A" w:rsidRPr="00944ABC" w:rsidRDefault="00687F7A" w:rsidP="00687F7A">
            <w:pPr>
              <w:widowControl w:val="0"/>
              <w:pBdr>
                <w:top w:val="nil"/>
                <w:left w:val="nil"/>
                <w:bottom w:val="nil"/>
                <w:right w:val="nil"/>
                <w:between w:val="nil"/>
              </w:pBdr>
              <w:spacing w:line="240" w:lineRule="auto"/>
              <w:jc w:val="center"/>
              <w:rPr>
                <w:sz w:val="20"/>
                <w:szCs w:val="20"/>
              </w:rPr>
            </w:pPr>
          </w:p>
        </w:tc>
        <w:tc>
          <w:tcPr>
            <w:tcW w:w="1005" w:type="dxa"/>
            <w:shd w:val="clear" w:color="auto" w:fill="auto"/>
            <w:tcMar>
              <w:top w:w="100" w:type="dxa"/>
              <w:left w:w="100" w:type="dxa"/>
              <w:bottom w:w="100" w:type="dxa"/>
              <w:right w:w="100" w:type="dxa"/>
            </w:tcMar>
          </w:tcPr>
          <w:p w14:paraId="62B37E15" w14:textId="77777777" w:rsidR="00687F7A"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65%</w:t>
            </w:r>
          </w:p>
        </w:tc>
        <w:tc>
          <w:tcPr>
            <w:tcW w:w="1395" w:type="dxa"/>
            <w:shd w:val="clear" w:color="auto" w:fill="auto"/>
            <w:tcMar>
              <w:top w:w="100" w:type="dxa"/>
              <w:left w:w="100" w:type="dxa"/>
              <w:bottom w:w="100" w:type="dxa"/>
              <w:right w:w="100" w:type="dxa"/>
            </w:tcMar>
          </w:tcPr>
          <w:p w14:paraId="684C9DFA" w14:textId="77777777" w:rsidR="00687F7A"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(41-85%)</w:t>
            </w:r>
          </w:p>
        </w:tc>
        <w:tc>
          <w:tcPr>
            <w:tcW w:w="255" w:type="dxa"/>
            <w:shd w:val="clear" w:color="auto" w:fill="auto"/>
            <w:tcMar>
              <w:top w:w="100" w:type="dxa"/>
              <w:left w:w="100" w:type="dxa"/>
              <w:bottom w:w="100" w:type="dxa"/>
              <w:right w:w="100" w:type="dxa"/>
            </w:tcMar>
          </w:tcPr>
          <w:p w14:paraId="007DCDA8" w14:textId="77777777" w:rsidR="00687F7A" w:rsidRPr="00944ABC" w:rsidRDefault="00687F7A" w:rsidP="0030012E">
            <w:pPr>
              <w:widowControl w:val="0"/>
              <w:pBdr>
                <w:top w:val="nil"/>
                <w:left w:val="nil"/>
                <w:bottom w:val="nil"/>
                <w:right w:val="nil"/>
                <w:between w:val="nil"/>
              </w:pBdr>
              <w:spacing w:line="240" w:lineRule="auto"/>
              <w:rPr>
                <w:sz w:val="20"/>
                <w:szCs w:val="20"/>
              </w:rPr>
            </w:pPr>
          </w:p>
        </w:tc>
      </w:tr>
      <w:tr w:rsidR="00687F7A" w:rsidRPr="00944ABC" w14:paraId="699B2D78" w14:textId="77777777" w:rsidTr="00944ABC">
        <w:tc>
          <w:tcPr>
            <w:tcW w:w="1170" w:type="dxa"/>
            <w:shd w:val="clear" w:color="auto" w:fill="auto"/>
            <w:tcMar>
              <w:top w:w="100" w:type="dxa"/>
              <w:left w:w="100" w:type="dxa"/>
              <w:bottom w:w="100" w:type="dxa"/>
              <w:right w:w="100" w:type="dxa"/>
            </w:tcMar>
          </w:tcPr>
          <w:p w14:paraId="718635E4" w14:textId="77777777" w:rsidR="00687F7A" w:rsidRPr="00944ABC" w:rsidRDefault="69CFA879" w:rsidP="69CFA879">
            <w:pPr>
              <w:widowControl w:val="0"/>
              <w:pBdr>
                <w:top w:val="nil"/>
                <w:left w:val="nil"/>
                <w:bottom w:val="nil"/>
                <w:right w:val="nil"/>
                <w:between w:val="nil"/>
              </w:pBdr>
              <w:spacing w:line="240" w:lineRule="auto"/>
              <w:ind w:firstLine="0"/>
              <w:rPr>
                <w:sz w:val="20"/>
                <w:szCs w:val="20"/>
              </w:rPr>
            </w:pPr>
            <w:r w:rsidRPr="00944ABC">
              <w:rPr>
                <w:sz w:val="20"/>
                <w:szCs w:val="20"/>
              </w:rPr>
              <w:t>Dermatology</w:t>
            </w:r>
          </w:p>
        </w:tc>
        <w:tc>
          <w:tcPr>
            <w:tcW w:w="700" w:type="dxa"/>
            <w:shd w:val="clear" w:color="auto" w:fill="auto"/>
            <w:tcMar>
              <w:top w:w="100" w:type="dxa"/>
              <w:left w:w="100" w:type="dxa"/>
              <w:bottom w:w="100" w:type="dxa"/>
              <w:right w:w="100" w:type="dxa"/>
            </w:tcMar>
          </w:tcPr>
          <w:p w14:paraId="40F18650" w14:textId="77777777" w:rsidR="00687F7A" w:rsidRPr="00944ABC" w:rsidRDefault="3EEF55E6" w:rsidP="3EEF55E6">
            <w:pPr>
              <w:widowControl w:val="0"/>
              <w:pBdr>
                <w:top w:val="nil"/>
                <w:left w:val="nil"/>
                <w:bottom w:val="nil"/>
                <w:right w:val="nil"/>
                <w:between w:val="nil"/>
              </w:pBdr>
              <w:spacing w:line="240" w:lineRule="auto"/>
              <w:ind w:firstLine="0"/>
              <w:jc w:val="center"/>
              <w:rPr>
                <w:sz w:val="20"/>
                <w:szCs w:val="20"/>
              </w:rPr>
            </w:pPr>
            <w:r w:rsidRPr="00944ABC">
              <w:rPr>
                <w:sz w:val="20"/>
                <w:szCs w:val="20"/>
              </w:rPr>
              <w:t>11.55</w:t>
            </w:r>
          </w:p>
        </w:tc>
        <w:tc>
          <w:tcPr>
            <w:tcW w:w="590" w:type="dxa"/>
            <w:shd w:val="clear" w:color="auto" w:fill="auto"/>
            <w:tcMar>
              <w:top w:w="100" w:type="dxa"/>
              <w:left w:w="100" w:type="dxa"/>
              <w:bottom w:w="100" w:type="dxa"/>
              <w:right w:w="100" w:type="dxa"/>
            </w:tcMar>
          </w:tcPr>
          <w:p w14:paraId="5FFA524C" w14:textId="77777777" w:rsidR="00687F7A" w:rsidRPr="00944ABC" w:rsidRDefault="3EEF55E6" w:rsidP="3EEF55E6">
            <w:pPr>
              <w:widowControl w:val="0"/>
              <w:pBdr>
                <w:top w:val="nil"/>
                <w:left w:val="nil"/>
                <w:bottom w:val="nil"/>
                <w:right w:val="nil"/>
                <w:between w:val="nil"/>
              </w:pBdr>
              <w:spacing w:line="240" w:lineRule="auto"/>
              <w:ind w:firstLine="0"/>
              <w:jc w:val="center"/>
              <w:rPr>
                <w:sz w:val="20"/>
                <w:szCs w:val="20"/>
              </w:rPr>
            </w:pPr>
            <w:r w:rsidRPr="00944ABC">
              <w:rPr>
                <w:sz w:val="20"/>
                <w:szCs w:val="20"/>
              </w:rPr>
              <w:t>1.75</w:t>
            </w:r>
          </w:p>
        </w:tc>
        <w:tc>
          <w:tcPr>
            <w:tcW w:w="1560" w:type="dxa"/>
            <w:shd w:val="clear" w:color="auto" w:fill="auto"/>
            <w:tcMar>
              <w:top w:w="100" w:type="dxa"/>
              <w:left w:w="100" w:type="dxa"/>
              <w:bottom w:w="100" w:type="dxa"/>
              <w:right w:w="100" w:type="dxa"/>
            </w:tcMar>
          </w:tcPr>
          <w:p w14:paraId="3B392EF6" w14:textId="77777777" w:rsidR="00687F7A"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(10.29-12.80)</w:t>
            </w:r>
          </w:p>
        </w:tc>
        <w:tc>
          <w:tcPr>
            <w:tcW w:w="255" w:type="dxa"/>
            <w:shd w:val="clear" w:color="auto" w:fill="auto"/>
            <w:tcMar>
              <w:top w:w="100" w:type="dxa"/>
              <w:left w:w="100" w:type="dxa"/>
              <w:bottom w:w="100" w:type="dxa"/>
              <w:right w:w="100" w:type="dxa"/>
            </w:tcMar>
          </w:tcPr>
          <w:p w14:paraId="450EA2D7" w14:textId="77777777" w:rsidR="00687F7A" w:rsidRPr="00944ABC" w:rsidRDefault="00687F7A" w:rsidP="00687F7A">
            <w:pPr>
              <w:widowControl w:val="0"/>
              <w:pBdr>
                <w:top w:val="nil"/>
                <w:left w:val="nil"/>
                <w:bottom w:val="nil"/>
                <w:right w:val="nil"/>
                <w:between w:val="nil"/>
              </w:pBdr>
              <w:spacing w:line="240" w:lineRule="auto"/>
              <w:jc w:val="center"/>
              <w:rPr>
                <w:sz w:val="20"/>
                <w:szCs w:val="20"/>
              </w:rPr>
            </w:pPr>
          </w:p>
        </w:tc>
        <w:tc>
          <w:tcPr>
            <w:tcW w:w="780" w:type="dxa"/>
            <w:shd w:val="clear" w:color="auto" w:fill="auto"/>
            <w:tcMar>
              <w:top w:w="100" w:type="dxa"/>
              <w:left w:w="100" w:type="dxa"/>
              <w:bottom w:w="100" w:type="dxa"/>
              <w:right w:w="100" w:type="dxa"/>
            </w:tcMar>
          </w:tcPr>
          <w:p w14:paraId="6D414B93" w14:textId="77777777" w:rsidR="00687F7A"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0%</w:t>
            </w:r>
          </w:p>
        </w:tc>
        <w:tc>
          <w:tcPr>
            <w:tcW w:w="1395" w:type="dxa"/>
            <w:shd w:val="clear" w:color="auto" w:fill="auto"/>
            <w:tcMar>
              <w:top w:w="100" w:type="dxa"/>
              <w:left w:w="100" w:type="dxa"/>
              <w:bottom w:w="100" w:type="dxa"/>
              <w:right w:w="100" w:type="dxa"/>
            </w:tcMar>
          </w:tcPr>
          <w:p w14:paraId="61043C3C" w14:textId="77777777" w:rsidR="00687F7A"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(0-31%)</w:t>
            </w:r>
          </w:p>
        </w:tc>
        <w:tc>
          <w:tcPr>
            <w:tcW w:w="255" w:type="dxa"/>
            <w:shd w:val="clear" w:color="auto" w:fill="auto"/>
            <w:tcMar>
              <w:top w:w="100" w:type="dxa"/>
              <w:left w:w="100" w:type="dxa"/>
              <w:bottom w:w="100" w:type="dxa"/>
              <w:right w:w="100" w:type="dxa"/>
            </w:tcMar>
          </w:tcPr>
          <w:p w14:paraId="3DD355C9" w14:textId="77777777" w:rsidR="00687F7A" w:rsidRPr="00944ABC" w:rsidRDefault="00687F7A" w:rsidP="00687F7A">
            <w:pPr>
              <w:widowControl w:val="0"/>
              <w:spacing w:line="240" w:lineRule="auto"/>
              <w:jc w:val="center"/>
              <w:rPr>
                <w:sz w:val="20"/>
                <w:szCs w:val="20"/>
              </w:rPr>
            </w:pPr>
          </w:p>
        </w:tc>
        <w:tc>
          <w:tcPr>
            <w:tcW w:w="1005" w:type="dxa"/>
            <w:shd w:val="clear" w:color="auto" w:fill="auto"/>
            <w:tcMar>
              <w:top w:w="100" w:type="dxa"/>
              <w:left w:w="100" w:type="dxa"/>
              <w:bottom w:w="100" w:type="dxa"/>
              <w:right w:w="100" w:type="dxa"/>
            </w:tcMar>
          </w:tcPr>
          <w:p w14:paraId="4018C83E" w14:textId="77777777" w:rsidR="00687F7A"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0%</w:t>
            </w:r>
          </w:p>
        </w:tc>
        <w:tc>
          <w:tcPr>
            <w:tcW w:w="1395" w:type="dxa"/>
            <w:shd w:val="clear" w:color="auto" w:fill="auto"/>
            <w:tcMar>
              <w:top w:w="100" w:type="dxa"/>
              <w:left w:w="100" w:type="dxa"/>
              <w:bottom w:w="100" w:type="dxa"/>
              <w:right w:w="100" w:type="dxa"/>
            </w:tcMar>
          </w:tcPr>
          <w:p w14:paraId="69213A54" w14:textId="77777777" w:rsidR="00687F7A" w:rsidRPr="00944ABC" w:rsidRDefault="69CFA879" w:rsidP="69CFA879">
            <w:pPr>
              <w:widowControl w:val="0"/>
              <w:spacing w:line="240" w:lineRule="auto"/>
              <w:ind w:firstLine="0"/>
              <w:jc w:val="center"/>
              <w:rPr>
                <w:sz w:val="20"/>
                <w:szCs w:val="20"/>
              </w:rPr>
            </w:pPr>
            <w:r w:rsidRPr="00944ABC">
              <w:rPr>
                <w:sz w:val="20"/>
                <w:szCs w:val="20"/>
              </w:rPr>
              <w:t>(0-31%)</w:t>
            </w:r>
          </w:p>
        </w:tc>
        <w:tc>
          <w:tcPr>
            <w:tcW w:w="255" w:type="dxa"/>
            <w:shd w:val="clear" w:color="auto" w:fill="auto"/>
            <w:tcMar>
              <w:top w:w="100" w:type="dxa"/>
              <w:left w:w="100" w:type="dxa"/>
              <w:bottom w:w="100" w:type="dxa"/>
              <w:right w:w="100" w:type="dxa"/>
            </w:tcMar>
          </w:tcPr>
          <w:p w14:paraId="1A81F0B1" w14:textId="77777777" w:rsidR="00687F7A" w:rsidRPr="00944ABC" w:rsidRDefault="00687F7A" w:rsidP="0030012E">
            <w:pPr>
              <w:widowControl w:val="0"/>
              <w:pBdr>
                <w:top w:val="nil"/>
                <w:left w:val="nil"/>
                <w:bottom w:val="nil"/>
                <w:right w:val="nil"/>
                <w:between w:val="nil"/>
              </w:pBdr>
              <w:spacing w:line="240" w:lineRule="auto"/>
              <w:rPr>
                <w:sz w:val="20"/>
                <w:szCs w:val="20"/>
              </w:rPr>
            </w:pPr>
          </w:p>
        </w:tc>
      </w:tr>
      <w:tr w:rsidR="00687F7A" w:rsidRPr="00944ABC" w14:paraId="3337C0D3" w14:textId="77777777" w:rsidTr="00944ABC">
        <w:tc>
          <w:tcPr>
            <w:tcW w:w="1170" w:type="dxa"/>
            <w:shd w:val="clear" w:color="auto" w:fill="auto"/>
            <w:tcMar>
              <w:top w:w="100" w:type="dxa"/>
              <w:left w:w="100" w:type="dxa"/>
              <w:bottom w:w="100" w:type="dxa"/>
              <w:right w:w="100" w:type="dxa"/>
            </w:tcMar>
          </w:tcPr>
          <w:p w14:paraId="422C02ED" w14:textId="77777777" w:rsidR="00687F7A" w:rsidRPr="00944ABC" w:rsidRDefault="69CFA879" w:rsidP="69CFA879">
            <w:pPr>
              <w:widowControl w:val="0"/>
              <w:pBdr>
                <w:top w:val="nil"/>
                <w:left w:val="nil"/>
                <w:bottom w:val="nil"/>
                <w:right w:val="nil"/>
                <w:between w:val="nil"/>
              </w:pBdr>
              <w:spacing w:line="240" w:lineRule="auto"/>
              <w:ind w:firstLine="0"/>
              <w:rPr>
                <w:sz w:val="20"/>
                <w:szCs w:val="20"/>
              </w:rPr>
            </w:pPr>
            <w:r w:rsidRPr="00944ABC">
              <w:rPr>
                <w:sz w:val="20"/>
                <w:szCs w:val="20"/>
              </w:rPr>
              <w:t>Infectious Disease</w:t>
            </w:r>
          </w:p>
        </w:tc>
        <w:tc>
          <w:tcPr>
            <w:tcW w:w="700" w:type="dxa"/>
            <w:shd w:val="clear" w:color="auto" w:fill="auto"/>
            <w:tcMar>
              <w:top w:w="100" w:type="dxa"/>
              <w:left w:w="100" w:type="dxa"/>
              <w:bottom w:w="100" w:type="dxa"/>
              <w:right w:w="100" w:type="dxa"/>
            </w:tcMar>
          </w:tcPr>
          <w:p w14:paraId="187D0859" w14:textId="77777777" w:rsidR="00687F7A" w:rsidRPr="00944ABC" w:rsidRDefault="3EEF55E6" w:rsidP="3EEF55E6">
            <w:pPr>
              <w:widowControl w:val="0"/>
              <w:pBdr>
                <w:top w:val="nil"/>
                <w:left w:val="nil"/>
                <w:bottom w:val="nil"/>
                <w:right w:val="nil"/>
                <w:between w:val="nil"/>
              </w:pBdr>
              <w:spacing w:line="240" w:lineRule="auto"/>
              <w:ind w:firstLine="0"/>
              <w:jc w:val="center"/>
              <w:rPr>
                <w:sz w:val="20"/>
                <w:szCs w:val="20"/>
              </w:rPr>
            </w:pPr>
            <w:r w:rsidRPr="00944ABC">
              <w:rPr>
                <w:sz w:val="20"/>
                <w:szCs w:val="20"/>
              </w:rPr>
              <w:t>11.39</w:t>
            </w:r>
          </w:p>
        </w:tc>
        <w:tc>
          <w:tcPr>
            <w:tcW w:w="590" w:type="dxa"/>
            <w:shd w:val="clear" w:color="auto" w:fill="auto"/>
            <w:tcMar>
              <w:top w:w="100" w:type="dxa"/>
              <w:left w:w="100" w:type="dxa"/>
              <w:bottom w:w="100" w:type="dxa"/>
              <w:right w:w="100" w:type="dxa"/>
            </w:tcMar>
          </w:tcPr>
          <w:p w14:paraId="051B3DEE" w14:textId="77777777" w:rsidR="00687F7A" w:rsidRPr="00944ABC" w:rsidRDefault="3EEF55E6" w:rsidP="3EEF55E6">
            <w:pPr>
              <w:widowControl w:val="0"/>
              <w:pBdr>
                <w:top w:val="nil"/>
                <w:left w:val="nil"/>
                <w:bottom w:val="nil"/>
                <w:right w:val="nil"/>
                <w:between w:val="nil"/>
              </w:pBdr>
              <w:spacing w:line="240" w:lineRule="auto"/>
              <w:ind w:firstLine="0"/>
              <w:jc w:val="center"/>
              <w:rPr>
                <w:sz w:val="20"/>
                <w:szCs w:val="20"/>
              </w:rPr>
            </w:pPr>
            <w:r w:rsidRPr="00944ABC">
              <w:rPr>
                <w:sz w:val="20"/>
                <w:szCs w:val="20"/>
              </w:rPr>
              <w:t>1.37</w:t>
            </w:r>
          </w:p>
        </w:tc>
        <w:tc>
          <w:tcPr>
            <w:tcW w:w="1560" w:type="dxa"/>
            <w:shd w:val="clear" w:color="auto" w:fill="auto"/>
            <w:tcMar>
              <w:top w:w="100" w:type="dxa"/>
              <w:left w:w="100" w:type="dxa"/>
              <w:bottom w:w="100" w:type="dxa"/>
              <w:right w:w="100" w:type="dxa"/>
            </w:tcMar>
          </w:tcPr>
          <w:p w14:paraId="5691A1E4" w14:textId="77777777" w:rsidR="00687F7A"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(10.41- 12.37</w:t>
            </w:r>
          </w:p>
        </w:tc>
        <w:tc>
          <w:tcPr>
            <w:tcW w:w="255" w:type="dxa"/>
            <w:shd w:val="clear" w:color="auto" w:fill="auto"/>
            <w:tcMar>
              <w:top w:w="100" w:type="dxa"/>
              <w:left w:w="100" w:type="dxa"/>
              <w:bottom w:w="100" w:type="dxa"/>
              <w:right w:w="100" w:type="dxa"/>
            </w:tcMar>
          </w:tcPr>
          <w:p w14:paraId="717AAFBA" w14:textId="77777777" w:rsidR="00687F7A" w:rsidRPr="00944ABC" w:rsidRDefault="00687F7A" w:rsidP="00687F7A">
            <w:pPr>
              <w:widowControl w:val="0"/>
              <w:pBdr>
                <w:top w:val="nil"/>
                <w:left w:val="nil"/>
                <w:bottom w:val="nil"/>
                <w:right w:val="nil"/>
                <w:between w:val="nil"/>
              </w:pBdr>
              <w:spacing w:line="240" w:lineRule="auto"/>
              <w:jc w:val="center"/>
              <w:rPr>
                <w:sz w:val="20"/>
                <w:szCs w:val="20"/>
              </w:rPr>
            </w:pPr>
          </w:p>
        </w:tc>
        <w:tc>
          <w:tcPr>
            <w:tcW w:w="780" w:type="dxa"/>
            <w:shd w:val="clear" w:color="auto" w:fill="auto"/>
            <w:tcMar>
              <w:top w:w="100" w:type="dxa"/>
              <w:left w:w="100" w:type="dxa"/>
              <w:bottom w:w="100" w:type="dxa"/>
              <w:right w:w="100" w:type="dxa"/>
            </w:tcMar>
          </w:tcPr>
          <w:p w14:paraId="0EEA4D56" w14:textId="77777777" w:rsidR="00687F7A"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0%</w:t>
            </w:r>
          </w:p>
        </w:tc>
        <w:tc>
          <w:tcPr>
            <w:tcW w:w="1395" w:type="dxa"/>
            <w:shd w:val="clear" w:color="auto" w:fill="auto"/>
            <w:tcMar>
              <w:top w:w="100" w:type="dxa"/>
              <w:left w:w="100" w:type="dxa"/>
              <w:bottom w:w="100" w:type="dxa"/>
              <w:right w:w="100" w:type="dxa"/>
            </w:tcMar>
          </w:tcPr>
          <w:p w14:paraId="71EC1E1C" w14:textId="77777777" w:rsidR="00687F7A" w:rsidRPr="00944ABC" w:rsidRDefault="69CFA879" w:rsidP="69CFA879">
            <w:pPr>
              <w:widowControl w:val="0"/>
              <w:spacing w:line="240" w:lineRule="auto"/>
              <w:ind w:firstLine="0"/>
              <w:jc w:val="center"/>
              <w:rPr>
                <w:sz w:val="20"/>
                <w:szCs w:val="20"/>
              </w:rPr>
            </w:pPr>
            <w:r w:rsidRPr="00944ABC">
              <w:rPr>
                <w:sz w:val="20"/>
                <w:szCs w:val="20"/>
              </w:rPr>
              <w:t>(0-31%)</w:t>
            </w:r>
          </w:p>
        </w:tc>
        <w:tc>
          <w:tcPr>
            <w:tcW w:w="255" w:type="dxa"/>
            <w:shd w:val="clear" w:color="auto" w:fill="auto"/>
            <w:tcMar>
              <w:top w:w="100" w:type="dxa"/>
              <w:left w:w="100" w:type="dxa"/>
              <w:bottom w:w="100" w:type="dxa"/>
              <w:right w:w="100" w:type="dxa"/>
            </w:tcMar>
          </w:tcPr>
          <w:p w14:paraId="56EE48EE" w14:textId="77777777" w:rsidR="00687F7A" w:rsidRPr="00944ABC" w:rsidRDefault="00687F7A" w:rsidP="00687F7A">
            <w:pPr>
              <w:widowControl w:val="0"/>
              <w:spacing w:line="240" w:lineRule="auto"/>
              <w:jc w:val="center"/>
              <w:rPr>
                <w:sz w:val="20"/>
                <w:szCs w:val="20"/>
              </w:rPr>
            </w:pPr>
          </w:p>
        </w:tc>
        <w:tc>
          <w:tcPr>
            <w:tcW w:w="1005" w:type="dxa"/>
            <w:shd w:val="clear" w:color="auto" w:fill="auto"/>
            <w:tcMar>
              <w:top w:w="100" w:type="dxa"/>
              <w:left w:w="100" w:type="dxa"/>
              <w:bottom w:w="100" w:type="dxa"/>
              <w:right w:w="100" w:type="dxa"/>
            </w:tcMar>
          </w:tcPr>
          <w:p w14:paraId="2418A138" w14:textId="77777777" w:rsidR="00687F7A"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0%</w:t>
            </w:r>
          </w:p>
        </w:tc>
        <w:tc>
          <w:tcPr>
            <w:tcW w:w="1395" w:type="dxa"/>
            <w:shd w:val="clear" w:color="auto" w:fill="auto"/>
            <w:tcMar>
              <w:top w:w="100" w:type="dxa"/>
              <w:left w:w="100" w:type="dxa"/>
              <w:bottom w:w="100" w:type="dxa"/>
              <w:right w:w="100" w:type="dxa"/>
            </w:tcMar>
          </w:tcPr>
          <w:p w14:paraId="5DFE34DA" w14:textId="77777777" w:rsidR="00687F7A" w:rsidRPr="00944ABC" w:rsidRDefault="69CFA879" w:rsidP="69CFA879">
            <w:pPr>
              <w:widowControl w:val="0"/>
              <w:spacing w:line="240" w:lineRule="auto"/>
              <w:ind w:firstLine="0"/>
              <w:jc w:val="center"/>
              <w:rPr>
                <w:sz w:val="20"/>
                <w:szCs w:val="20"/>
              </w:rPr>
            </w:pPr>
            <w:r w:rsidRPr="00944ABC">
              <w:rPr>
                <w:sz w:val="20"/>
                <w:szCs w:val="20"/>
              </w:rPr>
              <w:t>(0-31%)</w:t>
            </w:r>
          </w:p>
        </w:tc>
        <w:tc>
          <w:tcPr>
            <w:tcW w:w="255" w:type="dxa"/>
            <w:shd w:val="clear" w:color="auto" w:fill="auto"/>
            <w:tcMar>
              <w:top w:w="100" w:type="dxa"/>
              <w:left w:w="100" w:type="dxa"/>
              <w:bottom w:w="100" w:type="dxa"/>
              <w:right w:w="100" w:type="dxa"/>
            </w:tcMar>
          </w:tcPr>
          <w:p w14:paraId="2908EB2C" w14:textId="77777777" w:rsidR="00687F7A" w:rsidRPr="00944ABC" w:rsidRDefault="00687F7A" w:rsidP="0030012E">
            <w:pPr>
              <w:widowControl w:val="0"/>
              <w:pBdr>
                <w:top w:val="nil"/>
                <w:left w:val="nil"/>
                <w:bottom w:val="nil"/>
                <w:right w:val="nil"/>
                <w:between w:val="nil"/>
              </w:pBdr>
              <w:spacing w:line="240" w:lineRule="auto"/>
              <w:rPr>
                <w:sz w:val="20"/>
                <w:szCs w:val="20"/>
              </w:rPr>
            </w:pPr>
          </w:p>
        </w:tc>
      </w:tr>
      <w:tr w:rsidR="00687F7A" w:rsidRPr="00944ABC" w14:paraId="15AF2D53" w14:textId="77777777" w:rsidTr="00944ABC">
        <w:tc>
          <w:tcPr>
            <w:tcW w:w="1170" w:type="dxa"/>
            <w:shd w:val="clear" w:color="auto" w:fill="auto"/>
            <w:tcMar>
              <w:top w:w="100" w:type="dxa"/>
              <w:left w:w="100" w:type="dxa"/>
              <w:bottom w:w="100" w:type="dxa"/>
              <w:right w:w="100" w:type="dxa"/>
            </w:tcMar>
          </w:tcPr>
          <w:p w14:paraId="395DCB71" w14:textId="77777777" w:rsidR="00687F7A" w:rsidRPr="00944ABC" w:rsidRDefault="69CFA879" w:rsidP="69CFA879">
            <w:pPr>
              <w:widowControl w:val="0"/>
              <w:pBdr>
                <w:top w:val="nil"/>
                <w:left w:val="nil"/>
                <w:bottom w:val="nil"/>
                <w:right w:val="nil"/>
                <w:between w:val="nil"/>
              </w:pBdr>
              <w:spacing w:line="240" w:lineRule="auto"/>
              <w:ind w:firstLine="0"/>
              <w:rPr>
                <w:sz w:val="20"/>
                <w:szCs w:val="20"/>
              </w:rPr>
            </w:pPr>
            <w:r w:rsidRPr="00944ABC">
              <w:rPr>
                <w:sz w:val="20"/>
                <w:szCs w:val="20"/>
              </w:rPr>
              <w:t>Endocrinology</w:t>
            </w:r>
          </w:p>
        </w:tc>
        <w:tc>
          <w:tcPr>
            <w:tcW w:w="700" w:type="dxa"/>
            <w:shd w:val="clear" w:color="auto" w:fill="auto"/>
            <w:tcMar>
              <w:top w:w="100" w:type="dxa"/>
              <w:left w:w="100" w:type="dxa"/>
              <w:bottom w:w="100" w:type="dxa"/>
              <w:right w:w="100" w:type="dxa"/>
            </w:tcMar>
          </w:tcPr>
          <w:p w14:paraId="612B8EFA" w14:textId="77777777" w:rsidR="00687F7A" w:rsidRPr="00944ABC" w:rsidRDefault="3EEF55E6" w:rsidP="3EEF55E6">
            <w:pPr>
              <w:widowControl w:val="0"/>
              <w:pBdr>
                <w:top w:val="nil"/>
                <w:left w:val="nil"/>
                <w:bottom w:val="nil"/>
                <w:right w:val="nil"/>
                <w:between w:val="nil"/>
              </w:pBdr>
              <w:spacing w:line="240" w:lineRule="auto"/>
              <w:ind w:firstLine="0"/>
              <w:jc w:val="center"/>
              <w:rPr>
                <w:sz w:val="20"/>
                <w:szCs w:val="20"/>
              </w:rPr>
            </w:pPr>
            <w:r w:rsidRPr="00944ABC">
              <w:rPr>
                <w:sz w:val="20"/>
                <w:szCs w:val="20"/>
              </w:rPr>
              <w:t>12.71</w:t>
            </w:r>
          </w:p>
        </w:tc>
        <w:tc>
          <w:tcPr>
            <w:tcW w:w="590" w:type="dxa"/>
            <w:shd w:val="clear" w:color="auto" w:fill="auto"/>
            <w:tcMar>
              <w:top w:w="100" w:type="dxa"/>
              <w:left w:w="100" w:type="dxa"/>
              <w:bottom w:w="100" w:type="dxa"/>
              <w:right w:w="100" w:type="dxa"/>
            </w:tcMar>
          </w:tcPr>
          <w:p w14:paraId="6C1A0516" w14:textId="77777777" w:rsidR="00687F7A" w:rsidRPr="00944ABC" w:rsidRDefault="3EEF55E6" w:rsidP="3EEF55E6">
            <w:pPr>
              <w:widowControl w:val="0"/>
              <w:pBdr>
                <w:top w:val="nil"/>
                <w:left w:val="nil"/>
                <w:bottom w:val="nil"/>
                <w:right w:val="nil"/>
                <w:between w:val="nil"/>
              </w:pBdr>
              <w:spacing w:line="240" w:lineRule="auto"/>
              <w:ind w:firstLine="0"/>
              <w:jc w:val="center"/>
              <w:rPr>
                <w:sz w:val="20"/>
                <w:szCs w:val="20"/>
              </w:rPr>
            </w:pPr>
            <w:r w:rsidRPr="00944ABC">
              <w:rPr>
                <w:sz w:val="20"/>
                <w:szCs w:val="20"/>
              </w:rPr>
              <w:t>1.15</w:t>
            </w:r>
          </w:p>
        </w:tc>
        <w:tc>
          <w:tcPr>
            <w:tcW w:w="1560" w:type="dxa"/>
            <w:shd w:val="clear" w:color="auto" w:fill="auto"/>
            <w:tcMar>
              <w:top w:w="100" w:type="dxa"/>
              <w:left w:w="100" w:type="dxa"/>
              <w:bottom w:w="100" w:type="dxa"/>
              <w:right w:w="100" w:type="dxa"/>
            </w:tcMar>
          </w:tcPr>
          <w:p w14:paraId="5FC13499" w14:textId="77777777" w:rsidR="00687F7A"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(11.89 - 13.53</w:t>
            </w:r>
          </w:p>
        </w:tc>
        <w:tc>
          <w:tcPr>
            <w:tcW w:w="255" w:type="dxa"/>
            <w:shd w:val="clear" w:color="auto" w:fill="auto"/>
            <w:tcMar>
              <w:top w:w="100" w:type="dxa"/>
              <w:left w:w="100" w:type="dxa"/>
              <w:bottom w:w="100" w:type="dxa"/>
              <w:right w:w="100" w:type="dxa"/>
            </w:tcMar>
          </w:tcPr>
          <w:p w14:paraId="121FD38A" w14:textId="77777777" w:rsidR="00687F7A" w:rsidRPr="00944ABC" w:rsidRDefault="00687F7A" w:rsidP="00687F7A">
            <w:pPr>
              <w:widowControl w:val="0"/>
              <w:pBdr>
                <w:top w:val="nil"/>
                <w:left w:val="nil"/>
                <w:bottom w:val="nil"/>
                <w:right w:val="nil"/>
                <w:between w:val="nil"/>
              </w:pBdr>
              <w:spacing w:line="240" w:lineRule="auto"/>
              <w:jc w:val="center"/>
              <w:rPr>
                <w:sz w:val="20"/>
                <w:szCs w:val="20"/>
              </w:rPr>
            </w:pPr>
          </w:p>
        </w:tc>
        <w:tc>
          <w:tcPr>
            <w:tcW w:w="780" w:type="dxa"/>
            <w:shd w:val="clear" w:color="auto" w:fill="auto"/>
            <w:tcMar>
              <w:top w:w="100" w:type="dxa"/>
              <w:left w:w="100" w:type="dxa"/>
              <w:bottom w:w="100" w:type="dxa"/>
              <w:right w:w="100" w:type="dxa"/>
            </w:tcMar>
          </w:tcPr>
          <w:p w14:paraId="284A9CAB" w14:textId="77777777" w:rsidR="00687F7A"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0%</w:t>
            </w:r>
          </w:p>
        </w:tc>
        <w:tc>
          <w:tcPr>
            <w:tcW w:w="1395" w:type="dxa"/>
            <w:shd w:val="clear" w:color="auto" w:fill="auto"/>
            <w:tcMar>
              <w:top w:w="100" w:type="dxa"/>
              <w:left w:w="100" w:type="dxa"/>
              <w:bottom w:w="100" w:type="dxa"/>
              <w:right w:w="100" w:type="dxa"/>
            </w:tcMar>
          </w:tcPr>
          <w:p w14:paraId="072AC6BA" w14:textId="77777777" w:rsidR="00687F7A" w:rsidRPr="00944ABC" w:rsidRDefault="69CFA879" w:rsidP="69CFA879">
            <w:pPr>
              <w:widowControl w:val="0"/>
              <w:spacing w:line="240" w:lineRule="auto"/>
              <w:ind w:firstLine="0"/>
              <w:jc w:val="center"/>
              <w:rPr>
                <w:sz w:val="20"/>
                <w:szCs w:val="20"/>
              </w:rPr>
            </w:pPr>
            <w:r w:rsidRPr="00944ABC">
              <w:rPr>
                <w:sz w:val="20"/>
                <w:szCs w:val="20"/>
              </w:rPr>
              <w:t>(0-31%)</w:t>
            </w:r>
          </w:p>
        </w:tc>
        <w:tc>
          <w:tcPr>
            <w:tcW w:w="255" w:type="dxa"/>
            <w:shd w:val="clear" w:color="auto" w:fill="auto"/>
            <w:tcMar>
              <w:top w:w="100" w:type="dxa"/>
              <w:left w:w="100" w:type="dxa"/>
              <w:bottom w:w="100" w:type="dxa"/>
              <w:right w:w="100" w:type="dxa"/>
            </w:tcMar>
          </w:tcPr>
          <w:p w14:paraId="1FE2DD96" w14:textId="77777777" w:rsidR="00687F7A" w:rsidRPr="00944ABC" w:rsidRDefault="00687F7A" w:rsidP="00687F7A">
            <w:pPr>
              <w:widowControl w:val="0"/>
              <w:spacing w:line="240" w:lineRule="auto"/>
              <w:jc w:val="center"/>
              <w:rPr>
                <w:sz w:val="20"/>
                <w:szCs w:val="20"/>
              </w:rPr>
            </w:pPr>
          </w:p>
        </w:tc>
        <w:tc>
          <w:tcPr>
            <w:tcW w:w="1005" w:type="dxa"/>
            <w:shd w:val="clear" w:color="auto" w:fill="auto"/>
            <w:tcMar>
              <w:top w:w="100" w:type="dxa"/>
              <w:left w:w="100" w:type="dxa"/>
              <w:bottom w:w="100" w:type="dxa"/>
              <w:right w:w="100" w:type="dxa"/>
            </w:tcMar>
          </w:tcPr>
          <w:p w14:paraId="5B385FE2" w14:textId="77777777" w:rsidR="00687F7A"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0%</w:t>
            </w:r>
          </w:p>
        </w:tc>
        <w:tc>
          <w:tcPr>
            <w:tcW w:w="1395" w:type="dxa"/>
            <w:shd w:val="clear" w:color="auto" w:fill="auto"/>
            <w:tcMar>
              <w:top w:w="100" w:type="dxa"/>
              <w:left w:w="100" w:type="dxa"/>
              <w:bottom w:w="100" w:type="dxa"/>
              <w:right w:w="100" w:type="dxa"/>
            </w:tcMar>
          </w:tcPr>
          <w:p w14:paraId="568A05EF" w14:textId="77777777" w:rsidR="00687F7A" w:rsidRPr="00944ABC" w:rsidRDefault="69CFA879" w:rsidP="69CFA879">
            <w:pPr>
              <w:widowControl w:val="0"/>
              <w:spacing w:line="240" w:lineRule="auto"/>
              <w:ind w:firstLine="0"/>
              <w:jc w:val="center"/>
              <w:rPr>
                <w:sz w:val="20"/>
                <w:szCs w:val="20"/>
              </w:rPr>
            </w:pPr>
            <w:r w:rsidRPr="00944ABC">
              <w:rPr>
                <w:sz w:val="20"/>
                <w:szCs w:val="20"/>
              </w:rPr>
              <w:t>(0-31%)</w:t>
            </w:r>
          </w:p>
        </w:tc>
        <w:tc>
          <w:tcPr>
            <w:tcW w:w="255" w:type="dxa"/>
            <w:shd w:val="clear" w:color="auto" w:fill="auto"/>
            <w:tcMar>
              <w:top w:w="100" w:type="dxa"/>
              <w:left w:w="100" w:type="dxa"/>
              <w:bottom w:w="100" w:type="dxa"/>
              <w:right w:w="100" w:type="dxa"/>
            </w:tcMar>
          </w:tcPr>
          <w:p w14:paraId="27357532" w14:textId="77777777" w:rsidR="00687F7A" w:rsidRPr="00944ABC" w:rsidRDefault="00687F7A" w:rsidP="0030012E">
            <w:pPr>
              <w:widowControl w:val="0"/>
              <w:pBdr>
                <w:top w:val="nil"/>
                <w:left w:val="nil"/>
                <w:bottom w:val="nil"/>
                <w:right w:val="nil"/>
                <w:between w:val="nil"/>
              </w:pBdr>
              <w:spacing w:line="240" w:lineRule="auto"/>
              <w:rPr>
                <w:sz w:val="20"/>
                <w:szCs w:val="20"/>
              </w:rPr>
            </w:pPr>
          </w:p>
        </w:tc>
      </w:tr>
      <w:tr w:rsidR="00687F7A" w:rsidRPr="00944ABC" w14:paraId="0B3ED52A" w14:textId="77777777" w:rsidTr="00944ABC">
        <w:tc>
          <w:tcPr>
            <w:tcW w:w="1170" w:type="dxa"/>
            <w:shd w:val="clear" w:color="auto" w:fill="auto"/>
            <w:tcMar>
              <w:top w:w="100" w:type="dxa"/>
              <w:left w:w="100" w:type="dxa"/>
              <w:bottom w:w="100" w:type="dxa"/>
              <w:right w:w="100" w:type="dxa"/>
            </w:tcMar>
          </w:tcPr>
          <w:p w14:paraId="46FE0C09" w14:textId="77777777" w:rsidR="00687F7A" w:rsidRPr="00944ABC" w:rsidRDefault="69CFA879" w:rsidP="69CFA879">
            <w:pPr>
              <w:widowControl w:val="0"/>
              <w:pBdr>
                <w:top w:val="nil"/>
                <w:left w:val="nil"/>
                <w:bottom w:val="nil"/>
                <w:right w:val="nil"/>
                <w:between w:val="nil"/>
              </w:pBdr>
              <w:spacing w:line="240" w:lineRule="auto"/>
              <w:ind w:firstLine="0"/>
              <w:rPr>
                <w:b/>
                <w:bCs/>
                <w:sz w:val="20"/>
                <w:szCs w:val="20"/>
              </w:rPr>
            </w:pPr>
            <w:r w:rsidRPr="00944ABC">
              <w:rPr>
                <w:b/>
                <w:bCs/>
                <w:sz w:val="20"/>
                <w:szCs w:val="20"/>
              </w:rPr>
              <w:t>Total</w:t>
            </w:r>
          </w:p>
        </w:tc>
        <w:tc>
          <w:tcPr>
            <w:tcW w:w="700" w:type="dxa"/>
            <w:shd w:val="clear" w:color="auto" w:fill="auto"/>
            <w:tcMar>
              <w:top w:w="100" w:type="dxa"/>
              <w:left w:w="100" w:type="dxa"/>
              <w:bottom w:w="100" w:type="dxa"/>
              <w:right w:w="100" w:type="dxa"/>
            </w:tcMar>
          </w:tcPr>
          <w:p w14:paraId="5D6A4103" w14:textId="77777777" w:rsidR="00687F7A" w:rsidRPr="00944ABC" w:rsidRDefault="3EEF55E6" w:rsidP="3EEF55E6">
            <w:pPr>
              <w:widowControl w:val="0"/>
              <w:pBdr>
                <w:top w:val="nil"/>
                <w:left w:val="nil"/>
                <w:bottom w:val="nil"/>
                <w:right w:val="nil"/>
                <w:between w:val="nil"/>
              </w:pBdr>
              <w:spacing w:line="240" w:lineRule="auto"/>
              <w:ind w:firstLine="0"/>
              <w:jc w:val="center"/>
              <w:rPr>
                <w:b/>
                <w:bCs/>
                <w:sz w:val="20"/>
                <w:szCs w:val="20"/>
              </w:rPr>
            </w:pPr>
            <w:r w:rsidRPr="00944ABC">
              <w:rPr>
                <w:b/>
                <w:bCs/>
                <w:sz w:val="20"/>
                <w:szCs w:val="20"/>
              </w:rPr>
              <w:t>10.38</w:t>
            </w:r>
          </w:p>
        </w:tc>
        <w:tc>
          <w:tcPr>
            <w:tcW w:w="590" w:type="dxa"/>
            <w:shd w:val="clear" w:color="auto" w:fill="auto"/>
            <w:tcMar>
              <w:top w:w="100" w:type="dxa"/>
              <w:left w:w="100" w:type="dxa"/>
              <w:bottom w:w="100" w:type="dxa"/>
              <w:right w:w="100" w:type="dxa"/>
            </w:tcMar>
          </w:tcPr>
          <w:p w14:paraId="4C2255F0" w14:textId="77777777" w:rsidR="00687F7A" w:rsidRPr="00944ABC" w:rsidRDefault="3EEF55E6" w:rsidP="3EEF55E6">
            <w:pPr>
              <w:widowControl w:val="0"/>
              <w:pBdr>
                <w:top w:val="nil"/>
                <w:left w:val="nil"/>
                <w:bottom w:val="nil"/>
                <w:right w:val="nil"/>
                <w:between w:val="nil"/>
              </w:pBdr>
              <w:spacing w:line="240" w:lineRule="auto"/>
              <w:ind w:firstLine="0"/>
              <w:jc w:val="center"/>
              <w:rPr>
                <w:b/>
                <w:bCs/>
                <w:sz w:val="20"/>
                <w:szCs w:val="20"/>
              </w:rPr>
            </w:pPr>
            <w:r w:rsidRPr="00944ABC">
              <w:rPr>
                <w:b/>
                <w:bCs/>
                <w:sz w:val="20"/>
                <w:szCs w:val="20"/>
              </w:rPr>
              <w:t>2.39</w:t>
            </w:r>
          </w:p>
        </w:tc>
        <w:tc>
          <w:tcPr>
            <w:tcW w:w="1560" w:type="dxa"/>
            <w:shd w:val="clear" w:color="auto" w:fill="auto"/>
            <w:tcMar>
              <w:top w:w="100" w:type="dxa"/>
              <w:left w:w="100" w:type="dxa"/>
              <w:bottom w:w="100" w:type="dxa"/>
              <w:right w:w="100" w:type="dxa"/>
            </w:tcMar>
          </w:tcPr>
          <w:p w14:paraId="2DA738A4" w14:textId="77777777" w:rsidR="00687F7A" w:rsidRPr="00944ABC" w:rsidRDefault="69CFA879" w:rsidP="69CFA879">
            <w:pPr>
              <w:widowControl w:val="0"/>
              <w:pBdr>
                <w:top w:val="nil"/>
                <w:left w:val="nil"/>
                <w:bottom w:val="nil"/>
                <w:right w:val="nil"/>
                <w:between w:val="nil"/>
              </w:pBdr>
              <w:spacing w:line="240" w:lineRule="auto"/>
              <w:ind w:firstLine="0"/>
              <w:jc w:val="center"/>
              <w:rPr>
                <w:b/>
                <w:bCs/>
                <w:sz w:val="20"/>
                <w:szCs w:val="20"/>
              </w:rPr>
            </w:pPr>
            <w:r w:rsidRPr="00944ABC">
              <w:rPr>
                <w:b/>
                <w:bCs/>
                <w:sz w:val="20"/>
                <w:szCs w:val="20"/>
              </w:rPr>
              <w:t>(9.70-11.06)</w:t>
            </w:r>
          </w:p>
        </w:tc>
        <w:tc>
          <w:tcPr>
            <w:tcW w:w="255" w:type="dxa"/>
            <w:shd w:val="clear" w:color="auto" w:fill="auto"/>
            <w:tcMar>
              <w:top w:w="100" w:type="dxa"/>
              <w:left w:w="100" w:type="dxa"/>
              <w:bottom w:w="100" w:type="dxa"/>
              <w:right w:w="100" w:type="dxa"/>
            </w:tcMar>
          </w:tcPr>
          <w:p w14:paraId="07F023C8" w14:textId="77777777" w:rsidR="00687F7A" w:rsidRPr="00944ABC" w:rsidRDefault="00687F7A" w:rsidP="00687F7A">
            <w:pPr>
              <w:widowControl w:val="0"/>
              <w:pBdr>
                <w:top w:val="nil"/>
                <w:left w:val="nil"/>
                <w:bottom w:val="nil"/>
                <w:right w:val="nil"/>
                <w:between w:val="nil"/>
              </w:pBdr>
              <w:spacing w:line="240" w:lineRule="auto"/>
              <w:jc w:val="center"/>
              <w:rPr>
                <w:b/>
                <w:sz w:val="20"/>
                <w:szCs w:val="20"/>
              </w:rPr>
            </w:pPr>
          </w:p>
        </w:tc>
        <w:tc>
          <w:tcPr>
            <w:tcW w:w="780" w:type="dxa"/>
            <w:shd w:val="clear" w:color="auto" w:fill="auto"/>
            <w:tcMar>
              <w:top w:w="100" w:type="dxa"/>
              <w:left w:w="100" w:type="dxa"/>
              <w:bottom w:w="100" w:type="dxa"/>
              <w:right w:w="100" w:type="dxa"/>
            </w:tcMar>
          </w:tcPr>
          <w:p w14:paraId="02D1A0E8" w14:textId="77777777" w:rsidR="00687F7A" w:rsidRPr="00944ABC" w:rsidRDefault="69CFA879" w:rsidP="69CFA879">
            <w:pPr>
              <w:widowControl w:val="0"/>
              <w:pBdr>
                <w:top w:val="nil"/>
                <w:left w:val="nil"/>
                <w:bottom w:val="nil"/>
                <w:right w:val="nil"/>
                <w:between w:val="nil"/>
              </w:pBdr>
              <w:spacing w:line="240" w:lineRule="auto"/>
              <w:ind w:firstLine="0"/>
              <w:jc w:val="center"/>
              <w:rPr>
                <w:b/>
                <w:bCs/>
                <w:sz w:val="20"/>
                <w:szCs w:val="20"/>
              </w:rPr>
            </w:pPr>
            <w:r w:rsidRPr="00944ABC">
              <w:rPr>
                <w:b/>
                <w:bCs/>
                <w:sz w:val="20"/>
                <w:szCs w:val="20"/>
              </w:rPr>
              <w:t>2%</w:t>
            </w:r>
          </w:p>
        </w:tc>
        <w:tc>
          <w:tcPr>
            <w:tcW w:w="1395" w:type="dxa"/>
            <w:shd w:val="clear" w:color="auto" w:fill="auto"/>
            <w:tcMar>
              <w:top w:w="100" w:type="dxa"/>
              <w:left w:w="100" w:type="dxa"/>
              <w:bottom w:w="100" w:type="dxa"/>
              <w:right w:w="100" w:type="dxa"/>
            </w:tcMar>
          </w:tcPr>
          <w:p w14:paraId="1C69C060" w14:textId="77777777" w:rsidR="00687F7A" w:rsidRPr="00944ABC" w:rsidRDefault="69CFA879" w:rsidP="69CFA879">
            <w:pPr>
              <w:widowControl w:val="0"/>
              <w:pBdr>
                <w:top w:val="nil"/>
                <w:left w:val="nil"/>
                <w:bottom w:val="nil"/>
                <w:right w:val="nil"/>
                <w:between w:val="nil"/>
              </w:pBdr>
              <w:spacing w:line="240" w:lineRule="auto"/>
              <w:ind w:firstLine="0"/>
              <w:jc w:val="center"/>
              <w:rPr>
                <w:b/>
                <w:bCs/>
                <w:sz w:val="20"/>
                <w:szCs w:val="20"/>
              </w:rPr>
            </w:pPr>
            <w:r w:rsidRPr="00944ABC">
              <w:rPr>
                <w:b/>
                <w:bCs/>
                <w:sz w:val="20"/>
                <w:szCs w:val="20"/>
              </w:rPr>
              <w:t>(.05%-11%)</w:t>
            </w:r>
          </w:p>
        </w:tc>
        <w:tc>
          <w:tcPr>
            <w:tcW w:w="255" w:type="dxa"/>
            <w:shd w:val="clear" w:color="auto" w:fill="auto"/>
            <w:tcMar>
              <w:top w:w="100" w:type="dxa"/>
              <w:left w:w="100" w:type="dxa"/>
              <w:bottom w:w="100" w:type="dxa"/>
              <w:right w:w="100" w:type="dxa"/>
            </w:tcMar>
          </w:tcPr>
          <w:p w14:paraId="4BDB5498" w14:textId="77777777" w:rsidR="00687F7A" w:rsidRPr="00944ABC" w:rsidRDefault="00687F7A" w:rsidP="00687F7A">
            <w:pPr>
              <w:widowControl w:val="0"/>
              <w:pBdr>
                <w:top w:val="nil"/>
                <w:left w:val="nil"/>
                <w:bottom w:val="nil"/>
                <w:right w:val="nil"/>
                <w:between w:val="nil"/>
              </w:pBdr>
              <w:spacing w:line="240" w:lineRule="auto"/>
              <w:jc w:val="center"/>
              <w:rPr>
                <w:b/>
                <w:sz w:val="20"/>
                <w:szCs w:val="20"/>
              </w:rPr>
            </w:pPr>
          </w:p>
        </w:tc>
        <w:tc>
          <w:tcPr>
            <w:tcW w:w="1005" w:type="dxa"/>
            <w:shd w:val="clear" w:color="auto" w:fill="auto"/>
            <w:tcMar>
              <w:top w:w="100" w:type="dxa"/>
              <w:left w:w="100" w:type="dxa"/>
              <w:bottom w:w="100" w:type="dxa"/>
              <w:right w:w="100" w:type="dxa"/>
            </w:tcMar>
          </w:tcPr>
          <w:p w14:paraId="5D8ECBF0" w14:textId="77777777" w:rsidR="00687F7A" w:rsidRPr="00944ABC" w:rsidRDefault="69CFA879" w:rsidP="69CFA879">
            <w:pPr>
              <w:widowControl w:val="0"/>
              <w:pBdr>
                <w:top w:val="nil"/>
                <w:left w:val="nil"/>
                <w:bottom w:val="nil"/>
                <w:right w:val="nil"/>
                <w:between w:val="nil"/>
              </w:pBdr>
              <w:spacing w:line="240" w:lineRule="auto"/>
              <w:ind w:firstLine="0"/>
              <w:jc w:val="center"/>
              <w:rPr>
                <w:b/>
                <w:bCs/>
                <w:sz w:val="20"/>
                <w:szCs w:val="20"/>
              </w:rPr>
            </w:pPr>
            <w:r w:rsidRPr="00944ABC">
              <w:rPr>
                <w:b/>
                <w:bCs/>
                <w:sz w:val="20"/>
                <w:szCs w:val="20"/>
              </w:rPr>
              <w:t>26%</w:t>
            </w:r>
          </w:p>
        </w:tc>
        <w:tc>
          <w:tcPr>
            <w:tcW w:w="1395" w:type="dxa"/>
            <w:shd w:val="clear" w:color="auto" w:fill="auto"/>
            <w:tcMar>
              <w:top w:w="100" w:type="dxa"/>
              <w:left w:w="100" w:type="dxa"/>
              <w:bottom w:w="100" w:type="dxa"/>
              <w:right w:w="100" w:type="dxa"/>
            </w:tcMar>
          </w:tcPr>
          <w:p w14:paraId="56E5CED3" w14:textId="77777777" w:rsidR="00687F7A" w:rsidRPr="00944ABC" w:rsidRDefault="69CFA879" w:rsidP="69CFA879">
            <w:pPr>
              <w:widowControl w:val="0"/>
              <w:pBdr>
                <w:top w:val="nil"/>
                <w:left w:val="nil"/>
                <w:bottom w:val="nil"/>
                <w:right w:val="nil"/>
                <w:between w:val="nil"/>
              </w:pBdr>
              <w:spacing w:line="240" w:lineRule="auto"/>
              <w:ind w:firstLine="0"/>
              <w:jc w:val="center"/>
              <w:rPr>
                <w:b/>
                <w:bCs/>
                <w:sz w:val="20"/>
                <w:szCs w:val="20"/>
              </w:rPr>
            </w:pPr>
            <w:r w:rsidRPr="00944ABC">
              <w:rPr>
                <w:b/>
                <w:bCs/>
                <w:sz w:val="20"/>
                <w:szCs w:val="20"/>
              </w:rPr>
              <w:t>(15%-40%)</w:t>
            </w:r>
          </w:p>
        </w:tc>
        <w:tc>
          <w:tcPr>
            <w:tcW w:w="255" w:type="dxa"/>
            <w:shd w:val="clear" w:color="auto" w:fill="auto"/>
            <w:tcMar>
              <w:top w:w="100" w:type="dxa"/>
              <w:left w:w="100" w:type="dxa"/>
              <w:bottom w:w="100" w:type="dxa"/>
              <w:right w:w="100" w:type="dxa"/>
            </w:tcMar>
          </w:tcPr>
          <w:p w14:paraId="2916C19D" w14:textId="77777777" w:rsidR="00687F7A" w:rsidRPr="00944ABC" w:rsidRDefault="00687F7A" w:rsidP="0030012E">
            <w:pPr>
              <w:widowControl w:val="0"/>
              <w:pBdr>
                <w:top w:val="nil"/>
                <w:left w:val="nil"/>
                <w:bottom w:val="nil"/>
                <w:right w:val="nil"/>
                <w:between w:val="nil"/>
              </w:pBdr>
              <w:spacing w:line="240" w:lineRule="auto"/>
              <w:rPr>
                <w:sz w:val="20"/>
                <w:szCs w:val="20"/>
              </w:rPr>
            </w:pPr>
          </w:p>
        </w:tc>
      </w:tr>
    </w:tbl>
    <w:p w14:paraId="74869460" w14:textId="77777777" w:rsidR="001C6188" w:rsidRDefault="001C6188" w:rsidP="001C6188"/>
    <w:p w14:paraId="08BD3B3B" w14:textId="77777777" w:rsidR="001C6188" w:rsidRPr="00C74791" w:rsidRDefault="69CFA879" w:rsidP="001C6188">
      <w:r>
        <w:t>The average SMOG grade level among collected documents was 10.38 (95% C.I.: 9.70 - 11.06), with a standard deviation of 2.39. This varied between clinics, though all four clinics had an average grade level well above sixth grade. General pediatrics was closest to the target, though with an average grade level of 8.13 (95% C.I.: 7.42 - 8.85) and a standard deviation of 1.53 (</w:t>
      </w:r>
      <w:r w:rsidRPr="69CFA879">
        <w:rPr>
          <w:b/>
          <w:bCs/>
        </w:rPr>
        <w:t>Table 2</w:t>
      </w:r>
      <w:r>
        <w:t>).</w:t>
      </w:r>
    </w:p>
    <w:p w14:paraId="06DE0DD1" w14:textId="77777777" w:rsidR="001C6188" w:rsidRPr="00C74791" w:rsidRDefault="69CFA879" w:rsidP="001C6188">
      <w:r>
        <w:lastRenderedPageBreak/>
        <w:t xml:space="preserve">Obviously, </w:t>
      </w:r>
      <w:proofErr w:type="gramStart"/>
      <w:r>
        <w:t>means can be biased by outliers</w:t>
      </w:r>
      <w:proofErr w:type="gramEnd"/>
      <w:r>
        <w:t>. As such, the proportion of documents that achieved an 8th grade reading level, and the proportion of documents that achieved a 6th grade reading level were also recorded (</w:t>
      </w:r>
      <w:r w:rsidRPr="69CFA879">
        <w:rPr>
          <w:b/>
          <w:bCs/>
        </w:rPr>
        <w:t>Table 2</w:t>
      </w:r>
      <w:r>
        <w:t>). In the overall sample, only one document (2%, 95% C.I.: 0.05%-</w:t>
      </w:r>
      <w:proofErr w:type="gramStart"/>
      <w:r>
        <w:t>11%</w:t>
      </w:r>
      <w:proofErr w:type="gramEnd"/>
      <w:r>
        <w:t>) was written at a 6th grade reading level or lower. 26% (95% C.I.: 15%-40%) were written at an 8th grade reading level or lower. Confidence intervals are quite wide, given the small sample size (n=10 or n=20) for individual clinics and the fact that exact tests tend to be conservative by definition (</w:t>
      </w:r>
      <w:proofErr w:type="spellStart"/>
      <w:r>
        <w:t>Agresti</w:t>
      </w:r>
      <w:proofErr w:type="spellEnd"/>
      <w:r>
        <w:t xml:space="preserve">, 1992). It should additionally be noted that every single document written at an 8th grade reading level or lower was from the general pediatrics clinic; all documents provided by a subspecialty clinic was written at a 9th grade or higher reading level. Given that all general pediatrics materials </w:t>
      </w:r>
      <w:proofErr w:type="gramStart"/>
      <w:r>
        <w:t>were produced</w:t>
      </w:r>
      <w:proofErr w:type="gramEnd"/>
      <w:r>
        <w:t xml:space="preserve"> by the AAP, it should be noted that not a single document produced in-house by clinics achieved even an 8th grade reading level.  </w:t>
      </w:r>
    </w:p>
    <w:p w14:paraId="0457661F" w14:textId="77777777" w:rsidR="00D91B56" w:rsidRDefault="69CFA879" w:rsidP="00CD0772">
      <w:r>
        <w:t xml:space="preserve">Post-hoc pairwise comparisons of the mean SMOG grade level between each clinic </w:t>
      </w:r>
      <w:proofErr w:type="gramStart"/>
      <w:r>
        <w:t>are shown</w:t>
      </w:r>
      <w:proofErr w:type="gramEnd"/>
      <w:r>
        <w:t xml:space="preserve"> in Table 3. A Holm correction </w:t>
      </w:r>
      <w:proofErr w:type="gramStart"/>
      <w:r>
        <w:t>was used</w:t>
      </w:r>
      <w:proofErr w:type="gramEnd"/>
      <w:r>
        <w:t xml:space="preserve"> for each comparison, as was a pooled standard deviation. Values displayed in Table 3 represent the p-value when testing for differences in the mean grade level of materials between one clinic (labeled in the first cell of the row) and a second clinic (labeled in the column heading). Materials from the general pediatrics clinic </w:t>
      </w:r>
      <w:proofErr w:type="gramStart"/>
      <w:r>
        <w:t>were written</w:t>
      </w:r>
      <w:proofErr w:type="gramEnd"/>
      <w:r>
        <w:t xml:space="preserve"> at a significantly different grade level than materials from any other clinic (</w:t>
      </w:r>
      <w:r w:rsidRPr="69CFA879">
        <w:rPr>
          <w:b/>
          <w:bCs/>
        </w:rPr>
        <w:t>Table 3</w:t>
      </w:r>
      <w:r>
        <w:t xml:space="preserve">, “General Pediatrics” column, p-values &lt; 0.00001). Based on the point estimates calculated in Table 2, we can further conclude that General Pediatrics materials </w:t>
      </w:r>
      <w:proofErr w:type="gramStart"/>
      <w:r>
        <w:t>are written</w:t>
      </w:r>
      <w:proofErr w:type="gramEnd"/>
      <w:r>
        <w:t xml:space="preserve"> at a significantly lower grade level than those from each of the subspecialty clinics. Meanwhile, materials from the other three clinics were not significantly different from each other </w:t>
      </w:r>
      <w:proofErr w:type="gramStart"/>
      <w:r>
        <w:t>with regards to</w:t>
      </w:r>
      <w:proofErr w:type="gramEnd"/>
      <w:r>
        <w:t xml:space="preserve"> grade level after applying the Holm correction for pairwise comparisons.</w:t>
      </w:r>
    </w:p>
    <w:p w14:paraId="187F57B8" w14:textId="77777777" w:rsidR="00034CB5" w:rsidRPr="00034CB5" w:rsidRDefault="00034CB5" w:rsidP="00034CB5">
      <w:pPr>
        <w:spacing w:line="240" w:lineRule="auto"/>
      </w:pPr>
    </w:p>
    <w:p w14:paraId="1D19ABAD" w14:textId="77777777" w:rsidR="00034CB5" w:rsidRDefault="00034CB5" w:rsidP="00034CB5">
      <w:pPr>
        <w:pStyle w:val="Caption"/>
        <w:keepNext/>
        <w:ind w:firstLine="180"/>
      </w:pPr>
      <w:bookmarkStart w:id="20" w:name="_Toc525805150"/>
      <w:r>
        <w:lastRenderedPageBreak/>
        <w:t xml:space="preserve">Table </w:t>
      </w:r>
      <w:r w:rsidR="00FB6957">
        <w:fldChar w:fldCharType="begin"/>
      </w:r>
      <w:r w:rsidR="00FB6957">
        <w:instrText xml:space="preserve"> SEQ Table \* ARABIC </w:instrText>
      </w:r>
      <w:r w:rsidR="00FB6957">
        <w:fldChar w:fldCharType="separate"/>
      </w:r>
      <w:r w:rsidR="009E497A" w:rsidRPr="69CFA879">
        <w:t>3</w:t>
      </w:r>
      <w:r w:rsidR="00FB6957">
        <w:fldChar w:fldCharType="end"/>
      </w:r>
      <w:r>
        <w:t>. Post-hoc</w:t>
      </w:r>
      <w:r w:rsidRPr="00034CB5">
        <w:t xml:space="preserve"> Pairwise Comparison of the Mean SMOG Grade Level of Materials from Each Clinic</w:t>
      </w:r>
      <w:bookmarkEnd w:id="20"/>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CD0772" w:rsidRPr="00C74791" w14:paraId="7028419B" w14:textId="77777777" w:rsidTr="3EEF55E6">
        <w:tc>
          <w:tcPr>
            <w:tcW w:w="1872" w:type="dxa"/>
            <w:shd w:val="clear" w:color="auto" w:fill="auto"/>
            <w:tcMar>
              <w:top w:w="100" w:type="dxa"/>
              <w:left w:w="100" w:type="dxa"/>
              <w:bottom w:w="100" w:type="dxa"/>
              <w:right w:w="100" w:type="dxa"/>
            </w:tcMar>
          </w:tcPr>
          <w:p w14:paraId="54738AF4" w14:textId="77777777" w:rsidR="00CD0772" w:rsidRPr="00C74791" w:rsidRDefault="00CD0772" w:rsidP="0030012E">
            <w:pPr>
              <w:widowControl w:val="0"/>
              <w:spacing w:line="240" w:lineRule="auto"/>
            </w:pPr>
          </w:p>
        </w:tc>
        <w:tc>
          <w:tcPr>
            <w:tcW w:w="1872" w:type="dxa"/>
            <w:shd w:val="clear" w:color="auto" w:fill="auto"/>
            <w:tcMar>
              <w:top w:w="100" w:type="dxa"/>
              <w:left w:w="100" w:type="dxa"/>
              <w:bottom w:w="100" w:type="dxa"/>
              <w:right w:w="100" w:type="dxa"/>
            </w:tcMar>
          </w:tcPr>
          <w:p w14:paraId="73C68DEA" w14:textId="77777777" w:rsidR="00CD0772" w:rsidRPr="00C74791" w:rsidRDefault="69CFA879" w:rsidP="69CFA879">
            <w:pPr>
              <w:widowControl w:val="0"/>
              <w:spacing w:line="240" w:lineRule="auto"/>
              <w:ind w:firstLine="0"/>
              <w:rPr>
                <w:b/>
                <w:bCs/>
              </w:rPr>
            </w:pPr>
            <w:r w:rsidRPr="69CFA879">
              <w:rPr>
                <w:b/>
                <w:bCs/>
              </w:rPr>
              <w:t>General Pediatrics</w:t>
            </w:r>
          </w:p>
        </w:tc>
        <w:tc>
          <w:tcPr>
            <w:tcW w:w="1872" w:type="dxa"/>
            <w:shd w:val="clear" w:color="auto" w:fill="auto"/>
            <w:tcMar>
              <w:top w:w="100" w:type="dxa"/>
              <w:left w:w="100" w:type="dxa"/>
              <w:bottom w:w="100" w:type="dxa"/>
              <w:right w:w="100" w:type="dxa"/>
            </w:tcMar>
          </w:tcPr>
          <w:p w14:paraId="506225EF" w14:textId="77777777" w:rsidR="00CD0772" w:rsidRPr="00C74791" w:rsidRDefault="69CFA879" w:rsidP="69CFA879">
            <w:pPr>
              <w:widowControl w:val="0"/>
              <w:spacing w:line="240" w:lineRule="auto"/>
              <w:ind w:firstLine="0"/>
              <w:rPr>
                <w:b/>
                <w:bCs/>
              </w:rPr>
            </w:pPr>
            <w:r w:rsidRPr="69CFA879">
              <w:rPr>
                <w:b/>
                <w:bCs/>
              </w:rPr>
              <w:t>Dermatology</w:t>
            </w:r>
          </w:p>
        </w:tc>
        <w:tc>
          <w:tcPr>
            <w:tcW w:w="1872" w:type="dxa"/>
            <w:shd w:val="clear" w:color="auto" w:fill="auto"/>
            <w:tcMar>
              <w:top w:w="100" w:type="dxa"/>
              <w:left w:w="100" w:type="dxa"/>
              <w:bottom w:w="100" w:type="dxa"/>
              <w:right w:w="100" w:type="dxa"/>
            </w:tcMar>
          </w:tcPr>
          <w:p w14:paraId="6A155EB2" w14:textId="77777777" w:rsidR="00CD0772" w:rsidRPr="00C74791" w:rsidRDefault="69CFA879" w:rsidP="69CFA879">
            <w:pPr>
              <w:widowControl w:val="0"/>
              <w:spacing w:line="240" w:lineRule="auto"/>
              <w:ind w:firstLine="0"/>
              <w:rPr>
                <w:b/>
                <w:bCs/>
              </w:rPr>
            </w:pPr>
            <w:r w:rsidRPr="69CFA879">
              <w:rPr>
                <w:b/>
                <w:bCs/>
              </w:rPr>
              <w:t>Infectious Disease</w:t>
            </w:r>
          </w:p>
        </w:tc>
        <w:tc>
          <w:tcPr>
            <w:tcW w:w="1872" w:type="dxa"/>
            <w:shd w:val="clear" w:color="auto" w:fill="auto"/>
            <w:tcMar>
              <w:top w:w="100" w:type="dxa"/>
              <w:left w:w="100" w:type="dxa"/>
              <w:bottom w:w="100" w:type="dxa"/>
              <w:right w:w="100" w:type="dxa"/>
            </w:tcMar>
          </w:tcPr>
          <w:p w14:paraId="48C1C32C" w14:textId="77777777" w:rsidR="00CD0772" w:rsidRPr="00C74791" w:rsidRDefault="69CFA879" w:rsidP="69CFA879">
            <w:pPr>
              <w:widowControl w:val="0"/>
              <w:spacing w:line="240" w:lineRule="auto"/>
              <w:ind w:firstLine="0"/>
              <w:rPr>
                <w:b/>
                <w:bCs/>
              </w:rPr>
            </w:pPr>
            <w:r w:rsidRPr="69CFA879">
              <w:rPr>
                <w:b/>
                <w:bCs/>
              </w:rPr>
              <w:t>Endocrinology</w:t>
            </w:r>
          </w:p>
        </w:tc>
      </w:tr>
      <w:tr w:rsidR="00CD0772" w:rsidRPr="00C74791" w14:paraId="7E5258D9" w14:textId="77777777" w:rsidTr="3EEF55E6">
        <w:tc>
          <w:tcPr>
            <w:tcW w:w="1872" w:type="dxa"/>
            <w:shd w:val="clear" w:color="auto" w:fill="auto"/>
            <w:tcMar>
              <w:top w:w="100" w:type="dxa"/>
              <w:left w:w="100" w:type="dxa"/>
              <w:bottom w:w="100" w:type="dxa"/>
              <w:right w:w="100" w:type="dxa"/>
            </w:tcMar>
          </w:tcPr>
          <w:p w14:paraId="467653A3" w14:textId="77777777" w:rsidR="00CD0772" w:rsidRPr="00C74791" w:rsidRDefault="69CFA879" w:rsidP="69CFA879">
            <w:pPr>
              <w:widowControl w:val="0"/>
              <w:spacing w:line="240" w:lineRule="auto"/>
              <w:ind w:firstLine="0"/>
              <w:rPr>
                <w:b/>
                <w:bCs/>
              </w:rPr>
            </w:pPr>
            <w:r w:rsidRPr="69CFA879">
              <w:rPr>
                <w:b/>
                <w:bCs/>
              </w:rPr>
              <w:t>General Pediatrics</w:t>
            </w:r>
          </w:p>
        </w:tc>
        <w:tc>
          <w:tcPr>
            <w:tcW w:w="1872" w:type="dxa"/>
            <w:shd w:val="clear" w:color="auto" w:fill="D0CECE"/>
            <w:tcMar>
              <w:top w:w="100" w:type="dxa"/>
              <w:left w:w="100" w:type="dxa"/>
              <w:bottom w:w="100" w:type="dxa"/>
              <w:right w:w="100" w:type="dxa"/>
            </w:tcMar>
          </w:tcPr>
          <w:p w14:paraId="28C9ECA3" w14:textId="77777777" w:rsidR="00CD0772" w:rsidRPr="00C74791" w:rsidRDefault="69CFA879" w:rsidP="00CD0772">
            <w:pPr>
              <w:widowControl w:val="0"/>
              <w:spacing w:line="240" w:lineRule="auto"/>
            </w:pPr>
            <w:r>
              <w:t>x</w:t>
            </w:r>
          </w:p>
        </w:tc>
        <w:tc>
          <w:tcPr>
            <w:tcW w:w="1872" w:type="dxa"/>
            <w:shd w:val="clear" w:color="auto" w:fill="D0CECE"/>
            <w:tcMar>
              <w:top w:w="100" w:type="dxa"/>
              <w:left w:w="100" w:type="dxa"/>
              <w:bottom w:w="100" w:type="dxa"/>
              <w:right w:w="100" w:type="dxa"/>
            </w:tcMar>
          </w:tcPr>
          <w:p w14:paraId="46ABBD8F" w14:textId="77777777" w:rsidR="00CD0772" w:rsidRPr="00C74791" w:rsidRDefault="00CD0772" w:rsidP="00CD0772">
            <w:pPr>
              <w:widowControl w:val="0"/>
              <w:spacing w:line="240" w:lineRule="auto"/>
              <w:jc w:val="center"/>
            </w:pPr>
          </w:p>
        </w:tc>
        <w:tc>
          <w:tcPr>
            <w:tcW w:w="1872" w:type="dxa"/>
            <w:shd w:val="clear" w:color="auto" w:fill="D0CECE"/>
            <w:tcMar>
              <w:top w:w="100" w:type="dxa"/>
              <w:left w:w="100" w:type="dxa"/>
              <w:bottom w:w="100" w:type="dxa"/>
              <w:right w:w="100" w:type="dxa"/>
            </w:tcMar>
          </w:tcPr>
          <w:p w14:paraId="06BBA33E" w14:textId="77777777" w:rsidR="00CD0772" w:rsidRPr="00C74791" w:rsidRDefault="00CD0772" w:rsidP="00CD0772">
            <w:pPr>
              <w:widowControl w:val="0"/>
              <w:spacing w:line="240" w:lineRule="auto"/>
              <w:jc w:val="center"/>
            </w:pPr>
          </w:p>
        </w:tc>
        <w:tc>
          <w:tcPr>
            <w:tcW w:w="1872" w:type="dxa"/>
            <w:shd w:val="clear" w:color="auto" w:fill="D0CECE"/>
            <w:tcMar>
              <w:top w:w="100" w:type="dxa"/>
              <w:left w:w="100" w:type="dxa"/>
              <w:bottom w:w="100" w:type="dxa"/>
              <w:right w:w="100" w:type="dxa"/>
            </w:tcMar>
          </w:tcPr>
          <w:p w14:paraId="464FCBC1" w14:textId="77777777" w:rsidR="00CD0772" w:rsidRPr="00C74791" w:rsidRDefault="00CD0772" w:rsidP="00CD0772">
            <w:pPr>
              <w:widowControl w:val="0"/>
              <w:spacing w:line="240" w:lineRule="auto"/>
              <w:jc w:val="center"/>
            </w:pPr>
          </w:p>
        </w:tc>
      </w:tr>
      <w:tr w:rsidR="00CD0772" w:rsidRPr="00C74791" w14:paraId="367A1739" w14:textId="77777777" w:rsidTr="3EEF55E6">
        <w:tc>
          <w:tcPr>
            <w:tcW w:w="1872" w:type="dxa"/>
            <w:shd w:val="clear" w:color="auto" w:fill="auto"/>
            <w:tcMar>
              <w:top w:w="100" w:type="dxa"/>
              <w:left w:w="100" w:type="dxa"/>
              <w:bottom w:w="100" w:type="dxa"/>
              <w:right w:w="100" w:type="dxa"/>
            </w:tcMar>
          </w:tcPr>
          <w:p w14:paraId="2C266AA2" w14:textId="77777777" w:rsidR="00CD0772" w:rsidRPr="00C74791" w:rsidRDefault="69CFA879" w:rsidP="69CFA879">
            <w:pPr>
              <w:widowControl w:val="0"/>
              <w:spacing w:line="240" w:lineRule="auto"/>
              <w:ind w:firstLine="0"/>
              <w:rPr>
                <w:b/>
                <w:bCs/>
              </w:rPr>
            </w:pPr>
            <w:r w:rsidRPr="69CFA879">
              <w:rPr>
                <w:b/>
                <w:bCs/>
              </w:rPr>
              <w:t>Dermatology</w:t>
            </w:r>
          </w:p>
        </w:tc>
        <w:tc>
          <w:tcPr>
            <w:tcW w:w="1872" w:type="dxa"/>
            <w:shd w:val="clear" w:color="auto" w:fill="auto"/>
            <w:tcMar>
              <w:top w:w="100" w:type="dxa"/>
              <w:left w:w="100" w:type="dxa"/>
              <w:bottom w:w="100" w:type="dxa"/>
              <w:right w:w="100" w:type="dxa"/>
            </w:tcMar>
          </w:tcPr>
          <w:p w14:paraId="6DA9232F" w14:textId="77777777" w:rsidR="00CD0772" w:rsidRPr="00C74791" w:rsidRDefault="69CFA879" w:rsidP="00CD0772">
            <w:pPr>
              <w:widowControl w:val="0"/>
              <w:spacing w:line="240" w:lineRule="auto"/>
              <w:ind w:firstLine="0"/>
              <w:jc w:val="center"/>
            </w:pPr>
            <w:r>
              <w:t>1.6*10</w:t>
            </w:r>
            <w:r w:rsidRPr="69CFA879">
              <w:rPr>
                <w:vertAlign w:val="superscript"/>
              </w:rPr>
              <w:t>-6</w:t>
            </w:r>
          </w:p>
        </w:tc>
        <w:tc>
          <w:tcPr>
            <w:tcW w:w="1872" w:type="dxa"/>
            <w:shd w:val="clear" w:color="auto" w:fill="D0CECE"/>
            <w:tcMar>
              <w:top w:w="100" w:type="dxa"/>
              <w:left w:w="100" w:type="dxa"/>
              <w:bottom w:w="100" w:type="dxa"/>
              <w:right w:w="100" w:type="dxa"/>
            </w:tcMar>
          </w:tcPr>
          <w:p w14:paraId="05E66662" w14:textId="77777777" w:rsidR="00CD0772" w:rsidRPr="00C74791" w:rsidRDefault="69CFA879" w:rsidP="00CD0772">
            <w:pPr>
              <w:widowControl w:val="0"/>
              <w:spacing w:line="240" w:lineRule="auto"/>
            </w:pPr>
            <w:r>
              <w:t>x</w:t>
            </w:r>
          </w:p>
        </w:tc>
        <w:tc>
          <w:tcPr>
            <w:tcW w:w="1872" w:type="dxa"/>
            <w:shd w:val="clear" w:color="auto" w:fill="D0CECE"/>
            <w:tcMar>
              <w:top w:w="100" w:type="dxa"/>
              <w:left w:w="100" w:type="dxa"/>
              <w:bottom w:w="100" w:type="dxa"/>
              <w:right w:w="100" w:type="dxa"/>
            </w:tcMar>
          </w:tcPr>
          <w:p w14:paraId="5C8C6B09" w14:textId="77777777" w:rsidR="00CD0772" w:rsidRPr="00C74791" w:rsidRDefault="00CD0772" w:rsidP="00CD0772">
            <w:pPr>
              <w:widowControl w:val="0"/>
              <w:spacing w:line="240" w:lineRule="auto"/>
              <w:jc w:val="center"/>
            </w:pPr>
          </w:p>
        </w:tc>
        <w:tc>
          <w:tcPr>
            <w:tcW w:w="1872" w:type="dxa"/>
            <w:shd w:val="clear" w:color="auto" w:fill="D0CECE"/>
            <w:tcMar>
              <w:top w:w="100" w:type="dxa"/>
              <w:left w:w="100" w:type="dxa"/>
              <w:bottom w:w="100" w:type="dxa"/>
              <w:right w:w="100" w:type="dxa"/>
            </w:tcMar>
          </w:tcPr>
          <w:p w14:paraId="3382A365" w14:textId="77777777" w:rsidR="00CD0772" w:rsidRPr="00C74791" w:rsidRDefault="00CD0772" w:rsidP="00CD0772">
            <w:pPr>
              <w:widowControl w:val="0"/>
              <w:spacing w:line="240" w:lineRule="auto"/>
              <w:jc w:val="center"/>
            </w:pPr>
          </w:p>
        </w:tc>
      </w:tr>
      <w:tr w:rsidR="00CD0772" w:rsidRPr="00C74791" w14:paraId="15BE7E7B" w14:textId="77777777" w:rsidTr="3EEF55E6">
        <w:tc>
          <w:tcPr>
            <w:tcW w:w="1872" w:type="dxa"/>
            <w:shd w:val="clear" w:color="auto" w:fill="auto"/>
            <w:tcMar>
              <w:top w:w="100" w:type="dxa"/>
              <w:left w:w="100" w:type="dxa"/>
              <w:bottom w:w="100" w:type="dxa"/>
              <w:right w:w="100" w:type="dxa"/>
            </w:tcMar>
          </w:tcPr>
          <w:p w14:paraId="1990E568" w14:textId="77777777" w:rsidR="00CD0772" w:rsidRPr="00C74791" w:rsidRDefault="69CFA879" w:rsidP="69CFA879">
            <w:pPr>
              <w:widowControl w:val="0"/>
              <w:spacing w:line="240" w:lineRule="auto"/>
              <w:ind w:firstLine="0"/>
              <w:rPr>
                <w:b/>
                <w:bCs/>
              </w:rPr>
            </w:pPr>
            <w:r w:rsidRPr="69CFA879">
              <w:rPr>
                <w:b/>
                <w:bCs/>
              </w:rPr>
              <w:t>Infectious Disease</w:t>
            </w:r>
          </w:p>
        </w:tc>
        <w:tc>
          <w:tcPr>
            <w:tcW w:w="1872" w:type="dxa"/>
            <w:shd w:val="clear" w:color="auto" w:fill="auto"/>
            <w:tcMar>
              <w:top w:w="100" w:type="dxa"/>
              <w:left w:w="100" w:type="dxa"/>
              <w:bottom w:w="100" w:type="dxa"/>
              <w:right w:w="100" w:type="dxa"/>
            </w:tcMar>
          </w:tcPr>
          <w:p w14:paraId="268D2621" w14:textId="77777777" w:rsidR="00CD0772" w:rsidRPr="00C74791" w:rsidRDefault="69CFA879" w:rsidP="00CD0772">
            <w:pPr>
              <w:widowControl w:val="0"/>
              <w:spacing w:line="240" w:lineRule="auto"/>
              <w:ind w:firstLine="0"/>
              <w:jc w:val="center"/>
            </w:pPr>
            <w:r>
              <w:t>3.4*10</w:t>
            </w:r>
            <w:r w:rsidRPr="69CFA879">
              <w:rPr>
                <w:vertAlign w:val="superscript"/>
              </w:rPr>
              <w:t>-6</w:t>
            </w:r>
          </w:p>
        </w:tc>
        <w:tc>
          <w:tcPr>
            <w:tcW w:w="1872" w:type="dxa"/>
            <w:shd w:val="clear" w:color="auto" w:fill="FFFFFF" w:themeFill="background1"/>
            <w:tcMar>
              <w:top w:w="100" w:type="dxa"/>
              <w:left w:w="100" w:type="dxa"/>
              <w:bottom w:w="100" w:type="dxa"/>
              <w:right w:w="100" w:type="dxa"/>
            </w:tcMar>
          </w:tcPr>
          <w:p w14:paraId="5E1FABF7" w14:textId="77777777" w:rsidR="00CD0772" w:rsidRPr="00C74791" w:rsidRDefault="3EEF55E6" w:rsidP="00CD0772">
            <w:pPr>
              <w:widowControl w:val="0"/>
              <w:spacing w:line="240" w:lineRule="auto"/>
              <w:ind w:firstLine="0"/>
              <w:jc w:val="center"/>
            </w:pPr>
            <w:r>
              <w:t>0.81</w:t>
            </w:r>
          </w:p>
        </w:tc>
        <w:tc>
          <w:tcPr>
            <w:tcW w:w="1872" w:type="dxa"/>
            <w:shd w:val="clear" w:color="auto" w:fill="D0CECE"/>
            <w:tcMar>
              <w:top w:w="100" w:type="dxa"/>
              <w:left w:w="100" w:type="dxa"/>
              <w:bottom w:w="100" w:type="dxa"/>
              <w:right w:w="100" w:type="dxa"/>
            </w:tcMar>
          </w:tcPr>
          <w:p w14:paraId="43297084" w14:textId="77777777" w:rsidR="00CD0772" w:rsidRPr="00C74791" w:rsidRDefault="69CFA879" w:rsidP="00CD0772">
            <w:pPr>
              <w:widowControl w:val="0"/>
              <w:spacing w:line="240" w:lineRule="auto"/>
            </w:pPr>
            <w:r>
              <w:t>x</w:t>
            </w:r>
          </w:p>
        </w:tc>
        <w:tc>
          <w:tcPr>
            <w:tcW w:w="1872" w:type="dxa"/>
            <w:shd w:val="clear" w:color="auto" w:fill="D0CECE"/>
            <w:tcMar>
              <w:top w:w="100" w:type="dxa"/>
              <w:left w:w="100" w:type="dxa"/>
              <w:bottom w:w="100" w:type="dxa"/>
              <w:right w:w="100" w:type="dxa"/>
            </w:tcMar>
          </w:tcPr>
          <w:p w14:paraId="5C71F136" w14:textId="77777777" w:rsidR="00CD0772" w:rsidRPr="00C74791" w:rsidRDefault="00CD0772" w:rsidP="00CD0772">
            <w:pPr>
              <w:widowControl w:val="0"/>
              <w:spacing w:line="240" w:lineRule="auto"/>
              <w:jc w:val="center"/>
            </w:pPr>
          </w:p>
        </w:tc>
      </w:tr>
      <w:tr w:rsidR="00CD0772" w:rsidRPr="00C74791" w14:paraId="574BA820" w14:textId="77777777" w:rsidTr="3EEF55E6">
        <w:tc>
          <w:tcPr>
            <w:tcW w:w="1872" w:type="dxa"/>
            <w:shd w:val="clear" w:color="auto" w:fill="auto"/>
            <w:tcMar>
              <w:top w:w="100" w:type="dxa"/>
              <w:left w:w="100" w:type="dxa"/>
              <w:bottom w:w="100" w:type="dxa"/>
              <w:right w:w="100" w:type="dxa"/>
            </w:tcMar>
          </w:tcPr>
          <w:p w14:paraId="17F53B00" w14:textId="77777777" w:rsidR="00CD0772" w:rsidRPr="00C74791" w:rsidRDefault="69CFA879" w:rsidP="69CFA879">
            <w:pPr>
              <w:widowControl w:val="0"/>
              <w:spacing w:line="240" w:lineRule="auto"/>
              <w:ind w:firstLine="0"/>
              <w:rPr>
                <w:b/>
                <w:bCs/>
              </w:rPr>
            </w:pPr>
            <w:r w:rsidRPr="69CFA879">
              <w:rPr>
                <w:b/>
                <w:bCs/>
              </w:rPr>
              <w:t>Endocrinology</w:t>
            </w:r>
          </w:p>
        </w:tc>
        <w:tc>
          <w:tcPr>
            <w:tcW w:w="1872" w:type="dxa"/>
            <w:shd w:val="clear" w:color="auto" w:fill="auto"/>
            <w:tcMar>
              <w:top w:w="100" w:type="dxa"/>
              <w:left w:w="100" w:type="dxa"/>
              <w:bottom w:w="100" w:type="dxa"/>
              <w:right w:w="100" w:type="dxa"/>
            </w:tcMar>
          </w:tcPr>
          <w:p w14:paraId="28FF0263" w14:textId="77777777" w:rsidR="00CD0772" w:rsidRPr="00C74791" w:rsidRDefault="69CFA879" w:rsidP="00CD0772">
            <w:pPr>
              <w:widowControl w:val="0"/>
              <w:spacing w:line="240" w:lineRule="auto"/>
              <w:ind w:firstLine="0"/>
              <w:jc w:val="center"/>
            </w:pPr>
            <w:r>
              <w:t>1.8e*10</w:t>
            </w:r>
            <w:r w:rsidRPr="69CFA879">
              <w:rPr>
                <w:vertAlign w:val="superscript"/>
              </w:rPr>
              <w:t>-9</w:t>
            </w:r>
          </w:p>
        </w:tc>
        <w:tc>
          <w:tcPr>
            <w:tcW w:w="1872" w:type="dxa"/>
            <w:shd w:val="clear" w:color="auto" w:fill="auto"/>
            <w:tcMar>
              <w:top w:w="100" w:type="dxa"/>
              <w:left w:w="100" w:type="dxa"/>
              <w:bottom w:w="100" w:type="dxa"/>
              <w:right w:w="100" w:type="dxa"/>
            </w:tcMar>
          </w:tcPr>
          <w:p w14:paraId="20E30064" w14:textId="77777777" w:rsidR="00CD0772" w:rsidRPr="00C74791" w:rsidRDefault="3EEF55E6" w:rsidP="00CD0772">
            <w:pPr>
              <w:widowControl w:val="0"/>
              <w:spacing w:line="240" w:lineRule="auto"/>
              <w:ind w:firstLine="0"/>
              <w:jc w:val="center"/>
            </w:pPr>
            <w:r>
              <w:t>0.17</w:t>
            </w:r>
          </w:p>
        </w:tc>
        <w:tc>
          <w:tcPr>
            <w:tcW w:w="1872" w:type="dxa"/>
            <w:shd w:val="clear" w:color="auto" w:fill="auto"/>
            <w:tcMar>
              <w:top w:w="100" w:type="dxa"/>
              <w:left w:w="100" w:type="dxa"/>
              <w:bottom w:w="100" w:type="dxa"/>
              <w:right w:w="100" w:type="dxa"/>
            </w:tcMar>
          </w:tcPr>
          <w:p w14:paraId="21071EF0" w14:textId="77777777" w:rsidR="00CD0772" w:rsidRPr="00C74791" w:rsidRDefault="3EEF55E6" w:rsidP="00CD0772">
            <w:pPr>
              <w:widowControl w:val="0"/>
              <w:spacing w:line="240" w:lineRule="auto"/>
            </w:pPr>
            <w:r>
              <w:t>0.16</w:t>
            </w:r>
          </w:p>
        </w:tc>
        <w:tc>
          <w:tcPr>
            <w:tcW w:w="1872" w:type="dxa"/>
            <w:shd w:val="clear" w:color="auto" w:fill="D0CECE"/>
            <w:tcMar>
              <w:top w:w="100" w:type="dxa"/>
              <w:left w:w="100" w:type="dxa"/>
              <w:bottom w:w="100" w:type="dxa"/>
              <w:right w:w="100" w:type="dxa"/>
            </w:tcMar>
          </w:tcPr>
          <w:p w14:paraId="43BF0DDE" w14:textId="77777777" w:rsidR="00CD0772" w:rsidRPr="00C74791" w:rsidRDefault="69CFA879" w:rsidP="00CD0772">
            <w:pPr>
              <w:widowControl w:val="0"/>
              <w:spacing w:line="240" w:lineRule="auto"/>
            </w:pPr>
            <w:r>
              <w:t>x</w:t>
            </w:r>
          </w:p>
        </w:tc>
      </w:tr>
    </w:tbl>
    <w:p w14:paraId="62199465" w14:textId="77777777" w:rsidR="00DA71F2" w:rsidRDefault="00DA71F2" w:rsidP="00CD0772"/>
    <w:p w14:paraId="5A93941D" w14:textId="77777777" w:rsidR="00CD0772" w:rsidRDefault="69CFA879" w:rsidP="00CD0772">
      <w:r>
        <w:t>Across the entire sample, the mean SAM score was 46.6% (95% C.I.: 43.1% - 50.0%) with a standard deviation of 12.1% (</w:t>
      </w:r>
      <w:r w:rsidRPr="69CFA879">
        <w:rPr>
          <w:b/>
          <w:bCs/>
        </w:rPr>
        <w:t>Table 4</w:t>
      </w:r>
      <w:r>
        <w:t>). There was significant variation by clinic. The endocrine and infectious disease clinics performed quite poorly, with a mean SAM total scores of 36.6% (95% C.I.: 31.3% - 41.9%) and 37.4% (95% C.I.: 29.4% - 45.3). Conversely, the general pediatrics clinic performed quite well, with a mean SAM total score of 56.1% (95% C.I.: 53.7% - 58.4%). Materials from the general pediatrics clinic also had the lowest variance of any clinic, with a standard deviation of 5.0%.</w:t>
      </w:r>
    </w:p>
    <w:p w14:paraId="1AE100E7" w14:textId="77777777" w:rsidR="00DA71F2" w:rsidRDefault="3EEF55E6" w:rsidP="00CD0772">
      <w:r>
        <w:t xml:space="preserve">The mean SAM literacy </w:t>
      </w:r>
      <w:proofErr w:type="spellStart"/>
      <w:r>
        <w:t>subscore</w:t>
      </w:r>
      <w:proofErr w:type="spellEnd"/>
      <w:r>
        <w:t xml:space="preserve"> for the entire sample was 51.8% (95% C.I.: 46.1% - 57.5%) with a standard deviation of 20% (</w:t>
      </w:r>
      <w:r w:rsidRPr="3EEF55E6">
        <w:rPr>
          <w:b/>
          <w:bCs/>
        </w:rPr>
        <w:t>Table 4</w:t>
      </w:r>
      <w:r>
        <w:t xml:space="preserve">). The mean SAM literacy </w:t>
      </w:r>
      <w:proofErr w:type="spellStart"/>
      <w:r>
        <w:t>subscore</w:t>
      </w:r>
      <w:proofErr w:type="spellEnd"/>
      <w:r>
        <w:t xml:space="preserve"> was higher than the mean SAM total score (51.8% vs. 46.6%), but also had higher variance (standard deviation of 20% versus 12.1%). The general pediatrics performed quite well </w:t>
      </w:r>
      <w:proofErr w:type="gramStart"/>
      <w:r>
        <w:t>with regards to</w:t>
      </w:r>
      <w:proofErr w:type="gramEnd"/>
      <w:r>
        <w:t xml:space="preserve"> this </w:t>
      </w:r>
      <w:proofErr w:type="spellStart"/>
      <w:r>
        <w:t>subscore</w:t>
      </w:r>
      <w:proofErr w:type="spellEnd"/>
      <w:r>
        <w:t xml:space="preserve">, with a mean of 69.5% (95% C.I.: 62.1% - 76.9%), notably outperforming their mean SAM total score of 56.1%. On the other hand, the </w:t>
      </w:r>
      <w:proofErr w:type="gramStart"/>
      <w:r>
        <w:t>three subspecialty</w:t>
      </w:r>
      <w:proofErr w:type="gramEnd"/>
      <w:r>
        <w:t xml:space="preserve"> clinics’ mean literacy </w:t>
      </w:r>
      <w:proofErr w:type="spellStart"/>
      <w:r>
        <w:t>subscores</w:t>
      </w:r>
      <w:proofErr w:type="spellEnd"/>
      <w:r>
        <w:t xml:space="preserve"> were very similar to their SAM total scores.</w:t>
      </w:r>
    </w:p>
    <w:p w14:paraId="0DA123B1" w14:textId="77777777" w:rsidR="006B73F2" w:rsidRDefault="006B73F2" w:rsidP="006B73F2">
      <w:pPr>
        <w:spacing w:line="240" w:lineRule="auto"/>
      </w:pPr>
    </w:p>
    <w:p w14:paraId="04E2E297" w14:textId="77777777" w:rsidR="0055560B" w:rsidRDefault="0055560B" w:rsidP="0055560B">
      <w:pPr>
        <w:pStyle w:val="Caption"/>
        <w:keepNext/>
        <w:ind w:firstLine="90"/>
        <w:jc w:val="center"/>
      </w:pPr>
      <w:bookmarkStart w:id="21" w:name="_Toc525805151"/>
      <w:r>
        <w:lastRenderedPageBreak/>
        <w:t xml:space="preserve">Table </w:t>
      </w:r>
      <w:r w:rsidR="00FB6957">
        <w:fldChar w:fldCharType="begin"/>
      </w:r>
      <w:r w:rsidR="00FB6957">
        <w:instrText xml:space="preserve"> SEQ Table \* ARABIC </w:instrText>
      </w:r>
      <w:r w:rsidR="00FB6957">
        <w:fldChar w:fldCharType="separate"/>
      </w:r>
      <w:r w:rsidR="009E497A" w:rsidRPr="69CFA879">
        <w:t>4</w:t>
      </w:r>
      <w:r w:rsidR="00FB6957">
        <w:fldChar w:fldCharType="end"/>
      </w:r>
      <w:r>
        <w:t xml:space="preserve">. Mean </w:t>
      </w:r>
      <w:r w:rsidRPr="0055560B">
        <w:t xml:space="preserve">SAM Total Score, Mean SAM Literacy </w:t>
      </w:r>
      <w:proofErr w:type="spellStart"/>
      <w:r w:rsidRPr="0055560B">
        <w:t>Subscore</w:t>
      </w:r>
      <w:proofErr w:type="spellEnd"/>
      <w:r w:rsidRPr="0055560B">
        <w:t xml:space="preserve"> and the Proportion of Materials Achieving an “Adequate” SAM Total Score</w:t>
      </w:r>
      <w:bookmarkEnd w:id="21"/>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900"/>
        <w:gridCol w:w="720"/>
        <w:gridCol w:w="1170"/>
        <w:gridCol w:w="270"/>
        <w:gridCol w:w="720"/>
        <w:gridCol w:w="630"/>
        <w:gridCol w:w="1260"/>
        <w:gridCol w:w="270"/>
        <w:gridCol w:w="525"/>
        <w:gridCol w:w="1290"/>
        <w:gridCol w:w="255"/>
      </w:tblGrid>
      <w:tr w:rsidR="00F85BD5" w:rsidRPr="00C74791" w14:paraId="1A5F4AB4" w14:textId="77777777" w:rsidTr="3EEF55E6">
        <w:trPr>
          <w:trHeight w:val="420"/>
        </w:trPr>
        <w:tc>
          <w:tcPr>
            <w:tcW w:w="1350" w:type="dxa"/>
            <w:shd w:val="clear" w:color="auto" w:fill="auto"/>
            <w:tcMar>
              <w:top w:w="100" w:type="dxa"/>
              <w:left w:w="100" w:type="dxa"/>
              <w:bottom w:w="100" w:type="dxa"/>
              <w:right w:w="100" w:type="dxa"/>
            </w:tcMar>
          </w:tcPr>
          <w:p w14:paraId="4C4CEA3D" w14:textId="77777777" w:rsidR="00F85BD5" w:rsidRPr="00944ABC" w:rsidRDefault="00F85BD5" w:rsidP="0030012E">
            <w:pPr>
              <w:widowControl w:val="0"/>
              <w:spacing w:line="240" w:lineRule="auto"/>
              <w:rPr>
                <w:sz w:val="20"/>
                <w:szCs w:val="20"/>
              </w:rPr>
            </w:pPr>
          </w:p>
        </w:tc>
        <w:tc>
          <w:tcPr>
            <w:tcW w:w="2790" w:type="dxa"/>
            <w:gridSpan w:val="3"/>
            <w:shd w:val="clear" w:color="auto" w:fill="auto"/>
            <w:tcMar>
              <w:top w:w="100" w:type="dxa"/>
              <w:left w:w="100" w:type="dxa"/>
              <w:bottom w:w="100" w:type="dxa"/>
              <w:right w:w="100" w:type="dxa"/>
            </w:tcMar>
          </w:tcPr>
          <w:p w14:paraId="29A6CDCD" w14:textId="77777777" w:rsidR="00F85BD5" w:rsidRPr="00944ABC" w:rsidRDefault="69CFA879" w:rsidP="69CFA879">
            <w:pPr>
              <w:widowControl w:val="0"/>
              <w:spacing w:line="240" w:lineRule="auto"/>
              <w:ind w:firstLine="0"/>
              <w:jc w:val="center"/>
              <w:rPr>
                <w:b/>
                <w:bCs/>
                <w:sz w:val="20"/>
                <w:szCs w:val="20"/>
              </w:rPr>
            </w:pPr>
            <w:r w:rsidRPr="00944ABC">
              <w:rPr>
                <w:b/>
                <w:bCs/>
                <w:sz w:val="20"/>
                <w:szCs w:val="20"/>
              </w:rPr>
              <w:t>SAM Total Score</w:t>
            </w:r>
          </w:p>
        </w:tc>
        <w:tc>
          <w:tcPr>
            <w:tcW w:w="270" w:type="dxa"/>
            <w:shd w:val="clear" w:color="auto" w:fill="auto"/>
            <w:tcMar>
              <w:top w:w="100" w:type="dxa"/>
              <w:left w:w="100" w:type="dxa"/>
              <w:bottom w:w="100" w:type="dxa"/>
              <w:right w:w="100" w:type="dxa"/>
            </w:tcMar>
          </w:tcPr>
          <w:p w14:paraId="50895670" w14:textId="77777777" w:rsidR="00F85BD5" w:rsidRPr="00944ABC" w:rsidRDefault="00F85BD5" w:rsidP="0030012E">
            <w:pPr>
              <w:widowControl w:val="0"/>
              <w:spacing w:line="240" w:lineRule="auto"/>
              <w:rPr>
                <w:b/>
                <w:sz w:val="20"/>
                <w:szCs w:val="20"/>
              </w:rPr>
            </w:pPr>
          </w:p>
        </w:tc>
        <w:tc>
          <w:tcPr>
            <w:tcW w:w="2610" w:type="dxa"/>
            <w:gridSpan w:val="3"/>
            <w:shd w:val="clear" w:color="auto" w:fill="auto"/>
            <w:tcMar>
              <w:top w:w="100" w:type="dxa"/>
              <w:left w:w="100" w:type="dxa"/>
              <w:bottom w:w="100" w:type="dxa"/>
              <w:right w:w="100" w:type="dxa"/>
            </w:tcMar>
          </w:tcPr>
          <w:p w14:paraId="78061664" w14:textId="77777777" w:rsidR="00F85BD5" w:rsidRPr="00944ABC" w:rsidRDefault="3EEF55E6" w:rsidP="3EEF55E6">
            <w:pPr>
              <w:widowControl w:val="0"/>
              <w:spacing w:line="240" w:lineRule="auto"/>
              <w:ind w:firstLine="0"/>
              <w:jc w:val="center"/>
              <w:rPr>
                <w:b/>
                <w:bCs/>
                <w:sz w:val="20"/>
                <w:szCs w:val="20"/>
              </w:rPr>
            </w:pPr>
            <w:r w:rsidRPr="00944ABC">
              <w:rPr>
                <w:b/>
                <w:bCs/>
                <w:sz w:val="20"/>
                <w:szCs w:val="20"/>
              </w:rPr>
              <w:t xml:space="preserve">SAM Literacy </w:t>
            </w:r>
            <w:proofErr w:type="spellStart"/>
            <w:r w:rsidRPr="00944ABC">
              <w:rPr>
                <w:b/>
                <w:bCs/>
                <w:sz w:val="20"/>
                <w:szCs w:val="20"/>
              </w:rPr>
              <w:t>Subscore</w:t>
            </w:r>
            <w:proofErr w:type="spellEnd"/>
          </w:p>
        </w:tc>
        <w:tc>
          <w:tcPr>
            <w:tcW w:w="270" w:type="dxa"/>
            <w:shd w:val="clear" w:color="auto" w:fill="auto"/>
            <w:tcMar>
              <w:top w:w="100" w:type="dxa"/>
              <w:left w:w="100" w:type="dxa"/>
              <w:bottom w:w="100" w:type="dxa"/>
              <w:right w:w="100" w:type="dxa"/>
            </w:tcMar>
          </w:tcPr>
          <w:p w14:paraId="38C1F859" w14:textId="77777777" w:rsidR="00F85BD5" w:rsidRPr="00944ABC" w:rsidRDefault="00F85BD5" w:rsidP="0030012E">
            <w:pPr>
              <w:widowControl w:val="0"/>
              <w:spacing w:line="240" w:lineRule="auto"/>
              <w:rPr>
                <w:b/>
                <w:sz w:val="20"/>
                <w:szCs w:val="20"/>
              </w:rPr>
            </w:pPr>
          </w:p>
        </w:tc>
        <w:tc>
          <w:tcPr>
            <w:tcW w:w="1815" w:type="dxa"/>
            <w:gridSpan w:val="2"/>
            <w:shd w:val="clear" w:color="auto" w:fill="auto"/>
            <w:tcMar>
              <w:top w:w="100" w:type="dxa"/>
              <w:left w:w="100" w:type="dxa"/>
              <w:bottom w:w="100" w:type="dxa"/>
              <w:right w:w="100" w:type="dxa"/>
            </w:tcMar>
          </w:tcPr>
          <w:p w14:paraId="2077E797" w14:textId="77777777" w:rsidR="00F85BD5" w:rsidRPr="00944ABC" w:rsidRDefault="69CFA879" w:rsidP="69CFA879">
            <w:pPr>
              <w:widowControl w:val="0"/>
              <w:spacing w:line="240" w:lineRule="auto"/>
              <w:ind w:firstLine="0"/>
              <w:jc w:val="center"/>
              <w:rPr>
                <w:b/>
                <w:bCs/>
                <w:sz w:val="20"/>
                <w:szCs w:val="20"/>
              </w:rPr>
            </w:pPr>
            <w:r w:rsidRPr="00944ABC">
              <w:rPr>
                <w:b/>
                <w:bCs/>
                <w:sz w:val="20"/>
                <w:szCs w:val="20"/>
              </w:rPr>
              <w:t>% Achieving an “Adequate” SAM total score</w:t>
            </w:r>
          </w:p>
        </w:tc>
        <w:tc>
          <w:tcPr>
            <w:tcW w:w="255" w:type="dxa"/>
            <w:shd w:val="clear" w:color="auto" w:fill="auto"/>
            <w:tcMar>
              <w:top w:w="100" w:type="dxa"/>
              <w:left w:w="100" w:type="dxa"/>
              <w:bottom w:w="100" w:type="dxa"/>
              <w:right w:w="100" w:type="dxa"/>
            </w:tcMar>
          </w:tcPr>
          <w:p w14:paraId="0C8FE7CE" w14:textId="77777777" w:rsidR="00F85BD5" w:rsidRPr="00C74791" w:rsidRDefault="00F85BD5" w:rsidP="0030012E">
            <w:pPr>
              <w:widowControl w:val="0"/>
              <w:spacing w:line="240" w:lineRule="auto"/>
            </w:pPr>
          </w:p>
        </w:tc>
      </w:tr>
      <w:tr w:rsidR="00F85BD5" w:rsidRPr="00C74791" w14:paraId="1F66417E" w14:textId="77777777" w:rsidTr="3EEF55E6">
        <w:tc>
          <w:tcPr>
            <w:tcW w:w="1350" w:type="dxa"/>
            <w:shd w:val="clear" w:color="auto" w:fill="auto"/>
            <w:tcMar>
              <w:top w:w="100" w:type="dxa"/>
              <w:left w:w="100" w:type="dxa"/>
              <w:bottom w:w="100" w:type="dxa"/>
              <w:right w:w="100" w:type="dxa"/>
            </w:tcMar>
          </w:tcPr>
          <w:p w14:paraId="41004F19" w14:textId="77777777" w:rsidR="00F85BD5" w:rsidRPr="00944ABC" w:rsidRDefault="00F85BD5" w:rsidP="0030012E">
            <w:pPr>
              <w:widowControl w:val="0"/>
              <w:spacing w:line="240" w:lineRule="auto"/>
              <w:rPr>
                <w:sz w:val="20"/>
                <w:szCs w:val="20"/>
              </w:rPr>
            </w:pPr>
          </w:p>
        </w:tc>
        <w:tc>
          <w:tcPr>
            <w:tcW w:w="900" w:type="dxa"/>
            <w:shd w:val="clear" w:color="auto" w:fill="auto"/>
            <w:tcMar>
              <w:top w:w="100" w:type="dxa"/>
              <w:left w:w="100" w:type="dxa"/>
              <w:bottom w:w="100" w:type="dxa"/>
              <w:right w:w="100" w:type="dxa"/>
            </w:tcMar>
          </w:tcPr>
          <w:p w14:paraId="31A8DCA4" w14:textId="77777777" w:rsidR="00F85BD5" w:rsidRPr="00944ABC" w:rsidRDefault="69CFA879" w:rsidP="69CFA879">
            <w:pPr>
              <w:widowControl w:val="0"/>
              <w:spacing w:line="240" w:lineRule="auto"/>
              <w:ind w:firstLine="0"/>
              <w:jc w:val="center"/>
              <w:rPr>
                <w:sz w:val="20"/>
                <w:szCs w:val="20"/>
              </w:rPr>
            </w:pPr>
            <w:r w:rsidRPr="00944ABC">
              <w:rPr>
                <w:sz w:val="20"/>
                <w:szCs w:val="20"/>
              </w:rPr>
              <w:t>mean</w:t>
            </w:r>
          </w:p>
        </w:tc>
        <w:tc>
          <w:tcPr>
            <w:tcW w:w="720" w:type="dxa"/>
            <w:shd w:val="clear" w:color="auto" w:fill="auto"/>
            <w:tcMar>
              <w:top w:w="100" w:type="dxa"/>
              <w:left w:w="100" w:type="dxa"/>
              <w:bottom w:w="100" w:type="dxa"/>
              <w:right w:w="100" w:type="dxa"/>
            </w:tcMar>
          </w:tcPr>
          <w:p w14:paraId="5833DD3C" w14:textId="77777777" w:rsidR="00F85BD5" w:rsidRPr="00944ABC" w:rsidRDefault="3EEF55E6" w:rsidP="3EEF55E6">
            <w:pPr>
              <w:widowControl w:val="0"/>
              <w:spacing w:line="240" w:lineRule="auto"/>
              <w:ind w:firstLine="0"/>
              <w:jc w:val="center"/>
              <w:rPr>
                <w:sz w:val="20"/>
                <w:szCs w:val="20"/>
              </w:rPr>
            </w:pPr>
            <w:proofErr w:type="spellStart"/>
            <w:r w:rsidRPr="00944ABC">
              <w:rPr>
                <w:sz w:val="20"/>
                <w:szCs w:val="20"/>
              </w:rPr>
              <w:t>s.d.</w:t>
            </w:r>
            <w:proofErr w:type="spellEnd"/>
          </w:p>
        </w:tc>
        <w:tc>
          <w:tcPr>
            <w:tcW w:w="1170" w:type="dxa"/>
            <w:shd w:val="clear" w:color="auto" w:fill="auto"/>
            <w:tcMar>
              <w:top w:w="100" w:type="dxa"/>
              <w:left w:w="100" w:type="dxa"/>
              <w:bottom w:w="100" w:type="dxa"/>
              <w:right w:w="100" w:type="dxa"/>
            </w:tcMar>
          </w:tcPr>
          <w:p w14:paraId="3AE6661B" w14:textId="77777777" w:rsidR="00F85BD5" w:rsidRPr="00944ABC" w:rsidRDefault="69CFA879" w:rsidP="69CFA879">
            <w:pPr>
              <w:widowControl w:val="0"/>
              <w:spacing w:line="240" w:lineRule="auto"/>
              <w:ind w:firstLine="0"/>
              <w:jc w:val="center"/>
              <w:rPr>
                <w:sz w:val="20"/>
                <w:szCs w:val="20"/>
              </w:rPr>
            </w:pPr>
            <w:r w:rsidRPr="00944ABC">
              <w:rPr>
                <w:sz w:val="20"/>
                <w:szCs w:val="20"/>
              </w:rPr>
              <w:t>(95% CI)</w:t>
            </w:r>
          </w:p>
        </w:tc>
        <w:tc>
          <w:tcPr>
            <w:tcW w:w="270" w:type="dxa"/>
            <w:shd w:val="clear" w:color="auto" w:fill="auto"/>
            <w:tcMar>
              <w:top w:w="100" w:type="dxa"/>
              <w:left w:w="100" w:type="dxa"/>
              <w:bottom w:w="100" w:type="dxa"/>
              <w:right w:w="100" w:type="dxa"/>
            </w:tcMar>
          </w:tcPr>
          <w:p w14:paraId="67C0C651" w14:textId="77777777" w:rsidR="00F85BD5" w:rsidRPr="00944ABC" w:rsidRDefault="00F85BD5" w:rsidP="00544485">
            <w:pPr>
              <w:widowControl w:val="0"/>
              <w:spacing w:line="240" w:lineRule="auto"/>
              <w:jc w:val="center"/>
              <w:rPr>
                <w:sz w:val="20"/>
                <w:szCs w:val="20"/>
              </w:rPr>
            </w:pPr>
          </w:p>
        </w:tc>
        <w:tc>
          <w:tcPr>
            <w:tcW w:w="720" w:type="dxa"/>
            <w:shd w:val="clear" w:color="auto" w:fill="auto"/>
            <w:tcMar>
              <w:top w:w="100" w:type="dxa"/>
              <w:left w:w="100" w:type="dxa"/>
              <w:bottom w:w="100" w:type="dxa"/>
              <w:right w:w="100" w:type="dxa"/>
            </w:tcMar>
          </w:tcPr>
          <w:p w14:paraId="64A5E2C2" w14:textId="77777777" w:rsidR="00F85BD5" w:rsidRPr="00944ABC" w:rsidRDefault="69CFA879" w:rsidP="69CFA879">
            <w:pPr>
              <w:widowControl w:val="0"/>
              <w:spacing w:line="240" w:lineRule="auto"/>
              <w:ind w:firstLine="0"/>
              <w:jc w:val="center"/>
              <w:rPr>
                <w:sz w:val="20"/>
                <w:szCs w:val="20"/>
              </w:rPr>
            </w:pPr>
            <w:r w:rsidRPr="00944ABC">
              <w:rPr>
                <w:sz w:val="20"/>
                <w:szCs w:val="20"/>
              </w:rPr>
              <w:t>mean</w:t>
            </w:r>
          </w:p>
        </w:tc>
        <w:tc>
          <w:tcPr>
            <w:tcW w:w="630" w:type="dxa"/>
            <w:shd w:val="clear" w:color="auto" w:fill="auto"/>
            <w:tcMar>
              <w:top w:w="100" w:type="dxa"/>
              <w:left w:w="100" w:type="dxa"/>
              <w:bottom w:w="100" w:type="dxa"/>
              <w:right w:w="100" w:type="dxa"/>
            </w:tcMar>
          </w:tcPr>
          <w:p w14:paraId="79F41129" w14:textId="77777777" w:rsidR="00F85BD5" w:rsidRPr="00944ABC" w:rsidRDefault="3EEF55E6" w:rsidP="3EEF55E6">
            <w:pPr>
              <w:widowControl w:val="0"/>
              <w:spacing w:line="240" w:lineRule="auto"/>
              <w:ind w:firstLine="0"/>
              <w:jc w:val="center"/>
              <w:rPr>
                <w:sz w:val="20"/>
                <w:szCs w:val="20"/>
              </w:rPr>
            </w:pPr>
            <w:proofErr w:type="spellStart"/>
            <w:r w:rsidRPr="00944ABC">
              <w:rPr>
                <w:sz w:val="20"/>
                <w:szCs w:val="20"/>
              </w:rPr>
              <w:t>s.d.</w:t>
            </w:r>
            <w:proofErr w:type="spellEnd"/>
          </w:p>
        </w:tc>
        <w:tc>
          <w:tcPr>
            <w:tcW w:w="1260" w:type="dxa"/>
            <w:shd w:val="clear" w:color="auto" w:fill="auto"/>
            <w:tcMar>
              <w:top w:w="100" w:type="dxa"/>
              <w:left w:w="100" w:type="dxa"/>
              <w:bottom w:w="100" w:type="dxa"/>
              <w:right w:w="100" w:type="dxa"/>
            </w:tcMar>
          </w:tcPr>
          <w:p w14:paraId="2265724C" w14:textId="77777777" w:rsidR="00F85BD5" w:rsidRPr="00944ABC" w:rsidRDefault="69CFA879" w:rsidP="69CFA879">
            <w:pPr>
              <w:widowControl w:val="0"/>
              <w:spacing w:line="240" w:lineRule="auto"/>
              <w:ind w:firstLine="0"/>
              <w:jc w:val="center"/>
              <w:rPr>
                <w:sz w:val="20"/>
                <w:szCs w:val="20"/>
              </w:rPr>
            </w:pPr>
            <w:r w:rsidRPr="00944ABC">
              <w:rPr>
                <w:sz w:val="20"/>
                <w:szCs w:val="20"/>
              </w:rPr>
              <w:t>(95% CI)</w:t>
            </w:r>
          </w:p>
        </w:tc>
        <w:tc>
          <w:tcPr>
            <w:tcW w:w="270" w:type="dxa"/>
            <w:shd w:val="clear" w:color="auto" w:fill="auto"/>
            <w:tcMar>
              <w:top w:w="100" w:type="dxa"/>
              <w:left w:w="100" w:type="dxa"/>
              <w:bottom w:w="100" w:type="dxa"/>
              <w:right w:w="100" w:type="dxa"/>
            </w:tcMar>
          </w:tcPr>
          <w:p w14:paraId="308D56CC" w14:textId="77777777" w:rsidR="00F85BD5" w:rsidRPr="00944ABC" w:rsidRDefault="00F85BD5" w:rsidP="00544485">
            <w:pPr>
              <w:widowControl w:val="0"/>
              <w:spacing w:line="240" w:lineRule="auto"/>
              <w:jc w:val="center"/>
              <w:rPr>
                <w:sz w:val="20"/>
                <w:szCs w:val="20"/>
              </w:rPr>
            </w:pPr>
          </w:p>
        </w:tc>
        <w:tc>
          <w:tcPr>
            <w:tcW w:w="525" w:type="dxa"/>
            <w:shd w:val="clear" w:color="auto" w:fill="auto"/>
            <w:tcMar>
              <w:top w:w="100" w:type="dxa"/>
              <w:left w:w="100" w:type="dxa"/>
              <w:bottom w:w="100" w:type="dxa"/>
              <w:right w:w="100" w:type="dxa"/>
            </w:tcMar>
          </w:tcPr>
          <w:p w14:paraId="5D52869B" w14:textId="77777777" w:rsidR="00F85BD5" w:rsidRPr="00944ABC" w:rsidRDefault="69CFA879" w:rsidP="69CFA879">
            <w:pPr>
              <w:widowControl w:val="0"/>
              <w:spacing w:line="240" w:lineRule="auto"/>
              <w:ind w:firstLine="0"/>
              <w:jc w:val="center"/>
              <w:rPr>
                <w:sz w:val="20"/>
                <w:szCs w:val="20"/>
              </w:rPr>
            </w:pPr>
            <w:r w:rsidRPr="00944ABC">
              <w:rPr>
                <w:sz w:val="20"/>
                <w:szCs w:val="20"/>
              </w:rPr>
              <w:t>%</w:t>
            </w:r>
          </w:p>
        </w:tc>
        <w:tc>
          <w:tcPr>
            <w:tcW w:w="1290" w:type="dxa"/>
            <w:shd w:val="clear" w:color="auto" w:fill="auto"/>
            <w:tcMar>
              <w:top w:w="100" w:type="dxa"/>
              <w:left w:w="100" w:type="dxa"/>
              <w:bottom w:w="100" w:type="dxa"/>
              <w:right w:w="100" w:type="dxa"/>
            </w:tcMar>
          </w:tcPr>
          <w:p w14:paraId="0FC73427" w14:textId="77777777" w:rsidR="00F85BD5" w:rsidRPr="00944ABC" w:rsidRDefault="69CFA879" w:rsidP="69CFA879">
            <w:pPr>
              <w:widowControl w:val="0"/>
              <w:spacing w:line="240" w:lineRule="auto"/>
              <w:ind w:firstLine="0"/>
              <w:jc w:val="center"/>
              <w:rPr>
                <w:sz w:val="20"/>
                <w:szCs w:val="20"/>
              </w:rPr>
            </w:pPr>
            <w:r w:rsidRPr="00944ABC">
              <w:rPr>
                <w:sz w:val="20"/>
                <w:szCs w:val="20"/>
              </w:rPr>
              <w:t>(95% CI)</w:t>
            </w:r>
          </w:p>
        </w:tc>
        <w:tc>
          <w:tcPr>
            <w:tcW w:w="255" w:type="dxa"/>
            <w:shd w:val="clear" w:color="auto" w:fill="auto"/>
            <w:tcMar>
              <w:top w:w="100" w:type="dxa"/>
              <w:left w:w="100" w:type="dxa"/>
              <w:bottom w:w="100" w:type="dxa"/>
              <w:right w:w="100" w:type="dxa"/>
            </w:tcMar>
          </w:tcPr>
          <w:p w14:paraId="797E50C6" w14:textId="77777777" w:rsidR="00F85BD5" w:rsidRPr="00C74791" w:rsidRDefault="00F85BD5" w:rsidP="0030012E">
            <w:pPr>
              <w:widowControl w:val="0"/>
              <w:spacing w:line="240" w:lineRule="auto"/>
            </w:pPr>
          </w:p>
        </w:tc>
      </w:tr>
      <w:tr w:rsidR="00F85BD5" w:rsidRPr="00C74791" w14:paraId="7B04FA47" w14:textId="77777777" w:rsidTr="3EEF55E6">
        <w:trPr>
          <w:trHeight w:val="123"/>
        </w:trPr>
        <w:tc>
          <w:tcPr>
            <w:tcW w:w="1350" w:type="dxa"/>
            <w:shd w:val="clear" w:color="auto" w:fill="auto"/>
            <w:tcMar>
              <w:top w:w="100" w:type="dxa"/>
              <w:left w:w="100" w:type="dxa"/>
              <w:bottom w:w="100" w:type="dxa"/>
              <w:right w:w="100" w:type="dxa"/>
            </w:tcMar>
          </w:tcPr>
          <w:p w14:paraId="568C698B" w14:textId="77777777" w:rsidR="00F85BD5" w:rsidRPr="00944ABC" w:rsidRDefault="00F85BD5" w:rsidP="0030012E">
            <w:pPr>
              <w:widowControl w:val="0"/>
              <w:spacing w:line="240" w:lineRule="auto"/>
              <w:rPr>
                <w:sz w:val="20"/>
                <w:szCs w:val="20"/>
              </w:rPr>
            </w:pPr>
          </w:p>
        </w:tc>
        <w:tc>
          <w:tcPr>
            <w:tcW w:w="900" w:type="dxa"/>
            <w:shd w:val="clear" w:color="auto" w:fill="auto"/>
            <w:tcMar>
              <w:top w:w="100" w:type="dxa"/>
              <w:left w:w="100" w:type="dxa"/>
              <w:bottom w:w="100" w:type="dxa"/>
              <w:right w:w="100" w:type="dxa"/>
            </w:tcMar>
          </w:tcPr>
          <w:p w14:paraId="1A939487" w14:textId="77777777" w:rsidR="00F85BD5" w:rsidRPr="00944ABC" w:rsidRDefault="00F85BD5" w:rsidP="00544485">
            <w:pPr>
              <w:widowControl w:val="0"/>
              <w:spacing w:line="240" w:lineRule="auto"/>
              <w:jc w:val="center"/>
              <w:rPr>
                <w:sz w:val="20"/>
                <w:szCs w:val="20"/>
              </w:rPr>
            </w:pPr>
          </w:p>
        </w:tc>
        <w:tc>
          <w:tcPr>
            <w:tcW w:w="720" w:type="dxa"/>
            <w:shd w:val="clear" w:color="auto" w:fill="auto"/>
            <w:tcMar>
              <w:top w:w="100" w:type="dxa"/>
              <w:left w:w="100" w:type="dxa"/>
              <w:bottom w:w="100" w:type="dxa"/>
              <w:right w:w="100" w:type="dxa"/>
            </w:tcMar>
          </w:tcPr>
          <w:p w14:paraId="6AA258D8" w14:textId="77777777" w:rsidR="00F85BD5" w:rsidRPr="00944ABC" w:rsidRDefault="00F85BD5" w:rsidP="00544485">
            <w:pPr>
              <w:widowControl w:val="0"/>
              <w:spacing w:line="240" w:lineRule="auto"/>
              <w:jc w:val="center"/>
              <w:rPr>
                <w:sz w:val="20"/>
                <w:szCs w:val="20"/>
              </w:rPr>
            </w:pPr>
          </w:p>
        </w:tc>
        <w:tc>
          <w:tcPr>
            <w:tcW w:w="1170" w:type="dxa"/>
            <w:shd w:val="clear" w:color="auto" w:fill="auto"/>
            <w:tcMar>
              <w:top w:w="100" w:type="dxa"/>
              <w:left w:w="100" w:type="dxa"/>
              <w:bottom w:w="100" w:type="dxa"/>
              <w:right w:w="100" w:type="dxa"/>
            </w:tcMar>
          </w:tcPr>
          <w:p w14:paraId="6FFBD3EC" w14:textId="77777777" w:rsidR="00F85BD5" w:rsidRPr="00944ABC" w:rsidRDefault="00F85BD5" w:rsidP="00544485">
            <w:pPr>
              <w:widowControl w:val="0"/>
              <w:spacing w:line="240" w:lineRule="auto"/>
              <w:jc w:val="center"/>
              <w:rPr>
                <w:sz w:val="20"/>
                <w:szCs w:val="20"/>
              </w:rPr>
            </w:pPr>
          </w:p>
        </w:tc>
        <w:tc>
          <w:tcPr>
            <w:tcW w:w="270" w:type="dxa"/>
            <w:shd w:val="clear" w:color="auto" w:fill="auto"/>
            <w:tcMar>
              <w:top w:w="100" w:type="dxa"/>
              <w:left w:w="100" w:type="dxa"/>
              <w:bottom w:w="100" w:type="dxa"/>
              <w:right w:w="100" w:type="dxa"/>
            </w:tcMar>
          </w:tcPr>
          <w:p w14:paraId="30DCCCAD" w14:textId="77777777" w:rsidR="00F85BD5" w:rsidRPr="00944ABC" w:rsidRDefault="00F85BD5" w:rsidP="00544485">
            <w:pPr>
              <w:widowControl w:val="0"/>
              <w:spacing w:line="240" w:lineRule="auto"/>
              <w:jc w:val="center"/>
              <w:rPr>
                <w:sz w:val="20"/>
                <w:szCs w:val="20"/>
              </w:rPr>
            </w:pPr>
          </w:p>
        </w:tc>
        <w:tc>
          <w:tcPr>
            <w:tcW w:w="720" w:type="dxa"/>
            <w:shd w:val="clear" w:color="auto" w:fill="auto"/>
            <w:tcMar>
              <w:top w:w="100" w:type="dxa"/>
              <w:left w:w="100" w:type="dxa"/>
              <w:bottom w:w="100" w:type="dxa"/>
              <w:right w:w="100" w:type="dxa"/>
            </w:tcMar>
          </w:tcPr>
          <w:p w14:paraId="36AF6883" w14:textId="77777777" w:rsidR="00F85BD5" w:rsidRPr="00944ABC" w:rsidRDefault="00F85BD5" w:rsidP="00544485">
            <w:pPr>
              <w:widowControl w:val="0"/>
              <w:spacing w:line="240" w:lineRule="auto"/>
              <w:jc w:val="center"/>
              <w:rPr>
                <w:sz w:val="20"/>
                <w:szCs w:val="20"/>
              </w:rPr>
            </w:pPr>
          </w:p>
        </w:tc>
        <w:tc>
          <w:tcPr>
            <w:tcW w:w="630" w:type="dxa"/>
            <w:shd w:val="clear" w:color="auto" w:fill="auto"/>
            <w:tcMar>
              <w:top w:w="100" w:type="dxa"/>
              <w:left w:w="100" w:type="dxa"/>
              <w:bottom w:w="100" w:type="dxa"/>
              <w:right w:w="100" w:type="dxa"/>
            </w:tcMar>
          </w:tcPr>
          <w:p w14:paraId="54C529ED" w14:textId="77777777" w:rsidR="00F85BD5" w:rsidRPr="00944ABC" w:rsidRDefault="00F85BD5" w:rsidP="00544485">
            <w:pPr>
              <w:widowControl w:val="0"/>
              <w:spacing w:line="240" w:lineRule="auto"/>
              <w:jc w:val="center"/>
              <w:rPr>
                <w:sz w:val="20"/>
                <w:szCs w:val="20"/>
              </w:rPr>
            </w:pPr>
          </w:p>
        </w:tc>
        <w:tc>
          <w:tcPr>
            <w:tcW w:w="1260" w:type="dxa"/>
            <w:shd w:val="clear" w:color="auto" w:fill="auto"/>
            <w:tcMar>
              <w:top w:w="100" w:type="dxa"/>
              <w:left w:w="100" w:type="dxa"/>
              <w:bottom w:w="100" w:type="dxa"/>
              <w:right w:w="100" w:type="dxa"/>
            </w:tcMar>
          </w:tcPr>
          <w:p w14:paraId="1C0157D6" w14:textId="77777777" w:rsidR="00F85BD5" w:rsidRPr="00944ABC" w:rsidRDefault="00F85BD5" w:rsidP="00544485">
            <w:pPr>
              <w:widowControl w:val="0"/>
              <w:spacing w:line="240" w:lineRule="auto"/>
              <w:jc w:val="center"/>
              <w:rPr>
                <w:sz w:val="20"/>
                <w:szCs w:val="20"/>
              </w:rPr>
            </w:pPr>
          </w:p>
        </w:tc>
        <w:tc>
          <w:tcPr>
            <w:tcW w:w="270" w:type="dxa"/>
            <w:shd w:val="clear" w:color="auto" w:fill="auto"/>
            <w:tcMar>
              <w:top w:w="100" w:type="dxa"/>
              <w:left w:w="100" w:type="dxa"/>
              <w:bottom w:w="100" w:type="dxa"/>
              <w:right w:w="100" w:type="dxa"/>
            </w:tcMar>
          </w:tcPr>
          <w:p w14:paraId="3691E7B2" w14:textId="77777777" w:rsidR="00F85BD5" w:rsidRPr="00944ABC" w:rsidRDefault="00F85BD5" w:rsidP="00544485">
            <w:pPr>
              <w:widowControl w:val="0"/>
              <w:spacing w:line="240" w:lineRule="auto"/>
              <w:jc w:val="center"/>
              <w:rPr>
                <w:sz w:val="20"/>
                <w:szCs w:val="20"/>
              </w:rPr>
            </w:pPr>
          </w:p>
        </w:tc>
        <w:tc>
          <w:tcPr>
            <w:tcW w:w="525" w:type="dxa"/>
            <w:shd w:val="clear" w:color="auto" w:fill="auto"/>
            <w:tcMar>
              <w:top w:w="100" w:type="dxa"/>
              <w:left w:w="100" w:type="dxa"/>
              <w:bottom w:w="100" w:type="dxa"/>
              <w:right w:w="100" w:type="dxa"/>
            </w:tcMar>
          </w:tcPr>
          <w:p w14:paraId="526770CE" w14:textId="77777777" w:rsidR="00F85BD5" w:rsidRPr="00944ABC" w:rsidRDefault="00F85BD5" w:rsidP="00544485">
            <w:pPr>
              <w:widowControl w:val="0"/>
              <w:spacing w:line="240" w:lineRule="auto"/>
              <w:jc w:val="center"/>
              <w:rPr>
                <w:sz w:val="20"/>
                <w:szCs w:val="20"/>
              </w:rPr>
            </w:pPr>
          </w:p>
        </w:tc>
        <w:tc>
          <w:tcPr>
            <w:tcW w:w="1290" w:type="dxa"/>
            <w:shd w:val="clear" w:color="auto" w:fill="auto"/>
            <w:tcMar>
              <w:top w:w="100" w:type="dxa"/>
              <w:left w:w="100" w:type="dxa"/>
              <w:bottom w:w="100" w:type="dxa"/>
              <w:right w:w="100" w:type="dxa"/>
            </w:tcMar>
          </w:tcPr>
          <w:p w14:paraId="7CBEED82" w14:textId="77777777" w:rsidR="00F85BD5" w:rsidRPr="00944ABC" w:rsidRDefault="00F85BD5" w:rsidP="00544485">
            <w:pPr>
              <w:widowControl w:val="0"/>
              <w:spacing w:line="240" w:lineRule="auto"/>
              <w:jc w:val="center"/>
              <w:rPr>
                <w:sz w:val="20"/>
                <w:szCs w:val="20"/>
              </w:rPr>
            </w:pPr>
          </w:p>
        </w:tc>
        <w:tc>
          <w:tcPr>
            <w:tcW w:w="255" w:type="dxa"/>
            <w:shd w:val="clear" w:color="auto" w:fill="auto"/>
            <w:tcMar>
              <w:top w:w="100" w:type="dxa"/>
              <w:left w:w="100" w:type="dxa"/>
              <w:bottom w:w="100" w:type="dxa"/>
              <w:right w:w="100" w:type="dxa"/>
            </w:tcMar>
          </w:tcPr>
          <w:p w14:paraId="6E36661F" w14:textId="77777777" w:rsidR="00F85BD5" w:rsidRPr="00C74791" w:rsidRDefault="00F85BD5" w:rsidP="0030012E">
            <w:pPr>
              <w:widowControl w:val="0"/>
              <w:spacing w:line="240" w:lineRule="auto"/>
            </w:pPr>
          </w:p>
        </w:tc>
      </w:tr>
      <w:tr w:rsidR="00F85BD5" w:rsidRPr="00C74791" w14:paraId="529A83D6" w14:textId="77777777" w:rsidTr="3EEF55E6">
        <w:tc>
          <w:tcPr>
            <w:tcW w:w="1350" w:type="dxa"/>
            <w:shd w:val="clear" w:color="auto" w:fill="auto"/>
            <w:tcMar>
              <w:top w:w="100" w:type="dxa"/>
              <w:left w:w="100" w:type="dxa"/>
              <w:bottom w:w="100" w:type="dxa"/>
              <w:right w:w="100" w:type="dxa"/>
            </w:tcMar>
          </w:tcPr>
          <w:p w14:paraId="1E6D6A70" w14:textId="77777777" w:rsidR="00F85BD5" w:rsidRPr="00944ABC" w:rsidRDefault="69CFA879" w:rsidP="69CFA879">
            <w:pPr>
              <w:widowControl w:val="0"/>
              <w:spacing w:line="240" w:lineRule="auto"/>
              <w:ind w:firstLine="0"/>
              <w:rPr>
                <w:sz w:val="20"/>
                <w:szCs w:val="20"/>
              </w:rPr>
            </w:pPr>
            <w:r w:rsidRPr="00944ABC">
              <w:rPr>
                <w:sz w:val="20"/>
                <w:szCs w:val="20"/>
              </w:rPr>
              <w:t>General Pediatrics</w:t>
            </w:r>
          </w:p>
        </w:tc>
        <w:tc>
          <w:tcPr>
            <w:tcW w:w="900" w:type="dxa"/>
            <w:shd w:val="clear" w:color="auto" w:fill="auto"/>
            <w:tcMar>
              <w:top w:w="100" w:type="dxa"/>
              <w:left w:w="100" w:type="dxa"/>
              <w:bottom w:w="100" w:type="dxa"/>
              <w:right w:w="100" w:type="dxa"/>
            </w:tcMar>
          </w:tcPr>
          <w:p w14:paraId="7A69ED2A" w14:textId="77777777" w:rsidR="00F85BD5" w:rsidRPr="00944ABC" w:rsidRDefault="3EEF55E6" w:rsidP="3EEF55E6">
            <w:pPr>
              <w:widowControl w:val="0"/>
              <w:spacing w:line="240" w:lineRule="auto"/>
              <w:ind w:firstLine="0"/>
              <w:jc w:val="center"/>
              <w:rPr>
                <w:sz w:val="20"/>
                <w:szCs w:val="20"/>
              </w:rPr>
            </w:pPr>
            <w:r w:rsidRPr="00944ABC">
              <w:rPr>
                <w:sz w:val="20"/>
                <w:szCs w:val="20"/>
              </w:rPr>
              <w:t>56.1</w:t>
            </w:r>
          </w:p>
        </w:tc>
        <w:tc>
          <w:tcPr>
            <w:tcW w:w="720" w:type="dxa"/>
            <w:shd w:val="clear" w:color="auto" w:fill="auto"/>
            <w:tcMar>
              <w:top w:w="100" w:type="dxa"/>
              <w:left w:w="100" w:type="dxa"/>
              <w:bottom w:w="100" w:type="dxa"/>
              <w:right w:w="100" w:type="dxa"/>
            </w:tcMar>
          </w:tcPr>
          <w:p w14:paraId="0FE1CE37" w14:textId="77777777" w:rsidR="00F85BD5" w:rsidRPr="00944ABC" w:rsidRDefault="3EEF55E6" w:rsidP="3EEF55E6">
            <w:pPr>
              <w:widowControl w:val="0"/>
              <w:spacing w:line="240" w:lineRule="auto"/>
              <w:ind w:firstLine="0"/>
              <w:jc w:val="center"/>
              <w:rPr>
                <w:sz w:val="20"/>
                <w:szCs w:val="20"/>
              </w:rPr>
            </w:pPr>
            <w:r w:rsidRPr="00944ABC">
              <w:rPr>
                <w:sz w:val="20"/>
                <w:szCs w:val="20"/>
              </w:rPr>
              <w:t>5.0</w:t>
            </w:r>
          </w:p>
        </w:tc>
        <w:tc>
          <w:tcPr>
            <w:tcW w:w="1170" w:type="dxa"/>
            <w:shd w:val="clear" w:color="auto" w:fill="auto"/>
            <w:tcMar>
              <w:top w:w="100" w:type="dxa"/>
              <w:left w:w="100" w:type="dxa"/>
              <w:bottom w:w="100" w:type="dxa"/>
              <w:right w:w="100" w:type="dxa"/>
            </w:tcMar>
          </w:tcPr>
          <w:p w14:paraId="1E5B27F2" w14:textId="77777777" w:rsidR="00F85BD5" w:rsidRPr="00944ABC" w:rsidRDefault="69CFA879" w:rsidP="69CFA879">
            <w:pPr>
              <w:widowControl w:val="0"/>
              <w:spacing w:line="240" w:lineRule="auto"/>
              <w:ind w:firstLine="0"/>
              <w:jc w:val="center"/>
              <w:rPr>
                <w:sz w:val="20"/>
                <w:szCs w:val="20"/>
              </w:rPr>
            </w:pPr>
            <w:r w:rsidRPr="00944ABC">
              <w:rPr>
                <w:sz w:val="20"/>
                <w:szCs w:val="20"/>
              </w:rPr>
              <w:t>(53.7-58.4)</w:t>
            </w:r>
          </w:p>
        </w:tc>
        <w:tc>
          <w:tcPr>
            <w:tcW w:w="270" w:type="dxa"/>
            <w:shd w:val="clear" w:color="auto" w:fill="auto"/>
            <w:tcMar>
              <w:top w:w="100" w:type="dxa"/>
              <w:left w:w="100" w:type="dxa"/>
              <w:bottom w:w="100" w:type="dxa"/>
              <w:right w:w="100" w:type="dxa"/>
            </w:tcMar>
          </w:tcPr>
          <w:p w14:paraId="38645DC7" w14:textId="77777777" w:rsidR="00F85BD5" w:rsidRPr="00944ABC" w:rsidRDefault="00F85BD5" w:rsidP="00544485">
            <w:pPr>
              <w:widowControl w:val="0"/>
              <w:spacing w:line="240" w:lineRule="auto"/>
              <w:jc w:val="center"/>
              <w:rPr>
                <w:sz w:val="20"/>
                <w:szCs w:val="20"/>
              </w:rPr>
            </w:pPr>
          </w:p>
        </w:tc>
        <w:tc>
          <w:tcPr>
            <w:tcW w:w="720" w:type="dxa"/>
            <w:shd w:val="clear" w:color="auto" w:fill="auto"/>
            <w:tcMar>
              <w:top w:w="100" w:type="dxa"/>
              <w:left w:w="100" w:type="dxa"/>
              <w:bottom w:w="100" w:type="dxa"/>
              <w:right w:w="100" w:type="dxa"/>
            </w:tcMar>
          </w:tcPr>
          <w:p w14:paraId="74A5DE0C" w14:textId="77777777" w:rsidR="00F85BD5" w:rsidRPr="00944ABC" w:rsidRDefault="3EEF55E6" w:rsidP="3EEF55E6">
            <w:pPr>
              <w:widowControl w:val="0"/>
              <w:spacing w:line="240" w:lineRule="auto"/>
              <w:ind w:firstLine="0"/>
              <w:jc w:val="center"/>
              <w:rPr>
                <w:sz w:val="20"/>
                <w:szCs w:val="20"/>
              </w:rPr>
            </w:pPr>
            <w:r w:rsidRPr="00944ABC">
              <w:rPr>
                <w:sz w:val="20"/>
                <w:szCs w:val="20"/>
              </w:rPr>
              <w:t>69.5</w:t>
            </w:r>
          </w:p>
        </w:tc>
        <w:tc>
          <w:tcPr>
            <w:tcW w:w="630" w:type="dxa"/>
            <w:shd w:val="clear" w:color="auto" w:fill="auto"/>
            <w:tcMar>
              <w:top w:w="100" w:type="dxa"/>
              <w:left w:w="100" w:type="dxa"/>
              <w:bottom w:w="100" w:type="dxa"/>
              <w:right w:w="100" w:type="dxa"/>
            </w:tcMar>
          </w:tcPr>
          <w:p w14:paraId="268ACDFB" w14:textId="77777777" w:rsidR="00F85BD5" w:rsidRPr="00944ABC" w:rsidRDefault="3EEF55E6" w:rsidP="3EEF55E6">
            <w:pPr>
              <w:widowControl w:val="0"/>
              <w:spacing w:line="240" w:lineRule="auto"/>
              <w:ind w:firstLine="0"/>
              <w:jc w:val="center"/>
              <w:rPr>
                <w:sz w:val="20"/>
                <w:szCs w:val="20"/>
              </w:rPr>
            </w:pPr>
            <w:r w:rsidRPr="00944ABC">
              <w:rPr>
                <w:sz w:val="20"/>
                <w:szCs w:val="20"/>
              </w:rPr>
              <w:t>15.7</w:t>
            </w:r>
          </w:p>
        </w:tc>
        <w:tc>
          <w:tcPr>
            <w:tcW w:w="1260" w:type="dxa"/>
            <w:shd w:val="clear" w:color="auto" w:fill="auto"/>
            <w:tcMar>
              <w:top w:w="100" w:type="dxa"/>
              <w:left w:w="100" w:type="dxa"/>
              <w:bottom w:w="100" w:type="dxa"/>
              <w:right w:w="100" w:type="dxa"/>
            </w:tcMar>
          </w:tcPr>
          <w:p w14:paraId="7BE0974D" w14:textId="77777777" w:rsidR="00F85BD5" w:rsidRPr="00944ABC" w:rsidRDefault="69CFA879" w:rsidP="69CFA879">
            <w:pPr>
              <w:widowControl w:val="0"/>
              <w:spacing w:line="240" w:lineRule="auto"/>
              <w:ind w:firstLine="0"/>
              <w:jc w:val="center"/>
              <w:rPr>
                <w:sz w:val="20"/>
                <w:szCs w:val="20"/>
              </w:rPr>
            </w:pPr>
            <w:r w:rsidRPr="00944ABC">
              <w:rPr>
                <w:sz w:val="20"/>
                <w:szCs w:val="20"/>
              </w:rPr>
              <w:t>(62.1-76.9)</w:t>
            </w:r>
          </w:p>
        </w:tc>
        <w:tc>
          <w:tcPr>
            <w:tcW w:w="270" w:type="dxa"/>
            <w:shd w:val="clear" w:color="auto" w:fill="auto"/>
            <w:tcMar>
              <w:top w:w="100" w:type="dxa"/>
              <w:left w:w="100" w:type="dxa"/>
              <w:bottom w:w="100" w:type="dxa"/>
              <w:right w:w="100" w:type="dxa"/>
            </w:tcMar>
          </w:tcPr>
          <w:p w14:paraId="135E58C4" w14:textId="77777777" w:rsidR="00F85BD5" w:rsidRPr="00944ABC" w:rsidRDefault="00F85BD5" w:rsidP="00544485">
            <w:pPr>
              <w:widowControl w:val="0"/>
              <w:spacing w:line="240" w:lineRule="auto"/>
              <w:jc w:val="center"/>
              <w:rPr>
                <w:sz w:val="20"/>
                <w:szCs w:val="20"/>
              </w:rPr>
            </w:pPr>
          </w:p>
        </w:tc>
        <w:tc>
          <w:tcPr>
            <w:tcW w:w="525" w:type="dxa"/>
            <w:shd w:val="clear" w:color="auto" w:fill="auto"/>
            <w:tcMar>
              <w:top w:w="100" w:type="dxa"/>
              <w:left w:w="100" w:type="dxa"/>
              <w:bottom w:w="100" w:type="dxa"/>
              <w:right w:w="100" w:type="dxa"/>
            </w:tcMar>
          </w:tcPr>
          <w:p w14:paraId="0CCF700D" w14:textId="77777777" w:rsidR="00F85BD5" w:rsidRPr="00944ABC" w:rsidRDefault="3EEF55E6" w:rsidP="3EEF55E6">
            <w:pPr>
              <w:widowControl w:val="0"/>
              <w:spacing w:line="240" w:lineRule="auto"/>
              <w:ind w:firstLine="0"/>
              <w:jc w:val="center"/>
              <w:rPr>
                <w:sz w:val="20"/>
                <w:szCs w:val="20"/>
              </w:rPr>
            </w:pPr>
            <w:r w:rsidRPr="00944ABC">
              <w:rPr>
                <w:sz w:val="20"/>
                <w:szCs w:val="20"/>
              </w:rPr>
              <w:t>100</w:t>
            </w:r>
          </w:p>
        </w:tc>
        <w:tc>
          <w:tcPr>
            <w:tcW w:w="1290" w:type="dxa"/>
            <w:shd w:val="clear" w:color="auto" w:fill="auto"/>
            <w:tcMar>
              <w:top w:w="100" w:type="dxa"/>
              <w:left w:w="100" w:type="dxa"/>
              <w:bottom w:w="100" w:type="dxa"/>
              <w:right w:w="100" w:type="dxa"/>
            </w:tcMar>
          </w:tcPr>
          <w:p w14:paraId="007FAE16" w14:textId="77777777" w:rsidR="00F85BD5" w:rsidRPr="00944ABC" w:rsidRDefault="69CFA879" w:rsidP="69CFA879">
            <w:pPr>
              <w:widowControl w:val="0"/>
              <w:spacing w:line="240" w:lineRule="auto"/>
              <w:ind w:firstLine="0"/>
              <w:jc w:val="center"/>
              <w:rPr>
                <w:sz w:val="20"/>
                <w:szCs w:val="20"/>
              </w:rPr>
            </w:pPr>
            <w:r w:rsidRPr="00944ABC">
              <w:rPr>
                <w:sz w:val="20"/>
                <w:szCs w:val="20"/>
              </w:rPr>
              <w:t>(83.2-100)</w:t>
            </w:r>
          </w:p>
        </w:tc>
        <w:tc>
          <w:tcPr>
            <w:tcW w:w="255" w:type="dxa"/>
            <w:shd w:val="clear" w:color="auto" w:fill="auto"/>
            <w:tcMar>
              <w:top w:w="100" w:type="dxa"/>
              <w:left w:w="100" w:type="dxa"/>
              <w:bottom w:w="100" w:type="dxa"/>
              <w:right w:w="100" w:type="dxa"/>
            </w:tcMar>
          </w:tcPr>
          <w:p w14:paraId="62EBF9A1" w14:textId="77777777" w:rsidR="00F85BD5" w:rsidRPr="00C74791" w:rsidRDefault="00F85BD5" w:rsidP="0030012E">
            <w:pPr>
              <w:widowControl w:val="0"/>
              <w:spacing w:line="240" w:lineRule="auto"/>
            </w:pPr>
          </w:p>
        </w:tc>
      </w:tr>
      <w:tr w:rsidR="00F85BD5" w:rsidRPr="00C74791" w14:paraId="4823A95C" w14:textId="77777777" w:rsidTr="3EEF55E6">
        <w:tc>
          <w:tcPr>
            <w:tcW w:w="1350" w:type="dxa"/>
            <w:shd w:val="clear" w:color="auto" w:fill="auto"/>
            <w:tcMar>
              <w:top w:w="100" w:type="dxa"/>
              <w:left w:w="100" w:type="dxa"/>
              <w:bottom w:w="100" w:type="dxa"/>
              <w:right w:w="100" w:type="dxa"/>
            </w:tcMar>
          </w:tcPr>
          <w:p w14:paraId="2771F4A7" w14:textId="77777777" w:rsidR="00F85BD5" w:rsidRPr="00944ABC" w:rsidRDefault="69CFA879" w:rsidP="69CFA879">
            <w:pPr>
              <w:widowControl w:val="0"/>
              <w:spacing w:line="240" w:lineRule="auto"/>
              <w:ind w:firstLine="0"/>
              <w:rPr>
                <w:sz w:val="20"/>
                <w:szCs w:val="20"/>
              </w:rPr>
            </w:pPr>
            <w:r w:rsidRPr="00944ABC">
              <w:rPr>
                <w:sz w:val="20"/>
                <w:szCs w:val="20"/>
              </w:rPr>
              <w:t>Dermatology</w:t>
            </w:r>
          </w:p>
        </w:tc>
        <w:tc>
          <w:tcPr>
            <w:tcW w:w="900" w:type="dxa"/>
            <w:shd w:val="clear" w:color="auto" w:fill="auto"/>
            <w:tcMar>
              <w:top w:w="100" w:type="dxa"/>
              <w:left w:w="100" w:type="dxa"/>
              <w:bottom w:w="100" w:type="dxa"/>
              <w:right w:w="100" w:type="dxa"/>
            </w:tcMar>
          </w:tcPr>
          <w:p w14:paraId="42C87FC2" w14:textId="77777777" w:rsidR="00F85BD5" w:rsidRPr="00944ABC" w:rsidRDefault="3EEF55E6" w:rsidP="3EEF55E6">
            <w:pPr>
              <w:widowControl w:val="0"/>
              <w:spacing w:line="240" w:lineRule="auto"/>
              <w:ind w:firstLine="0"/>
              <w:jc w:val="center"/>
              <w:rPr>
                <w:sz w:val="20"/>
                <w:szCs w:val="20"/>
              </w:rPr>
            </w:pPr>
            <w:r w:rsidRPr="00944ABC">
              <w:rPr>
                <w:sz w:val="20"/>
                <w:szCs w:val="20"/>
              </w:rPr>
              <w:t>46.6</w:t>
            </w:r>
          </w:p>
        </w:tc>
        <w:tc>
          <w:tcPr>
            <w:tcW w:w="720" w:type="dxa"/>
            <w:shd w:val="clear" w:color="auto" w:fill="auto"/>
            <w:tcMar>
              <w:top w:w="100" w:type="dxa"/>
              <w:left w:w="100" w:type="dxa"/>
              <w:bottom w:w="100" w:type="dxa"/>
              <w:right w:w="100" w:type="dxa"/>
            </w:tcMar>
          </w:tcPr>
          <w:p w14:paraId="5609A1EF" w14:textId="77777777" w:rsidR="00F85BD5" w:rsidRPr="00944ABC" w:rsidRDefault="3EEF55E6" w:rsidP="3EEF55E6">
            <w:pPr>
              <w:widowControl w:val="0"/>
              <w:spacing w:line="240" w:lineRule="auto"/>
              <w:ind w:firstLine="0"/>
              <w:jc w:val="center"/>
              <w:rPr>
                <w:sz w:val="20"/>
                <w:szCs w:val="20"/>
              </w:rPr>
            </w:pPr>
            <w:r w:rsidRPr="00944ABC">
              <w:rPr>
                <w:sz w:val="20"/>
                <w:szCs w:val="20"/>
              </w:rPr>
              <w:t>12.6</w:t>
            </w:r>
          </w:p>
        </w:tc>
        <w:tc>
          <w:tcPr>
            <w:tcW w:w="1170" w:type="dxa"/>
            <w:shd w:val="clear" w:color="auto" w:fill="auto"/>
            <w:tcMar>
              <w:top w:w="100" w:type="dxa"/>
              <w:left w:w="100" w:type="dxa"/>
              <w:bottom w:w="100" w:type="dxa"/>
              <w:right w:w="100" w:type="dxa"/>
            </w:tcMar>
          </w:tcPr>
          <w:p w14:paraId="3044673B" w14:textId="77777777" w:rsidR="00F85BD5" w:rsidRPr="00944ABC" w:rsidRDefault="69CFA879" w:rsidP="69CFA879">
            <w:pPr>
              <w:widowControl w:val="0"/>
              <w:spacing w:line="240" w:lineRule="auto"/>
              <w:ind w:firstLine="0"/>
              <w:jc w:val="center"/>
              <w:rPr>
                <w:sz w:val="20"/>
                <w:szCs w:val="20"/>
              </w:rPr>
            </w:pPr>
            <w:r w:rsidRPr="00944ABC">
              <w:rPr>
                <w:sz w:val="20"/>
                <w:szCs w:val="20"/>
              </w:rPr>
              <w:t>(37.6-55.7)</w:t>
            </w:r>
          </w:p>
        </w:tc>
        <w:tc>
          <w:tcPr>
            <w:tcW w:w="270" w:type="dxa"/>
            <w:shd w:val="clear" w:color="auto" w:fill="auto"/>
            <w:tcMar>
              <w:top w:w="100" w:type="dxa"/>
              <w:left w:w="100" w:type="dxa"/>
              <w:bottom w:w="100" w:type="dxa"/>
              <w:right w:w="100" w:type="dxa"/>
            </w:tcMar>
          </w:tcPr>
          <w:p w14:paraId="0C6C2CD5" w14:textId="77777777" w:rsidR="00F85BD5" w:rsidRPr="00944ABC" w:rsidRDefault="00F85BD5" w:rsidP="00544485">
            <w:pPr>
              <w:widowControl w:val="0"/>
              <w:spacing w:line="240" w:lineRule="auto"/>
              <w:jc w:val="center"/>
              <w:rPr>
                <w:sz w:val="20"/>
                <w:szCs w:val="20"/>
              </w:rPr>
            </w:pPr>
          </w:p>
        </w:tc>
        <w:tc>
          <w:tcPr>
            <w:tcW w:w="720" w:type="dxa"/>
            <w:shd w:val="clear" w:color="auto" w:fill="auto"/>
            <w:tcMar>
              <w:top w:w="100" w:type="dxa"/>
              <w:left w:w="100" w:type="dxa"/>
              <w:bottom w:w="100" w:type="dxa"/>
              <w:right w:w="100" w:type="dxa"/>
            </w:tcMar>
          </w:tcPr>
          <w:p w14:paraId="55739EF0" w14:textId="77777777" w:rsidR="00F85BD5" w:rsidRPr="00944ABC" w:rsidRDefault="3EEF55E6" w:rsidP="3EEF55E6">
            <w:pPr>
              <w:widowControl w:val="0"/>
              <w:spacing w:line="240" w:lineRule="auto"/>
              <w:ind w:firstLine="0"/>
              <w:jc w:val="center"/>
              <w:rPr>
                <w:sz w:val="20"/>
                <w:szCs w:val="20"/>
              </w:rPr>
            </w:pPr>
            <w:r w:rsidRPr="00944ABC">
              <w:rPr>
                <w:sz w:val="20"/>
                <w:szCs w:val="20"/>
              </w:rPr>
              <w:t>43</w:t>
            </w:r>
          </w:p>
        </w:tc>
        <w:tc>
          <w:tcPr>
            <w:tcW w:w="630" w:type="dxa"/>
            <w:shd w:val="clear" w:color="auto" w:fill="auto"/>
            <w:tcMar>
              <w:top w:w="100" w:type="dxa"/>
              <w:left w:w="100" w:type="dxa"/>
              <w:bottom w:w="100" w:type="dxa"/>
              <w:right w:w="100" w:type="dxa"/>
            </w:tcMar>
          </w:tcPr>
          <w:p w14:paraId="5713EA78" w14:textId="77777777" w:rsidR="00F85BD5" w:rsidRPr="00944ABC" w:rsidRDefault="3EEF55E6" w:rsidP="3EEF55E6">
            <w:pPr>
              <w:widowControl w:val="0"/>
              <w:spacing w:line="240" w:lineRule="auto"/>
              <w:ind w:firstLine="0"/>
              <w:jc w:val="center"/>
              <w:rPr>
                <w:sz w:val="20"/>
                <w:szCs w:val="20"/>
              </w:rPr>
            </w:pPr>
            <w:r w:rsidRPr="00944ABC">
              <w:rPr>
                <w:sz w:val="20"/>
                <w:szCs w:val="20"/>
              </w:rPr>
              <w:t>11.6</w:t>
            </w:r>
          </w:p>
        </w:tc>
        <w:tc>
          <w:tcPr>
            <w:tcW w:w="1260" w:type="dxa"/>
            <w:shd w:val="clear" w:color="auto" w:fill="auto"/>
            <w:tcMar>
              <w:top w:w="100" w:type="dxa"/>
              <w:left w:w="100" w:type="dxa"/>
              <w:bottom w:w="100" w:type="dxa"/>
              <w:right w:w="100" w:type="dxa"/>
            </w:tcMar>
          </w:tcPr>
          <w:p w14:paraId="6DFD4BC9" w14:textId="77777777" w:rsidR="00F85BD5" w:rsidRPr="00944ABC" w:rsidRDefault="69CFA879" w:rsidP="69CFA879">
            <w:pPr>
              <w:widowControl w:val="0"/>
              <w:spacing w:line="240" w:lineRule="auto"/>
              <w:ind w:firstLine="0"/>
              <w:jc w:val="center"/>
              <w:rPr>
                <w:sz w:val="20"/>
                <w:szCs w:val="20"/>
              </w:rPr>
            </w:pPr>
            <w:r w:rsidRPr="00944ABC">
              <w:rPr>
                <w:sz w:val="20"/>
                <w:szCs w:val="20"/>
              </w:rPr>
              <w:t>(34.7-51.3)</w:t>
            </w:r>
          </w:p>
        </w:tc>
        <w:tc>
          <w:tcPr>
            <w:tcW w:w="270" w:type="dxa"/>
            <w:shd w:val="clear" w:color="auto" w:fill="auto"/>
            <w:tcMar>
              <w:top w:w="100" w:type="dxa"/>
              <w:left w:w="100" w:type="dxa"/>
              <w:bottom w:w="100" w:type="dxa"/>
              <w:right w:w="100" w:type="dxa"/>
            </w:tcMar>
          </w:tcPr>
          <w:p w14:paraId="709E88E4" w14:textId="77777777" w:rsidR="00F85BD5" w:rsidRPr="00944ABC" w:rsidRDefault="00F85BD5" w:rsidP="00544485">
            <w:pPr>
              <w:widowControl w:val="0"/>
              <w:spacing w:line="240" w:lineRule="auto"/>
              <w:jc w:val="center"/>
              <w:rPr>
                <w:sz w:val="20"/>
                <w:szCs w:val="20"/>
              </w:rPr>
            </w:pPr>
          </w:p>
        </w:tc>
        <w:tc>
          <w:tcPr>
            <w:tcW w:w="525" w:type="dxa"/>
            <w:shd w:val="clear" w:color="auto" w:fill="auto"/>
            <w:tcMar>
              <w:top w:w="100" w:type="dxa"/>
              <w:left w:w="100" w:type="dxa"/>
              <w:bottom w:w="100" w:type="dxa"/>
              <w:right w:w="100" w:type="dxa"/>
            </w:tcMar>
          </w:tcPr>
          <w:p w14:paraId="0F8EA849" w14:textId="77777777" w:rsidR="00F85BD5" w:rsidRPr="00944ABC" w:rsidRDefault="3EEF55E6" w:rsidP="3EEF55E6">
            <w:pPr>
              <w:widowControl w:val="0"/>
              <w:spacing w:line="240" w:lineRule="auto"/>
              <w:ind w:firstLine="0"/>
              <w:jc w:val="center"/>
              <w:rPr>
                <w:sz w:val="20"/>
                <w:szCs w:val="20"/>
              </w:rPr>
            </w:pPr>
            <w:r w:rsidRPr="00944ABC">
              <w:rPr>
                <w:sz w:val="20"/>
                <w:szCs w:val="20"/>
              </w:rPr>
              <w:t>80</w:t>
            </w:r>
          </w:p>
        </w:tc>
        <w:tc>
          <w:tcPr>
            <w:tcW w:w="1290" w:type="dxa"/>
            <w:shd w:val="clear" w:color="auto" w:fill="auto"/>
            <w:tcMar>
              <w:top w:w="100" w:type="dxa"/>
              <w:left w:w="100" w:type="dxa"/>
              <w:bottom w:w="100" w:type="dxa"/>
              <w:right w:w="100" w:type="dxa"/>
            </w:tcMar>
          </w:tcPr>
          <w:p w14:paraId="5E80CB73" w14:textId="77777777" w:rsidR="00F85BD5" w:rsidRPr="00944ABC" w:rsidRDefault="69CFA879" w:rsidP="69CFA879">
            <w:pPr>
              <w:widowControl w:val="0"/>
              <w:spacing w:line="240" w:lineRule="auto"/>
              <w:ind w:firstLine="0"/>
              <w:jc w:val="center"/>
              <w:rPr>
                <w:sz w:val="20"/>
                <w:szCs w:val="20"/>
              </w:rPr>
            </w:pPr>
            <w:r w:rsidRPr="00944ABC">
              <w:rPr>
                <w:sz w:val="20"/>
                <w:szCs w:val="20"/>
              </w:rPr>
              <w:t>(44.4-97.5)</w:t>
            </w:r>
          </w:p>
        </w:tc>
        <w:tc>
          <w:tcPr>
            <w:tcW w:w="255" w:type="dxa"/>
            <w:shd w:val="clear" w:color="auto" w:fill="auto"/>
            <w:tcMar>
              <w:top w:w="100" w:type="dxa"/>
              <w:left w:w="100" w:type="dxa"/>
              <w:bottom w:w="100" w:type="dxa"/>
              <w:right w:w="100" w:type="dxa"/>
            </w:tcMar>
          </w:tcPr>
          <w:p w14:paraId="508C98E9" w14:textId="77777777" w:rsidR="00F85BD5" w:rsidRPr="00C74791" w:rsidRDefault="00F85BD5" w:rsidP="0030012E">
            <w:pPr>
              <w:widowControl w:val="0"/>
              <w:spacing w:line="240" w:lineRule="auto"/>
            </w:pPr>
          </w:p>
        </w:tc>
      </w:tr>
      <w:tr w:rsidR="00F85BD5" w:rsidRPr="00C74791" w14:paraId="3F8D73E6" w14:textId="77777777" w:rsidTr="3EEF55E6">
        <w:tc>
          <w:tcPr>
            <w:tcW w:w="1350" w:type="dxa"/>
            <w:shd w:val="clear" w:color="auto" w:fill="auto"/>
            <w:tcMar>
              <w:top w:w="100" w:type="dxa"/>
              <w:left w:w="100" w:type="dxa"/>
              <w:bottom w:w="100" w:type="dxa"/>
              <w:right w:w="100" w:type="dxa"/>
            </w:tcMar>
          </w:tcPr>
          <w:p w14:paraId="69BBCC7F" w14:textId="77777777" w:rsidR="00F85BD5" w:rsidRPr="00944ABC" w:rsidRDefault="69CFA879" w:rsidP="69CFA879">
            <w:pPr>
              <w:widowControl w:val="0"/>
              <w:spacing w:line="240" w:lineRule="auto"/>
              <w:ind w:firstLine="0"/>
              <w:rPr>
                <w:sz w:val="20"/>
                <w:szCs w:val="20"/>
              </w:rPr>
            </w:pPr>
            <w:r w:rsidRPr="00944ABC">
              <w:rPr>
                <w:sz w:val="20"/>
                <w:szCs w:val="20"/>
              </w:rPr>
              <w:t>Infectious Disease</w:t>
            </w:r>
          </w:p>
        </w:tc>
        <w:tc>
          <w:tcPr>
            <w:tcW w:w="900" w:type="dxa"/>
            <w:shd w:val="clear" w:color="auto" w:fill="auto"/>
            <w:tcMar>
              <w:top w:w="100" w:type="dxa"/>
              <w:left w:w="100" w:type="dxa"/>
              <w:bottom w:w="100" w:type="dxa"/>
              <w:right w:w="100" w:type="dxa"/>
            </w:tcMar>
          </w:tcPr>
          <w:p w14:paraId="49193F96" w14:textId="77777777" w:rsidR="00F85BD5" w:rsidRPr="00944ABC" w:rsidRDefault="3EEF55E6" w:rsidP="3EEF55E6">
            <w:pPr>
              <w:widowControl w:val="0"/>
              <w:spacing w:line="240" w:lineRule="auto"/>
              <w:ind w:firstLine="0"/>
              <w:jc w:val="center"/>
              <w:rPr>
                <w:sz w:val="20"/>
                <w:szCs w:val="20"/>
              </w:rPr>
            </w:pPr>
            <w:r w:rsidRPr="00944ABC">
              <w:rPr>
                <w:sz w:val="20"/>
                <w:szCs w:val="20"/>
              </w:rPr>
              <w:t>37.4</w:t>
            </w:r>
          </w:p>
        </w:tc>
        <w:tc>
          <w:tcPr>
            <w:tcW w:w="720" w:type="dxa"/>
            <w:shd w:val="clear" w:color="auto" w:fill="auto"/>
            <w:tcMar>
              <w:top w:w="100" w:type="dxa"/>
              <w:left w:w="100" w:type="dxa"/>
              <w:bottom w:w="100" w:type="dxa"/>
              <w:right w:w="100" w:type="dxa"/>
            </w:tcMar>
          </w:tcPr>
          <w:p w14:paraId="280B52BC" w14:textId="77777777" w:rsidR="00F85BD5" w:rsidRPr="00944ABC" w:rsidRDefault="3EEF55E6" w:rsidP="3EEF55E6">
            <w:pPr>
              <w:widowControl w:val="0"/>
              <w:spacing w:line="240" w:lineRule="auto"/>
              <w:ind w:firstLine="0"/>
              <w:jc w:val="center"/>
              <w:rPr>
                <w:sz w:val="20"/>
                <w:szCs w:val="20"/>
              </w:rPr>
            </w:pPr>
            <w:r w:rsidRPr="00944ABC">
              <w:rPr>
                <w:sz w:val="20"/>
                <w:szCs w:val="20"/>
              </w:rPr>
              <w:t>11.1</w:t>
            </w:r>
          </w:p>
        </w:tc>
        <w:tc>
          <w:tcPr>
            <w:tcW w:w="1170" w:type="dxa"/>
            <w:shd w:val="clear" w:color="auto" w:fill="auto"/>
            <w:tcMar>
              <w:top w:w="100" w:type="dxa"/>
              <w:left w:w="100" w:type="dxa"/>
              <w:bottom w:w="100" w:type="dxa"/>
              <w:right w:w="100" w:type="dxa"/>
            </w:tcMar>
          </w:tcPr>
          <w:p w14:paraId="3553EE16" w14:textId="77777777" w:rsidR="00F85BD5" w:rsidRPr="00944ABC" w:rsidRDefault="69CFA879" w:rsidP="69CFA879">
            <w:pPr>
              <w:widowControl w:val="0"/>
              <w:spacing w:line="240" w:lineRule="auto"/>
              <w:ind w:firstLine="0"/>
              <w:jc w:val="center"/>
              <w:rPr>
                <w:sz w:val="20"/>
                <w:szCs w:val="20"/>
              </w:rPr>
            </w:pPr>
            <w:r w:rsidRPr="00944ABC">
              <w:rPr>
                <w:sz w:val="20"/>
                <w:szCs w:val="20"/>
              </w:rPr>
              <w:t>(29.4-45.3)</w:t>
            </w:r>
          </w:p>
        </w:tc>
        <w:tc>
          <w:tcPr>
            <w:tcW w:w="270" w:type="dxa"/>
            <w:shd w:val="clear" w:color="auto" w:fill="auto"/>
            <w:tcMar>
              <w:top w:w="100" w:type="dxa"/>
              <w:left w:w="100" w:type="dxa"/>
              <w:bottom w:w="100" w:type="dxa"/>
              <w:right w:w="100" w:type="dxa"/>
            </w:tcMar>
          </w:tcPr>
          <w:p w14:paraId="779F8E76" w14:textId="77777777" w:rsidR="00F85BD5" w:rsidRPr="00944ABC" w:rsidRDefault="00F85BD5" w:rsidP="00544485">
            <w:pPr>
              <w:widowControl w:val="0"/>
              <w:spacing w:line="240" w:lineRule="auto"/>
              <w:jc w:val="center"/>
              <w:rPr>
                <w:sz w:val="20"/>
                <w:szCs w:val="20"/>
              </w:rPr>
            </w:pPr>
          </w:p>
        </w:tc>
        <w:tc>
          <w:tcPr>
            <w:tcW w:w="720" w:type="dxa"/>
            <w:shd w:val="clear" w:color="auto" w:fill="auto"/>
            <w:tcMar>
              <w:top w:w="100" w:type="dxa"/>
              <w:left w:w="100" w:type="dxa"/>
              <w:bottom w:w="100" w:type="dxa"/>
              <w:right w:w="100" w:type="dxa"/>
            </w:tcMar>
          </w:tcPr>
          <w:p w14:paraId="704A35C2" w14:textId="77777777" w:rsidR="00F85BD5" w:rsidRPr="00944ABC" w:rsidRDefault="3EEF55E6" w:rsidP="3EEF55E6">
            <w:pPr>
              <w:widowControl w:val="0"/>
              <w:spacing w:line="240" w:lineRule="auto"/>
              <w:ind w:firstLine="0"/>
              <w:jc w:val="center"/>
              <w:rPr>
                <w:sz w:val="20"/>
                <w:szCs w:val="20"/>
              </w:rPr>
            </w:pPr>
            <w:r w:rsidRPr="00944ABC">
              <w:rPr>
                <w:sz w:val="20"/>
                <w:szCs w:val="20"/>
              </w:rPr>
              <w:t>40</w:t>
            </w:r>
          </w:p>
        </w:tc>
        <w:tc>
          <w:tcPr>
            <w:tcW w:w="630" w:type="dxa"/>
            <w:shd w:val="clear" w:color="auto" w:fill="auto"/>
            <w:tcMar>
              <w:top w:w="100" w:type="dxa"/>
              <w:left w:w="100" w:type="dxa"/>
              <w:bottom w:w="100" w:type="dxa"/>
              <w:right w:w="100" w:type="dxa"/>
            </w:tcMar>
          </w:tcPr>
          <w:p w14:paraId="30BCB9D0" w14:textId="77777777" w:rsidR="00F85BD5" w:rsidRPr="00944ABC" w:rsidRDefault="3EEF55E6" w:rsidP="3EEF55E6">
            <w:pPr>
              <w:widowControl w:val="0"/>
              <w:spacing w:line="240" w:lineRule="auto"/>
              <w:ind w:firstLine="0"/>
              <w:jc w:val="center"/>
              <w:rPr>
                <w:sz w:val="20"/>
                <w:szCs w:val="20"/>
              </w:rPr>
            </w:pPr>
            <w:r w:rsidRPr="00944ABC">
              <w:rPr>
                <w:sz w:val="20"/>
                <w:szCs w:val="20"/>
              </w:rPr>
              <w:t>14.1</w:t>
            </w:r>
          </w:p>
        </w:tc>
        <w:tc>
          <w:tcPr>
            <w:tcW w:w="1260" w:type="dxa"/>
            <w:shd w:val="clear" w:color="auto" w:fill="auto"/>
            <w:tcMar>
              <w:top w:w="100" w:type="dxa"/>
              <w:left w:w="100" w:type="dxa"/>
              <w:bottom w:w="100" w:type="dxa"/>
              <w:right w:w="100" w:type="dxa"/>
            </w:tcMar>
          </w:tcPr>
          <w:p w14:paraId="2ED57F4B" w14:textId="77777777" w:rsidR="00F85BD5" w:rsidRPr="00944ABC" w:rsidRDefault="69CFA879" w:rsidP="69CFA879">
            <w:pPr>
              <w:widowControl w:val="0"/>
              <w:spacing w:line="240" w:lineRule="auto"/>
              <w:ind w:firstLine="0"/>
              <w:jc w:val="center"/>
              <w:rPr>
                <w:sz w:val="20"/>
                <w:szCs w:val="20"/>
              </w:rPr>
            </w:pPr>
            <w:r w:rsidRPr="00944ABC">
              <w:rPr>
                <w:sz w:val="20"/>
                <w:szCs w:val="20"/>
              </w:rPr>
              <w:t>(30.0-50.0)</w:t>
            </w:r>
          </w:p>
        </w:tc>
        <w:tc>
          <w:tcPr>
            <w:tcW w:w="270" w:type="dxa"/>
            <w:shd w:val="clear" w:color="auto" w:fill="auto"/>
            <w:tcMar>
              <w:top w:w="100" w:type="dxa"/>
              <w:left w:w="100" w:type="dxa"/>
              <w:bottom w:w="100" w:type="dxa"/>
              <w:right w:w="100" w:type="dxa"/>
            </w:tcMar>
          </w:tcPr>
          <w:p w14:paraId="7818863E" w14:textId="77777777" w:rsidR="00F85BD5" w:rsidRPr="00944ABC" w:rsidRDefault="00F85BD5" w:rsidP="00544485">
            <w:pPr>
              <w:widowControl w:val="0"/>
              <w:spacing w:line="240" w:lineRule="auto"/>
              <w:jc w:val="center"/>
              <w:rPr>
                <w:sz w:val="20"/>
                <w:szCs w:val="20"/>
              </w:rPr>
            </w:pPr>
          </w:p>
        </w:tc>
        <w:tc>
          <w:tcPr>
            <w:tcW w:w="525" w:type="dxa"/>
            <w:shd w:val="clear" w:color="auto" w:fill="auto"/>
            <w:tcMar>
              <w:top w:w="100" w:type="dxa"/>
              <w:left w:w="100" w:type="dxa"/>
              <w:bottom w:w="100" w:type="dxa"/>
              <w:right w:w="100" w:type="dxa"/>
            </w:tcMar>
          </w:tcPr>
          <w:p w14:paraId="0E96C845" w14:textId="77777777" w:rsidR="00F85BD5" w:rsidRPr="00944ABC" w:rsidRDefault="3EEF55E6" w:rsidP="3EEF55E6">
            <w:pPr>
              <w:widowControl w:val="0"/>
              <w:spacing w:line="240" w:lineRule="auto"/>
              <w:ind w:firstLine="0"/>
              <w:jc w:val="center"/>
              <w:rPr>
                <w:sz w:val="20"/>
                <w:szCs w:val="20"/>
              </w:rPr>
            </w:pPr>
            <w:r w:rsidRPr="00944ABC">
              <w:rPr>
                <w:sz w:val="20"/>
                <w:szCs w:val="20"/>
              </w:rPr>
              <w:t>40</w:t>
            </w:r>
          </w:p>
        </w:tc>
        <w:tc>
          <w:tcPr>
            <w:tcW w:w="1290" w:type="dxa"/>
            <w:shd w:val="clear" w:color="auto" w:fill="auto"/>
            <w:tcMar>
              <w:top w:w="100" w:type="dxa"/>
              <w:left w:w="100" w:type="dxa"/>
              <w:bottom w:w="100" w:type="dxa"/>
              <w:right w:w="100" w:type="dxa"/>
            </w:tcMar>
          </w:tcPr>
          <w:p w14:paraId="04D7E4B8" w14:textId="77777777" w:rsidR="00F85BD5" w:rsidRPr="00944ABC" w:rsidRDefault="69CFA879" w:rsidP="69CFA879">
            <w:pPr>
              <w:widowControl w:val="0"/>
              <w:spacing w:line="240" w:lineRule="auto"/>
              <w:ind w:firstLine="0"/>
              <w:jc w:val="center"/>
              <w:rPr>
                <w:sz w:val="20"/>
                <w:szCs w:val="20"/>
              </w:rPr>
            </w:pPr>
            <w:r w:rsidRPr="00944ABC">
              <w:rPr>
                <w:sz w:val="20"/>
                <w:szCs w:val="20"/>
              </w:rPr>
              <w:t>(12.2-73.8)</w:t>
            </w:r>
          </w:p>
        </w:tc>
        <w:tc>
          <w:tcPr>
            <w:tcW w:w="255" w:type="dxa"/>
            <w:shd w:val="clear" w:color="auto" w:fill="auto"/>
            <w:tcMar>
              <w:top w:w="100" w:type="dxa"/>
              <w:left w:w="100" w:type="dxa"/>
              <w:bottom w:w="100" w:type="dxa"/>
              <w:right w:w="100" w:type="dxa"/>
            </w:tcMar>
          </w:tcPr>
          <w:p w14:paraId="44F69B9A" w14:textId="77777777" w:rsidR="00F85BD5" w:rsidRPr="00C74791" w:rsidRDefault="00F85BD5" w:rsidP="0030012E">
            <w:pPr>
              <w:widowControl w:val="0"/>
              <w:spacing w:line="240" w:lineRule="auto"/>
            </w:pPr>
          </w:p>
        </w:tc>
      </w:tr>
      <w:tr w:rsidR="00F85BD5" w:rsidRPr="00C74791" w14:paraId="3E226E9E" w14:textId="77777777" w:rsidTr="3EEF55E6">
        <w:tc>
          <w:tcPr>
            <w:tcW w:w="1350" w:type="dxa"/>
            <w:shd w:val="clear" w:color="auto" w:fill="auto"/>
            <w:tcMar>
              <w:top w:w="100" w:type="dxa"/>
              <w:left w:w="100" w:type="dxa"/>
              <w:bottom w:w="100" w:type="dxa"/>
              <w:right w:w="100" w:type="dxa"/>
            </w:tcMar>
          </w:tcPr>
          <w:p w14:paraId="6E309D14" w14:textId="77777777" w:rsidR="00F85BD5" w:rsidRPr="00944ABC" w:rsidRDefault="69CFA879" w:rsidP="69CFA879">
            <w:pPr>
              <w:widowControl w:val="0"/>
              <w:spacing w:line="240" w:lineRule="auto"/>
              <w:ind w:firstLine="0"/>
              <w:rPr>
                <w:sz w:val="20"/>
                <w:szCs w:val="20"/>
              </w:rPr>
            </w:pPr>
            <w:r w:rsidRPr="00944ABC">
              <w:rPr>
                <w:sz w:val="20"/>
                <w:szCs w:val="20"/>
              </w:rPr>
              <w:t>Endocrinology</w:t>
            </w:r>
          </w:p>
        </w:tc>
        <w:tc>
          <w:tcPr>
            <w:tcW w:w="900" w:type="dxa"/>
            <w:shd w:val="clear" w:color="auto" w:fill="auto"/>
            <w:tcMar>
              <w:top w:w="100" w:type="dxa"/>
              <w:left w:w="100" w:type="dxa"/>
              <w:bottom w:w="100" w:type="dxa"/>
              <w:right w:w="100" w:type="dxa"/>
            </w:tcMar>
          </w:tcPr>
          <w:p w14:paraId="48927101" w14:textId="77777777" w:rsidR="00F85BD5" w:rsidRPr="00944ABC" w:rsidRDefault="3EEF55E6" w:rsidP="3EEF55E6">
            <w:pPr>
              <w:widowControl w:val="0"/>
              <w:spacing w:line="240" w:lineRule="auto"/>
              <w:ind w:firstLine="0"/>
              <w:jc w:val="center"/>
              <w:rPr>
                <w:sz w:val="20"/>
                <w:szCs w:val="20"/>
              </w:rPr>
            </w:pPr>
            <w:r w:rsidRPr="00944ABC">
              <w:rPr>
                <w:sz w:val="20"/>
                <w:szCs w:val="20"/>
              </w:rPr>
              <w:t>36.6</w:t>
            </w:r>
          </w:p>
        </w:tc>
        <w:tc>
          <w:tcPr>
            <w:tcW w:w="720" w:type="dxa"/>
            <w:shd w:val="clear" w:color="auto" w:fill="auto"/>
            <w:tcMar>
              <w:top w:w="100" w:type="dxa"/>
              <w:left w:w="100" w:type="dxa"/>
              <w:bottom w:w="100" w:type="dxa"/>
              <w:right w:w="100" w:type="dxa"/>
            </w:tcMar>
          </w:tcPr>
          <w:p w14:paraId="34937B7B" w14:textId="77777777" w:rsidR="00F85BD5" w:rsidRPr="00944ABC" w:rsidRDefault="3EEF55E6" w:rsidP="3EEF55E6">
            <w:pPr>
              <w:widowControl w:val="0"/>
              <w:spacing w:line="240" w:lineRule="auto"/>
              <w:ind w:firstLine="0"/>
              <w:jc w:val="center"/>
              <w:rPr>
                <w:sz w:val="20"/>
                <w:szCs w:val="20"/>
              </w:rPr>
            </w:pPr>
            <w:r w:rsidRPr="00944ABC">
              <w:rPr>
                <w:sz w:val="20"/>
                <w:szCs w:val="20"/>
              </w:rPr>
              <w:t>7.4</w:t>
            </w:r>
          </w:p>
        </w:tc>
        <w:tc>
          <w:tcPr>
            <w:tcW w:w="1170" w:type="dxa"/>
            <w:shd w:val="clear" w:color="auto" w:fill="auto"/>
            <w:tcMar>
              <w:top w:w="100" w:type="dxa"/>
              <w:left w:w="100" w:type="dxa"/>
              <w:bottom w:w="100" w:type="dxa"/>
              <w:right w:w="100" w:type="dxa"/>
            </w:tcMar>
          </w:tcPr>
          <w:p w14:paraId="674E5566" w14:textId="77777777" w:rsidR="00F85BD5" w:rsidRPr="00944ABC" w:rsidRDefault="69CFA879" w:rsidP="69CFA879">
            <w:pPr>
              <w:widowControl w:val="0"/>
              <w:spacing w:line="240" w:lineRule="auto"/>
              <w:ind w:firstLine="0"/>
              <w:jc w:val="center"/>
              <w:rPr>
                <w:sz w:val="20"/>
                <w:szCs w:val="20"/>
              </w:rPr>
            </w:pPr>
            <w:r w:rsidRPr="00944ABC">
              <w:rPr>
                <w:sz w:val="20"/>
                <w:szCs w:val="20"/>
              </w:rPr>
              <w:t>(31.3-41.9)</w:t>
            </w:r>
          </w:p>
        </w:tc>
        <w:tc>
          <w:tcPr>
            <w:tcW w:w="270" w:type="dxa"/>
            <w:shd w:val="clear" w:color="auto" w:fill="auto"/>
            <w:tcMar>
              <w:top w:w="100" w:type="dxa"/>
              <w:left w:w="100" w:type="dxa"/>
              <w:bottom w:w="100" w:type="dxa"/>
              <w:right w:w="100" w:type="dxa"/>
            </w:tcMar>
          </w:tcPr>
          <w:p w14:paraId="5F07D11E" w14:textId="77777777" w:rsidR="00F85BD5" w:rsidRPr="00944ABC" w:rsidRDefault="00F85BD5" w:rsidP="00544485">
            <w:pPr>
              <w:widowControl w:val="0"/>
              <w:spacing w:line="240" w:lineRule="auto"/>
              <w:jc w:val="center"/>
              <w:rPr>
                <w:sz w:val="20"/>
                <w:szCs w:val="20"/>
              </w:rPr>
            </w:pPr>
          </w:p>
        </w:tc>
        <w:tc>
          <w:tcPr>
            <w:tcW w:w="720" w:type="dxa"/>
            <w:shd w:val="clear" w:color="auto" w:fill="auto"/>
            <w:tcMar>
              <w:top w:w="100" w:type="dxa"/>
              <w:left w:w="100" w:type="dxa"/>
              <w:bottom w:w="100" w:type="dxa"/>
              <w:right w:w="100" w:type="dxa"/>
            </w:tcMar>
          </w:tcPr>
          <w:p w14:paraId="0903FD93" w14:textId="77777777" w:rsidR="00F85BD5" w:rsidRPr="00944ABC" w:rsidRDefault="3EEF55E6" w:rsidP="3EEF55E6">
            <w:pPr>
              <w:widowControl w:val="0"/>
              <w:spacing w:line="240" w:lineRule="auto"/>
              <w:ind w:firstLine="0"/>
              <w:jc w:val="center"/>
              <w:rPr>
                <w:sz w:val="20"/>
                <w:szCs w:val="20"/>
              </w:rPr>
            </w:pPr>
            <w:r w:rsidRPr="00944ABC">
              <w:rPr>
                <w:sz w:val="20"/>
                <w:szCs w:val="20"/>
              </w:rPr>
              <w:t>37</w:t>
            </w:r>
          </w:p>
        </w:tc>
        <w:tc>
          <w:tcPr>
            <w:tcW w:w="630" w:type="dxa"/>
            <w:shd w:val="clear" w:color="auto" w:fill="auto"/>
            <w:tcMar>
              <w:top w:w="100" w:type="dxa"/>
              <w:left w:w="100" w:type="dxa"/>
              <w:bottom w:w="100" w:type="dxa"/>
              <w:right w:w="100" w:type="dxa"/>
            </w:tcMar>
          </w:tcPr>
          <w:p w14:paraId="774123B0" w14:textId="77777777" w:rsidR="00F85BD5" w:rsidRPr="00944ABC" w:rsidRDefault="3EEF55E6" w:rsidP="3EEF55E6">
            <w:pPr>
              <w:widowControl w:val="0"/>
              <w:spacing w:line="240" w:lineRule="auto"/>
              <w:ind w:firstLine="0"/>
              <w:jc w:val="center"/>
              <w:rPr>
                <w:sz w:val="20"/>
                <w:szCs w:val="20"/>
              </w:rPr>
            </w:pPr>
            <w:r w:rsidRPr="00944ABC">
              <w:rPr>
                <w:sz w:val="20"/>
                <w:szCs w:val="20"/>
              </w:rPr>
              <w:t>11.6</w:t>
            </w:r>
          </w:p>
        </w:tc>
        <w:tc>
          <w:tcPr>
            <w:tcW w:w="1260" w:type="dxa"/>
            <w:shd w:val="clear" w:color="auto" w:fill="auto"/>
            <w:tcMar>
              <w:top w:w="100" w:type="dxa"/>
              <w:left w:w="100" w:type="dxa"/>
              <w:bottom w:w="100" w:type="dxa"/>
              <w:right w:w="100" w:type="dxa"/>
            </w:tcMar>
          </w:tcPr>
          <w:p w14:paraId="3B5A798F" w14:textId="77777777" w:rsidR="00F85BD5" w:rsidRPr="00944ABC" w:rsidRDefault="69CFA879" w:rsidP="69CFA879">
            <w:pPr>
              <w:widowControl w:val="0"/>
              <w:spacing w:line="240" w:lineRule="auto"/>
              <w:ind w:firstLine="0"/>
              <w:jc w:val="center"/>
              <w:rPr>
                <w:sz w:val="20"/>
                <w:szCs w:val="20"/>
              </w:rPr>
            </w:pPr>
            <w:r w:rsidRPr="00944ABC">
              <w:rPr>
                <w:sz w:val="20"/>
                <w:szCs w:val="20"/>
              </w:rPr>
              <w:t>(28.7-45.3)</w:t>
            </w:r>
          </w:p>
        </w:tc>
        <w:tc>
          <w:tcPr>
            <w:tcW w:w="270" w:type="dxa"/>
            <w:shd w:val="clear" w:color="auto" w:fill="auto"/>
            <w:tcMar>
              <w:top w:w="100" w:type="dxa"/>
              <w:left w:w="100" w:type="dxa"/>
              <w:bottom w:w="100" w:type="dxa"/>
              <w:right w:w="100" w:type="dxa"/>
            </w:tcMar>
          </w:tcPr>
          <w:p w14:paraId="41508A3C" w14:textId="77777777" w:rsidR="00F85BD5" w:rsidRPr="00944ABC" w:rsidRDefault="00F85BD5" w:rsidP="00544485">
            <w:pPr>
              <w:widowControl w:val="0"/>
              <w:spacing w:line="240" w:lineRule="auto"/>
              <w:jc w:val="center"/>
              <w:rPr>
                <w:sz w:val="20"/>
                <w:szCs w:val="20"/>
              </w:rPr>
            </w:pPr>
          </w:p>
        </w:tc>
        <w:tc>
          <w:tcPr>
            <w:tcW w:w="525" w:type="dxa"/>
            <w:shd w:val="clear" w:color="auto" w:fill="auto"/>
            <w:tcMar>
              <w:top w:w="100" w:type="dxa"/>
              <w:left w:w="100" w:type="dxa"/>
              <w:bottom w:w="100" w:type="dxa"/>
              <w:right w:w="100" w:type="dxa"/>
            </w:tcMar>
          </w:tcPr>
          <w:p w14:paraId="219897CE" w14:textId="77777777" w:rsidR="00F85BD5" w:rsidRPr="00944ABC" w:rsidRDefault="3EEF55E6" w:rsidP="3EEF55E6">
            <w:pPr>
              <w:widowControl w:val="0"/>
              <w:spacing w:line="240" w:lineRule="auto"/>
              <w:ind w:firstLine="0"/>
              <w:jc w:val="center"/>
              <w:rPr>
                <w:sz w:val="20"/>
                <w:szCs w:val="20"/>
              </w:rPr>
            </w:pPr>
            <w:r w:rsidRPr="00944ABC">
              <w:rPr>
                <w:sz w:val="20"/>
                <w:szCs w:val="20"/>
              </w:rPr>
              <w:t>30</w:t>
            </w:r>
          </w:p>
        </w:tc>
        <w:tc>
          <w:tcPr>
            <w:tcW w:w="1290" w:type="dxa"/>
            <w:shd w:val="clear" w:color="auto" w:fill="auto"/>
            <w:tcMar>
              <w:top w:w="100" w:type="dxa"/>
              <w:left w:w="100" w:type="dxa"/>
              <w:bottom w:w="100" w:type="dxa"/>
              <w:right w:w="100" w:type="dxa"/>
            </w:tcMar>
          </w:tcPr>
          <w:p w14:paraId="4399B4BB" w14:textId="77777777" w:rsidR="00F85BD5" w:rsidRPr="00944ABC" w:rsidRDefault="69CFA879" w:rsidP="69CFA879">
            <w:pPr>
              <w:widowControl w:val="0"/>
              <w:spacing w:line="240" w:lineRule="auto"/>
              <w:ind w:firstLine="0"/>
              <w:jc w:val="center"/>
              <w:rPr>
                <w:sz w:val="20"/>
                <w:szCs w:val="20"/>
              </w:rPr>
            </w:pPr>
            <w:r w:rsidRPr="00944ABC">
              <w:rPr>
                <w:sz w:val="20"/>
                <w:szCs w:val="20"/>
              </w:rPr>
              <w:t>(6.7-65.2)</w:t>
            </w:r>
          </w:p>
        </w:tc>
        <w:tc>
          <w:tcPr>
            <w:tcW w:w="255" w:type="dxa"/>
            <w:shd w:val="clear" w:color="auto" w:fill="auto"/>
            <w:tcMar>
              <w:top w:w="100" w:type="dxa"/>
              <w:left w:w="100" w:type="dxa"/>
              <w:bottom w:w="100" w:type="dxa"/>
              <w:right w:w="100" w:type="dxa"/>
            </w:tcMar>
          </w:tcPr>
          <w:p w14:paraId="43D6B1D6" w14:textId="77777777" w:rsidR="00F85BD5" w:rsidRPr="00C74791" w:rsidRDefault="00F85BD5" w:rsidP="0030012E">
            <w:pPr>
              <w:widowControl w:val="0"/>
              <w:spacing w:line="240" w:lineRule="auto"/>
            </w:pPr>
          </w:p>
        </w:tc>
      </w:tr>
      <w:tr w:rsidR="00F85BD5" w:rsidRPr="00C74791" w14:paraId="74202954" w14:textId="77777777" w:rsidTr="3EEF55E6">
        <w:tc>
          <w:tcPr>
            <w:tcW w:w="1350" w:type="dxa"/>
            <w:shd w:val="clear" w:color="auto" w:fill="auto"/>
            <w:tcMar>
              <w:top w:w="100" w:type="dxa"/>
              <w:left w:w="100" w:type="dxa"/>
              <w:bottom w:w="100" w:type="dxa"/>
              <w:right w:w="100" w:type="dxa"/>
            </w:tcMar>
          </w:tcPr>
          <w:p w14:paraId="51E8FDB7" w14:textId="77777777" w:rsidR="00F85BD5" w:rsidRPr="00944ABC" w:rsidRDefault="69CFA879" w:rsidP="69CFA879">
            <w:pPr>
              <w:widowControl w:val="0"/>
              <w:spacing w:line="240" w:lineRule="auto"/>
              <w:ind w:firstLine="0"/>
              <w:rPr>
                <w:b/>
                <w:bCs/>
                <w:sz w:val="20"/>
                <w:szCs w:val="20"/>
              </w:rPr>
            </w:pPr>
            <w:r w:rsidRPr="00944ABC">
              <w:rPr>
                <w:b/>
                <w:bCs/>
                <w:sz w:val="20"/>
                <w:szCs w:val="20"/>
              </w:rPr>
              <w:t>Total</w:t>
            </w:r>
          </w:p>
        </w:tc>
        <w:tc>
          <w:tcPr>
            <w:tcW w:w="900" w:type="dxa"/>
            <w:shd w:val="clear" w:color="auto" w:fill="auto"/>
            <w:tcMar>
              <w:top w:w="100" w:type="dxa"/>
              <w:left w:w="100" w:type="dxa"/>
              <w:bottom w:w="100" w:type="dxa"/>
              <w:right w:w="100" w:type="dxa"/>
            </w:tcMar>
          </w:tcPr>
          <w:p w14:paraId="2B160849" w14:textId="77777777" w:rsidR="00F85BD5" w:rsidRPr="00944ABC" w:rsidRDefault="3EEF55E6" w:rsidP="3EEF55E6">
            <w:pPr>
              <w:widowControl w:val="0"/>
              <w:spacing w:line="240" w:lineRule="auto"/>
              <w:ind w:firstLine="0"/>
              <w:jc w:val="center"/>
              <w:rPr>
                <w:b/>
                <w:bCs/>
                <w:sz w:val="20"/>
                <w:szCs w:val="20"/>
              </w:rPr>
            </w:pPr>
            <w:r w:rsidRPr="00944ABC">
              <w:rPr>
                <w:b/>
                <w:bCs/>
                <w:sz w:val="20"/>
                <w:szCs w:val="20"/>
              </w:rPr>
              <w:t>46.6</w:t>
            </w:r>
          </w:p>
        </w:tc>
        <w:tc>
          <w:tcPr>
            <w:tcW w:w="720" w:type="dxa"/>
            <w:shd w:val="clear" w:color="auto" w:fill="auto"/>
            <w:tcMar>
              <w:top w:w="100" w:type="dxa"/>
              <w:left w:w="100" w:type="dxa"/>
              <w:bottom w:w="100" w:type="dxa"/>
              <w:right w:w="100" w:type="dxa"/>
            </w:tcMar>
          </w:tcPr>
          <w:p w14:paraId="2B362878" w14:textId="77777777" w:rsidR="00F85BD5" w:rsidRPr="00944ABC" w:rsidRDefault="3EEF55E6" w:rsidP="3EEF55E6">
            <w:pPr>
              <w:widowControl w:val="0"/>
              <w:spacing w:line="240" w:lineRule="auto"/>
              <w:ind w:firstLine="0"/>
              <w:jc w:val="center"/>
              <w:rPr>
                <w:b/>
                <w:bCs/>
                <w:sz w:val="20"/>
                <w:szCs w:val="20"/>
              </w:rPr>
            </w:pPr>
            <w:r w:rsidRPr="00944ABC">
              <w:rPr>
                <w:b/>
                <w:bCs/>
                <w:sz w:val="20"/>
                <w:szCs w:val="20"/>
              </w:rPr>
              <w:t>12.1</w:t>
            </w:r>
          </w:p>
        </w:tc>
        <w:tc>
          <w:tcPr>
            <w:tcW w:w="1170" w:type="dxa"/>
            <w:shd w:val="clear" w:color="auto" w:fill="auto"/>
            <w:tcMar>
              <w:top w:w="100" w:type="dxa"/>
              <w:left w:w="100" w:type="dxa"/>
              <w:bottom w:w="100" w:type="dxa"/>
              <w:right w:w="100" w:type="dxa"/>
            </w:tcMar>
          </w:tcPr>
          <w:p w14:paraId="09255D83" w14:textId="77777777" w:rsidR="00F85BD5" w:rsidRPr="00944ABC" w:rsidRDefault="69CFA879" w:rsidP="69CFA879">
            <w:pPr>
              <w:widowControl w:val="0"/>
              <w:spacing w:line="240" w:lineRule="auto"/>
              <w:ind w:firstLine="0"/>
              <w:jc w:val="center"/>
              <w:rPr>
                <w:b/>
                <w:bCs/>
                <w:sz w:val="20"/>
                <w:szCs w:val="20"/>
              </w:rPr>
            </w:pPr>
            <w:r w:rsidRPr="00944ABC">
              <w:rPr>
                <w:b/>
                <w:bCs/>
                <w:sz w:val="20"/>
                <w:szCs w:val="20"/>
              </w:rPr>
              <w:t>(43.1-50.0)</w:t>
            </w:r>
          </w:p>
        </w:tc>
        <w:tc>
          <w:tcPr>
            <w:tcW w:w="270" w:type="dxa"/>
            <w:shd w:val="clear" w:color="auto" w:fill="auto"/>
            <w:tcMar>
              <w:top w:w="100" w:type="dxa"/>
              <w:left w:w="100" w:type="dxa"/>
              <w:bottom w:w="100" w:type="dxa"/>
              <w:right w:w="100" w:type="dxa"/>
            </w:tcMar>
          </w:tcPr>
          <w:p w14:paraId="17DBC151" w14:textId="77777777" w:rsidR="00F85BD5" w:rsidRPr="00944ABC" w:rsidRDefault="00F85BD5" w:rsidP="00544485">
            <w:pPr>
              <w:widowControl w:val="0"/>
              <w:spacing w:line="240" w:lineRule="auto"/>
              <w:jc w:val="center"/>
              <w:rPr>
                <w:b/>
                <w:sz w:val="20"/>
                <w:szCs w:val="20"/>
              </w:rPr>
            </w:pPr>
          </w:p>
        </w:tc>
        <w:tc>
          <w:tcPr>
            <w:tcW w:w="720" w:type="dxa"/>
            <w:shd w:val="clear" w:color="auto" w:fill="auto"/>
            <w:tcMar>
              <w:top w:w="100" w:type="dxa"/>
              <w:left w:w="100" w:type="dxa"/>
              <w:bottom w:w="100" w:type="dxa"/>
              <w:right w:w="100" w:type="dxa"/>
            </w:tcMar>
          </w:tcPr>
          <w:p w14:paraId="68D1C2DA" w14:textId="77777777" w:rsidR="00F85BD5" w:rsidRPr="00944ABC" w:rsidRDefault="3EEF55E6" w:rsidP="3EEF55E6">
            <w:pPr>
              <w:widowControl w:val="0"/>
              <w:spacing w:line="240" w:lineRule="auto"/>
              <w:ind w:firstLine="0"/>
              <w:jc w:val="center"/>
              <w:rPr>
                <w:b/>
                <w:bCs/>
                <w:sz w:val="20"/>
                <w:szCs w:val="20"/>
              </w:rPr>
            </w:pPr>
            <w:r w:rsidRPr="00944ABC">
              <w:rPr>
                <w:b/>
                <w:bCs/>
                <w:sz w:val="20"/>
                <w:szCs w:val="20"/>
              </w:rPr>
              <w:t>51.8</w:t>
            </w:r>
          </w:p>
        </w:tc>
        <w:tc>
          <w:tcPr>
            <w:tcW w:w="630" w:type="dxa"/>
            <w:shd w:val="clear" w:color="auto" w:fill="auto"/>
            <w:tcMar>
              <w:top w:w="100" w:type="dxa"/>
              <w:left w:w="100" w:type="dxa"/>
              <w:bottom w:w="100" w:type="dxa"/>
              <w:right w:w="100" w:type="dxa"/>
            </w:tcMar>
          </w:tcPr>
          <w:p w14:paraId="70234497" w14:textId="77777777" w:rsidR="00F85BD5" w:rsidRPr="00944ABC" w:rsidRDefault="3EEF55E6" w:rsidP="3EEF55E6">
            <w:pPr>
              <w:widowControl w:val="0"/>
              <w:spacing w:line="240" w:lineRule="auto"/>
              <w:ind w:firstLine="0"/>
              <w:jc w:val="center"/>
              <w:rPr>
                <w:b/>
                <w:bCs/>
                <w:sz w:val="20"/>
                <w:szCs w:val="20"/>
              </w:rPr>
            </w:pPr>
            <w:r w:rsidRPr="00944ABC">
              <w:rPr>
                <w:b/>
                <w:bCs/>
                <w:sz w:val="20"/>
                <w:szCs w:val="20"/>
              </w:rPr>
              <w:t>20.0</w:t>
            </w:r>
          </w:p>
        </w:tc>
        <w:tc>
          <w:tcPr>
            <w:tcW w:w="1260" w:type="dxa"/>
            <w:shd w:val="clear" w:color="auto" w:fill="auto"/>
            <w:tcMar>
              <w:top w:w="100" w:type="dxa"/>
              <w:left w:w="100" w:type="dxa"/>
              <w:bottom w:w="100" w:type="dxa"/>
              <w:right w:w="100" w:type="dxa"/>
            </w:tcMar>
          </w:tcPr>
          <w:p w14:paraId="2CDD3C4E" w14:textId="77777777" w:rsidR="00F85BD5" w:rsidRPr="00944ABC" w:rsidRDefault="3EEF55E6" w:rsidP="3EEF55E6">
            <w:pPr>
              <w:widowControl w:val="0"/>
              <w:spacing w:line="240" w:lineRule="auto"/>
              <w:ind w:firstLine="0"/>
              <w:jc w:val="center"/>
              <w:rPr>
                <w:b/>
                <w:bCs/>
                <w:sz w:val="20"/>
                <w:szCs w:val="20"/>
              </w:rPr>
            </w:pPr>
            <w:r w:rsidRPr="00944ABC">
              <w:rPr>
                <w:b/>
                <w:bCs/>
                <w:sz w:val="20"/>
                <w:szCs w:val="20"/>
              </w:rPr>
              <w:t>46.1-57.5</w:t>
            </w:r>
          </w:p>
        </w:tc>
        <w:tc>
          <w:tcPr>
            <w:tcW w:w="270" w:type="dxa"/>
            <w:shd w:val="clear" w:color="auto" w:fill="auto"/>
            <w:tcMar>
              <w:top w:w="100" w:type="dxa"/>
              <w:left w:w="100" w:type="dxa"/>
              <w:bottom w:w="100" w:type="dxa"/>
              <w:right w:w="100" w:type="dxa"/>
            </w:tcMar>
          </w:tcPr>
          <w:p w14:paraId="6F8BD81B" w14:textId="77777777" w:rsidR="00F85BD5" w:rsidRPr="00944ABC" w:rsidRDefault="00F85BD5" w:rsidP="00544485">
            <w:pPr>
              <w:widowControl w:val="0"/>
              <w:spacing w:line="240" w:lineRule="auto"/>
              <w:jc w:val="center"/>
              <w:rPr>
                <w:b/>
                <w:sz w:val="20"/>
                <w:szCs w:val="20"/>
              </w:rPr>
            </w:pPr>
          </w:p>
        </w:tc>
        <w:tc>
          <w:tcPr>
            <w:tcW w:w="525" w:type="dxa"/>
            <w:shd w:val="clear" w:color="auto" w:fill="auto"/>
            <w:tcMar>
              <w:top w:w="100" w:type="dxa"/>
              <w:left w:w="100" w:type="dxa"/>
              <w:bottom w:w="100" w:type="dxa"/>
              <w:right w:w="100" w:type="dxa"/>
            </w:tcMar>
          </w:tcPr>
          <w:p w14:paraId="67F82D0C" w14:textId="77777777" w:rsidR="00F85BD5" w:rsidRPr="00944ABC" w:rsidRDefault="3EEF55E6" w:rsidP="3EEF55E6">
            <w:pPr>
              <w:widowControl w:val="0"/>
              <w:spacing w:line="240" w:lineRule="auto"/>
              <w:ind w:firstLine="0"/>
              <w:jc w:val="center"/>
              <w:rPr>
                <w:b/>
                <w:bCs/>
                <w:sz w:val="20"/>
                <w:szCs w:val="20"/>
              </w:rPr>
            </w:pPr>
            <w:r w:rsidRPr="00944ABC">
              <w:rPr>
                <w:b/>
                <w:bCs/>
                <w:sz w:val="20"/>
                <w:szCs w:val="20"/>
              </w:rPr>
              <w:t>70</w:t>
            </w:r>
          </w:p>
        </w:tc>
        <w:tc>
          <w:tcPr>
            <w:tcW w:w="1290" w:type="dxa"/>
            <w:shd w:val="clear" w:color="auto" w:fill="auto"/>
            <w:tcMar>
              <w:top w:w="100" w:type="dxa"/>
              <w:left w:w="100" w:type="dxa"/>
              <w:bottom w:w="100" w:type="dxa"/>
              <w:right w:w="100" w:type="dxa"/>
            </w:tcMar>
          </w:tcPr>
          <w:p w14:paraId="72D29637" w14:textId="77777777" w:rsidR="00F85BD5" w:rsidRPr="00944ABC" w:rsidRDefault="69CFA879" w:rsidP="69CFA879">
            <w:pPr>
              <w:widowControl w:val="0"/>
              <w:spacing w:line="240" w:lineRule="auto"/>
              <w:ind w:firstLine="0"/>
              <w:jc w:val="center"/>
              <w:rPr>
                <w:b/>
                <w:bCs/>
                <w:sz w:val="20"/>
                <w:szCs w:val="20"/>
              </w:rPr>
            </w:pPr>
            <w:r w:rsidRPr="00944ABC">
              <w:rPr>
                <w:b/>
                <w:bCs/>
                <w:sz w:val="20"/>
                <w:szCs w:val="20"/>
              </w:rPr>
              <w:t>(55.4-82.1)</w:t>
            </w:r>
          </w:p>
        </w:tc>
        <w:tc>
          <w:tcPr>
            <w:tcW w:w="255" w:type="dxa"/>
            <w:shd w:val="clear" w:color="auto" w:fill="auto"/>
            <w:tcMar>
              <w:top w:w="100" w:type="dxa"/>
              <w:left w:w="100" w:type="dxa"/>
              <w:bottom w:w="100" w:type="dxa"/>
              <w:right w:w="100" w:type="dxa"/>
            </w:tcMar>
          </w:tcPr>
          <w:p w14:paraId="2613E9C1" w14:textId="77777777" w:rsidR="00F85BD5" w:rsidRPr="00C74791" w:rsidRDefault="00F85BD5" w:rsidP="0030012E">
            <w:pPr>
              <w:widowControl w:val="0"/>
              <w:spacing w:line="240" w:lineRule="auto"/>
            </w:pPr>
          </w:p>
        </w:tc>
      </w:tr>
    </w:tbl>
    <w:p w14:paraId="1037B8A3" w14:textId="77777777" w:rsidR="00F85BD5" w:rsidRPr="00C74791" w:rsidRDefault="00F85BD5" w:rsidP="00F85BD5"/>
    <w:p w14:paraId="0786DCA7" w14:textId="2E7C4FB8" w:rsidR="009664C4" w:rsidRPr="00C74791" w:rsidRDefault="69CFA879" w:rsidP="009664C4">
      <w:r>
        <w:t>Seventy percent of documents (95% C.I.: 55.4% - 82.1%) reached the threshold of “adequate,” defined as a SAM total score of 40% or higher (</w:t>
      </w:r>
      <w:r w:rsidRPr="69CFA879">
        <w:rPr>
          <w:b/>
          <w:bCs/>
        </w:rPr>
        <w:t>Table 4</w:t>
      </w:r>
      <w:r>
        <w:t xml:space="preserve">). However, not a single document achieved the 70% threshold for “superior.” These results seemed to track with the mean SAM scores noted above, with the endocrine clinic only producing 3 out of 10 adequate documents, the infectious disease clinic producing 4 out of 10 adequate documents, and the general pediatrics clinic producing 20 out of 20 adequate documents. </w:t>
      </w:r>
    </w:p>
    <w:p w14:paraId="250F654D" w14:textId="77777777" w:rsidR="00DA71F2" w:rsidRDefault="3EEF55E6" w:rsidP="009664C4">
      <w:r>
        <w:t xml:space="preserve">In the overall sample, 12 pieces of material were produced in house, while </w:t>
      </w:r>
      <w:proofErr w:type="gramStart"/>
      <w:r>
        <w:t>38 were produced by outside groups (i.e. professional groups, advocacy groups, or governmental groups)</w:t>
      </w:r>
      <w:proofErr w:type="gramEnd"/>
      <w:r>
        <w:t xml:space="preserve">. As a whole, we found that documents produced by outside groups were written at a significantly lower grade level (9.9 vs 11.9, p = 0.00433) and had significantly higher SAM total scores (49.2% vs 38.2%, p = 0.15) and SAM literacy </w:t>
      </w:r>
      <w:proofErr w:type="spellStart"/>
      <w:r>
        <w:t>subscores</w:t>
      </w:r>
      <w:proofErr w:type="spellEnd"/>
      <w:r>
        <w:t xml:space="preserve"> (56.1% vs 38.3%, p = 0.002) compared to those that were produced “in house” by the clinics. Similarly, outside material had a higher proportion </w:t>
      </w:r>
      <w:r>
        <w:lastRenderedPageBreak/>
        <w:t>of material written at the 8th grade (34.2% vs 0%, p = 0.022). With all of that said, there was no significant difference in the proportion of materials that achieved an “adequate” score between the two groups (p = 0.146) (</w:t>
      </w:r>
      <w:r w:rsidRPr="3EEF55E6">
        <w:rPr>
          <w:b/>
          <w:bCs/>
        </w:rPr>
        <w:t>Table 5</w:t>
      </w:r>
      <w:r>
        <w:t>).</w:t>
      </w:r>
    </w:p>
    <w:p w14:paraId="687C6DE0" w14:textId="77777777" w:rsidR="006B73F2" w:rsidRDefault="006B73F2" w:rsidP="006B73F2">
      <w:pPr>
        <w:spacing w:line="240" w:lineRule="auto"/>
      </w:pPr>
    </w:p>
    <w:p w14:paraId="2D81030D" w14:textId="77777777" w:rsidR="0024046F" w:rsidRDefault="0024046F" w:rsidP="0024046F">
      <w:pPr>
        <w:pStyle w:val="Caption"/>
        <w:keepNext/>
        <w:ind w:firstLine="0"/>
        <w:jc w:val="center"/>
      </w:pPr>
      <w:bookmarkStart w:id="22" w:name="_Toc525805152"/>
      <w:r>
        <w:t xml:space="preserve">Table </w:t>
      </w:r>
      <w:r w:rsidR="00FB6957">
        <w:fldChar w:fldCharType="begin"/>
      </w:r>
      <w:r w:rsidR="00FB6957">
        <w:instrText xml:space="preserve"> SEQ Table \* ARABIC </w:instrText>
      </w:r>
      <w:r w:rsidR="00FB6957">
        <w:fldChar w:fldCharType="separate"/>
      </w:r>
      <w:r w:rsidR="009E497A" w:rsidRPr="69CFA879">
        <w:t>5</w:t>
      </w:r>
      <w:r w:rsidR="00FB6957">
        <w:fldChar w:fldCharType="end"/>
      </w:r>
      <w:r>
        <w:t>. Comparison of In-house to Outside Patient Education Materials</w:t>
      </w:r>
      <w:bookmarkEnd w:id="22"/>
    </w:p>
    <w:tbl>
      <w:tblPr>
        <w:tblW w:w="7650"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260"/>
        <w:gridCol w:w="720"/>
        <w:gridCol w:w="1260"/>
        <w:gridCol w:w="1080"/>
        <w:gridCol w:w="1350"/>
      </w:tblGrid>
      <w:tr w:rsidR="00887054" w:rsidRPr="00C74791" w14:paraId="0DA4979F" w14:textId="77777777" w:rsidTr="3EEF55E6">
        <w:tc>
          <w:tcPr>
            <w:tcW w:w="1980" w:type="dxa"/>
            <w:shd w:val="clear" w:color="auto" w:fill="auto"/>
            <w:tcMar>
              <w:top w:w="100" w:type="dxa"/>
              <w:left w:w="100" w:type="dxa"/>
              <w:bottom w:w="100" w:type="dxa"/>
              <w:right w:w="100" w:type="dxa"/>
            </w:tcMar>
          </w:tcPr>
          <w:p w14:paraId="5B2F9378" w14:textId="77777777" w:rsidR="004175B6" w:rsidRPr="00944ABC" w:rsidRDefault="004175B6" w:rsidP="0030012E">
            <w:pPr>
              <w:widowControl w:val="0"/>
              <w:pBdr>
                <w:top w:val="nil"/>
                <w:left w:val="nil"/>
                <w:bottom w:val="nil"/>
                <w:right w:val="nil"/>
                <w:between w:val="nil"/>
              </w:pBdr>
              <w:spacing w:line="240" w:lineRule="auto"/>
              <w:rPr>
                <w:sz w:val="20"/>
                <w:szCs w:val="20"/>
              </w:rPr>
            </w:pPr>
          </w:p>
        </w:tc>
        <w:tc>
          <w:tcPr>
            <w:tcW w:w="1260" w:type="dxa"/>
            <w:shd w:val="clear" w:color="auto" w:fill="auto"/>
            <w:tcMar>
              <w:top w:w="100" w:type="dxa"/>
              <w:left w:w="100" w:type="dxa"/>
              <w:bottom w:w="100" w:type="dxa"/>
              <w:right w:w="100" w:type="dxa"/>
            </w:tcMar>
          </w:tcPr>
          <w:p w14:paraId="06AA27D0" w14:textId="77777777" w:rsidR="004175B6" w:rsidRPr="00944ABC" w:rsidRDefault="69CFA879" w:rsidP="69CFA879">
            <w:pPr>
              <w:widowControl w:val="0"/>
              <w:pBdr>
                <w:top w:val="nil"/>
                <w:left w:val="nil"/>
                <w:bottom w:val="nil"/>
                <w:right w:val="nil"/>
                <w:between w:val="nil"/>
              </w:pBdr>
              <w:spacing w:line="240" w:lineRule="auto"/>
              <w:ind w:firstLine="0"/>
              <w:jc w:val="center"/>
              <w:rPr>
                <w:b/>
                <w:bCs/>
                <w:sz w:val="20"/>
                <w:szCs w:val="20"/>
              </w:rPr>
            </w:pPr>
            <w:r w:rsidRPr="00944ABC">
              <w:rPr>
                <w:b/>
                <w:bCs/>
                <w:sz w:val="20"/>
                <w:szCs w:val="20"/>
              </w:rPr>
              <w:t>In-House Materials</w:t>
            </w:r>
          </w:p>
        </w:tc>
        <w:tc>
          <w:tcPr>
            <w:tcW w:w="720" w:type="dxa"/>
            <w:shd w:val="clear" w:color="auto" w:fill="auto"/>
            <w:tcMar>
              <w:top w:w="100" w:type="dxa"/>
              <w:left w:w="100" w:type="dxa"/>
              <w:bottom w:w="100" w:type="dxa"/>
              <w:right w:w="100" w:type="dxa"/>
            </w:tcMar>
          </w:tcPr>
          <w:p w14:paraId="58E6DD4E" w14:textId="77777777" w:rsidR="004175B6" w:rsidRPr="00944ABC" w:rsidRDefault="004175B6" w:rsidP="00887054">
            <w:pPr>
              <w:widowControl w:val="0"/>
              <w:pBdr>
                <w:top w:val="nil"/>
                <w:left w:val="nil"/>
                <w:bottom w:val="nil"/>
                <w:right w:val="nil"/>
                <w:between w:val="nil"/>
              </w:pBdr>
              <w:spacing w:line="240" w:lineRule="auto"/>
              <w:jc w:val="center"/>
              <w:rPr>
                <w:b/>
                <w:sz w:val="20"/>
                <w:szCs w:val="20"/>
              </w:rPr>
            </w:pPr>
          </w:p>
        </w:tc>
        <w:tc>
          <w:tcPr>
            <w:tcW w:w="1260" w:type="dxa"/>
            <w:shd w:val="clear" w:color="auto" w:fill="auto"/>
            <w:tcMar>
              <w:top w:w="100" w:type="dxa"/>
              <w:left w:w="100" w:type="dxa"/>
              <w:bottom w:w="100" w:type="dxa"/>
              <w:right w:w="100" w:type="dxa"/>
            </w:tcMar>
          </w:tcPr>
          <w:p w14:paraId="67F019F9" w14:textId="77777777" w:rsidR="004175B6" w:rsidRPr="00944ABC" w:rsidRDefault="69CFA879" w:rsidP="69CFA879">
            <w:pPr>
              <w:widowControl w:val="0"/>
              <w:pBdr>
                <w:top w:val="nil"/>
                <w:left w:val="nil"/>
                <w:bottom w:val="nil"/>
                <w:right w:val="nil"/>
                <w:between w:val="nil"/>
              </w:pBdr>
              <w:spacing w:line="240" w:lineRule="auto"/>
              <w:ind w:firstLine="0"/>
              <w:jc w:val="center"/>
              <w:rPr>
                <w:b/>
                <w:bCs/>
                <w:sz w:val="20"/>
                <w:szCs w:val="20"/>
              </w:rPr>
            </w:pPr>
            <w:r w:rsidRPr="00944ABC">
              <w:rPr>
                <w:b/>
                <w:bCs/>
                <w:sz w:val="20"/>
                <w:szCs w:val="20"/>
              </w:rPr>
              <w:t>Outside Materials</w:t>
            </w:r>
          </w:p>
        </w:tc>
        <w:tc>
          <w:tcPr>
            <w:tcW w:w="1080" w:type="dxa"/>
            <w:shd w:val="clear" w:color="auto" w:fill="auto"/>
            <w:tcMar>
              <w:top w:w="100" w:type="dxa"/>
              <w:left w:w="100" w:type="dxa"/>
              <w:bottom w:w="100" w:type="dxa"/>
              <w:right w:w="100" w:type="dxa"/>
            </w:tcMar>
          </w:tcPr>
          <w:p w14:paraId="7D3BEE8F" w14:textId="77777777" w:rsidR="004175B6" w:rsidRPr="00944ABC" w:rsidRDefault="004175B6" w:rsidP="00887054">
            <w:pPr>
              <w:widowControl w:val="0"/>
              <w:pBdr>
                <w:top w:val="nil"/>
                <w:left w:val="nil"/>
                <w:bottom w:val="nil"/>
                <w:right w:val="nil"/>
                <w:between w:val="nil"/>
              </w:pBdr>
              <w:spacing w:line="240" w:lineRule="auto"/>
              <w:jc w:val="center"/>
              <w:rPr>
                <w:b/>
                <w:sz w:val="20"/>
                <w:szCs w:val="20"/>
              </w:rPr>
            </w:pPr>
          </w:p>
        </w:tc>
        <w:tc>
          <w:tcPr>
            <w:tcW w:w="1350" w:type="dxa"/>
            <w:shd w:val="clear" w:color="auto" w:fill="auto"/>
            <w:tcMar>
              <w:top w:w="100" w:type="dxa"/>
              <w:left w:w="100" w:type="dxa"/>
              <w:bottom w:w="100" w:type="dxa"/>
              <w:right w:w="100" w:type="dxa"/>
            </w:tcMar>
          </w:tcPr>
          <w:p w14:paraId="41CE90A8" w14:textId="77777777" w:rsidR="004175B6" w:rsidRPr="00944ABC" w:rsidRDefault="69CFA879" w:rsidP="69CFA879">
            <w:pPr>
              <w:widowControl w:val="0"/>
              <w:pBdr>
                <w:top w:val="nil"/>
                <w:left w:val="nil"/>
                <w:bottom w:val="nil"/>
                <w:right w:val="nil"/>
                <w:between w:val="nil"/>
              </w:pBdr>
              <w:spacing w:line="240" w:lineRule="auto"/>
              <w:ind w:firstLine="0"/>
              <w:jc w:val="center"/>
              <w:rPr>
                <w:b/>
                <w:bCs/>
                <w:sz w:val="20"/>
                <w:szCs w:val="20"/>
              </w:rPr>
            </w:pPr>
            <w:r w:rsidRPr="00944ABC">
              <w:rPr>
                <w:b/>
                <w:bCs/>
                <w:sz w:val="20"/>
                <w:szCs w:val="20"/>
              </w:rPr>
              <w:t>p-value</w:t>
            </w:r>
          </w:p>
        </w:tc>
      </w:tr>
      <w:tr w:rsidR="00887054" w:rsidRPr="00C74791" w14:paraId="64CDBBB8" w14:textId="77777777" w:rsidTr="3EEF55E6">
        <w:tc>
          <w:tcPr>
            <w:tcW w:w="1980" w:type="dxa"/>
            <w:shd w:val="clear" w:color="auto" w:fill="auto"/>
            <w:tcMar>
              <w:top w:w="100" w:type="dxa"/>
              <w:left w:w="100" w:type="dxa"/>
              <w:bottom w:w="100" w:type="dxa"/>
              <w:right w:w="100" w:type="dxa"/>
            </w:tcMar>
          </w:tcPr>
          <w:p w14:paraId="3FB8B379" w14:textId="77777777" w:rsidR="004175B6" w:rsidRPr="00944ABC" w:rsidRDefault="69CFA879" w:rsidP="69CFA879">
            <w:pPr>
              <w:widowControl w:val="0"/>
              <w:pBdr>
                <w:top w:val="nil"/>
                <w:left w:val="nil"/>
                <w:bottom w:val="nil"/>
                <w:right w:val="nil"/>
                <w:between w:val="nil"/>
              </w:pBdr>
              <w:spacing w:line="240" w:lineRule="auto"/>
              <w:ind w:firstLine="0"/>
              <w:rPr>
                <w:b/>
                <w:bCs/>
                <w:sz w:val="20"/>
                <w:szCs w:val="20"/>
              </w:rPr>
            </w:pPr>
            <w:r w:rsidRPr="00944ABC">
              <w:rPr>
                <w:b/>
                <w:bCs/>
                <w:sz w:val="20"/>
                <w:szCs w:val="20"/>
              </w:rPr>
              <w:t>n</w:t>
            </w:r>
          </w:p>
        </w:tc>
        <w:tc>
          <w:tcPr>
            <w:tcW w:w="1260" w:type="dxa"/>
            <w:shd w:val="clear" w:color="auto" w:fill="auto"/>
            <w:tcMar>
              <w:top w:w="100" w:type="dxa"/>
              <w:left w:w="100" w:type="dxa"/>
              <w:bottom w:w="100" w:type="dxa"/>
              <w:right w:w="100" w:type="dxa"/>
            </w:tcMar>
          </w:tcPr>
          <w:p w14:paraId="4B73E586" w14:textId="77777777" w:rsidR="004175B6" w:rsidRPr="00944ABC" w:rsidRDefault="3EEF55E6" w:rsidP="3EEF55E6">
            <w:pPr>
              <w:widowControl w:val="0"/>
              <w:pBdr>
                <w:top w:val="nil"/>
                <w:left w:val="nil"/>
                <w:bottom w:val="nil"/>
                <w:right w:val="nil"/>
                <w:between w:val="nil"/>
              </w:pBdr>
              <w:spacing w:line="240" w:lineRule="auto"/>
              <w:ind w:firstLine="0"/>
              <w:jc w:val="center"/>
              <w:rPr>
                <w:b/>
                <w:bCs/>
                <w:sz w:val="20"/>
                <w:szCs w:val="20"/>
              </w:rPr>
            </w:pPr>
            <w:r w:rsidRPr="00944ABC">
              <w:rPr>
                <w:b/>
                <w:bCs/>
                <w:sz w:val="20"/>
                <w:szCs w:val="20"/>
              </w:rPr>
              <w:t>12</w:t>
            </w:r>
          </w:p>
        </w:tc>
        <w:tc>
          <w:tcPr>
            <w:tcW w:w="720" w:type="dxa"/>
            <w:shd w:val="clear" w:color="auto" w:fill="auto"/>
            <w:tcMar>
              <w:top w:w="100" w:type="dxa"/>
              <w:left w:w="100" w:type="dxa"/>
              <w:bottom w:w="100" w:type="dxa"/>
              <w:right w:w="100" w:type="dxa"/>
            </w:tcMar>
          </w:tcPr>
          <w:p w14:paraId="3B88899E" w14:textId="77777777" w:rsidR="004175B6" w:rsidRPr="00944ABC" w:rsidRDefault="004175B6" w:rsidP="004175B6">
            <w:pPr>
              <w:widowControl w:val="0"/>
              <w:pBdr>
                <w:top w:val="nil"/>
                <w:left w:val="nil"/>
                <w:bottom w:val="nil"/>
                <w:right w:val="nil"/>
                <w:between w:val="nil"/>
              </w:pBdr>
              <w:spacing w:line="240" w:lineRule="auto"/>
              <w:jc w:val="center"/>
              <w:rPr>
                <w:b/>
                <w:sz w:val="20"/>
                <w:szCs w:val="20"/>
              </w:rPr>
            </w:pPr>
          </w:p>
        </w:tc>
        <w:tc>
          <w:tcPr>
            <w:tcW w:w="1260" w:type="dxa"/>
            <w:shd w:val="clear" w:color="auto" w:fill="auto"/>
            <w:tcMar>
              <w:top w:w="100" w:type="dxa"/>
              <w:left w:w="100" w:type="dxa"/>
              <w:bottom w:w="100" w:type="dxa"/>
              <w:right w:w="100" w:type="dxa"/>
            </w:tcMar>
          </w:tcPr>
          <w:p w14:paraId="0CD124DB" w14:textId="77777777" w:rsidR="004175B6" w:rsidRPr="00944ABC" w:rsidRDefault="3EEF55E6" w:rsidP="3EEF55E6">
            <w:pPr>
              <w:widowControl w:val="0"/>
              <w:pBdr>
                <w:top w:val="nil"/>
                <w:left w:val="nil"/>
                <w:bottom w:val="nil"/>
                <w:right w:val="nil"/>
                <w:between w:val="nil"/>
              </w:pBdr>
              <w:spacing w:line="240" w:lineRule="auto"/>
              <w:ind w:firstLine="0"/>
              <w:jc w:val="center"/>
              <w:rPr>
                <w:b/>
                <w:bCs/>
                <w:sz w:val="20"/>
                <w:szCs w:val="20"/>
              </w:rPr>
            </w:pPr>
            <w:r w:rsidRPr="00944ABC">
              <w:rPr>
                <w:b/>
                <w:bCs/>
                <w:sz w:val="20"/>
                <w:szCs w:val="20"/>
              </w:rPr>
              <w:t>38</w:t>
            </w:r>
          </w:p>
        </w:tc>
        <w:tc>
          <w:tcPr>
            <w:tcW w:w="1080" w:type="dxa"/>
            <w:shd w:val="clear" w:color="auto" w:fill="auto"/>
            <w:tcMar>
              <w:top w:w="100" w:type="dxa"/>
              <w:left w:w="100" w:type="dxa"/>
              <w:bottom w:w="100" w:type="dxa"/>
              <w:right w:w="100" w:type="dxa"/>
            </w:tcMar>
          </w:tcPr>
          <w:p w14:paraId="69E2BB2B" w14:textId="77777777" w:rsidR="004175B6" w:rsidRPr="00944ABC" w:rsidRDefault="004175B6" w:rsidP="004175B6">
            <w:pPr>
              <w:widowControl w:val="0"/>
              <w:pBdr>
                <w:top w:val="nil"/>
                <w:left w:val="nil"/>
                <w:bottom w:val="nil"/>
                <w:right w:val="nil"/>
                <w:between w:val="nil"/>
              </w:pBdr>
              <w:spacing w:line="240" w:lineRule="auto"/>
              <w:jc w:val="center"/>
              <w:rPr>
                <w:sz w:val="20"/>
                <w:szCs w:val="20"/>
              </w:rPr>
            </w:pPr>
          </w:p>
        </w:tc>
        <w:tc>
          <w:tcPr>
            <w:tcW w:w="1350" w:type="dxa"/>
            <w:shd w:val="clear" w:color="auto" w:fill="auto"/>
            <w:tcMar>
              <w:top w:w="100" w:type="dxa"/>
              <w:left w:w="100" w:type="dxa"/>
              <w:bottom w:w="100" w:type="dxa"/>
              <w:right w:w="100" w:type="dxa"/>
            </w:tcMar>
          </w:tcPr>
          <w:p w14:paraId="57C0D796" w14:textId="77777777" w:rsidR="004175B6" w:rsidRPr="00944ABC" w:rsidRDefault="004175B6" w:rsidP="004175B6">
            <w:pPr>
              <w:widowControl w:val="0"/>
              <w:pBdr>
                <w:top w:val="nil"/>
                <w:left w:val="nil"/>
                <w:bottom w:val="nil"/>
                <w:right w:val="nil"/>
                <w:between w:val="nil"/>
              </w:pBdr>
              <w:spacing w:line="240" w:lineRule="auto"/>
              <w:jc w:val="center"/>
              <w:rPr>
                <w:sz w:val="20"/>
                <w:szCs w:val="20"/>
              </w:rPr>
            </w:pPr>
          </w:p>
        </w:tc>
      </w:tr>
      <w:tr w:rsidR="00887054" w:rsidRPr="00C74791" w14:paraId="0E0E6605" w14:textId="77777777" w:rsidTr="3EEF55E6">
        <w:tc>
          <w:tcPr>
            <w:tcW w:w="1980" w:type="dxa"/>
            <w:shd w:val="clear" w:color="auto" w:fill="auto"/>
            <w:tcMar>
              <w:top w:w="100" w:type="dxa"/>
              <w:left w:w="100" w:type="dxa"/>
              <w:bottom w:w="100" w:type="dxa"/>
              <w:right w:w="100" w:type="dxa"/>
            </w:tcMar>
          </w:tcPr>
          <w:p w14:paraId="0D142F6F" w14:textId="77777777" w:rsidR="004175B6" w:rsidRPr="00944ABC" w:rsidRDefault="004175B6" w:rsidP="0030012E">
            <w:pPr>
              <w:widowControl w:val="0"/>
              <w:pBdr>
                <w:top w:val="nil"/>
                <w:left w:val="nil"/>
                <w:bottom w:val="nil"/>
                <w:right w:val="nil"/>
                <w:between w:val="nil"/>
              </w:pBdr>
              <w:spacing w:line="240" w:lineRule="auto"/>
              <w:rPr>
                <w:sz w:val="20"/>
                <w:szCs w:val="20"/>
              </w:rPr>
            </w:pPr>
          </w:p>
        </w:tc>
        <w:tc>
          <w:tcPr>
            <w:tcW w:w="1260" w:type="dxa"/>
            <w:shd w:val="clear" w:color="auto" w:fill="auto"/>
            <w:tcMar>
              <w:top w:w="100" w:type="dxa"/>
              <w:left w:w="100" w:type="dxa"/>
              <w:bottom w:w="100" w:type="dxa"/>
              <w:right w:w="100" w:type="dxa"/>
            </w:tcMar>
          </w:tcPr>
          <w:p w14:paraId="157A3FD8" w14:textId="77777777" w:rsidR="004175B6"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mean</w:t>
            </w:r>
          </w:p>
        </w:tc>
        <w:tc>
          <w:tcPr>
            <w:tcW w:w="720" w:type="dxa"/>
            <w:shd w:val="clear" w:color="auto" w:fill="auto"/>
            <w:tcMar>
              <w:top w:w="100" w:type="dxa"/>
              <w:left w:w="100" w:type="dxa"/>
              <w:bottom w:w="100" w:type="dxa"/>
              <w:right w:w="100" w:type="dxa"/>
            </w:tcMar>
          </w:tcPr>
          <w:p w14:paraId="20D4D7EC" w14:textId="77777777" w:rsidR="004175B6" w:rsidRPr="00944ABC" w:rsidRDefault="3EEF55E6" w:rsidP="3EEF55E6">
            <w:pPr>
              <w:widowControl w:val="0"/>
              <w:pBdr>
                <w:top w:val="nil"/>
                <w:left w:val="nil"/>
                <w:bottom w:val="nil"/>
                <w:right w:val="nil"/>
                <w:between w:val="nil"/>
              </w:pBdr>
              <w:spacing w:line="240" w:lineRule="auto"/>
              <w:ind w:firstLine="0"/>
              <w:jc w:val="center"/>
              <w:rPr>
                <w:sz w:val="20"/>
                <w:szCs w:val="20"/>
              </w:rPr>
            </w:pPr>
            <w:proofErr w:type="spellStart"/>
            <w:r w:rsidRPr="00944ABC">
              <w:rPr>
                <w:sz w:val="20"/>
                <w:szCs w:val="20"/>
              </w:rPr>
              <w:t>s.d.</w:t>
            </w:r>
            <w:proofErr w:type="spellEnd"/>
          </w:p>
        </w:tc>
        <w:tc>
          <w:tcPr>
            <w:tcW w:w="1260" w:type="dxa"/>
            <w:shd w:val="clear" w:color="auto" w:fill="auto"/>
            <w:tcMar>
              <w:top w:w="100" w:type="dxa"/>
              <w:left w:w="100" w:type="dxa"/>
              <w:bottom w:w="100" w:type="dxa"/>
              <w:right w:w="100" w:type="dxa"/>
            </w:tcMar>
          </w:tcPr>
          <w:p w14:paraId="64134FE9" w14:textId="77777777" w:rsidR="004175B6"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mean</w:t>
            </w:r>
          </w:p>
        </w:tc>
        <w:tc>
          <w:tcPr>
            <w:tcW w:w="1080" w:type="dxa"/>
            <w:shd w:val="clear" w:color="auto" w:fill="auto"/>
            <w:tcMar>
              <w:top w:w="100" w:type="dxa"/>
              <w:left w:w="100" w:type="dxa"/>
              <w:bottom w:w="100" w:type="dxa"/>
              <w:right w:w="100" w:type="dxa"/>
            </w:tcMar>
          </w:tcPr>
          <w:p w14:paraId="4E276DA2" w14:textId="77777777" w:rsidR="004175B6" w:rsidRPr="00944ABC" w:rsidRDefault="3EEF55E6" w:rsidP="3EEF55E6">
            <w:pPr>
              <w:widowControl w:val="0"/>
              <w:pBdr>
                <w:top w:val="nil"/>
                <w:left w:val="nil"/>
                <w:bottom w:val="nil"/>
                <w:right w:val="nil"/>
                <w:between w:val="nil"/>
              </w:pBdr>
              <w:spacing w:line="240" w:lineRule="auto"/>
              <w:ind w:firstLine="0"/>
              <w:jc w:val="center"/>
              <w:rPr>
                <w:sz w:val="20"/>
                <w:szCs w:val="20"/>
              </w:rPr>
            </w:pPr>
            <w:proofErr w:type="spellStart"/>
            <w:r w:rsidRPr="00944ABC">
              <w:rPr>
                <w:sz w:val="20"/>
                <w:szCs w:val="20"/>
              </w:rPr>
              <w:t>s.d.</w:t>
            </w:r>
            <w:proofErr w:type="spellEnd"/>
          </w:p>
        </w:tc>
        <w:tc>
          <w:tcPr>
            <w:tcW w:w="1350" w:type="dxa"/>
            <w:shd w:val="clear" w:color="auto" w:fill="auto"/>
            <w:tcMar>
              <w:top w:w="100" w:type="dxa"/>
              <w:left w:w="100" w:type="dxa"/>
              <w:bottom w:w="100" w:type="dxa"/>
              <w:right w:w="100" w:type="dxa"/>
            </w:tcMar>
          </w:tcPr>
          <w:p w14:paraId="4475AD14" w14:textId="77777777" w:rsidR="004175B6" w:rsidRPr="00944ABC" w:rsidRDefault="004175B6" w:rsidP="004175B6">
            <w:pPr>
              <w:widowControl w:val="0"/>
              <w:pBdr>
                <w:top w:val="nil"/>
                <w:left w:val="nil"/>
                <w:bottom w:val="nil"/>
                <w:right w:val="nil"/>
                <w:between w:val="nil"/>
              </w:pBdr>
              <w:spacing w:line="240" w:lineRule="auto"/>
              <w:jc w:val="center"/>
              <w:rPr>
                <w:sz w:val="20"/>
                <w:szCs w:val="20"/>
              </w:rPr>
            </w:pPr>
          </w:p>
        </w:tc>
      </w:tr>
      <w:tr w:rsidR="00887054" w:rsidRPr="00C74791" w14:paraId="17CC1CE4" w14:textId="77777777" w:rsidTr="3EEF55E6">
        <w:tc>
          <w:tcPr>
            <w:tcW w:w="1980" w:type="dxa"/>
            <w:shd w:val="clear" w:color="auto" w:fill="auto"/>
            <w:tcMar>
              <w:top w:w="100" w:type="dxa"/>
              <w:left w:w="100" w:type="dxa"/>
              <w:bottom w:w="100" w:type="dxa"/>
              <w:right w:w="100" w:type="dxa"/>
            </w:tcMar>
          </w:tcPr>
          <w:p w14:paraId="097A1524" w14:textId="77777777" w:rsidR="004175B6" w:rsidRPr="00944ABC" w:rsidRDefault="69CFA879" w:rsidP="69CFA879">
            <w:pPr>
              <w:widowControl w:val="0"/>
              <w:pBdr>
                <w:top w:val="nil"/>
                <w:left w:val="nil"/>
                <w:bottom w:val="nil"/>
                <w:right w:val="nil"/>
                <w:between w:val="nil"/>
              </w:pBdr>
              <w:spacing w:line="240" w:lineRule="auto"/>
              <w:ind w:firstLine="0"/>
              <w:rPr>
                <w:sz w:val="20"/>
                <w:szCs w:val="20"/>
              </w:rPr>
            </w:pPr>
            <w:r w:rsidRPr="00944ABC">
              <w:rPr>
                <w:sz w:val="20"/>
                <w:szCs w:val="20"/>
              </w:rPr>
              <w:t>SMOG grade Level</w:t>
            </w:r>
          </w:p>
        </w:tc>
        <w:tc>
          <w:tcPr>
            <w:tcW w:w="1260" w:type="dxa"/>
            <w:shd w:val="clear" w:color="auto" w:fill="auto"/>
            <w:tcMar>
              <w:top w:w="100" w:type="dxa"/>
              <w:left w:w="100" w:type="dxa"/>
              <w:bottom w:w="100" w:type="dxa"/>
              <w:right w:w="100" w:type="dxa"/>
            </w:tcMar>
          </w:tcPr>
          <w:p w14:paraId="741D271E" w14:textId="77777777" w:rsidR="004175B6" w:rsidRPr="00944ABC" w:rsidRDefault="3EEF55E6" w:rsidP="3EEF55E6">
            <w:pPr>
              <w:widowControl w:val="0"/>
              <w:pBdr>
                <w:top w:val="nil"/>
                <w:left w:val="nil"/>
                <w:bottom w:val="nil"/>
                <w:right w:val="nil"/>
                <w:between w:val="nil"/>
              </w:pBdr>
              <w:spacing w:line="240" w:lineRule="auto"/>
              <w:ind w:firstLine="0"/>
              <w:jc w:val="center"/>
              <w:rPr>
                <w:sz w:val="20"/>
                <w:szCs w:val="20"/>
              </w:rPr>
            </w:pPr>
            <w:r w:rsidRPr="00944ABC">
              <w:rPr>
                <w:sz w:val="20"/>
                <w:szCs w:val="20"/>
              </w:rPr>
              <w:t>11.9</w:t>
            </w:r>
          </w:p>
        </w:tc>
        <w:tc>
          <w:tcPr>
            <w:tcW w:w="720" w:type="dxa"/>
            <w:shd w:val="clear" w:color="auto" w:fill="auto"/>
            <w:tcMar>
              <w:top w:w="100" w:type="dxa"/>
              <w:left w:w="100" w:type="dxa"/>
              <w:bottom w:w="100" w:type="dxa"/>
              <w:right w:w="100" w:type="dxa"/>
            </w:tcMar>
          </w:tcPr>
          <w:p w14:paraId="5F44392A" w14:textId="77777777" w:rsidR="004175B6" w:rsidRPr="00944ABC" w:rsidRDefault="3EEF55E6" w:rsidP="3EEF55E6">
            <w:pPr>
              <w:widowControl w:val="0"/>
              <w:pBdr>
                <w:top w:val="nil"/>
                <w:left w:val="nil"/>
                <w:bottom w:val="nil"/>
                <w:right w:val="nil"/>
                <w:between w:val="nil"/>
              </w:pBdr>
              <w:spacing w:line="240" w:lineRule="auto"/>
              <w:ind w:firstLine="0"/>
              <w:jc w:val="center"/>
              <w:rPr>
                <w:sz w:val="20"/>
                <w:szCs w:val="20"/>
              </w:rPr>
            </w:pPr>
            <w:r w:rsidRPr="00944ABC">
              <w:rPr>
                <w:sz w:val="20"/>
                <w:szCs w:val="20"/>
              </w:rPr>
              <w:t>1.73</w:t>
            </w:r>
          </w:p>
        </w:tc>
        <w:tc>
          <w:tcPr>
            <w:tcW w:w="1260" w:type="dxa"/>
            <w:shd w:val="clear" w:color="auto" w:fill="auto"/>
            <w:tcMar>
              <w:top w:w="100" w:type="dxa"/>
              <w:left w:w="100" w:type="dxa"/>
              <w:bottom w:w="100" w:type="dxa"/>
              <w:right w:w="100" w:type="dxa"/>
            </w:tcMar>
          </w:tcPr>
          <w:p w14:paraId="49F96D95" w14:textId="77777777" w:rsidR="004175B6" w:rsidRPr="00944ABC" w:rsidRDefault="3EEF55E6" w:rsidP="3EEF55E6">
            <w:pPr>
              <w:widowControl w:val="0"/>
              <w:pBdr>
                <w:top w:val="nil"/>
                <w:left w:val="nil"/>
                <w:bottom w:val="nil"/>
                <w:right w:val="nil"/>
                <w:between w:val="nil"/>
              </w:pBdr>
              <w:spacing w:line="240" w:lineRule="auto"/>
              <w:ind w:firstLine="0"/>
              <w:jc w:val="center"/>
              <w:rPr>
                <w:sz w:val="20"/>
                <w:szCs w:val="20"/>
              </w:rPr>
            </w:pPr>
            <w:r w:rsidRPr="00944ABC">
              <w:rPr>
                <w:sz w:val="20"/>
                <w:szCs w:val="20"/>
              </w:rPr>
              <w:t>9.9</w:t>
            </w:r>
          </w:p>
        </w:tc>
        <w:tc>
          <w:tcPr>
            <w:tcW w:w="1080" w:type="dxa"/>
            <w:shd w:val="clear" w:color="auto" w:fill="auto"/>
            <w:tcMar>
              <w:top w:w="100" w:type="dxa"/>
              <w:left w:w="100" w:type="dxa"/>
              <w:bottom w:w="100" w:type="dxa"/>
              <w:right w:w="100" w:type="dxa"/>
            </w:tcMar>
          </w:tcPr>
          <w:p w14:paraId="53066439" w14:textId="77777777" w:rsidR="004175B6" w:rsidRPr="00944ABC" w:rsidRDefault="3EEF55E6" w:rsidP="3EEF55E6">
            <w:pPr>
              <w:widowControl w:val="0"/>
              <w:pBdr>
                <w:top w:val="nil"/>
                <w:left w:val="nil"/>
                <w:bottom w:val="nil"/>
                <w:right w:val="nil"/>
                <w:between w:val="nil"/>
              </w:pBdr>
              <w:spacing w:line="240" w:lineRule="auto"/>
              <w:ind w:firstLine="0"/>
              <w:jc w:val="center"/>
              <w:rPr>
                <w:sz w:val="20"/>
                <w:szCs w:val="20"/>
              </w:rPr>
            </w:pPr>
            <w:r w:rsidRPr="00944ABC">
              <w:rPr>
                <w:sz w:val="20"/>
                <w:szCs w:val="20"/>
              </w:rPr>
              <w:t>2.39</w:t>
            </w:r>
          </w:p>
        </w:tc>
        <w:tc>
          <w:tcPr>
            <w:tcW w:w="1350" w:type="dxa"/>
            <w:shd w:val="clear" w:color="auto" w:fill="auto"/>
            <w:tcMar>
              <w:top w:w="100" w:type="dxa"/>
              <w:left w:w="100" w:type="dxa"/>
              <w:bottom w:w="100" w:type="dxa"/>
              <w:right w:w="100" w:type="dxa"/>
            </w:tcMar>
          </w:tcPr>
          <w:p w14:paraId="106B0478" w14:textId="77777777" w:rsidR="004175B6" w:rsidRPr="00944ABC" w:rsidRDefault="3EEF55E6" w:rsidP="3EEF55E6">
            <w:pPr>
              <w:widowControl w:val="0"/>
              <w:pBdr>
                <w:top w:val="nil"/>
                <w:left w:val="nil"/>
                <w:bottom w:val="nil"/>
                <w:right w:val="nil"/>
                <w:between w:val="nil"/>
              </w:pBdr>
              <w:spacing w:line="240" w:lineRule="auto"/>
              <w:ind w:firstLine="0"/>
              <w:jc w:val="center"/>
              <w:rPr>
                <w:sz w:val="20"/>
                <w:szCs w:val="20"/>
              </w:rPr>
            </w:pPr>
            <w:r w:rsidRPr="00944ABC">
              <w:rPr>
                <w:sz w:val="20"/>
                <w:szCs w:val="20"/>
              </w:rPr>
              <w:t>0.00433</w:t>
            </w:r>
          </w:p>
        </w:tc>
      </w:tr>
      <w:tr w:rsidR="00887054" w:rsidRPr="00C74791" w14:paraId="7E31F5A7" w14:textId="77777777" w:rsidTr="3EEF55E6">
        <w:tc>
          <w:tcPr>
            <w:tcW w:w="1980" w:type="dxa"/>
            <w:shd w:val="clear" w:color="auto" w:fill="auto"/>
            <w:tcMar>
              <w:top w:w="100" w:type="dxa"/>
              <w:left w:w="100" w:type="dxa"/>
              <w:bottom w:w="100" w:type="dxa"/>
              <w:right w:w="100" w:type="dxa"/>
            </w:tcMar>
          </w:tcPr>
          <w:p w14:paraId="167D8218" w14:textId="77777777" w:rsidR="004175B6" w:rsidRPr="00944ABC" w:rsidRDefault="3EEF55E6" w:rsidP="3EEF55E6">
            <w:pPr>
              <w:widowControl w:val="0"/>
              <w:pBdr>
                <w:top w:val="nil"/>
                <w:left w:val="nil"/>
                <w:bottom w:val="nil"/>
                <w:right w:val="nil"/>
                <w:between w:val="nil"/>
              </w:pBdr>
              <w:spacing w:line="240" w:lineRule="auto"/>
              <w:ind w:firstLine="0"/>
              <w:rPr>
                <w:sz w:val="20"/>
                <w:szCs w:val="20"/>
              </w:rPr>
            </w:pPr>
            <w:r w:rsidRPr="00944ABC">
              <w:rPr>
                <w:sz w:val="20"/>
                <w:szCs w:val="20"/>
              </w:rPr>
              <w:t xml:space="preserve">SAM Literacy </w:t>
            </w:r>
            <w:proofErr w:type="spellStart"/>
            <w:r w:rsidRPr="00944ABC">
              <w:rPr>
                <w:sz w:val="20"/>
                <w:szCs w:val="20"/>
              </w:rPr>
              <w:t>Subscore</w:t>
            </w:r>
            <w:proofErr w:type="spellEnd"/>
          </w:p>
        </w:tc>
        <w:tc>
          <w:tcPr>
            <w:tcW w:w="1260" w:type="dxa"/>
            <w:shd w:val="clear" w:color="auto" w:fill="auto"/>
            <w:tcMar>
              <w:top w:w="100" w:type="dxa"/>
              <w:left w:w="100" w:type="dxa"/>
              <w:bottom w:w="100" w:type="dxa"/>
              <w:right w:w="100" w:type="dxa"/>
            </w:tcMar>
          </w:tcPr>
          <w:p w14:paraId="020A6452" w14:textId="77777777" w:rsidR="004175B6"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38.3%</w:t>
            </w:r>
          </w:p>
        </w:tc>
        <w:tc>
          <w:tcPr>
            <w:tcW w:w="720" w:type="dxa"/>
            <w:shd w:val="clear" w:color="auto" w:fill="auto"/>
            <w:tcMar>
              <w:top w:w="100" w:type="dxa"/>
              <w:left w:w="100" w:type="dxa"/>
              <w:bottom w:w="100" w:type="dxa"/>
              <w:right w:w="100" w:type="dxa"/>
            </w:tcMar>
          </w:tcPr>
          <w:p w14:paraId="1BA80813" w14:textId="77777777" w:rsidR="004175B6"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14.0%</w:t>
            </w:r>
          </w:p>
        </w:tc>
        <w:tc>
          <w:tcPr>
            <w:tcW w:w="1260" w:type="dxa"/>
            <w:shd w:val="clear" w:color="auto" w:fill="auto"/>
            <w:tcMar>
              <w:top w:w="100" w:type="dxa"/>
              <w:left w:w="100" w:type="dxa"/>
              <w:bottom w:w="100" w:type="dxa"/>
              <w:right w:w="100" w:type="dxa"/>
            </w:tcMar>
          </w:tcPr>
          <w:p w14:paraId="481781C4" w14:textId="77777777" w:rsidR="004175B6"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56.1%</w:t>
            </w:r>
          </w:p>
        </w:tc>
        <w:tc>
          <w:tcPr>
            <w:tcW w:w="1080" w:type="dxa"/>
            <w:shd w:val="clear" w:color="auto" w:fill="auto"/>
            <w:tcMar>
              <w:top w:w="100" w:type="dxa"/>
              <w:left w:w="100" w:type="dxa"/>
              <w:bottom w:w="100" w:type="dxa"/>
              <w:right w:w="100" w:type="dxa"/>
            </w:tcMar>
          </w:tcPr>
          <w:p w14:paraId="5CDCD334" w14:textId="77777777" w:rsidR="004175B6"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19.8%</w:t>
            </w:r>
          </w:p>
        </w:tc>
        <w:tc>
          <w:tcPr>
            <w:tcW w:w="1350" w:type="dxa"/>
            <w:shd w:val="clear" w:color="auto" w:fill="auto"/>
            <w:tcMar>
              <w:top w:w="100" w:type="dxa"/>
              <w:left w:w="100" w:type="dxa"/>
              <w:bottom w:w="100" w:type="dxa"/>
              <w:right w:w="100" w:type="dxa"/>
            </w:tcMar>
          </w:tcPr>
          <w:p w14:paraId="0D01EF54" w14:textId="77777777" w:rsidR="004175B6" w:rsidRPr="00944ABC" w:rsidRDefault="3EEF55E6" w:rsidP="3EEF55E6">
            <w:pPr>
              <w:widowControl w:val="0"/>
              <w:pBdr>
                <w:top w:val="nil"/>
                <w:left w:val="nil"/>
                <w:bottom w:val="nil"/>
                <w:right w:val="nil"/>
                <w:between w:val="nil"/>
              </w:pBdr>
              <w:spacing w:line="240" w:lineRule="auto"/>
              <w:ind w:firstLine="0"/>
              <w:jc w:val="center"/>
              <w:rPr>
                <w:sz w:val="20"/>
                <w:szCs w:val="20"/>
              </w:rPr>
            </w:pPr>
            <w:r w:rsidRPr="00944ABC">
              <w:rPr>
                <w:sz w:val="20"/>
                <w:szCs w:val="20"/>
              </w:rPr>
              <w:t>0.0020</w:t>
            </w:r>
          </w:p>
        </w:tc>
      </w:tr>
      <w:tr w:rsidR="00887054" w:rsidRPr="00C74791" w14:paraId="04F6FC9E" w14:textId="77777777" w:rsidTr="3EEF55E6">
        <w:tc>
          <w:tcPr>
            <w:tcW w:w="1980" w:type="dxa"/>
            <w:shd w:val="clear" w:color="auto" w:fill="auto"/>
            <w:tcMar>
              <w:top w:w="100" w:type="dxa"/>
              <w:left w:w="100" w:type="dxa"/>
              <w:bottom w:w="100" w:type="dxa"/>
              <w:right w:w="100" w:type="dxa"/>
            </w:tcMar>
          </w:tcPr>
          <w:p w14:paraId="2BC56676" w14:textId="77777777" w:rsidR="004175B6" w:rsidRPr="00944ABC" w:rsidRDefault="69CFA879" w:rsidP="69CFA879">
            <w:pPr>
              <w:widowControl w:val="0"/>
              <w:pBdr>
                <w:top w:val="nil"/>
                <w:left w:val="nil"/>
                <w:bottom w:val="nil"/>
                <w:right w:val="nil"/>
                <w:between w:val="nil"/>
              </w:pBdr>
              <w:spacing w:line="240" w:lineRule="auto"/>
              <w:ind w:firstLine="0"/>
              <w:rPr>
                <w:sz w:val="20"/>
                <w:szCs w:val="20"/>
              </w:rPr>
            </w:pPr>
            <w:r w:rsidRPr="00944ABC">
              <w:rPr>
                <w:sz w:val="20"/>
                <w:szCs w:val="20"/>
              </w:rPr>
              <w:t>SAM Total Score</w:t>
            </w:r>
          </w:p>
        </w:tc>
        <w:tc>
          <w:tcPr>
            <w:tcW w:w="1260" w:type="dxa"/>
            <w:shd w:val="clear" w:color="auto" w:fill="auto"/>
            <w:tcMar>
              <w:top w:w="100" w:type="dxa"/>
              <w:left w:w="100" w:type="dxa"/>
              <w:bottom w:w="100" w:type="dxa"/>
              <w:right w:w="100" w:type="dxa"/>
            </w:tcMar>
          </w:tcPr>
          <w:p w14:paraId="05FE8B37" w14:textId="77777777" w:rsidR="004175B6"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38.2%</w:t>
            </w:r>
          </w:p>
        </w:tc>
        <w:tc>
          <w:tcPr>
            <w:tcW w:w="720" w:type="dxa"/>
            <w:shd w:val="clear" w:color="auto" w:fill="auto"/>
            <w:tcMar>
              <w:top w:w="100" w:type="dxa"/>
              <w:left w:w="100" w:type="dxa"/>
              <w:bottom w:w="100" w:type="dxa"/>
              <w:right w:w="100" w:type="dxa"/>
            </w:tcMar>
          </w:tcPr>
          <w:p w14:paraId="48E7E0EA" w14:textId="77777777" w:rsidR="004175B6"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12.7%</w:t>
            </w:r>
          </w:p>
        </w:tc>
        <w:tc>
          <w:tcPr>
            <w:tcW w:w="1260" w:type="dxa"/>
            <w:shd w:val="clear" w:color="auto" w:fill="auto"/>
            <w:tcMar>
              <w:top w:w="100" w:type="dxa"/>
              <w:left w:w="100" w:type="dxa"/>
              <w:bottom w:w="100" w:type="dxa"/>
              <w:right w:w="100" w:type="dxa"/>
            </w:tcMar>
          </w:tcPr>
          <w:p w14:paraId="2EF205CA" w14:textId="77777777" w:rsidR="004175B6"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49.2%</w:t>
            </w:r>
          </w:p>
        </w:tc>
        <w:tc>
          <w:tcPr>
            <w:tcW w:w="1080" w:type="dxa"/>
            <w:shd w:val="clear" w:color="auto" w:fill="auto"/>
            <w:tcMar>
              <w:top w:w="100" w:type="dxa"/>
              <w:left w:w="100" w:type="dxa"/>
              <w:bottom w:w="100" w:type="dxa"/>
              <w:right w:w="100" w:type="dxa"/>
            </w:tcMar>
          </w:tcPr>
          <w:p w14:paraId="45D60DF9" w14:textId="77777777" w:rsidR="004175B6" w:rsidRPr="00944ABC" w:rsidRDefault="69CFA879" w:rsidP="69CFA879">
            <w:pPr>
              <w:widowControl w:val="0"/>
              <w:pBdr>
                <w:top w:val="nil"/>
                <w:left w:val="nil"/>
                <w:bottom w:val="nil"/>
                <w:right w:val="nil"/>
                <w:between w:val="nil"/>
              </w:pBdr>
              <w:spacing w:line="240" w:lineRule="auto"/>
              <w:ind w:firstLine="0"/>
              <w:jc w:val="center"/>
              <w:rPr>
                <w:sz w:val="20"/>
                <w:szCs w:val="20"/>
              </w:rPr>
            </w:pPr>
            <w:r w:rsidRPr="00944ABC">
              <w:rPr>
                <w:sz w:val="20"/>
                <w:szCs w:val="20"/>
              </w:rPr>
              <w:t>10.8%</w:t>
            </w:r>
          </w:p>
        </w:tc>
        <w:tc>
          <w:tcPr>
            <w:tcW w:w="1350" w:type="dxa"/>
            <w:shd w:val="clear" w:color="auto" w:fill="auto"/>
            <w:tcMar>
              <w:top w:w="100" w:type="dxa"/>
              <w:left w:w="100" w:type="dxa"/>
              <w:bottom w:w="100" w:type="dxa"/>
              <w:right w:w="100" w:type="dxa"/>
            </w:tcMar>
          </w:tcPr>
          <w:p w14:paraId="170BF642" w14:textId="77777777" w:rsidR="004175B6" w:rsidRPr="00944ABC" w:rsidRDefault="3EEF55E6" w:rsidP="3EEF55E6">
            <w:pPr>
              <w:widowControl w:val="0"/>
              <w:pBdr>
                <w:top w:val="nil"/>
                <w:left w:val="nil"/>
                <w:bottom w:val="nil"/>
                <w:right w:val="nil"/>
                <w:between w:val="nil"/>
              </w:pBdr>
              <w:spacing w:line="240" w:lineRule="auto"/>
              <w:ind w:firstLine="0"/>
              <w:jc w:val="center"/>
              <w:rPr>
                <w:sz w:val="20"/>
                <w:szCs w:val="20"/>
              </w:rPr>
            </w:pPr>
            <w:r w:rsidRPr="00944ABC">
              <w:rPr>
                <w:sz w:val="20"/>
                <w:szCs w:val="20"/>
              </w:rPr>
              <w:t>0.015</w:t>
            </w:r>
          </w:p>
        </w:tc>
      </w:tr>
      <w:tr w:rsidR="00887054" w:rsidRPr="00C74791" w14:paraId="21496EC7" w14:textId="77777777" w:rsidTr="3EEF55E6">
        <w:tc>
          <w:tcPr>
            <w:tcW w:w="1980" w:type="dxa"/>
            <w:shd w:val="clear" w:color="auto" w:fill="auto"/>
            <w:tcMar>
              <w:top w:w="100" w:type="dxa"/>
              <w:left w:w="100" w:type="dxa"/>
              <w:bottom w:w="100" w:type="dxa"/>
              <w:right w:w="100" w:type="dxa"/>
            </w:tcMar>
          </w:tcPr>
          <w:p w14:paraId="120C4E94" w14:textId="77777777" w:rsidR="004175B6" w:rsidRPr="00944ABC" w:rsidRDefault="004175B6" w:rsidP="0030012E">
            <w:pPr>
              <w:widowControl w:val="0"/>
              <w:spacing w:line="240" w:lineRule="auto"/>
              <w:rPr>
                <w:sz w:val="20"/>
                <w:szCs w:val="20"/>
              </w:rPr>
            </w:pPr>
          </w:p>
        </w:tc>
        <w:tc>
          <w:tcPr>
            <w:tcW w:w="1260" w:type="dxa"/>
            <w:shd w:val="clear" w:color="auto" w:fill="auto"/>
            <w:tcMar>
              <w:top w:w="100" w:type="dxa"/>
              <w:left w:w="100" w:type="dxa"/>
              <w:bottom w:w="100" w:type="dxa"/>
              <w:right w:w="100" w:type="dxa"/>
            </w:tcMar>
          </w:tcPr>
          <w:p w14:paraId="4617B7B6" w14:textId="77777777" w:rsidR="004175B6" w:rsidRPr="00944ABC" w:rsidRDefault="69CFA879" w:rsidP="69CFA879">
            <w:pPr>
              <w:widowControl w:val="0"/>
              <w:spacing w:line="240" w:lineRule="auto"/>
              <w:ind w:firstLine="0"/>
              <w:jc w:val="center"/>
              <w:rPr>
                <w:sz w:val="20"/>
                <w:szCs w:val="20"/>
              </w:rPr>
            </w:pPr>
            <w:r w:rsidRPr="00944ABC">
              <w:rPr>
                <w:sz w:val="20"/>
                <w:szCs w:val="20"/>
              </w:rPr>
              <w:t>%</w:t>
            </w:r>
          </w:p>
        </w:tc>
        <w:tc>
          <w:tcPr>
            <w:tcW w:w="720" w:type="dxa"/>
            <w:shd w:val="clear" w:color="auto" w:fill="auto"/>
            <w:tcMar>
              <w:top w:w="100" w:type="dxa"/>
              <w:left w:w="100" w:type="dxa"/>
              <w:bottom w:w="100" w:type="dxa"/>
              <w:right w:w="100" w:type="dxa"/>
            </w:tcMar>
          </w:tcPr>
          <w:p w14:paraId="42AFC42D" w14:textId="77777777" w:rsidR="004175B6" w:rsidRPr="00944ABC" w:rsidRDefault="004175B6" w:rsidP="004175B6">
            <w:pPr>
              <w:widowControl w:val="0"/>
              <w:spacing w:line="240" w:lineRule="auto"/>
              <w:jc w:val="center"/>
              <w:rPr>
                <w:sz w:val="20"/>
                <w:szCs w:val="20"/>
              </w:rPr>
            </w:pPr>
          </w:p>
        </w:tc>
        <w:tc>
          <w:tcPr>
            <w:tcW w:w="1260" w:type="dxa"/>
            <w:shd w:val="clear" w:color="auto" w:fill="auto"/>
            <w:tcMar>
              <w:top w:w="100" w:type="dxa"/>
              <w:left w:w="100" w:type="dxa"/>
              <w:bottom w:w="100" w:type="dxa"/>
              <w:right w:w="100" w:type="dxa"/>
            </w:tcMar>
          </w:tcPr>
          <w:p w14:paraId="2E92153E" w14:textId="77777777" w:rsidR="004175B6" w:rsidRPr="00944ABC" w:rsidRDefault="69CFA879" w:rsidP="69CFA879">
            <w:pPr>
              <w:widowControl w:val="0"/>
              <w:spacing w:line="240" w:lineRule="auto"/>
              <w:ind w:firstLine="0"/>
              <w:jc w:val="center"/>
              <w:rPr>
                <w:sz w:val="20"/>
                <w:szCs w:val="20"/>
              </w:rPr>
            </w:pPr>
            <w:r w:rsidRPr="00944ABC">
              <w:rPr>
                <w:sz w:val="20"/>
                <w:szCs w:val="20"/>
              </w:rPr>
              <w:t>%</w:t>
            </w:r>
          </w:p>
        </w:tc>
        <w:tc>
          <w:tcPr>
            <w:tcW w:w="1080" w:type="dxa"/>
            <w:shd w:val="clear" w:color="auto" w:fill="auto"/>
            <w:tcMar>
              <w:top w:w="100" w:type="dxa"/>
              <w:left w:w="100" w:type="dxa"/>
              <w:bottom w:w="100" w:type="dxa"/>
              <w:right w:w="100" w:type="dxa"/>
            </w:tcMar>
          </w:tcPr>
          <w:p w14:paraId="271CA723" w14:textId="77777777" w:rsidR="004175B6" w:rsidRPr="00944ABC" w:rsidRDefault="004175B6" w:rsidP="004175B6">
            <w:pPr>
              <w:widowControl w:val="0"/>
              <w:spacing w:line="240" w:lineRule="auto"/>
              <w:jc w:val="center"/>
              <w:rPr>
                <w:sz w:val="20"/>
                <w:szCs w:val="20"/>
              </w:rPr>
            </w:pPr>
          </w:p>
        </w:tc>
        <w:tc>
          <w:tcPr>
            <w:tcW w:w="1350" w:type="dxa"/>
            <w:shd w:val="clear" w:color="auto" w:fill="auto"/>
            <w:tcMar>
              <w:top w:w="100" w:type="dxa"/>
              <w:left w:w="100" w:type="dxa"/>
              <w:bottom w:w="100" w:type="dxa"/>
              <w:right w:w="100" w:type="dxa"/>
            </w:tcMar>
          </w:tcPr>
          <w:p w14:paraId="75FBE423" w14:textId="77777777" w:rsidR="004175B6" w:rsidRPr="00944ABC" w:rsidRDefault="004175B6" w:rsidP="004175B6">
            <w:pPr>
              <w:widowControl w:val="0"/>
              <w:spacing w:line="240" w:lineRule="auto"/>
              <w:jc w:val="center"/>
              <w:rPr>
                <w:sz w:val="20"/>
                <w:szCs w:val="20"/>
              </w:rPr>
            </w:pPr>
          </w:p>
        </w:tc>
      </w:tr>
      <w:tr w:rsidR="00887054" w:rsidRPr="00C74791" w14:paraId="33520E35" w14:textId="77777777" w:rsidTr="3EEF55E6">
        <w:tc>
          <w:tcPr>
            <w:tcW w:w="1980" w:type="dxa"/>
            <w:shd w:val="clear" w:color="auto" w:fill="auto"/>
            <w:tcMar>
              <w:top w:w="100" w:type="dxa"/>
              <w:left w:w="100" w:type="dxa"/>
              <w:bottom w:w="100" w:type="dxa"/>
              <w:right w:w="100" w:type="dxa"/>
            </w:tcMar>
          </w:tcPr>
          <w:p w14:paraId="368FB2D9" w14:textId="77777777" w:rsidR="004175B6" w:rsidRPr="00944ABC" w:rsidRDefault="69CFA879" w:rsidP="69CFA879">
            <w:pPr>
              <w:widowControl w:val="0"/>
              <w:spacing w:line="240" w:lineRule="auto"/>
              <w:ind w:firstLine="0"/>
              <w:rPr>
                <w:sz w:val="20"/>
                <w:szCs w:val="20"/>
              </w:rPr>
            </w:pPr>
            <w:r w:rsidRPr="00944ABC">
              <w:rPr>
                <w:sz w:val="20"/>
                <w:szCs w:val="20"/>
              </w:rPr>
              <w:t>Written at an 8th grade level or lower</w:t>
            </w:r>
          </w:p>
        </w:tc>
        <w:tc>
          <w:tcPr>
            <w:tcW w:w="1260" w:type="dxa"/>
            <w:shd w:val="clear" w:color="auto" w:fill="auto"/>
            <w:tcMar>
              <w:top w:w="100" w:type="dxa"/>
              <w:left w:w="100" w:type="dxa"/>
              <w:bottom w:w="100" w:type="dxa"/>
              <w:right w:w="100" w:type="dxa"/>
            </w:tcMar>
          </w:tcPr>
          <w:p w14:paraId="4B584315" w14:textId="77777777" w:rsidR="004175B6" w:rsidRPr="00944ABC" w:rsidRDefault="3EEF55E6" w:rsidP="3EEF55E6">
            <w:pPr>
              <w:widowControl w:val="0"/>
              <w:spacing w:line="240" w:lineRule="auto"/>
              <w:ind w:firstLine="0"/>
              <w:jc w:val="center"/>
              <w:rPr>
                <w:sz w:val="20"/>
                <w:szCs w:val="20"/>
              </w:rPr>
            </w:pPr>
            <w:r w:rsidRPr="00944ABC">
              <w:rPr>
                <w:sz w:val="20"/>
                <w:szCs w:val="20"/>
              </w:rPr>
              <w:t>0</w:t>
            </w:r>
          </w:p>
        </w:tc>
        <w:tc>
          <w:tcPr>
            <w:tcW w:w="720" w:type="dxa"/>
            <w:shd w:val="clear" w:color="auto" w:fill="auto"/>
            <w:tcMar>
              <w:top w:w="100" w:type="dxa"/>
              <w:left w:w="100" w:type="dxa"/>
              <w:bottom w:w="100" w:type="dxa"/>
              <w:right w:w="100" w:type="dxa"/>
            </w:tcMar>
          </w:tcPr>
          <w:p w14:paraId="2D3F0BEC" w14:textId="77777777" w:rsidR="004175B6" w:rsidRPr="00944ABC" w:rsidRDefault="004175B6" w:rsidP="004175B6">
            <w:pPr>
              <w:widowControl w:val="0"/>
              <w:spacing w:line="240" w:lineRule="auto"/>
              <w:jc w:val="center"/>
              <w:rPr>
                <w:sz w:val="20"/>
                <w:szCs w:val="20"/>
              </w:rPr>
            </w:pPr>
          </w:p>
        </w:tc>
        <w:tc>
          <w:tcPr>
            <w:tcW w:w="1260" w:type="dxa"/>
            <w:shd w:val="clear" w:color="auto" w:fill="auto"/>
            <w:tcMar>
              <w:top w:w="100" w:type="dxa"/>
              <w:left w:w="100" w:type="dxa"/>
              <w:bottom w:w="100" w:type="dxa"/>
              <w:right w:w="100" w:type="dxa"/>
            </w:tcMar>
          </w:tcPr>
          <w:p w14:paraId="1F1BEF5A" w14:textId="77777777" w:rsidR="004175B6" w:rsidRPr="00944ABC" w:rsidRDefault="3EEF55E6" w:rsidP="3EEF55E6">
            <w:pPr>
              <w:widowControl w:val="0"/>
              <w:spacing w:line="240" w:lineRule="auto"/>
              <w:ind w:firstLine="0"/>
              <w:jc w:val="center"/>
              <w:rPr>
                <w:sz w:val="20"/>
                <w:szCs w:val="20"/>
              </w:rPr>
            </w:pPr>
            <w:r w:rsidRPr="00944ABC">
              <w:rPr>
                <w:sz w:val="20"/>
                <w:szCs w:val="20"/>
              </w:rPr>
              <w:t>34.2</w:t>
            </w:r>
          </w:p>
        </w:tc>
        <w:tc>
          <w:tcPr>
            <w:tcW w:w="1080" w:type="dxa"/>
            <w:shd w:val="clear" w:color="auto" w:fill="auto"/>
            <w:tcMar>
              <w:top w:w="100" w:type="dxa"/>
              <w:left w:w="100" w:type="dxa"/>
              <w:bottom w:w="100" w:type="dxa"/>
              <w:right w:w="100" w:type="dxa"/>
            </w:tcMar>
          </w:tcPr>
          <w:p w14:paraId="75CF4315" w14:textId="77777777" w:rsidR="004175B6" w:rsidRPr="00944ABC" w:rsidRDefault="004175B6" w:rsidP="004175B6">
            <w:pPr>
              <w:widowControl w:val="0"/>
              <w:spacing w:line="240" w:lineRule="auto"/>
              <w:jc w:val="center"/>
              <w:rPr>
                <w:sz w:val="20"/>
                <w:szCs w:val="20"/>
              </w:rPr>
            </w:pPr>
          </w:p>
        </w:tc>
        <w:tc>
          <w:tcPr>
            <w:tcW w:w="1350" w:type="dxa"/>
            <w:shd w:val="clear" w:color="auto" w:fill="auto"/>
            <w:tcMar>
              <w:top w:w="100" w:type="dxa"/>
              <w:left w:w="100" w:type="dxa"/>
              <w:bottom w:w="100" w:type="dxa"/>
              <w:right w:w="100" w:type="dxa"/>
            </w:tcMar>
          </w:tcPr>
          <w:p w14:paraId="1A5FF878" w14:textId="77777777" w:rsidR="004175B6" w:rsidRPr="00944ABC" w:rsidRDefault="3EEF55E6" w:rsidP="3EEF55E6">
            <w:pPr>
              <w:widowControl w:val="0"/>
              <w:spacing w:line="240" w:lineRule="auto"/>
              <w:ind w:firstLine="0"/>
              <w:jc w:val="center"/>
              <w:rPr>
                <w:sz w:val="20"/>
                <w:szCs w:val="20"/>
              </w:rPr>
            </w:pPr>
            <w:r w:rsidRPr="00944ABC">
              <w:rPr>
                <w:sz w:val="20"/>
                <w:szCs w:val="20"/>
              </w:rPr>
              <w:t>0.022</w:t>
            </w:r>
          </w:p>
        </w:tc>
      </w:tr>
      <w:tr w:rsidR="00887054" w:rsidRPr="00C74791" w14:paraId="6505F1B4" w14:textId="77777777" w:rsidTr="3EEF55E6">
        <w:tc>
          <w:tcPr>
            <w:tcW w:w="1980" w:type="dxa"/>
            <w:shd w:val="clear" w:color="auto" w:fill="auto"/>
            <w:tcMar>
              <w:top w:w="100" w:type="dxa"/>
              <w:left w:w="100" w:type="dxa"/>
              <w:bottom w:w="100" w:type="dxa"/>
              <w:right w:w="100" w:type="dxa"/>
            </w:tcMar>
          </w:tcPr>
          <w:p w14:paraId="001F2D70" w14:textId="77777777" w:rsidR="004175B6" w:rsidRPr="00944ABC" w:rsidRDefault="69CFA879" w:rsidP="69CFA879">
            <w:pPr>
              <w:widowControl w:val="0"/>
              <w:pBdr>
                <w:top w:val="nil"/>
                <w:left w:val="nil"/>
                <w:bottom w:val="nil"/>
                <w:right w:val="nil"/>
                <w:between w:val="nil"/>
              </w:pBdr>
              <w:spacing w:line="240" w:lineRule="auto"/>
              <w:ind w:firstLine="0"/>
              <w:rPr>
                <w:sz w:val="20"/>
                <w:szCs w:val="20"/>
              </w:rPr>
            </w:pPr>
            <w:r w:rsidRPr="00944ABC">
              <w:rPr>
                <w:sz w:val="20"/>
                <w:szCs w:val="20"/>
              </w:rPr>
              <w:t>Achieving an Adequate SAM Total Score</w:t>
            </w:r>
          </w:p>
        </w:tc>
        <w:tc>
          <w:tcPr>
            <w:tcW w:w="1260" w:type="dxa"/>
            <w:shd w:val="clear" w:color="auto" w:fill="auto"/>
            <w:tcMar>
              <w:top w:w="100" w:type="dxa"/>
              <w:left w:w="100" w:type="dxa"/>
              <w:bottom w:w="100" w:type="dxa"/>
              <w:right w:w="100" w:type="dxa"/>
            </w:tcMar>
          </w:tcPr>
          <w:p w14:paraId="08FFD014" w14:textId="77777777" w:rsidR="004175B6" w:rsidRPr="00944ABC" w:rsidRDefault="3EEF55E6" w:rsidP="3EEF55E6">
            <w:pPr>
              <w:widowControl w:val="0"/>
              <w:pBdr>
                <w:top w:val="nil"/>
                <w:left w:val="nil"/>
                <w:bottom w:val="nil"/>
                <w:right w:val="nil"/>
                <w:between w:val="nil"/>
              </w:pBdr>
              <w:spacing w:line="240" w:lineRule="auto"/>
              <w:ind w:firstLine="0"/>
              <w:jc w:val="center"/>
              <w:rPr>
                <w:sz w:val="20"/>
                <w:szCs w:val="20"/>
              </w:rPr>
            </w:pPr>
            <w:r w:rsidRPr="00944ABC">
              <w:rPr>
                <w:sz w:val="20"/>
                <w:szCs w:val="20"/>
              </w:rPr>
              <w:t>50.0</w:t>
            </w:r>
          </w:p>
        </w:tc>
        <w:tc>
          <w:tcPr>
            <w:tcW w:w="720" w:type="dxa"/>
            <w:shd w:val="clear" w:color="auto" w:fill="auto"/>
            <w:tcMar>
              <w:top w:w="100" w:type="dxa"/>
              <w:left w:w="100" w:type="dxa"/>
              <w:bottom w:w="100" w:type="dxa"/>
              <w:right w:w="100" w:type="dxa"/>
            </w:tcMar>
          </w:tcPr>
          <w:p w14:paraId="3CB648E9" w14:textId="77777777" w:rsidR="004175B6" w:rsidRPr="00944ABC" w:rsidRDefault="004175B6" w:rsidP="004175B6">
            <w:pPr>
              <w:widowControl w:val="0"/>
              <w:pBdr>
                <w:top w:val="nil"/>
                <w:left w:val="nil"/>
                <w:bottom w:val="nil"/>
                <w:right w:val="nil"/>
                <w:between w:val="nil"/>
              </w:pBdr>
              <w:spacing w:line="240" w:lineRule="auto"/>
              <w:jc w:val="center"/>
              <w:rPr>
                <w:sz w:val="20"/>
                <w:szCs w:val="20"/>
              </w:rPr>
            </w:pPr>
          </w:p>
        </w:tc>
        <w:tc>
          <w:tcPr>
            <w:tcW w:w="1260" w:type="dxa"/>
            <w:shd w:val="clear" w:color="auto" w:fill="auto"/>
            <w:tcMar>
              <w:top w:w="100" w:type="dxa"/>
              <w:left w:w="100" w:type="dxa"/>
              <w:bottom w:w="100" w:type="dxa"/>
              <w:right w:w="100" w:type="dxa"/>
            </w:tcMar>
          </w:tcPr>
          <w:p w14:paraId="1973388B" w14:textId="77777777" w:rsidR="004175B6" w:rsidRPr="00944ABC" w:rsidRDefault="3EEF55E6" w:rsidP="3EEF55E6">
            <w:pPr>
              <w:widowControl w:val="0"/>
              <w:pBdr>
                <w:top w:val="nil"/>
                <w:left w:val="nil"/>
                <w:bottom w:val="nil"/>
                <w:right w:val="nil"/>
                <w:between w:val="nil"/>
              </w:pBdr>
              <w:spacing w:line="240" w:lineRule="auto"/>
              <w:ind w:firstLine="0"/>
              <w:jc w:val="center"/>
              <w:rPr>
                <w:sz w:val="20"/>
                <w:szCs w:val="20"/>
              </w:rPr>
            </w:pPr>
            <w:r w:rsidRPr="00944ABC">
              <w:rPr>
                <w:sz w:val="20"/>
                <w:szCs w:val="20"/>
              </w:rPr>
              <w:t>76.3</w:t>
            </w:r>
          </w:p>
        </w:tc>
        <w:tc>
          <w:tcPr>
            <w:tcW w:w="1080" w:type="dxa"/>
            <w:shd w:val="clear" w:color="auto" w:fill="auto"/>
            <w:tcMar>
              <w:top w:w="100" w:type="dxa"/>
              <w:left w:w="100" w:type="dxa"/>
              <w:bottom w:w="100" w:type="dxa"/>
              <w:right w:w="100" w:type="dxa"/>
            </w:tcMar>
          </w:tcPr>
          <w:p w14:paraId="0C178E9E" w14:textId="77777777" w:rsidR="004175B6" w:rsidRPr="00944ABC" w:rsidRDefault="004175B6" w:rsidP="004175B6">
            <w:pPr>
              <w:widowControl w:val="0"/>
              <w:pBdr>
                <w:top w:val="nil"/>
                <w:left w:val="nil"/>
                <w:bottom w:val="nil"/>
                <w:right w:val="nil"/>
                <w:between w:val="nil"/>
              </w:pBdr>
              <w:spacing w:line="240" w:lineRule="auto"/>
              <w:jc w:val="center"/>
              <w:rPr>
                <w:sz w:val="20"/>
                <w:szCs w:val="20"/>
              </w:rPr>
            </w:pPr>
          </w:p>
        </w:tc>
        <w:tc>
          <w:tcPr>
            <w:tcW w:w="1350" w:type="dxa"/>
            <w:shd w:val="clear" w:color="auto" w:fill="auto"/>
            <w:tcMar>
              <w:top w:w="100" w:type="dxa"/>
              <w:left w:w="100" w:type="dxa"/>
              <w:bottom w:w="100" w:type="dxa"/>
              <w:right w:w="100" w:type="dxa"/>
            </w:tcMar>
          </w:tcPr>
          <w:p w14:paraId="5DD1E365" w14:textId="77777777" w:rsidR="004175B6" w:rsidRPr="00944ABC" w:rsidRDefault="3EEF55E6" w:rsidP="3EEF55E6">
            <w:pPr>
              <w:widowControl w:val="0"/>
              <w:pBdr>
                <w:top w:val="nil"/>
                <w:left w:val="nil"/>
                <w:bottom w:val="nil"/>
                <w:right w:val="nil"/>
                <w:between w:val="nil"/>
              </w:pBdr>
              <w:spacing w:line="240" w:lineRule="auto"/>
              <w:ind w:firstLine="0"/>
              <w:jc w:val="center"/>
              <w:rPr>
                <w:sz w:val="20"/>
                <w:szCs w:val="20"/>
              </w:rPr>
            </w:pPr>
            <w:r w:rsidRPr="00944ABC">
              <w:rPr>
                <w:sz w:val="20"/>
                <w:szCs w:val="20"/>
              </w:rPr>
              <w:t>0.146</w:t>
            </w:r>
          </w:p>
        </w:tc>
      </w:tr>
    </w:tbl>
    <w:p w14:paraId="3C0395D3" w14:textId="77777777" w:rsidR="00B26BC7" w:rsidRDefault="00B26BC7" w:rsidP="009664C4"/>
    <w:p w14:paraId="37955050" w14:textId="77777777" w:rsidR="004175B6" w:rsidRDefault="3EEF55E6" w:rsidP="009664C4">
      <w:r>
        <w:t xml:space="preserve">Based on results presented above, it seemed clear that the AAP general pediatrics materials were more readable and more comprehensible than the subspecialty materials. For example, all twenty materials produced by the AAP </w:t>
      </w:r>
      <w:proofErr w:type="gramStart"/>
      <w:r>
        <w:t>were considered</w:t>
      </w:r>
      <w:proofErr w:type="gramEnd"/>
      <w:r>
        <w:t xml:space="preserve"> adequate by the SAM metric, and a majority was at or below an 8th grade reading level, something that no other document achieved. The author decided to test these hypotheses as well (</w:t>
      </w:r>
      <w:r w:rsidRPr="3EEF55E6">
        <w:rPr>
          <w:b/>
          <w:bCs/>
        </w:rPr>
        <w:t>Table 6</w:t>
      </w:r>
      <w:r>
        <w:t xml:space="preserve">). These tests supported the author’s intuition. Materials from the AAP were significantly more readable and suitable compared to the aggregate of other materials that were collected with regards to mean SMOG grade level, proportion at an 8th grade reading level or lower, mean SAM literacy </w:t>
      </w:r>
      <w:proofErr w:type="spellStart"/>
      <w:r>
        <w:t>subscore</w:t>
      </w:r>
      <w:proofErr w:type="spellEnd"/>
      <w:r>
        <w:t xml:space="preserve">, mean SAM total </w:t>
      </w:r>
      <w:r>
        <w:lastRenderedPageBreak/>
        <w:t>score, and proportion that were “adequate” by SAM scoring (p-values for all five comparison &lt;0.0001).</w:t>
      </w:r>
    </w:p>
    <w:p w14:paraId="3254BC2F" w14:textId="77777777" w:rsidR="006B73F2" w:rsidRDefault="006B73F2" w:rsidP="006B73F2">
      <w:pPr>
        <w:spacing w:line="240" w:lineRule="auto"/>
      </w:pPr>
    </w:p>
    <w:p w14:paraId="21198962" w14:textId="77777777" w:rsidR="003A559D" w:rsidRDefault="003A559D" w:rsidP="003A559D">
      <w:pPr>
        <w:pStyle w:val="Caption"/>
        <w:keepNext/>
        <w:ind w:firstLine="990"/>
      </w:pPr>
      <w:bookmarkStart w:id="23" w:name="_Toc525805153"/>
      <w:r>
        <w:t xml:space="preserve">Table </w:t>
      </w:r>
      <w:r w:rsidR="00FB6957">
        <w:fldChar w:fldCharType="begin"/>
      </w:r>
      <w:r w:rsidR="00FB6957">
        <w:instrText xml:space="preserve"> SEQ Table \* ARABIC </w:instrText>
      </w:r>
      <w:r w:rsidR="00FB6957">
        <w:fldChar w:fldCharType="separate"/>
      </w:r>
      <w:r w:rsidR="009E497A" w:rsidRPr="69CFA879">
        <w:t>6</w:t>
      </w:r>
      <w:r w:rsidR="00FB6957">
        <w:fldChar w:fldCharType="end"/>
      </w:r>
      <w:r>
        <w:t>. Comparison of AAP Produced Materials to all other Materials in our Sample</w:t>
      </w:r>
      <w:bookmarkEnd w:id="23"/>
    </w:p>
    <w:tbl>
      <w:tblPr>
        <w:tblW w:w="7650"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260"/>
        <w:gridCol w:w="720"/>
        <w:gridCol w:w="1260"/>
        <w:gridCol w:w="1080"/>
        <w:gridCol w:w="1350"/>
      </w:tblGrid>
      <w:tr w:rsidR="00B26BC7" w:rsidRPr="00C74791" w14:paraId="21CEDCFC" w14:textId="77777777" w:rsidTr="3EEF55E6">
        <w:tc>
          <w:tcPr>
            <w:tcW w:w="1980" w:type="dxa"/>
            <w:shd w:val="clear" w:color="auto" w:fill="auto"/>
            <w:tcMar>
              <w:top w:w="100" w:type="dxa"/>
              <w:left w:w="100" w:type="dxa"/>
              <w:bottom w:w="100" w:type="dxa"/>
              <w:right w:w="100" w:type="dxa"/>
            </w:tcMar>
          </w:tcPr>
          <w:p w14:paraId="651E9592" w14:textId="77777777" w:rsidR="00B26BC7" w:rsidRPr="00D36CFA" w:rsidRDefault="00B26BC7" w:rsidP="0030012E">
            <w:pPr>
              <w:widowControl w:val="0"/>
              <w:pBdr>
                <w:top w:val="nil"/>
                <w:left w:val="nil"/>
                <w:bottom w:val="nil"/>
                <w:right w:val="nil"/>
                <w:between w:val="nil"/>
              </w:pBdr>
              <w:spacing w:line="240" w:lineRule="auto"/>
              <w:rPr>
                <w:sz w:val="20"/>
                <w:szCs w:val="20"/>
              </w:rPr>
            </w:pPr>
          </w:p>
        </w:tc>
        <w:tc>
          <w:tcPr>
            <w:tcW w:w="1260" w:type="dxa"/>
            <w:shd w:val="clear" w:color="auto" w:fill="auto"/>
            <w:tcMar>
              <w:top w:w="100" w:type="dxa"/>
              <w:left w:w="100" w:type="dxa"/>
              <w:bottom w:w="100" w:type="dxa"/>
              <w:right w:w="100" w:type="dxa"/>
            </w:tcMar>
          </w:tcPr>
          <w:p w14:paraId="543632C7" w14:textId="77777777" w:rsidR="00B26BC7" w:rsidRPr="00D36CFA" w:rsidRDefault="69CFA879" w:rsidP="69CFA879">
            <w:pPr>
              <w:widowControl w:val="0"/>
              <w:pBdr>
                <w:top w:val="nil"/>
                <w:left w:val="nil"/>
                <w:bottom w:val="nil"/>
                <w:right w:val="nil"/>
                <w:between w:val="nil"/>
              </w:pBdr>
              <w:spacing w:line="240" w:lineRule="auto"/>
              <w:ind w:firstLine="0"/>
              <w:jc w:val="center"/>
              <w:rPr>
                <w:b/>
                <w:bCs/>
                <w:sz w:val="20"/>
                <w:szCs w:val="20"/>
              </w:rPr>
            </w:pPr>
            <w:r w:rsidRPr="00D36CFA">
              <w:rPr>
                <w:b/>
                <w:bCs/>
                <w:sz w:val="20"/>
                <w:szCs w:val="20"/>
              </w:rPr>
              <w:t>AAP Materials</w:t>
            </w:r>
          </w:p>
        </w:tc>
        <w:tc>
          <w:tcPr>
            <w:tcW w:w="720" w:type="dxa"/>
            <w:shd w:val="clear" w:color="auto" w:fill="auto"/>
            <w:tcMar>
              <w:top w:w="100" w:type="dxa"/>
              <w:left w:w="100" w:type="dxa"/>
              <w:bottom w:w="100" w:type="dxa"/>
              <w:right w:w="100" w:type="dxa"/>
            </w:tcMar>
          </w:tcPr>
          <w:p w14:paraId="269E314A" w14:textId="77777777" w:rsidR="00B26BC7" w:rsidRPr="00D36CFA" w:rsidRDefault="00B26BC7" w:rsidP="0030012E">
            <w:pPr>
              <w:widowControl w:val="0"/>
              <w:pBdr>
                <w:top w:val="nil"/>
                <w:left w:val="nil"/>
                <w:bottom w:val="nil"/>
                <w:right w:val="nil"/>
                <w:between w:val="nil"/>
              </w:pBdr>
              <w:spacing w:line="240" w:lineRule="auto"/>
              <w:jc w:val="center"/>
              <w:rPr>
                <w:b/>
                <w:sz w:val="20"/>
                <w:szCs w:val="20"/>
              </w:rPr>
            </w:pPr>
          </w:p>
        </w:tc>
        <w:tc>
          <w:tcPr>
            <w:tcW w:w="1260" w:type="dxa"/>
            <w:shd w:val="clear" w:color="auto" w:fill="auto"/>
            <w:tcMar>
              <w:top w:w="100" w:type="dxa"/>
              <w:left w:w="100" w:type="dxa"/>
              <w:bottom w:w="100" w:type="dxa"/>
              <w:right w:w="100" w:type="dxa"/>
            </w:tcMar>
          </w:tcPr>
          <w:p w14:paraId="13CFB341" w14:textId="77777777" w:rsidR="00B26BC7" w:rsidRPr="00D36CFA" w:rsidRDefault="69CFA879" w:rsidP="69CFA879">
            <w:pPr>
              <w:widowControl w:val="0"/>
              <w:pBdr>
                <w:top w:val="nil"/>
                <w:left w:val="nil"/>
                <w:bottom w:val="nil"/>
                <w:right w:val="nil"/>
                <w:between w:val="nil"/>
              </w:pBdr>
              <w:spacing w:line="240" w:lineRule="auto"/>
              <w:ind w:firstLine="0"/>
              <w:jc w:val="center"/>
              <w:rPr>
                <w:b/>
                <w:bCs/>
                <w:sz w:val="20"/>
                <w:szCs w:val="20"/>
              </w:rPr>
            </w:pPr>
            <w:r w:rsidRPr="00D36CFA">
              <w:rPr>
                <w:b/>
                <w:bCs/>
                <w:sz w:val="20"/>
                <w:szCs w:val="20"/>
              </w:rPr>
              <w:t>All Other Materials</w:t>
            </w:r>
          </w:p>
        </w:tc>
        <w:tc>
          <w:tcPr>
            <w:tcW w:w="1080" w:type="dxa"/>
            <w:shd w:val="clear" w:color="auto" w:fill="auto"/>
            <w:tcMar>
              <w:top w:w="100" w:type="dxa"/>
              <w:left w:w="100" w:type="dxa"/>
              <w:bottom w:w="100" w:type="dxa"/>
              <w:right w:w="100" w:type="dxa"/>
            </w:tcMar>
          </w:tcPr>
          <w:p w14:paraId="47341341" w14:textId="77777777" w:rsidR="00B26BC7" w:rsidRPr="00D36CFA" w:rsidRDefault="00B26BC7" w:rsidP="0030012E">
            <w:pPr>
              <w:widowControl w:val="0"/>
              <w:pBdr>
                <w:top w:val="nil"/>
                <w:left w:val="nil"/>
                <w:bottom w:val="nil"/>
                <w:right w:val="nil"/>
                <w:between w:val="nil"/>
              </w:pBdr>
              <w:spacing w:line="240" w:lineRule="auto"/>
              <w:jc w:val="center"/>
              <w:rPr>
                <w:b/>
                <w:sz w:val="20"/>
                <w:szCs w:val="20"/>
              </w:rPr>
            </w:pPr>
          </w:p>
        </w:tc>
        <w:tc>
          <w:tcPr>
            <w:tcW w:w="1350" w:type="dxa"/>
            <w:shd w:val="clear" w:color="auto" w:fill="auto"/>
            <w:tcMar>
              <w:top w:w="100" w:type="dxa"/>
              <w:left w:w="100" w:type="dxa"/>
              <w:bottom w:w="100" w:type="dxa"/>
              <w:right w:w="100" w:type="dxa"/>
            </w:tcMar>
          </w:tcPr>
          <w:p w14:paraId="6B14D691" w14:textId="77777777" w:rsidR="00B26BC7" w:rsidRPr="00D36CFA" w:rsidRDefault="69CFA879" w:rsidP="69CFA879">
            <w:pPr>
              <w:widowControl w:val="0"/>
              <w:pBdr>
                <w:top w:val="nil"/>
                <w:left w:val="nil"/>
                <w:bottom w:val="nil"/>
                <w:right w:val="nil"/>
                <w:between w:val="nil"/>
              </w:pBdr>
              <w:spacing w:line="240" w:lineRule="auto"/>
              <w:ind w:firstLine="0"/>
              <w:jc w:val="center"/>
              <w:rPr>
                <w:b/>
                <w:bCs/>
                <w:sz w:val="20"/>
                <w:szCs w:val="20"/>
              </w:rPr>
            </w:pPr>
            <w:r w:rsidRPr="00D36CFA">
              <w:rPr>
                <w:b/>
                <w:bCs/>
                <w:sz w:val="20"/>
                <w:szCs w:val="20"/>
              </w:rPr>
              <w:t>p-value</w:t>
            </w:r>
          </w:p>
        </w:tc>
      </w:tr>
      <w:tr w:rsidR="00B26BC7" w:rsidRPr="00C74791" w14:paraId="1A1016F7" w14:textId="77777777" w:rsidTr="3EEF55E6">
        <w:tc>
          <w:tcPr>
            <w:tcW w:w="1980" w:type="dxa"/>
            <w:shd w:val="clear" w:color="auto" w:fill="auto"/>
            <w:tcMar>
              <w:top w:w="100" w:type="dxa"/>
              <w:left w:w="100" w:type="dxa"/>
              <w:bottom w:w="100" w:type="dxa"/>
              <w:right w:w="100" w:type="dxa"/>
            </w:tcMar>
          </w:tcPr>
          <w:p w14:paraId="36F0E267" w14:textId="77777777" w:rsidR="00B26BC7" w:rsidRPr="00D36CFA" w:rsidRDefault="69CFA879" w:rsidP="69CFA879">
            <w:pPr>
              <w:widowControl w:val="0"/>
              <w:pBdr>
                <w:top w:val="nil"/>
                <w:left w:val="nil"/>
                <w:bottom w:val="nil"/>
                <w:right w:val="nil"/>
                <w:between w:val="nil"/>
              </w:pBdr>
              <w:spacing w:line="240" w:lineRule="auto"/>
              <w:ind w:firstLine="0"/>
              <w:rPr>
                <w:b/>
                <w:bCs/>
                <w:sz w:val="20"/>
                <w:szCs w:val="20"/>
              </w:rPr>
            </w:pPr>
            <w:r w:rsidRPr="00D36CFA">
              <w:rPr>
                <w:b/>
                <w:bCs/>
                <w:sz w:val="20"/>
                <w:szCs w:val="20"/>
              </w:rPr>
              <w:t>n</w:t>
            </w:r>
          </w:p>
        </w:tc>
        <w:tc>
          <w:tcPr>
            <w:tcW w:w="1260" w:type="dxa"/>
            <w:shd w:val="clear" w:color="auto" w:fill="auto"/>
            <w:tcMar>
              <w:top w:w="100" w:type="dxa"/>
              <w:left w:w="100" w:type="dxa"/>
              <w:bottom w:w="100" w:type="dxa"/>
              <w:right w:w="100" w:type="dxa"/>
            </w:tcMar>
          </w:tcPr>
          <w:p w14:paraId="5007C906" w14:textId="77777777" w:rsidR="00B26BC7" w:rsidRPr="00D36CFA" w:rsidRDefault="3EEF55E6" w:rsidP="3EEF55E6">
            <w:pPr>
              <w:widowControl w:val="0"/>
              <w:pBdr>
                <w:top w:val="nil"/>
                <w:left w:val="nil"/>
                <w:bottom w:val="nil"/>
                <w:right w:val="nil"/>
                <w:between w:val="nil"/>
              </w:pBdr>
              <w:spacing w:line="240" w:lineRule="auto"/>
              <w:ind w:firstLine="0"/>
              <w:jc w:val="center"/>
              <w:rPr>
                <w:b/>
                <w:bCs/>
                <w:sz w:val="20"/>
                <w:szCs w:val="20"/>
              </w:rPr>
            </w:pPr>
            <w:r w:rsidRPr="00D36CFA">
              <w:rPr>
                <w:b/>
                <w:bCs/>
                <w:sz w:val="20"/>
                <w:szCs w:val="20"/>
              </w:rPr>
              <w:t>20</w:t>
            </w:r>
          </w:p>
        </w:tc>
        <w:tc>
          <w:tcPr>
            <w:tcW w:w="720" w:type="dxa"/>
            <w:shd w:val="clear" w:color="auto" w:fill="auto"/>
            <w:tcMar>
              <w:top w:w="100" w:type="dxa"/>
              <w:left w:w="100" w:type="dxa"/>
              <w:bottom w:w="100" w:type="dxa"/>
              <w:right w:w="100" w:type="dxa"/>
            </w:tcMar>
          </w:tcPr>
          <w:p w14:paraId="42EF2083" w14:textId="77777777" w:rsidR="00B26BC7" w:rsidRPr="00D36CFA" w:rsidRDefault="00B26BC7" w:rsidP="0030012E">
            <w:pPr>
              <w:widowControl w:val="0"/>
              <w:pBdr>
                <w:top w:val="nil"/>
                <w:left w:val="nil"/>
                <w:bottom w:val="nil"/>
                <w:right w:val="nil"/>
                <w:between w:val="nil"/>
              </w:pBdr>
              <w:spacing w:line="240" w:lineRule="auto"/>
              <w:jc w:val="center"/>
              <w:rPr>
                <w:b/>
                <w:sz w:val="20"/>
                <w:szCs w:val="20"/>
              </w:rPr>
            </w:pPr>
          </w:p>
        </w:tc>
        <w:tc>
          <w:tcPr>
            <w:tcW w:w="1260" w:type="dxa"/>
            <w:shd w:val="clear" w:color="auto" w:fill="auto"/>
            <w:tcMar>
              <w:top w:w="100" w:type="dxa"/>
              <w:left w:w="100" w:type="dxa"/>
              <w:bottom w:w="100" w:type="dxa"/>
              <w:right w:w="100" w:type="dxa"/>
            </w:tcMar>
          </w:tcPr>
          <w:p w14:paraId="60DA3216" w14:textId="77777777" w:rsidR="00B26BC7" w:rsidRPr="00D36CFA" w:rsidRDefault="3EEF55E6" w:rsidP="3EEF55E6">
            <w:pPr>
              <w:widowControl w:val="0"/>
              <w:pBdr>
                <w:top w:val="nil"/>
                <w:left w:val="nil"/>
                <w:bottom w:val="nil"/>
                <w:right w:val="nil"/>
                <w:between w:val="nil"/>
              </w:pBdr>
              <w:spacing w:line="240" w:lineRule="auto"/>
              <w:ind w:firstLine="0"/>
              <w:jc w:val="center"/>
              <w:rPr>
                <w:b/>
                <w:bCs/>
                <w:sz w:val="20"/>
                <w:szCs w:val="20"/>
              </w:rPr>
            </w:pPr>
            <w:r w:rsidRPr="00D36CFA">
              <w:rPr>
                <w:b/>
                <w:bCs/>
                <w:sz w:val="20"/>
                <w:szCs w:val="20"/>
              </w:rPr>
              <w:t>30</w:t>
            </w:r>
          </w:p>
        </w:tc>
        <w:tc>
          <w:tcPr>
            <w:tcW w:w="1080" w:type="dxa"/>
            <w:shd w:val="clear" w:color="auto" w:fill="auto"/>
            <w:tcMar>
              <w:top w:w="100" w:type="dxa"/>
              <w:left w:w="100" w:type="dxa"/>
              <w:bottom w:w="100" w:type="dxa"/>
              <w:right w:w="100" w:type="dxa"/>
            </w:tcMar>
          </w:tcPr>
          <w:p w14:paraId="7B40C951" w14:textId="77777777" w:rsidR="00B26BC7" w:rsidRPr="00D36CFA" w:rsidRDefault="00B26BC7" w:rsidP="0030012E">
            <w:pPr>
              <w:widowControl w:val="0"/>
              <w:pBdr>
                <w:top w:val="nil"/>
                <w:left w:val="nil"/>
                <w:bottom w:val="nil"/>
                <w:right w:val="nil"/>
                <w:between w:val="nil"/>
              </w:pBdr>
              <w:spacing w:line="240" w:lineRule="auto"/>
              <w:jc w:val="center"/>
              <w:rPr>
                <w:sz w:val="20"/>
                <w:szCs w:val="20"/>
              </w:rPr>
            </w:pPr>
          </w:p>
        </w:tc>
        <w:tc>
          <w:tcPr>
            <w:tcW w:w="1350" w:type="dxa"/>
            <w:shd w:val="clear" w:color="auto" w:fill="auto"/>
            <w:tcMar>
              <w:top w:w="100" w:type="dxa"/>
              <w:left w:w="100" w:type="dxa"/>
              <w:bottom w:w="100" w:type="dxa"/>
              <w:right w:w="100" w:type="dxa"/>
            </w:tcMar>
          </w:tcPr>
          <w:p w14:paraId="4B4D7232" w14:textId="77777777" w:rsidR="00B26BC7" w:rsidRPr="00D36CFA" w:rsidRDefault="00B26BC7" w:rsidP="0030012E">
            <w:pPr>
              <w:widowControl w:val="0"/>
              <w:pBdr>
                <w:top w:val="nil"/>
                <w:left w:val="nil"/>
                <w:bottom w:val="nil"/>
                <w:right w:val="nil"/>
                <w:between w:val="nil"/>
              </w:pBdr>
              <w:spacing w:line="240" w:lineRule="auto"/>
              <w:jc w:val="center"/>
              <w:rPr>
                <w:sz w:val="20"/>
                <w:szCs w:val="20"/>
              </w:rPr>
            </w:pPr>
          </w:p>
        </w:tc>
      </w:tr>
      <w:tr w:rsidR="00B26BC7" w:rsidRPr="00C74791" w14:paraId="69909078" w14:textId="77777777" w:rsidTr="3EEF55E6">
        <w:tc>
          <w:tcPr>
            <w:tcW w:w="1980" w:type="dxa"/>
            <w:shd w:val="clear" w:color="auto" w:fill="auto"/>
            <w:tcMar>
              <w:top w:w="100" w:type="dxa"/>
              <w:left w:w="100" w:type="dxa"/>
              <w:bottom w:w="100" w:type="dxa"/>
              <w:right w:w="100" w:type="dxa"/>
            </w:tcMar>
          </w:tcPr>
          <w:p w14:paraId="2093CA67" w14:textId="77777777" w:rsidR="00B26BC7" w:rsidRPr="00D36CFA" w:rsidRDefault="00B26BC7" w:rsidP="0030012E">
            <w:pPr>
              <w:widowControl w:val="0"/>
              <w:pBdr>
                <w:top w:val="nil"/>
                <w:left w:val="nil"/>
                <w:bottom w:val="nil"/>
                <w:right w:val="nil"/>
                <w:between w:val="nil"/>
              </w:pBdr>
              <w:spacing w:line="240" w:lineRule="auto"/>
              <w:rPr>
                <w:sz w:val="20"/>
                <w:szCs w:val="20"/>
              </w:rPr>
            </w:pPr>
          </w:p>
        </w:tc>
        <w:tc>
          <w:tcPr>
            <w:tcW w:w="1260" w:type="dxa"/>
            <w:shd w:val="clear" w:color="auto" w:fill="auto"/>
            <w:tcMar>
              <w:top w:w="100" w:type="dxa"/>
              <w:left w:w="100" w:type="dxa"/>
              <w:bottom w:w="100" w:type="dxa"/>
              <w:right w:w="100" w:type="dxa"/>
            </w:tcMar>
          </w:tcPr>
          <w:p w14:paraId="450D00D0" w14:textId="77777777" w:rsidR="00B26BC7" w:rsidRPr="00D36CFA" w:rsidRDefault="69CFA879" w:rsidP="69CFA879">
            <w:pPr>
              <w:widowControl w:val="0"/>
              <w:pBdr>
                <w:top w:val="nil"/>
                <w:left w:val="nil"/>
                <w:bottom w:val="nil"/>
                <w:right w:val="nil"/>
                <w:between w:val="nil"/>
              </w:pBdr>
              <w:spacing w:line="240" w:lineRule="auto"/>
              <w:ind w:firstLine="0"/>
              <w:jc w:val="center"/>
              <w:rPr>
                <w:sz w:val="20"/>
                <w:szCs w:val="20"/>
              </w:rPr>
            </w:pPr>
            <w:r w:rsidRPr="00D36CFA">
              <w:rPr>
                <w:sz w:val="20"/>
                <w:szCs w:val="20"/>
              </w:rPr>
              <w:t>mean</w:t>
            </w:r>
          </w:p>
        </w:tc>
        <w:tc>
          <w:tcPr>
            <w:tcW w:w="720" w:type="dxa"/>
            <w:shd w:val="clear" w:color="auto" w:fill="auto"/>
            <w:tcMar>
              <w:top w:w="100" w:type="dxa"/>
              <w:left w:w="100" w:type="dxa"/>
              <w:bottom w:w="100" w:type="dxa"/>
              <w:right w:w="100" w:type="dxa"/>
            </w:tcMar>
          </w:tcPr>
          <w:p w14:paraId="2657C6FA" w14:textId="77777777" w:rsidR="00B26BC7" w:rsidRPr="00D36CFA" w:rsidRDefault="3EEF55E6" w:rsidP="3EEF55E6">
            <w:pPr>
              <w:widowControl w:val="0"/>
              <w:pBdr>
                <w:top w:val="nil"/>
                <w:left w:val="nil"/>
                <w:bottom w:val="nil"/>
                <w:right w:val="nil"/>
                <w:between w:val="nil"/>
              </w:pBdr>
              <w:spacing w:line="240" w:lineRule="auto"/>
              <w:ind w:firstLine="0"/>
              <w:jc w:val="center"/>
              <w:rPr>
                <w:sz w:val="20"/>
                <w:szCs w:val="20"/>
              </w:rPr>
            </w:pPr>
            <w:proofErr w:type="spellStart"/>
            <w:r w:rsidRPr="00D36CFA">
              <w:rPr>
                <w:sz w:val="20"/>
                <w:szCs w:val="20"/>
              </w:rPr>
              <w:t>s.d.</w:t>
            </w:r>
            <w:proofErr w:type="spellEnd"/>
          </w:p>
        </w:tc>
        <w:tc>
          <w:tcPr>
            <w:tcW w:w="1260" w:type="dxa"/>
            <w:shd w:val="clear" w:color="auto" w:fill="auto"/>
            <w:tcMar>
              <w:top w:w="100" w:type="dxa"/>
              <w:left w:w="100" w:type="dxa"/>
              <w:bottom w:w="100" w:type="dxa"/>
              <w:right w:w="100" w:type="dxa"/>
            </w:tcMar>
          </w:tcPr>
          <w:p w14:paraId="242D7FCE" w14:textId="77777777" w:rsidR="00B26BC7" w:rsidRPr="00D36CFA" w:rsidRDefault="69CFA879" w:rsidP="69CFA879">
            <w:pPr>
              <w:widowControl w:val="0"/>
              <w:pBdr>
                <w:top w:val="nil"/>
                <w:left w:val="nil"/>
                <w:bottom w:val="nil"/>
                <w:right w:val="nil"/>
                <w:between w:val="nil"/>
              </w:pBdr>
              <w:spacing w:line="240" w:lineRule="auto"/>
              <w:ind w:firstLine="0"/>
              <w:jc w:val="center"/>
              <w:rPr>
                <w:sz w:val="20"/>
                <w:szCs w:val="20"/>
              </w:rPr>
            </w:pPr>
            <w:r w:rsidRPr="00D36CFA">
              <w:rPr>
                <w:sz w:val="20"/>
                <w:szCs w:val="20"/>
              </w:rPr>
              <w:t>mean</w:t>
            </w:r>
          </w:p>
        </w:tc>
        <w:tc>
          <w:tcPr>
            <w:tcW w:w="1080" w:type="dxa"/>
            <w:shd w:val="clear" w:color="auto" w:fill="auto"/>
            <w:tcMar>
              <w:top w:w="100" w:type="dxa"/>
              <w:left w:w="100" w:type="dxa"/>
              <w:bottom w:w="100" w:type="dxa"/>
              <w:right w:w="100" w:type="dxa"/>
            </w:tcMar>
          </w:tcPr>
          <w:p w14:paraId="7AED9AA9" w14:textId="77777777" w:rsidR="00B26BC7" w:rsidRPr="00D36CFA" w:rsidRDefault="3EEF55E6" w:rsidP="3EEF55E6">
            <w:pPr>
              <w:widowControl w:val="0"/>
              <w:pBdr>
                <w:top w:val="nil"/>
                <w:left w:val="nil"/>
                <w:bottom w:val="nil"/>
                <w:right w:val="nil"/>
                <w:between w:val="nil"/>
              </w:pBdr>
              <w:spacing w:line="240" w:lineRule="auto"/>
              <w:ind w:firstLine="0"/>
              <w:jc w:val="center"/>
              <w:rPr>
                <w:sz w:val="20"/>
                <w:szCs w:val="20"/>
              </w:rPr>
            </w:pPr>
            <w:proofErr w:type="spellStart"/>
            <w:r w:rsidRPr="00D36CFA">
              <w:rPr>
                <w:sz w:val="20"/>
                <w:szCs w:val="20"/>
              </w:rPr>
              <w:t>s.d.</w:t>
            </w:r>
            <w:proofErr w:type="spellEnd"/>
          </w:p>
        </w:tc>
        <w:tc>
          <w:tcPr>
            <w:tcW w:w="1350" w:type="dxa"/>
            <w:shd w:val="clear" w:color="auto" w:fill="auto"/>
            <w:tcMar>
              <w:top w:w="100" w:type="dxa"/>
              <w:left w:w="100" w:type="dxa"/>
              <w:bottom w:w="100" w:type="dxa"/>
              <w:right w:w="100" w:type="dxa"/>
            </w:tcMar>
          </w:tcPr>
          <w:p w14:paraId="2503B197" w14:textId="77777777" w:rsidR="00B26BC7" w:rsidRPr="00D36CFA" w:rsidRDefault="00B26BC7" w:rsidP="0030012E">
            <w:pPr>
              <w:widowControl w:val="0"/>
              <w:pBdr>
                <w:top w:val="nil"/>
                <w:left w:val="nil"/>
                <w:bottom w:val="nil"/>
                <w:right w:val="nil"/>
                <w:between w:val="nil"/>
              </w:pBdr>
              <w:spacing w:line="240" w:lineRule="auto"/>
              <w:jc w:val="center"/>
              <w:rPr>
                <w:sz w:val="20"/>
                <w:szCs w:val="20"/>
              </w:rPr>
            </w:pPr>
          </w:p>
        </w:tc>
      </w:tr>
      <w:tr w:rsidR="00B26BC7" w:rsidRPr="00C74791" w14:paraId="149A4F89" w14:textId="77777777" w:rsidTr="3EEF55E6">
        <w:tc>
          <w:tcPr>
            <w:tcW w:w="1980" w:type="dxa"/>
            <w:shd w:val="clear" w:color="auto" w:fill="auto"/>
            <w:tcMar>
              <w:top w:w="100" w:type="dxa"/>
              <w:left w:w="100" w:type="dxa"/>
              <w:bottom w:w="100" w:type="dxa"/>
              <w:right w:w="100" w:type="dxa"/>
            </w:tcMar>
          </w:tcPr>
          <w:p w14:paraId="2E893084" w14:textId="77777777" w:rsidR="00B26BC7" w:rsidRPr="00D36CFA" w:rsidRDefault="69CFA879" w:rsidP="69CFA879">
            <w:pPr>
              <w:widowControl w:val="0"/>
              <w:pBdr>
                <w:top w:val="nil"/>
                <w:left w:val="nil"/>
                <w:bottom w:val="nil"/>
                <w:right w:val="nil"/>
                <w:between w:val="nil"/>
              </w:pBdr>
              <w:spacing w:line="240" w:lineRule="auto"/>
              <w:ind w:firstLine="0"/>
              <w:rPr>
                <w:sz w:val="20"/>
                <w:szCs w:val="20"/>
              </w:rPr>
            </w:pPr>
            <w:r w:rsidRPr="00D36CFA">
              <w:rPr>
                <w:sz w:val="20"/>
                <w:szCs w:val="20"/>
              </w:rPr>
              <w:t>SMOG grade Level</w:t>
            </w:r>
          </w:p>
        </w:tc>
        <w:tc>
          <w:tcPr>
            <w:tcW w:w="1260" w:type="dxa"/>
            <w:shd w:val="clear" w:color="auto" w:fill="auto"/>
            <w:tcMar>
              <w:top w:w="100" w:type="dxa"/>
              <w:left w:w="100" w:type="dxa"/>
              <w:bottom w:w="100" w:type="dxa"/>
              <w:right w:w="100" w:type="dxa"/>
            </w:tcMar>
          </w:tcPr>
          <w:p w14:paraId="110C7173" w14:textId="77777777" w:rsidR="00B26BC7" w:rsidRPr="00D36CFA" w:rsidRDefault="3EEF55E6" w:rsidP="3EEF55E6">
            <w:pPr>
              <w:widowControl w:val="0"/>
              <w:spacing w:line="240" w:lineRule="auto"/>
              <w:ind w:firstLine="0"/>
              <w:jc w:val="center"/>
              <w:rPr>
                <w:sz w:val="20"/>
                <w:szCs w:val="20"/>
              </w:rPr>
            </w:pPr>
            <w:r w:rsidRPr="00D36CFA">
              <w:rPr>
                <w:sz w:val="20"/>
                <w:szCs w:val="20"/>
              </w:rPr>
              <w:t>8.1</w:t>
            </w:r>
          </w:p>
        </w:tc>
        <w:tc>
          <w:tcPr>
            <w:tcW w:w="720" w:type="dxa"/>
            <w:shd w:val="clear" w:color="auto" w:fill="auto"/>
            <w:tcMar>
              <w:top w:w="100" w:type="dxa"/>
              <w:left w:w="100" w:type="dxa"/>
              <w:bottom w:w="100" w:type="dxa"/>
              <w:right w:w="100" w:type="dxa"/>
            </w:tcMar>
          </w:tcPr>
          <w:p w14:paraId="71C3E87B" w14:textId="77777777" w:rsidR="00B26BC7" w:rsidRPr="00D36CFA" w:rsidRDefault="3EEF55E6" w:rsidP="3EEF55E6">
            <w:pPr>
              <w:widowControl w:val="0"/>
              <w:spacing w:line="240" w:lineRule="auto"/>
              <w:ind w:firstLine="0"/>
              <w:jc w:val="center"/>
              <w:rPr>
                <w:sz w:val="20"/>
                <w:szCs w:val="20"/>
              </w:rPr>
            </w:pPr>
            <w:r w:rsidRPr="00D36CFA">
              <w:rPr>
                <w:sz w:val="20"/>
                <w:szCs w:val="20"/>
              </w:rPr>
              <w:t>1.53</w:t>
            </w:r>
          </w:p>
        </w:tc>
        <w:tc>
          <w:tcPr>
            <w:tcW w:w="1260" w:type="dxa"/>
            <w:shd w:val="clear" w:color="auto" w:fill="auto"/>
            <w:tcMar>
              <w:top w:w="100" w:type="dxa"/>
              <w:left w:w="100" w:type="dxa"/>
              <w:bottom w:w="100" w:type="dxa"/>
              <w:right w:w="100" w:type="dxa"/>
            </w:tcMar>
          </w:tcPr>
          <w:p w14:paraId="144836B9" w14:textId="77777777" w:rsidR="00B26BC7" w:rsidRPr="00D36CFA" w:rsidRDefault="3EEF55E6" w:rsidP="3EEF55E6">
            <w:pPr>
              <w:widowControl w:val="0"/>
              <w:spacing w:line="240" w:lineRule="auto"/>
              <w:ind w:firstLine="0"/>
              <w:jc w:val="center"/>
              <w:rPr>
                <w:sz w:val="20"/>
                <w:szCs w:val="20"/>
              </w:rPr>
            </w:pPr>
            <w:r w:rsidRPr="00D36CFA">
              <w:rPr>
                <w:sz w:val="20"/>
                <w:szCs w:val="20"/>
              </w:rPr>
              <w:t>11.9</w:t>
            </w:r>
          </w:p>
        </w:tc>
        <w:tc>
          <w:tcPr>
            <w:tcW w:w="1080" w:type="dxa"/>
            <w:shd w:val="clear" w:color="auto" w:fill="auto"/>
            <w:tcMar>
              <w:top w:w="100" w:type="dxa"/>
              <w:left w:w="100" w:type="dxa"/>
              <w:bottom w:w="100" w:type="dxa"/>
              <w:right w:w="100" w:type="dxa"/>
            </w:tcMar>
          </w:tcPr>
          <w:p w14:paraId="4DCB0027" w14:textId="77777777" w:rsidR="00B26BC7" w:rsidRPr="00D36CFA" w:rsidRDefault="3EEF55E6" w:rsidP="3EEF55E6">
            <w:pPr>
              <w:widowControl w:val="0"/>
              <w:spacing w:line="240" w:lineRule="auto"/>
              <w:ind w:firstLine="0"/>
              <w:jc w:val="center"/>
              <w:rPr>
                <w:sz w:val="20"/>
                <w:szCs w:val="20"/>
              </w:rPr>
            </w:pPr>
            <w:r w:rsidRPr="00D36CFA">
              <w:rPr>
                <w:sz w:val="20"/>
                <w:szCs w:val="20"/>
              </w:rPr>
              <w:t>1.52</w:t>
            </w:r>
          </w:p>
        </w:tc>
        <w:tc>
          <w:tcPr>
            <w:tcW w:w="1350" w:type="dxa"/>
            <w:shd w:val="clear" w:color="auto" w:fill="auto"/>
            <w:tcMar>
              <w:top w:w="100" w:type="dxa"/>
              <w:left w:w="100" w:type="dxa"/>
              <w:bottom w:w="100" w:type="dxa"/>
              <w:right w:w="100" w:type="dxa"/>
            </w:tcMar>
          </w:tcPr>
          <w:p w14:paraId="796FD74E" w14:textId="77777777" w:rsidR="00B26BC7" w:rsidRPr="00D36CFA" w:rsidRDefault="69CFA879" w:rsidP="69CFA879">
            <w:pPr>
              <w:widowControl w:val="0"/>
              <w:spacing w:line="240" w:lineRule="auto"/>
              <w:ind w:firstLine="0"/>
              <w:jc w:val="center"/>
              <w:rPr>
                <w:sz w:val="20"/>
                <w:szCs w:val="20"/>
              </w:rPr>
            </w:pPr>
            <w:r w:rsidRPr="00D36CFA">
              <w:rPr>
                <w:sz w:val="20"/>
                <w:szCs w:val="20"/>
              </w:rPr>
              <w:t>1.3*10</w:t>
            </w:r>
            <w:r w:rsidRPr="00D36CFA">
              <w:rPr>
                <w:sz w:val="20"/>
                <w:szCs w:val="20"/>
                <w:vertAlign w:val="superscript"/>
              </w:rPr>
              <w:t>-10</w:t>
            </w:r>
          </w:p>
        </w:tc>
      </w:tr>
      <w:tr w:rsidR="00B26BC7" w:rsidRPr="00C74791" w14:paraId="54D15A8F" w14:textId="77777777" w:rsidTr="3EEF55E6">
        <w:tc>
          <w:tcPr>
            <w:tcW w:w="1980" w:type="dxa"/>
            <w:shd w:val="clear" w:color="auto" w:fill="auto"/>
            <w:tcMar>
              <w:top w:w="100" w:type="dxa"/>
              <w:left w:w="100" w:type="dxa"/>
              <w:bottom w:w="100" w:type="dxa"/>
              <w:right w:w="100" w:type="dxa"/>
            </w:tcMar>
          </w:tcPr>
          <w:p w14:paraId="02DA8B0D" w14:textId="77777777" w:rsidR="00B26BC7" w:rsidRPr="00D36CFA" w:rsidRDefault="3EEF55E6" w:rsidP="3EEF55E6">
            <w:pPr>
              <w:widowControl w:val="0"/>
              <w:pBdr>
                <w:top w:val="nil"/>
                <w:left w:val="nil"/>
                <w:bottom w:val="nil"/>
                <w:right w:val="nil"/>
                <w:between w:val="nil"/>
              </w:pBdr>
              <w:spacing w:line="240" w:lineRule="auto"/>
              <w:ind w:firstLine="0"/>
              <w:rPr>
                <w:sz w:val="20"/>
                <w:szCs w:val="20"/>
              </w:rPr>
            </w:pPr>
            <w:r w:rsidRPr="00D36CFA">
              <w:rPr>
                <w:sz w:val="20"/>
                <w:szCs w:val="20"/>
              </w:rPr>
              <w:t xml:space="preserve">SAM Literacy </w:t>
            </w:r>
            <w:proofErr w:type="spellStart"/>
            <w:r w:rsidRPr="00D36CFA">
              <w:rPr>
                <w:sz w:val="20"/>
                <w:szCs w:val="20"/>
              </w:rPr>
              <w:t>Subscore</w:t>
            </w:r>
            <w:proofErr w:type="spellEnd"/>
          </w:p>
        </w:tc>
        <w:tc>
          <w:tcPr>
            <w:tcW w:w="1260" w:type="dxa"/>
            <w:shd w:val="clear" w:color="auto" w:fill="auto"/>
            <w:tcMar>
              <w:top w:w="100" w:type="dxa"/>
              <w:left w:w="100" w:type="dxa"/>
              <w:bottom w:w="100" w:type="dxa"/>
              <w:right w:w="100" w:type="dxa"/>
            </w:tcMar>
          </w:tcPr>
          <w:p w14:paraId="47BF285E" w14:textId="77777777" w:rsidR="00B26BC7" w:rsidRPr="00D36CFA" w:rsidRDefault="69CFA879" w:rsidP="69CFA879">
            <w:pPr>
              <w:widowControl w:val="0"/>
              <w:spacing w:line="240" w:lineRule="auto"/>
              <w:ind w:firstLine="0"/>
              <w:jc w:val="center"/>
              <w:rPr>
                <w:sz w:val="20"/>
                <w:szCs w:val="20"/>
              </w:rPr>
            </w:pPr>
            <w:r w:rsidRPr="00D36CFA">
              <w:rPr>
                <w:sz w:val="20"/>
                <w:szCs w:val="20"/>
              </w:rPr>
              <w:t>69.5%</w:t>
            </w:r>
          </w:p>
        </w:tc>
        <w:tc>
          <w:tcPr>
            <w:tcW w:w="720" w:type="dxa"/>
            <w:shd w:val="clear" w:color="auto" w:fill="auto"/>
            <w:tcMar>
              <w:top w:w="100" w:type="dxa"/>
              <w:left w:w="100" w:type="dxa"/>
              <w:bottom w:w="100" w:type="dxa"/>
              <w:right w:w="100" w:type="dxa"/>
            </w:tcMar>
          </w:tcPr>
          <w:p w14:paraId="23D87BD1" w14:textId="77777777" w:rsidR="00B26BC7" w:rsidRPr="00D36CFA" w:rsidRDefault="3EEF55E6" w:rsidP="3EEF55E6">
            <w:pPr>
              <w:widowControl w:val="0"/>
              <w:spacing w:line="240" w:lineRule="auto"/>
              <w:ind w:firstLine="0"/>
              <w:jc w:val="center"/>
              <w:rPr>
                <w:sz w:val="20"/>
                <w:szCs w:val="20"/>
              </w:rPr>
            </w:pPr>
            <w:r w:rsidRPr="00D36CFA">
              <w:rPr>
                <w:sz w:val="20"/>
                <w:szCs w:val="20"/>
              </w:rPr>
              <w:t>15.7</w:t>
            </w:r>
          </w:p>
        </w:tc>
        <w:tc>
          <w:tcPr>
            <w:tcW w:w="1260" w:type="dxa"/>
            <w:shd w:val="clear" w:color="auto" w:fill="auto"/>
            <w:tcMar>
              <w:top w:w="100" w:type="dxa"/>
              <w:left w:w="100" w:type="dxa"/>
              <w:bottom w:w="100" w:type="dxa"/>
              <w:right w:w="100" w:type="dxa"/>
            </w:tcMar>
          </w:tcPr>
          <w:p w14:paraId="263416A3" w14:textId="77777777" w:rsidR="00B26BC7" w:rsidRPr="00D36CFA" w:rsidRDefault="69CFA879" w:rsidP="69CFA879">
            <w:pPr>
              <w:widowControl w:val="0"/>
              <w:spacing w:line="240" w:lineRule="auto"/>
              <w:ind w:firstLine="0"/>
              <w:jc w:val="center"/>
              <w:rPr>
                <w:sz w:val="20"/>
                <w:szCs w:val="20"/>
              </w:rPr>
            </w:pPr>
            <w:r w:rsidRPr="00D36CFA">
              <w:rPr>
                <w:sz w:val="20"/>
                <w:szCs w:val="20"/>
              </w:rPr>
              <w:t>40%</w:t>
            </w:r>
          </w:p>
        </w:tc>
        <w:tc>
          <w:tcPr>
            <w:tcW w:w="1080" w:type="dxa"/>
            <w:shd w:val="clear" w:color="auto" w:fill="auto"/>
            <w:tcMar>
              <w:top w:w="100" w:type="dxa"/>
              <w:left w:w="100" w:type="dxa"/>
              <w:bottom w:w="100" w:type="dxa"/>
              <w:right w:w="100" w:type="dxa"/>
            </w:tcMar>
          </w:tcPr>
          <w:p w14:paraId="34A730C2" w14:textId="77777777" w:rsidR="00B26BC7" w:rsidRPr="00D36CFA" w:rsidRDefault="3EEF55E6" w:rsidP="3EEF55E6">
            <w:pPr>
              <w:widowControl w:val="0"/>
              <w:spacing w:line="240" w:lineRule="auto"/>
              <w:ind w:firstLine="0"/>
              <w:jc w:val="center"/>
              <w:rPr>
                <w:sz w:val="20"/>
                <w:szCs w:val="20"/>
              </w:rPr>
            </w:pPr>
            <w:r w:rsidRPr="00D36CFA">
              <w:rPr>
                <w:sz w:val="20"/>
                <w:szCs w:val="20"/>
              </w:rPr>
              <w:t>12.3</w:t>
            </w:r>
          </w:p>
        </w:tc>
        <w:tc>
          <w:tcPr>
            <w:tcW w:w="1350" w:type="dxa"/>
            <w:shd w:val="clear" w:color="auto" w:fill="auto"/>
            <w:tcMar>
              <w:top w:w="100" w:type="dxa"/>
              <w:left w:w="100" w:type="dxa"/>
              <w:bottom w:w="100" w:type="dxa"/>
              <w:right w:w="100" w:type="dxa"/>
            </w:tcMar>
          </w:tcPr>
          <w:p w14:paraId="5C0489D3" w14:textId="77777777" w:rsidR="00B26BC7" w:rsidRPr="00D36CFA" w:rsidRDefault="69CFA879" w:rsidP="69CFA879">
            <w:pPr>
              <w:widowControl w:val="0"/>
              <w:spacing w:line="240" w:lineRule="auto"/>
              <w:ind w:firstLine="0"/>
              <w:jc w:val="center"/>
              <w:rPr>
                <w:sz w:val="20"/>
                <w:szCs w:val="20"/>
              </w:rPr>
            </w:pPr>
            <w:r w:rsidRPr="00D36CFA">
              <w:rPr>
                <w:sz w:val="20"/>
                <w:szCs w:val="20"/>
              </w:rPr>
              <w:t>3.6*10</w:t>
            </w:r>
            <w:r w:rsidRPr="00D36CFA">
              <w:rPr>
                <w:sz w:val="20"/>
                <w:szCs w:val="20"/>
                <w:vertAlign w:val="superscript"/>
              </w:rPr>
              <w:t>-8</w:t>
            </w:r>
          </w:p>
        </w:tc>
      </w:tr>
      <w:tr w:rsidR="00B26BC7" w:rsidRPr="00C74791" w14:paraId="00219947" w14:textId="77777777" w:rsidTr="3EEF55E6">
        <w:tc>
          <w:tcPr>
            <w:tcW w:w="1980" w:type="dxa"/>
            <w:shd w:val="clear" w:color="auto" w:fill="auto"/>
            <w:tcMar>
              <w:top w:w="100" w:type="dxa"/>
              <w:left w:w="100" w:type="dxa"/>
              <w:bottom w:w="100" w:type="dxa"/>
              <w:right w:w="100" w:type="dxa"/>
            </w:tcMar>
          </w:tcPr>
          <w:p w14:paraId="09F57A7E" w14:textId="77777777" w:rsidR="00B26BC7" w:rsidRPr="00D36CFA" w:rsidRDefault="69CFA879" w:rsidP="69CFA879">
            <w:pPr>
              <w:widowControl w:val="0"/>
              <w:pBdr>
                <w:top w:val="nil"/>
                <w:left w:val="nil"/>
                <w:bottom w:val="nil"/>
                <w:right w:val="nil"/>
                <w:between w:val="nil"/>
              </w:pBdr>
              <w:spacing w:line="240" w:lineRule="auto"/>
              <w:ind w:firstLine="0"/>
              <w:rPr>
                <w:sz w:val="20"/>
                <w:szCs w:val="20"/>
              </w:rPr>
            </w:pPr>
            <w:r w:rsidRPr="00D36CFA">
              <w:rPr>
                <w:sz w:val="20"/>
                <w:szCs w:val="20"/>
              </w:rPr>
              <w:t>SAM Total Score</w:t>
            </w:r>
          </w:p>
        </w:tc>
        <w:tc>
          <w:tcPr>
            <w:tcW w:w="1260" w:type="dxa"/>
            <w:shd w:val="clear" w:color="auto" w:fill="auto"/>
            <w:tcMar>
              <w:top w:w="100" w:type="dxa"/>
              <w:left w:w="100" w:type="dxa"/>
              <w:bottom w:w="100" w:type="dxa"/>
              <w:right w:w="100" w:type="dxa"/>
            </w:tcMar>
          </w:tcPr>
          <w:p w14:paraId="3ADB17E4" w14:textId="77777777" w:rsidR="00B26BC7" w:rsidRPr="00D36CFA" w:rsidRDefault="69CFA879" w:rsidP="69CFA879">
            <w:pPr>
              <w:widowControl w:val="0"/>
              <w:spacing w:line="240" w:lineRule="auto"/>
              <w:ind w:firstLine="0"/>
              <w:jc w:val="center"/>
              <w:rPr>
                <w:sz w:val="20"/>
                <w:szCs w:val="20"/>
              </w:rPr>
            </w:pPr>
            <w:r w:rsidRPr="00D36CFA">
              <w:rPr>
                <w:sz w:val="20"/>
                <w:szCs w:val="20"/>
              </w:rPr>
              <w:t>56.1%</w:t>
            </w:r>
          </w:p>
        </w:tc>
        <w:tc>
          <w:tcPr>
            <w:tcW w:w="720" w:type="dxa"/>
            <w:shd w:val="clear" w:color="auto" w:fill="auto"/>
            <w:tcMar>
              <w:top w:w="100" w:type="dxa"/>
              <w:left w:w="100" w:type="dxa"/>
              <w:bottom w:w="100" w:type="dxa"/>
              <w:right w:w="100" w:type="dxa"/>
            </w:tcMar>
          </w:tcPr>
          <w:p w14:paraId="487983A0" w14:textId="77777777" w:rsidR="00B26BC7" w:rsidRPr="00D36CFA" w:rsidRDefault="3EEF55E6" w:rsidP="3EEF55E6">
            <w:pPr>
              <w:widowControl w:val="0"/>
              <w:spacing w:line="240" w:lineRule="auto"/>
              <w:ind w:firstLine="0"/>
              <w:jc w:val="center"/>
              <w:rPr>
                <w:sz w:val="20"/>
                <w:szCs w:val="20"/>
              </w:rPr>
            </w:pPr>
            <w:r w:rsidRPr="00D36CFA">
              <w:rPr>
                <w:sz w:val="20"/>
                <w:szCs w:val="20"/>
              </w:rPr>
              <w:t>5.0</w:t>
            </w:r>
          </w:p>
        </w:tc>
        <w:tc>
          <w:tcPr>
            <w:tcW w:w="1260" w:type="dxa"/>
            <w:shd w:val="clear" w:color="auto" w:fill="auto"/>
            <w:tcMar>
              <w:top w:w="100" w:type="dxa"/>
              <w:left w:w="100" w:type="dxa"/>
              <w:bottom w:w="100" w:type="dxa"/>
              <w:right w:w="100" w:type="dxa"/>
            </w:tcMar>
          </w:tcPr>
          <w:p w14:paraId="65D46730" w14:textId="77777777" w:rsidR="00B26BC7" w:rsidRPr="00D36CFA" w:rsidRDefault="69CFA879" w:rsidP="69CFA879">
            <w:pPr>
              <w:widowControl w:val="0"/>
              <w:spacing w:line="240" w:lineRule="auto"/>
              <w:ind w:firstLine="0"/>
              <w:jc w:val="center"/>
              <w:rPr>
                <w:sz w:val="20"/>
                <w:szCs w:val="20"/>
              </w:rPr>
            </w:pPr>
            <w:r w:rsidRPr="00D36CFA">
              <w:rPr>
                <w:sz w:val="20"/>
                <w:szCs w:val="20"/>
              </w:rPr>
              <w:t>40.2%</w:t>
            </w:r>
          </w:p>
        </w:tc>
        <w:tc>
          <w:tcPr>
            <w:tcW w:w="1080" w:type="dxa"/>
            <w:shd w:val="clear" w:color="auto" w:fill="auto"/>
            <w:tcMar>
              <w:top w:w="100" w:type="dxa"/>
              <w:left w:w="100" w:type="dxa"/>
              <w:bottom w:w="100" w:type="dxa"/>
              <w:right w:w="100" w:type="dxa"/>
            </w:tcMar>
          </w:tcPr>
          <w:p w14:paraId="24FA3051" w14:textId="77777777" w:rsidR="00B26BC7" w:rsidRPr="00D36CFA" w:rsidRDefault="3EEF55E6" w:rsidP="3EEF55E6">
            <w:pPr>
              <w:widowControl w:val="0"/>
              <w:spacing w:line="240" w:lineRule="auto"/>
              <w:ind w:firstLine="0"/>
              <w:jc w:val="center"/>
              <w:rPr>
                <w:sz w:val="20"/>
                <w:szCs w:val="20"/>
              </w:rPr>
            </w:pPr>
            <w:r w:rsidRPr="00D36CFA">
              <w:rPr>
                <w:sz w:val="20"/>
                <w:szCs w:val="20"/>
              </w:rPr>
              <w:t>11.2</w:t>
            </w:r>
          </w:p>
        </w:tc>
        <w:tc>
          <w:tcPr>
            <w:tcW w:w="1350" w:type="dxa"/>
            <w:shd w:val="clear" w:color="auto" w:fill="auto"/>
            <w:tcMar>
              <w:top w:w="100" w:type="dxa"/>
              <w:left w:w="100" w:type="dxa"/>
              <w:bottom w:w="100" w:type="dxa"/>
              <w:right w:w="100" w:type="dxa"/>
            </w:tcMar>
          </w:tcPr>
          <w:p w14:paraId="5D8FFAC2" w14:textId="77777777" w:rsidR="00B26BC7" w:rsidRPr="00D36CFA" w:rsidRDefault="69CFA879" w:rsidP="69CFA879">
            <w:pPr>
              <w:widowControl w:val="0"/>
              <w:spacing w:line="240" w:lineRule="auto"/>
              <w:ind w:firstLine="0"/>
              <w:jc w:val="center"/>
              <w:rPr>
                <w:sz w:val="20"/>
                <w:szCs w:val="20"/>
              </w:rPr>
            </w:pPr>
            <w:r w:rsidRPr="00D36CFA">
              <w:rPr>
                <w:sz w:val="20"/>
                <w:szCs w:val="20"/>
              </w:rPr>
              <w:t>2.5*10</w:t>
            </w:r>
            <w:r w:rsidRPr="00D36CFA">
              <w:rPr>
                <w:sz w:val="20"/>
                <w:szCs w:val="20"/>
                <w:vertAlign w:val="superscript"/>
              </w:rPr>
              <w:t>-8</w:t>
            </w:r>
          </w:p>
        </w:tc>
      </w:tr>
      <w:tr w:rsidR="00B26BC7" w:rsidRPr="00C74791" w14:paraId="78452C18" w14:textId="77777777" w:rsidTr="3EEF55E6">
        <w:tc>
          <w:tcPr>
            <w:tcW w:w="1980" w:type="dxa"/>
            <w:shd w:val="clear" w:color="auto" w:fill="auto"/>
            <w:tcMar>
              <w:top w:w="100" w:type="dxa"/>
              <w:left w:w="100" w:type="dxa"/>
              <w:bottom w:w="100" w:type="dxa"/>
              <w:right w:w="100" w:type="dxa"/>
            </w:tcMar>
          </w:tcPr>
          <w:p w14:paraId="38288749" w14:textId="77777777" w:rsidR="00B26BC7" w:rsidRPr="00D36CFA" w:rsidRDefault="00B26BC7" w:rsidP="00B26BC7">
            <w:pPr>
              <w:widowControl w:val="0"/>
              <w:spacing w:line="240" w:lineRule="auto"/>
              <w:rPr>
                <w:sz w:val="20"/>
                <w:szCs w:val="20"/>
              </w:rPr>
            </w:pPr>
          </w:p>
        </w:tc>
        <w:tc>
          <w:tcPr>
            <w:tcW w:w="1260" w:type="dxa"/>
            <w:shd w:val="clear" w:color="auto" w:fill="auto"/>
            <w:tcMar>
              <w:top w:w="100" w:type="dxa"/>
              <w:left w:w="100" w:type="dxa"/>
              <w:bottom w:w="100" w:type="dxa"/>
              <w:right w:w="100" w:type="dxa"/>
            </w:tcMar>
          </w:tcPr>
          <w:p w14:paraId="571B7812" w14:textId="77777777" w:rsidR="00B26BC7" w:rsidRPr="00D36CFA" w:rsidRDefault="69CFA879" w:rsidP="69CFA879">
            <w:pPr>
              <w:widowControl w:val="0"/>
              <w:spacing w:line="240" w:lineRule="auto"/>
              <w:ind w:firstLine="0"/>
              <w:jc w:val="center"/>
              <w:rPr>
                <w:sz w:val="20"/>
                <w:szCs w:val="20"/>
              </w:rPr>
            </w:pPr>
            <w:r w:rsidRPr="00D36CFA">
              <w:rPr>
                <w:sz w:val="20"/>
                <w:szCs w:val="20"/>
              </w:rPr>
              <w:t>%</w:t>
            </w:r>
          </w:p>
        </w:tc>
        <w:tc>
          <w:tcPr>
            <w:tcW w:w="720" w:type="dxa"/>
            <w:shd w:val="clear" w:color="auto" w:fill="auto"/>
            <w:tcMar>
              <w:top w:w="100" w:type="dxa"/>
              <w:left w:w="100" w:type="dxa"/>
              <w:bottom w:w="100" w:type="dxa"/>
              <w:right w:w="100" w:type="dxa"/>
            </w:tcMar>
          </w:tcPr>
          <w:p w14:paraId="20BD9A1A" w14:textId="77777777" w:rsidR="00B26BC7" w:rsidRPr="00D36CFA" w:rsidRDefault="00B26BC7" w:rsidP="00B26BC7">
            <w:pPr>
              <w:widowControl w:val="0"/>
              <w:spacing w:line="240" w:lineRule="auto"/>
              <w:jc w:val="center"/>
              <w:rPr>
                <w:sz w:val="20"/>
                <w:szCs w:val="20"/>
              </w:rPr>
            </w:pPr>
          </w:p>
        </w:tc>
        <w:tc>
          <w:tcPr>
            <w:tcW w:w="1260" w:type="dxa"/>
            <w:shd w:val="clear" w:color="auto" w:fill="auto"/>
            <w:tcMar>
              <w:top w:w="100" w:type="dxa"/>
              <w:left w:w="100" w:type="dxa"/>
              <w:bottom w:w="100" w:type="dxa"/>
              <w:right w:w="100" w:type="dxa"/>
            </w:tcMar>
          </w:tcPr>
          <w:p w14:paraId="4D681651" w14:textId="77777777" w:rsidR="00B26BC7" w:rsidRPr="00D36CFA" w:rsidRDefault="69CFA879" w:rsidP="69CFA879">
            <w:pPr>
              <w:widowControl w:val="0"/>
              <w:spacing w:line="240" w:lineRule="auto"/>
              <w:ind w:firstLine="0"/>
              <w:jc w:val="center"/>
              <w:rPr>
                <w:sz w:val="20"/>
                <w:szCs w:val="20"/>
              </w:rPr>
            </w:pPr>
            <w:r w:rsidRPr="00D36CFA">
              <w:rPr>
                <w:sz w:val="20"/>
                <w:szCs w:val="20"/>
              </w:rPr>
              <w:t>%</w:t>
            </w:r>
          </w:p>
        </w:tc>
        <w:tc>
          <w:tcPr>
            <w:tcW w:w="1080" w:type="dxa"/>
            <w:shd w:val="clear" w:color="auto" w:fill="auto"/>
            <w:tcMar>
              <w:top w:w="100" w:type="dxa"/>
              <w:left w:w="100" w:type="dxa"/>
              <w:bottom w:w="100" w:type="dxa"/>
              <w:right w:w="100" w:type="dxa"/>
            </w:tcMar>
          </w:tcPr>
          <w:p w14:paraId="0C136CF1" w14:textId="77777777" w:rsidR="00B26BC7" w:rsidRPr="00D36CFA" w:rsidRDefault="00B26BC7" w:rsidP="00B26BC7">
            <w:pPr>
              <w:widowControl w:val="0"/>
              <w:spacing w:line="240" w:lineRule="auto"/>
              <w:jc w:val="center"/>
              <w:rPr>
                <w:sz w:val="20"/>
                <w:szCs w:val="20"/>
              </w:rPr>
            </w:pPr>
          </w:p>
        </w:tc>
        <w:tc>
          <w:tcPr>
            <w:tcW w:w="1350" w:type="dxa"/>
            <w:shd w:val="clear" w:color="auto" w:fill="auto"/>
            <w:tcMar>
              <w:top w:w="100" w:type="dxa"/>
              <w:left w:w="100" w:type="dxa"/>
              <w:bottom w:w="100" w:type="dxa"/>
              <w:right w:w="100" w:type="dxa"/>
            </w:tcMar>
          </w:tcPr>
          <w:p w14:paraId="0A392C6A" w14:textId="77777777" w:rsidR="00B26BC7" w:rsidRPr="00D36CFA" w:rsidRDefault="00B26BC7" w:rsidP="00B26BC7">
            <w:pPr>
              <w:widowControl w:val="0"/>
              <w:spacing w:line="240" w:lineRule="auto"/>
              <w:jc w:val="center"/>
              <w:rPr>
                <w:sz w:val="20"/>
                <w:szCs w:val="20"/>
              </w:rPr>
            </w:pPr>
          </w:p>
        </w:tc>
      </w:tr>
      <w:tr w:rsidR="00B26BC7" w:rsidRPr="00C74791" w14:paraId="397492F4" w14:textId="77777777" w:rsidTr="3EEF55E6">
        <w:tc>
          <w:tcPr>
            <w:tcW w:w="1980" w:type="dxa"/>
            <w:shd w:val="clear" w:color="auto" w:fill="auto"/>
            <w:tcMar>
              <w:top w:w="100" w:type="dxa"/>
              <w:left w:w="100" w:type="dxa"/>
              <w:bottom w:w="100" w:type="dxa"/>
              <w:right w:w="100" w:type="dxa"/>
            </w:tcMar>
          </w:tcPr>
          <w:p w14:paraId="3C5A9662" w14:textId="77777777" w:rsidR="00B26BC7" w:rsidRPr="00D36CFA" w:rsidRDefault="69CFA879" w:rsidP="69CFA879">
            <w:pPr>
              <w:widowControl w:val="0"/>
              <w:spacing w:line="240" w:lineRule="auto"/>
              <w:ind w:firstLine="0"/>
              <w:rPr>
                <w:sz w:val="20"/>
                <w:szCs w:val="20"/>
              </w:rPr>
            </w:pPr>
            <w:r w:rsidRPr="00D36CFA">
              <w:rPr>
                <w:sz w:val="20"/>
                <w:szCs w:val="20"/>
              </w:rPr>
              <w:t>Written at an 8th grade level or lower</w:t>
            </w:r>
          </w:p>
        </w:tc>
        <w:tc>
          <w:tcPr>
            <w:tcW w:w="1260" w:type="dxa"/>
            <w:shd w:val="clear" w:color="auto" w:fill="auto"/>
            <w:tcMar>
              <w:top w:w="100" w:type="dxa"/>
              <w:left w:w="100" w:type="dxa"/>
              <w:bottom w:w="100" w:type="dxa"/>
              <w:right w:w="100" w:type="dxa"/>
            </w:tcMar>
          </w:tcPr>
          <w:p w14:paraId="65C13F6F" w14:textId="77777777" w:rsidR="00B26BC7" w:rsidRPr="00D36CFA" w:rsidRDefault="69CFA879" w:rsidP="69CFA879">
            <w:pPr>
              <w:widowControl w:val="0"/>
              <w:spacing w:line="240" w:lineRule="auto"/>
              <w:ind w:firstLine="0"/>
              <w:jc w:val="center"/>
              <w:rPr>
                <w:sz w:val="20"/>
                <w:szCs w:val="20"/>
              </w:rPr>
            </w:pPr>
            <w:r w:rsidRPr="00D36CFA">
              <w:rPr>
                <w:sz w:val="20"/>
                <w:szCs w:val="20"/>
              </w:rPr>
              <w:t>65%</w:t>
            </w:r>
          </w:p>
        </w:tc>
        <w:tc>
          <w:tcPr>
            <w:tcW w:w="720" w:type="dxa"/>
            <w:shd w:val="clear" w:color="auto" w:fill="auto"/>
            <w:tcMar>
              <w:top w:w="100" w:type="dxa"/>
              <w:left w:w="100" w:type="dxa"/>
              <w:bottom w:w="100" w:type="dxa"/>
              <w:right w:w="100" w:type="dxa"/>
            </w:tcMar>
          </w:tcPr>
          <w:p w14:paraId="290583F9" w14:textId="77777777" w:rsidR="00B26BC7" w:rsidRPr="00D36CFA" w:rsidRDefault="00B26BC7" w:rsidP="00B26BC7">
            <w:pPr>
              <w:widowControl w:val="0"/>
              <w:spacing w:line="240" w:lineRule="auto"/>
              <w:jc w:val="center"/>
              <w:rPr>
                <w:sz w:val="20"/>
                <w:szCs w:val="20"/>
              </w:rPr>
            </w:pPr>
          </w:p>
        </w:tc>
        <w:tc>
          <w:tcPr>
            <w:tcW w:w="1260" w:type="dxa"/>
            <w:shd w:val="clear" w:color="auto" w:fill="auto"/>
            <w:tcMar>
              <w:top w:w="100" w:type="dxa"/>
              <w:left w:w="100" w:type="dxa"/>
              <w:bottom w:w="100" w:type="dxa"/>
              <w:right w:w="100" w:type="dxa"/>
            </w:tcMar>
          </w:tcPr>
          <w:p w14:paraId="0C7C4B8A" w14:textId="77777777" w:rsidR="00B26BC7" w:rsidRPr="00D36CFA" w:rsidRDefault="69CFA879" w:rsidP="69CFA879">
            <w:pPr>
              <w:widowControl w:val="0"/>
              <w:spacing w:line="240" w:lineRule="auto"/>
              <w:ind w:firstLine="0"/>
              <w:jc w:val="center"/>
              <w:rPr>
                <w:sz w:val="20"/>
                <w:szCs w:val="20"/>
              </w:rPr>
            </w:pPr>
            <w:r w:rsidRPr="00D36CFA">
              <w:rPr>
                <w:sz w:val="20"/>
                <w:szCs w:val="20"/>
              </w:rPr>
              <w:t>0%</w:t>
            </w:r>
          </w:p>
        </w:tc>
        <w:tc>
          <w:tcPr>
            <w:tcW w:w="1080" w:type="dxa"/>
            <w:shd w:val="clear" w:color="auto" w:fill="auto"/>
            <w:tcMar>
              <w:top w:w="100" w:type="dxa"/>
              <w:left w:w="100" w:type="dxa"/>
              <w:bottom w:w="100" w:type="dxa"/>
              <w:right w:w="100" w:type="dxa"/>
            </w:tcMar>
          </w:tcPr>
          <w:p w14:paraId="68F21D90" w14:textId="77777777" w:rsidR="00B26BC7" w:rsidRPr="00D36CFA" w:rsidRDefault="00B26BC7" w:rsidP="00B26BC7">
            <w:pPr>
              <w:widowControl w:val="0"/>
              <w:spacing w:line="240" w:lineRule="auto"/>
              <w:jc w:val="center"/>
              <w:rPr>
                <w:sz w:val="20"/>
                <w:szCs w:val="20"/>
              </w:rPr>
            </w:pPr>
          </w:p>
        </w:tc>
        <w:tc>
          <w:tcPr>
            <w:tcW w:w="1350" w:type="dxa"/>
            <w:shd w:val="clear" w:color="auto" w:fill="auto"/>
            <w:tcMar>
              <w:top w:w="100" w:type="dxa"/>
              <w:left w:w="100" w:type="dxa"/>
              <w:bottom w:w="100" w:type="dxa"/>
              <w:right w:w="100" w:type="dxa"/>
            </w:tcMar>
          </w:tcPr>
          <w:p w14:paraId="20D44EB1" w14:textId="77777777" w:rsidR="00B26BC7" w:rsidRPr="00D36CFA" w:rsidRDefault="69CFA879" w:rsidP="69CFA879">
            <w:pPr>
              <w:widowControl w:val="0"/>
              <w:spacing w:line="240" w:lineRule="auto"/>
              <w:ind w:firstLine="0"/>
              <w:jc w:val="center"/>
              <w:rPr>
                <w:sz w:val="20"/>
                <w:szCs w:val="20"/>
              </w:rPr>
            </w:pPr>
            <w:r w:rsidRPr="00D36CFA">
              <w:rPr>
                <w:sz w:val="20"/>
                <w:szCs w:val="20"/>
              </w:rPr>
              <w:t>2.2*10</w:t>
            </w:r>
            <w:r w:rsidRPr="00D36CFA">
              <w:rPr>
                <w:sz w:val="20"/>
                <w:szCs w:val="20"/>
                <w:vertAlign w:val="superscript"/>
              </w:rPr>
              <w:t>-7</w:t>
            </w:r>
          </w:p>
        </w:tc>
      </w:tr>
      <w:tr w:rsidR="00B26BC7" w:rsidRPr="00C74791" w14:paraId="37601005" w14:textId="77777777" w:rsidTr="3EEF55E6">
        <w:tc>
          <w:tcPr>
            <w:tcW w:w="1980" w:type="dxa"/>
            <w:shd w:val="clear" w:color="auto" w:fill="auto"/>
            <w:tcMar>
              <w:top w:w="100" w:type="dxa"/>
              <w:left w:w="100" w:type="dxa"/>
              <w:bottom w:w="100" w:type="dxa"/>
              <w:right w:w="100" w:type="dxa"/>
            </w:tcMar>
          </w:tcPr>
          <w:p w14:paraId="0FC3F90E" w14:textId="77777777" w:rsidR="00B26BC7" w:rsidRPr="00D36CFA" w:rsidRDefault="69CFA879" w:rsidP="69CFA879">
            <w:pPr>
              <w:widowControl w:val="0"/>
              <w:pBdr>
                <w:top w:val="nil"/>
                <w:left w:val="nil"/>
                <w:bottom w:val="nil"/>
                <w:right w:val="nil"/>
                <w:between w:val="nil"/>
              </w:pBdr>
              <w:spacing w:line="240" w:lineRule="auto"/>
              <w:ind w:firstLine="0"/>
              <w:rPr>
                <w:sz w:val="20"/>
                <w:szCs w:val="20"/>
              </w:rPr>
            </w:pPr>
            <w:r w:rsidRPr="00D36CFA">
              <w:rPr>
                <w:sz w:val="20"/>
                <w:szCs w:val="20"/>
              </w:rPr>
              <w:t>Achieving an Adequate SAM Total Score</w:t>
            </w:r>
          </w:p>
        </w:tc>
        <w:tc>
          <w:tcPr>
            <w:tcW w:w="1260" w:type="dxa"/>
            <w:shd w:val="clear" w:color="auto" w:fill="auto"/>
            <w:tcMar>
              <w:top w:w="100" w:type="dxa"/>
              <w:left w:w="100" w:type="dxa"/>
              <w:bottom w:w="100" w:type="dxa"/>
              <w:right w:w="100" w:type="dxa"/>
            </w:tcMar>
          </w:tcPr>
          <w:p w14:paraId="135237C8" w14:textId="77777777" w:rsidR="00B26BC7" w:rsidRPr="00D36CFA" w:rsidRDefault="69CFA879" w:rsidP="69CFA879">
            <w:pPr>
              <w:widowControl w:val="0"/>
              <w:spacing w:line="240" w:lineRule="auto"/>
              <w:ind w:firstLine="0"/>
              <w:jc w:val="center"/>
              <w:rPr>
                <w:sz w:val="20"/>
                <w:szCs w:val="20"/>
              </w:rPr>
            </w:pPr>
            <w:r w:rsidRPr="00D36CFA">
              <w:rPr>
                <w:sz w:val="20"/>
                <w:szCs w:val="20"/>
              </w:rPr>
              <w:t>100%</w:t>
            </w:r>
          </w:p>
        </w:tc>
        <w:tc>
          <w:tcPr>
            <w:tcW w:w="720" w:type="dxa"/>
            <w:shd w:val="clear" w:color="auto" w:fill="auto"/>
            <w:tcMar>
              <w:top w:w="100" w:type="dxa"/>
              <w:left w:w="100" w:type="dxa"/>
              <w:bottom w:w="100" w:type="dxa"/>
              <w:right w:w="100" w:type="dxa"/>
            </w:tcMar>
          </w:tcPr>
          <w:p w14:paraId="13C326F3" w14:textId="77777777" w:rsidR="00B26BC7" w:rsidRPr="00D36CFA" w:rsidRDefault="00B26BC7" w:rsidP="00B26BC7">
            <w:pPr>
              <w:widowControl w:val="0"/>
              <w:spacing w:line="240" w:lineRule="auto"/>
              <w:jc w:val="center"/>
              <w:rPr>
                <w:sz w:val="20"/>
                <w:szCs w:val="20"/>
              </w:rPr>
            </w:pPr>
          </w:p>
        </w:tc>
        <w:tc>
          <w:tcPr>
            <w:tcW w:w="1260" w:type="dxa"/>
            <w:shd w:val="clear" w:color="auto" w:fill="auto"/>
            <w:tcMar>
              <w:top w:w="100" w:type="dxa"/>
              <w:left w:w="100" w:type="dxa"/>
              <w:bottom w:w="100" w:type="dxa"/>
              <w:right w:w="100" w:type="dxa"/>
            </w:tcMar>
          </w:tcPr>
          <w:p w14:paraId="3A174C5D" w14:textId="77777777" w:rsidR="00B26BC7" w:rsidRPr="00D36CFA" w:rsidRDefault="69CFA879" w:rsidP="69CFA879">
            <w:pPr>
              <w:widowControl w:val="0"/>
              <w:spacing w:line="240" w:lineRule="auto"/>
              <w:ind w:firstLine="0"/>
              <w:jc w:val="center"/>
              <w:rPr>
                <w:sz w:val="20"/>
                <w:szCs w:val="20"/>
              </w:rPr>
            </w:pPr>
            <w:r w:rsidRPr="00D36CFA">
              <w:rPr>
                <w:sz w:val="20"/>
                <w:szCs w:val="20"/>
              </w:rPr>
              <w:t>50%</w:t>
            </w:r>
          </w:p>
        </w:tc>
        <w:tc>
          <w:tcPr>
            <w:tcW w:w="1080" w:type="dxa"/>
            <w:shd w:val="clear" w:color="auto" w:fill="auto"/>
            <w:tcMar>
              <w:top w:w="100" w:type="dxa"/>
              <w:left w:w="100" w:type="dxa"/>
              <w:bottom w:w="100" w:type="dxa"/>
              <w:right w:w="100" w:type="dxa"/>
            </w:tcMar>
          </w:tcPr>
          <w:p w14:paraId="4853B841" w14:textId="77777777" w:rsidR="00B26BC7" w:rsidRPr="00D36CFA" w:rsidRDefault="00B26BC7" w:rsidP="00B26BC7">
            <w:pPr>
              <w:widowControl w:val="0"/>
              <w:spacing w:line="240" w:lineRule="auto"/>
              <w:jc w:val="center"/>
              <w:rPr>
                <w:sz w:val="20"/>
                <w:szCs w:val="20"/>
              </w:rPr>
            </w:pPr>
          </w:p>
        </w:tc>
        <w:tc>
          <w:tcPr>
            <w:tcW w:w="1350" w:type="dxa"/>
            <w:shd w:val="clear" w:color="auto" w:fill="auto"/>
            <w:tcMar>
              <w:top w:w="100" w:type="dxa"/>
              <w:left w:w="100" w:type="dxa"/>
              <w:bottom w:w="100" w:type="dxa"/>
              <w:right w:w="100" w:type="dxa"/>
            </w:tcMar>
          </w:tcPr>
          <w:p w14:paraId="616C9945" w14:textId="77777777" w:rsidR="00B26BC7" w:rsidRPr="00D36CFA" w:rsidRDefault="69CFA879" w:rsidP="69CFA879">
            <w:pPr>
              <w:widowControl w:val="0"/>
              <w:spacing w:line="240" w:lineRule="auto"/>
              <w:ind w:firstLine="0"/>
              <w:jc w:val="center"/>
              <w:rPr>
                <w:sz w:val="20"/>
                <w:szCs w:val="20"/>
              </w:rPr>
            </w:pPr>
            <w:r w:rsidRPr="00D36CFA">
              <w:rPr>
                <w:sz w:val="20"/>
                <w:szCs w:val="20"/>
              </w:rPr>
              <w:t>8.4*10</w:t>
            </w:r>
            <w:r w:rsidRPr="00D36CFA">
              <w:rPr>
                <w:sz w:val="20"/>
                <w:szCs w:val="20"/>
                <w:vertAlign w:val="superscript"/>
              </w:rPr>
              <w:t>-5</w:t>
            </w:r>
          </w:p>
        </w:tc>
      </w:tr>
    </w:tbl>
    <w:p w14:paraId="50125231" w14:textId="77777777" w:rsidR="0062799E" w:rsidRDefault="0062799E" w:rsidP="009664C4"/>
    <w:p w14:paraId="04952E99" w14:textId="77777777" w:rsidR="00B26BC7" w:rsidRDefault="3EEF55E6" w:rsidP="009664C4">
      <w:r>
        <w:t xml:space="preserve">Finally, as noted above, all twenty pieces from the AAP were from two distinct lines of education materials: ten were from “Bright Futures” while the other ten were from the AAP line “Patient Education for Children, Teens, and Parents” (PECTP). The author was curious if the two product lines would have similar characteristics. All twenty documents received adequate SAM scores, so that variable was not tested. The remaining results </w:t>
      </w:r>
      <w:proofErr w:type="gramStart"/>
      <w:r>
        <w:t>are displayed</w:t>
      </w:r>
      <w:proofErr w:type="gramEnd"/>
      <w:r>
        <w:t xml:space="preserve"> in Table 7. Bright Futures was assessed to be significantly better than PECTP in terms of mean SMOG grade level, proportion of materials written at an 8th grade level or lower, and SAM literacy </w:t>
      </w:r>
      <w:proofErr w:type="spellStart"/>
      <w:r>
        <w:t>subscore</w:t>
      </w:r>
      <w:proofErr w:type="spellEnd"/>
      <w:r>
        <w:t xml:space="preserve"> (p-values for all three tests &lt; 0.01). </w:t>
      </w:r>
      <w:proofErr w:type="gramStart"/>
      <w:r>
        <w:t>With regards to</w:t>
      </w:r>
      <w:proofErr w:type="gramEnd"/>
      <w:r>
        <w:t xml:space="preserve"> mean SAM total score, the difference between the two lines of materials approached, but did not reach significance (p = 0.055).</w:t>
      </w:r>
    </w:p>
    <w:p w14:paraId="5A25747A" w14:textId="77777777" w:rsidR="0062799E" w:rsidRDefault="0062799E" w:rsidP="009664C4"/>
    <w:p w14:paraId="09B8D95D" w14:textId="77777777" w:rsidR="00A76221" w:rsidRDefault="00A76221" w:rsidP="009664C4"/>
    <w:p w14:paraId="77AC648B" w14:textId="77777777" w:rsidR="00A76221" w:rsidRDefault="00A76221" w:rsidP="00A76221">
      <w:pPr>
        <w:pStyle w:val="Caption"/>
        <w:keepNext/>
        <w:ind w:firstLine="0"/>
        <w:jc w:val="center"/>
      </w:pPr>
      <w:bookmarkStart w:id="24" w:name="_Toc525805154"/>
      <w:r>
        <w:t xml:space="preserve">Table </w:t>
      </w:r>
      <w:r w:rsidR="00FB6957">
        <w:fldChar w:fldCharType="begin"/>
      </w:r>
      <w:r w:rsidR="00FB6957">
        <w:instrText xml:space="preserve"> SEQ Table \* ARABIC </w:instrText>
      </w:r>
      <w:r w:rsidR="00FB6957">
        <w:fldChar w:fldCharType="separate"/>
      </w:r>
      <w:r w:rsidR="009E497A" w:rsidRPr="69CFA879">
        <w:t>7</w:t>
      </w:r>
      <w:r w:rsidR="00FB6957">
        <w:fldChar w:fldCharType="end"/>
      </w:r>
      <w:r>
        <w:t>. Comparison of AAP Produced “Bright Futures” Materials and “Patient Education of Children, Teens, and Parents” Materials</w:t>
      </w:r>
      <w:bookmarkEnd w:id="24"/>
    </w:p>
    <w:tbl>
      <w:tblPr>
        <w:tblW w:w="7650"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260"/>
        <w:gridCol w:w="720"/>
        <w:gridCol w:w="1260"/>
        <w:gridCol w:w="1080"/>
        <w:gridCol w:w="1350"/>
      </w:tblGrid>
      <w:tr w:rsidR="0062799E" w:rsidRPr="00C74791" w14:paraId="7E939E1B" w14:textId="77777777" w:rsidTr="3EEF55E6">
        <w:tc>
          <w:tcPr>
            <w:tcW w:w="1980" w:type="dxa"/>
            <w:shd w:val="clear" w:color="auto" w:fill="auto"/>
            <w:tcMar>
              <w:top w:w="100" w:type="dxa"/>
              <w:left w:w="100" w:type="dxa"/>
              <w:bottom w:w="100" w:type="dxa"/>
              <w:right w:w="100" w:type="dxa"/>
            </w:tcMar>
          </w:tcPr>
          <w:p w14:paraId="78BEFD2A" w14:textId="77777777" w:rsidR="0062799E" w:rsidRPr="00331F91" w:rsidRDefault="0062799E" w:rsidP="0030012E">
            <w:pPr>
              <w:widowControl w:val="0"/>
              <w:pBdr>
                <w:top w:val="nil"/>
                <w:left w:val="nil"/>
                <w:bottom w:val="nil"/>
                <w:right w:val="nil"/>
                <w:between w:val="nil"/>
              </w:pBdr>
              <w:spacing w:line="240" w:lineRule="auto"/>
              <w:rPr>
                <w:sz w:val="20"/>
                <w:szCs w:val="20"/>
              </w:rPr>
            </w:pPr>
          </w:p>
        </w:tc>
        <w:tc>
          <w:tcPr>
            <w:tcW w:w="1260" w:type="dxa"/>
            <w:shd w:val="clear" w:color="auto" w:fill="auto"/>
            <w:tcMar>
              <w:top w:w="100" w:type="dxa"/>
              <w:left w:w="100" w:type="dxa"/>
              <w:bottom w:w="100" w:type="dxa"/>
              <w:right w:w="100" w:type="dxa"/>
            </w:tcMar>
          </w:tcPr>
          <w:p w14:paraId="346961FE" w14:textId="77777777" w:rsidR="0062799E" w:rsidRPr="00331F91" w:rsidRDefault="69CFA879" w:rsidP="69CFA879">
            <w:pPr>
              <w:widowControl w:val="0"/>
              <w:pBdr>
                <w:top w:val="nil"/>
                <w:left w:val="nil"/>
                <w:bottom w:val="nil"/>
                <w:right w:val="nil"/>
                <w:between w:val="nil"/>
              </w:pBdr>
              <w:spacing w:line="240" w:lineRule="auto"/>
              <w:ind w:firstLine="0"/>
              <w:jc w:val="center"/>
              <w:rPr>
                <w:b/>
                <w:bCs/>
                <w:sz w:val="20"/>
                <w:szCs w:val="20"/>
              </w:rPr>
            </w:pPr>
            <w:r w:rsidRPr="00331F91">
              <w:rPr>
                <w:b/>
                <w:bCs/>
                <w:sz w:val="20"/>
                <w:szCs w:val="20"/>
              </w:rPr>
              <w:t>AAP Materials</w:t>
            </w:r>
          </w:p>
        </w:tc>
        <w:tc>
          <w:tcPr>
            <w:tcW w:w="720" w:type="dxa"/>
            <w:shd w:val="clear" w:color="auto" w:fill="auto"/>
            <w:tcMar>
              <w:top w:w="100" w:type="dxa"/>
              <w:left w:w="100" w:type="dxa"/>
              <w:bottom w:w="100" w:type="dxa"/>
              <w:right w:w="100" w:type="dxa"/>
            </w:tcMar>
          </w:tcPr>
          <w:p w14:paraId="27A76422" w14:textId="77777777" w:rsidR="0062799E" w:rsidRPr="00331F91" w:rsidRDefault="0062799E" w:rsidP="0030012E">
            <w:pPr>
              <w:widowControl w:val="0"/>
              <w:pBdr>
                <w:top w:val="nil"/>
                <w:left w:val="nil"/>
                <w:bottom w:val="nil"/>
                <w:right w:val="nil"/>
                <w:between w:val="nil"/>
              </w:pBdr>
              <w:spacing w:line="240" w:lineRule="auto"/>
              <w:jc w:val="center"/>
              <w:rPr>
                <w:b/>
                <w:sz w:val="20"/>
                <w:szCs w:val="20"/>
              </w:rPr>
            </w:pPr>
          </w:p>
        </w:tc>
        <w:tc>
          <w:tcPr>
            <w:tcW w:w="1260" w:type="dxa"/>
            <w:shd w:val="clear" w:color="auto" w:fill="auto"/>
            <w:tcMar>
              <w:top w:w="100" w:type="dxa"/>
              <w:left w:w="100" w:type="dxa"/>
              <w:bottom w:w="100" w:type="dxa"/>
              <w:right w:w="100" w:type="dxa"/>
            </w:tcMar>
          </w:tcPr>
          <w:p w14:paraId="239EC5C8" w14:textId="77777777" w:rsidR="0062799E" w:rsidRPr="00331F91" w:rsidRDefault="69CFA879" w:rsidP="69CFA879">
            <w:pPr>
              <w:widowControl w:val="0"/>
              <w:pBdr>
                <w:top w:val="nil"/>
                <w:left w:val="nil"/>
                <w:bottom w:val="nil"/>
                <w:right w:val="nil"/>
                <w:between w:val="nil"/>
              </w:pBdr>
              <w:spacing w:line="240" w:lineRule="auto"/>
              <w:ind w:firstLine="0"/>
              <w:jc w:val="center"/>
              <w:rPr>
                <w:b/>
                <w:bCs/>
                <w:sz w:val="20"/>
                <w:szCs w:val="20"/>
              </w:rPr>
            </w:pPr>
            <w:r w:rsidRPr="00331F91">
              <w:rPr>
                <w:b/>
                <w:bCs/>
                <w:sz w:val="20"/>
                <w:szCs w:val="20"/>
              </w:rPr>
              <w:t>All Other Materials</w:t>
            </w:r>
          </w:p>
        </w:tc>
        <w:tc>
          <w:tcPr>
            <w:tcW w:w="1080" w:type="dxa"/>
            <w:shd w:val="clear" w:color="auto" w:fill="auto"/>
            <w:tcMar>
              <w:top w:w="100" w:type="dxa"/>
              <w:left w:w="100" w:type="dxa"/>
              <w:bottom w:w="100" w:type="dxa"/>
              <w:right w:w="100" w:type="dxa"/>
            </w:tcMar>
          </w:tcPr>
          <w:p w14:paraId="49206A88" w14:textId="77777777" w:rsidR="0062799E" w:rsidRPr="00331F91" w:rsidRDefault="0062799E" w:rsidP="0030012E">
            <w:pPr>
              <w:widowControl w:val="0"/>
              <w:pBdr>
                <w:top w:val="nil"/>
                <w:left w:val="nil"/>
                <w:bottom w:val="nil"/>
                <w:right w:val="nil"/>
                <w:between w:val="nil"/>
              </w:pBdr>
              <w:spacing w:line="240" w:lineRule="auto"/>
              <w:jc w:val="center"/>
              <w:rPr>
                <w:b/>
                <w:sz w:val="20"/>
                <w:szCs w:val="20"/>
              </w:rPr>
            </w:pPr>
          </w:p>
        </w:tc>
        <w:tc>
          <w:tcPr>
            <w:tcW w:w="1350" w:type="dxa"/>
            <w:shd w:val="clear" w:color="auto" w:fill="auto"/>
            <w:tcMar>
              <w:top w:w="100" w:type="dxa"/>
              <w:left w:w="100" w:type="dxa"/>
              <w:bottom w:w="100" w:type="dxa"/>
              <w:right w:w="100" w:type="dxa"/>
            </w:tcMar>
          </w:tcPr>
          <w:p w14:paraId="629B67FE" w14:textId="77777777" w:rsidR="0062799E" w:rsidRPr="00331F91" w:rsidRDefault="69CFA879" w:rsidP="69CFA879">
            <w:pPr>
              <w:widowControl w:val="0"/>
              <w:pBdr>
                <w:top w:val="nil"/>
                <w:left w:val="nil"/>
                <w:bottom w:val="nil"/>
                <w:right w:val="nil"/>
                <w:between w:val="nil"/>
              </w:pBdr>
              <w:spacing w:line="240" w:lineRule="auto"/>
              <w:ind w:firstLine="0"/>
              <w:jc w:val="center"/>
              <w:rPr>
                <w:b/>
                <w:bCs/>
                <w:sz w:val="20"/>
                <w:szCs w:val="20"/>
              </w:rPr>
            </w:pPr>
            <w:r w:rsidRPr="00331F91">
              <w:rPr>
                <w:b/>
                <w:bCs/>
                <w:sz w:val="20"/>
                <w:szCs w:val="20"/>
              </w:rPr>
              <w:t>p-value</w:t>
            </w:r>
          </w:p>
        </w:tc>
      </w:tr>
      <w:tr w:rsidR="0062799E" w:rsidRPr="00C74791" w14:paraId="58F104E5" w14:textId="77777777" w:rsidTr="3EEF55E6">
        <w:tc>
          <w:tcPr>
            <w:tcW w:w="1980" w:type="dxa"/>
            <w:shd w:val="clear" w:color="auto" w:fill="auto"/>
            <w:tcMar>
              <w:top w:w="100" w:type="dxa"/>
              <w:left w:w="100" w:type="dxa"/>
              <w:bottom w:w="100" w:type="dxa"/>
              <w:right w:w="100" w:type="dxa"/>
            </w:tcMar>
          </w:tcPr>
          <w:p w14:paraId="1C46A445" w14:textId="77777777" w:rsidR="0062799E" w:rsidRPr="00331F91" w:rsidRDefault="69CFA879" w:rsidP="69CFA879">
            <w:pPr>
              <w:widowControl w:val="0"/>
              <w:pBdr>
                <w:top w:val="nil"/>
                <w:left w:val="nil"/>
                <w:bottom w:val="nil"/>
                <w:right w:val="nil"/>
                <w:between w:val="nil"/>
              </w:pBdr>
              <w:spacing w:line="240" w:lineRule="auto"/>
              <w:ind w:firstLine="0"/>
              <w:rPr>
                <w:b/>
                <w:bCs/>
                <w:sz w:val="20"/>
                <w:szCs w:val="20"/>
              </w:rPr>
            </w:pPr>
            <w:r w:rsidRPr="00331F91">
              <w:rPr>
                <w:b/>
                <w:bCs/>
                <w:sz w:val="20"/>
                <w:szCs w:val="20"/>
              </w:rPr>
              <w:t>n</w:t>
            </w:r>
          </w:p>
        </w:tc>
        <w:tc>
          <w:tcPr>
            <w:tcW w:w="1260" w:type="dxa"/>
            <w:shd w:val="clear" w:color="auto" w:fill="auto"/>
            <w:tcMar>
              <w:top w:w="100" w:type="dxa"/>
              <w:left w:w="100" w:type="dxa"/>
              <w:bottom w:w="100" w:type="dxa"/>
              <w:right w:w="100" w:type="dxa"/>
            </w:tcMar>
          </w:tcPr>
          <w:p w14:paraId="72A4FFC0" w14:textId="77777777" w:rsidR="0062799E" w:rsidRPr="00331F91" w:rsidRDefault="3EEF55E6" w:rsidP="3EEF55E6">
            <w:pPr>
              <w:widowControl w:val="0"/>
              <w:pBdr>
                <w:top w:val="nil"/>
                <w:left w:val="nil"/>
                <w:bottom w:val="nil"/>
                <w:right w:val="nil"/>
                <w:between w:val="nil"/>
              </w:pBdr>
              <w:spacing w:line="240" w:lineRule="auto"/>
              <w:ind w:firstLine="0"/>
              <w:jc w:val="center"/>
              <w:rPr>
                <w:b/>
                <w:bCs/>
                <w:sz w:val="20"/>
                <w:szCs w:val="20"/>
              </w:rPr>
            </w:pPr>
            <w:r w:rsidRPr="00331F91">
              <w:rPr>
                <w:b/>
                <w:bCs/>
                <w:sz w:val="20"/>
                <w:szCs w:val="20"/>
              </w:rPr>
              <w:t>20</w:t>
            </w:r>
          </w:p>
        </w:tc>
        <w:tc>
          <w:tcPr>
            <w:tcW w:w="720" w:type="dxa"/>
            <w:shd w:val="clear" w:color="auto" w:fill="auto"/>
            <w:tcMar>
              <w:top w:w="100" w:type="dxa"/>
              <w:left w:w="100" w:type="dxa"/>
              <w:bottom w:w="100" w:type="dxa"/>
              <w:right w:w="100" w:type="dxa"/>
            </w:tcMar>
          </w:tcPr>
          <w:p w14:paraId="67B7A70C" w14:textId="77777777" w:rsidR="0062799E" w:rsidRPr="00331F91" w:rsidRDefault="0062799E" w:rsidP="0030012E">
            <w:pPr>
              <w:widowControl w:val="0"/>
              <w:pBdr>
                <w:top w:val="nil"/>
                <w:left w:val="nil"/>
                <w:bottom w:val="nil"/>
                <w:right w:val="nil"/>
                <w:between w:val="nil"/>
              </w:pBdr>
              <w:spacing w:line="240" w:lineRule="auto"/>
              <w:jc w:val="center"/>
              <w:rPr>
                <w:b/>
                <w:sz w:val="20"/>
                <w:szCs w:val="20"/>
              </w:rPr>
            </w:pPr>
          </w:p>
        </w:tc>
        <w:tc>
          <w:tcPr>
            <w:tcW w:w="1260" w:type="dxa"/>
            <w:shd w:val="clear" w:color="auto" w:fill="auto"/>
            <w:tcMar>
              <w:top w:w="100" w:type="dxa"/>
              <w:left w:w="100" w:type="dxa"/>
              <w:bottom w:w="100" w:type="dxa"/>
              <w:right w:w="100" w:type="dxa"/>
            </w:tcMar>
          </w:tcPr>
          <w:p w14:paraId="18E8C380" w14:textId="77777777" w:rsidR="0062799E" w:rsidRPr="00331F91" w:rsidRDefault="3EEF55E6" w:rsidP="3EEF55E6">
            <w:pPr>
              <w:widowControl w:val="0"/>
              <w:pBdr>
                <w:top w:val="nil"/>
                <w:left w:val="nil"/>
                <w:bottom w:val="nil"/>
                <w:right w:val="nil"/>
                <w:between w:val="nil"/>
              </w:pBdr>
              <w:spacing w:line="240" w:lineRule="auto"/>
              <w:ind w:firstLine="0"/>
              <w:jc w:val="center"/>
              <w:rPr>
                <w:b/>
                <w:bCs/>
                <w:sz w:val="20"/>
                <w:szCs w:val="20"/>
              </w:rPr>
            </w:pPr>
            <w:r w:rsidRPr="00331F91">
              <w:rPr>
                <w:b/>
                <w:bCs/>
                <w:sz w:val="20"/>
                <w:szCs w:val="20"/>
              </w:rPr>
              <w:t>30</w:t>
            </w:r>
          </w:p>
        </w:tc>
        <w:tc>
          <w:tcPr>
            <w:tcW w:w="1080" w:type="dxa"/>
            <w:shd w:val="clear" w:color="auto" w:fill="auto"/>
            <w:tcMar>
              <w:top w:w="100" w:type="dxa"/>
              <w:left w:w="100" w:type="dxa"/>
              <w:bottom w:w="100" w:type="dxa"/>
              <w:right w:w="100" w:type="dxa"/>
            </w:tcMar>
          </w:tcPr>
          <w:p w14:paraId="71887C79" w14:textId="77777777" w:rsidR="0062799E" w:rsidRPr="00331F91" w:rsidRDefault="0062799E" w:rsidP="0030012E">
            <w:pPr>
              <w:widowControl w:val="0"/>
              <w:pBdr>
                <w:top w:val="nil"/>
                <w:left w:val="nil"/>
                <w:bottom w:val="nil"/>
                <w:right w:val="nil"/>
                <w:between w:val="nil"/>
              </w:pBdr>
              <w:spacing w:line="240" w:lineRule="auto"/>
              <w:jc w:val="center"/>
              <w:rPr>
                <w:sz w:val="20"/>
                <w:szCs w:val="20"/>
              </w:rPr>
            </w:pPr>
          </w:p>
        </w:tc>
        <w:tc>
          <w:tcPr>
            <w:tcW w:w="1350" w:type="dxa"/>
            <w:shd w:val="clear" w:color="auto" w:fill="auto"/>
            <w:tcMar>
              <w:top w:w="100" w:type="dxa"/>
              <w:left w:w="100" w:type="dxa"/>
              <w:bottom w:w="100" w:type="dxa"/>
              <w:right w:w="100" w:type="dxa"/>
            </w:tcMar>
          </w:tcPr>
          <w:p w14:paraId="3B7FD67C" w14:textId="77777777" w:rsidR="0062799E" w:rsidRPr="00331F91" w:rsidRDefault="0062799E" w:rsidP="0030012E">
            <w:pPr>
              <w:widowControl w:val="0"/>
              <w:pBdr>
                <w:top w:val="nil"/>
                <w:left w:val="nil"/>
                <w:bottom w:val="nil"/>
                <w:right w:val="nil"/>
                <w:between w:val="nil"/>
              </w:pBdr>
              <w:spacing w:line="240" w:lineRule="auto"/>
              <w:jc w:val="center"/>
              <w:rPr>
                <w:sz w:val="20"/>
                <w:szCs w:val="20"/>
              </w:rPr>
            </w:pPr>
          </w:p>
        </w:tc>
      </w:tr>
      <w:tr w:rsidR="0062799E" w:rsidRPr="00C74791" w14:paraId="7997124F" w14:textId="77777777" w:rsidTr="3EEF55E6">
        <w:tc>
          <w:tcPr>
            <w:tcW w:w="1980" w:type="dxa"/>
            <w:shd w:val="clear" w:color="auto" w:fill="auto"/>
            <w:tcMar>
              <w:top w:w="100" w:type="dxa"/>
              <w:left w:w="100" w:type="dxa"/>
              <w:bottom w:w="100" w:type="dxa"/>
              <w:right w:w="100" w:type="dxa"/>
            </w:tcMar>
          </w:tcPr>
          <w:p w14:paraId="38D6B9B6" w14:textId="77777777" w:rsidR="0062799E" w:rsidRPr="00331F91" w:rsidRDefault="0062799E" w:rsidP="0030012E">
            <w:pPr>
              <w:widowControl w:val="0"/>
              <w:pBdr>
                <w:top w:val="nil"/>
                <w:left w:val="nil"/>
                <w:bottom w:val="nil"/>
                <w:right w:val="nil"/>
                <w:between w:val="nil"/>
              </w:pBdr>
              <w:spacing w:line="240" w:lineRule="auto"/>
              <w:rPr>
                <w:sz w:val="20"/>
                <w:szCs w:val="20"/>
              </w:rPr>
            </w:pPr>
          </w:p>
        </w:tc>
        <w:tc>
          <w:tcPr>
            <w:tcW w:w="1260" w:type="dxa"/>
            <w:shd w:val="clear" w:color="auto" w:fill="auto"/>
            <w:tcMar>
              <w:top w:w="100" w:type="dxa"/>
              <w:left w:w="100" w:type="dxa"/>
              <w:bottom w:w="100" w:type="dxa"/>
              <w:right w:w="100" w:type="dxa"/>
            </w:tcMar>
          </w:tcPr>
          <w:p w14:paraId="185359CF" w14:textId="77777777" w:rsidR="0062799E" w:rsidRPr="00331F91" w:rsidRDefault="69CFA879" w:rsidP="69CFA879">
            <w:pPr>
              <w:widowControl w:val="0"/>
              <w:pBdr>
                <w:top w:val="nil"/>
                <w:left w:val="nil"/>
                <w:bottom w:val="nil"/>
                <w:right w:val="nil"/>
                <w:between w:val="nil"/>
              </w:pBdr>
              <w:spacing w:line="240" w:lineRule="auto"/>
              <w:ind w:firstLine="0"/>
              <w:jc w:val="center"/>
              <w:rPr>
                <w:sz w:val="20"/>
                <w:szCs w:val="20"/>
              </w:rPr>
            </w:pPr>
            <w:r w:rsidRPr="00331F91">
              <w:rPr>
                <w:sz w:val="20"/>
                <w:szCs w:val="20"/>
              </w:rPr>
              <w:t>mean</w:t>
            </w:r>
          </w:p>
        </w:tc>
        <w:tc>
          <w:tcPr>
            <w:tcW w:w="720" w:type="dxa"/>
            <w:shd w:val="clear" w:color="auto" w:fill="auto"/>
            <w:tcMar>
              <w:top w:w="100" w:type="dxa"/>
              <w:left w:w="100" w:type="dxa"/>
              <w:bottom w:w="100" w:type="dxa"/>
              <w:right w:w="100" w:type="dxa"/>
            </w:tcMar>
          </w:tcPr>
          <w:p w14:paraId="17918026" w14:textId="77777777" w:rsidR="0062799E" w:rsidRPr="00331F91" w:rsidRDefault="3EEF55E6" w:rsidP="3EEF55E6">
            <w:pPr>
              <w:widowControl w:val="0"/>
              <w:pBdr>
                <w:top w:val="nil"/>
                <w:left w:val="nil"/>
                <w:bottom w:val="nil"/>
                <w:right w:val="nil"/>
                <w:between w:val="nil"/>
              </w:pBdr>
              <w:spacing w:line="240" w:lineRule="auto"/>
              <w:ind w:firstLine="0"/>
              <w:jc w:val="center"/>
              <w:rPr>
                <w:sz w:val="20"/>
                <w:szCs w:val="20"/>
              </w:rPr>
            </w:pPr>
            <w:proofErr w:type="spellStart"/>
            <w:r w:rsidRPr="00331F91">
              <w:rPr>
                <w:sz w:val="20"/>
                <w:szCs w:val="20"/>
              </w:rPr>
              <w:t>s.d.</w:t>
            </w:r>
            <w:proofErr w:type="spellEnd"/>
          </w:p>
        </w:tc>
        <w:tc>
          <w:tcPr>
            <w:tcW w:w="1260" w:type="dxa"/>
            <w:shd w:val="clear" w:color="auto" w:fill="auto"/>
            <w:tcMar>
              <w:top w:w="100" w:type="dxa"/>
              <w:left w:w="100" w:type="dxa"/>
              <w:bottom w:w="100" w:type="dxa"/>
              <w:right w:w="100" w:type="dxa"/>
            </w:tcMar>
          </w:tcPr>
          <w:p w14:paraId="0CFBE5B5" w14:textId="77777777" w:rsidR="0062799E" w:rsidRPr="00331F91" w:rsidRDefault="69CFA879" w:rsidP="69CFA879">
            <w:pPr>
              <w:widowControl w:val="0"/>
              <w:pBdr>
                <w:top w:val="nil"/>
                <w:left w:val="nil"/>
                <w:bottom w:val="nil"/>
                <w:right w:val="nil"/>
                <w:between w:val="nil"/>
              </w:pBdr>
              <w:spacing w:line="240" w:lineRule="auto"/>
              <w:ind w:firstLine="0"/>
              <w:jc w:val="center"/>
              <w:rPr>
                <w:sz w:val="20"/>
                <w:szCs w:val="20"/>
              </w:rPr>
            </w:pPr>
            <w:r w:rsidRPr="00331F91">
              <w:rPr>
                <w:sz w:val="20"/>
                <w:szCs w:val="20"/>
              </w:rPr>
              <w:t>mean</w:t>
            </w:r>
          </w:p>
        </w:tc>
        <w:tc>
          <w:tcPr>
            <w:tcW w:w="1080" w:type="dxa"/>
            <w:shd w:val="clear" w:color="auto" w:fill="auto"/>
            <w:tcMar>
              <w:top w:w="100" w:type="dxa"/>
              <w:left w:w="100" w:type="dxa"/>
              <w:bottom w:w="100" w:type="dxa"/>
              <w:right w:w="100" w:type="dxa"/>
            </w:tcMar>
          </w:tcPr>
          <w:p w14:paraId="1769C03C" w14:textId="77777777" w:rsidR="0062799E" w:rsidRPr="00331F91" w:rsidRDefault="3EEF55E6" w:rsidP="3EEF55E6">
            <w:pPr>
              <w:widowControl w:val="0"/>
              <w:pBdr>
                <w:top w:val="nil"/>
                <w:left w:val="nil"/>
                <w:bottom w:val="nil"/>
                <w:right w:val="nil"/>
                <w:between w:val="nil"/>
              </w:pBdr>
              <w:spacing w:line="240" w:lineRule="auto"/>
              <w:ind w:firstLine="0"/>
              <w:jc w:val="center"/>
              <w:rPr>
                <w:sz w:val="20"/>
                <w:szCs w:val="20"/>
              </w:rPr>
            </w:pPr>
            <w:proofErr w:type="spellStart"/>
            <w:r w:rsidRPr="00331F91">
              <w:rPr>
                <w:sz w:val="20"/>
                <w:szCs w:val="20"/>
              </w:rPr>
              <w:t>s.d.</w:t>
            </w:r>
            <w:proofErr w:type="spellEnd"/>
          </w:p>
        </w:tc>
        <w:tc>
          <w:tcPr>
            <w:tcW w:w="1350" w:type="dxa"/>
            <w:shd w:val="clear" w:color="auto" w:fill="auto"/>
            <w:tcMar>
              <w:top w:w="100" w:type="dxa"/>
              <w:left w:w="100" w:type="dxa"/>
              <w:bottom w:w="100" w:type="dxa"/>
              <w:right w:w="100" w:type="dxa"/>
            </w:tcMar>
          </w:tcPr>
          <w:p w14:paraId="22F860BB" w14:textId="77777777" w:rsidR="0062799E" w:rsidRPr="00331F91" w:rsidRDefault="0062799E" w:rsidP="0030012E">
            <w:pPr>
              <w:widowControl w:val="0"/>
              <w:pBdr>
                <w:top w:val="nil"/>
                <w:left w:val="nil"/>
                <w:bottom w:val="nil"/>
                <w:right w:val="nil"/>
                <w:between w:val="nil"/>
              </w:pBdr>
              <w:spacing w:line="240" w:lineRule="auto"/>
              <w:jc w:val="center"/>
              <w:rPr>
                <w:sz w:val="20"/>
                <w:szCs w:val="20"/>
              </w:rPr>
            </w:pPr>
          </w:p>
        </w:tc>
      </w:tr>
      <w:tr w:rsidR="0062799E" w:rsidRPr="00C74791" w14:paraId="27059C9A" w14:textId="77777777" w:rsidTr="3EEF55E6">
        <w:tc>
          <w:tcPr>
            <w:tcW w:w="1980" w:type="dxa"/>
            <w:shd w:val="clear" w:color="auto" w:fill="auto"/>
            <w:tcMar>
              <w:top w:w="100" w:type="dxa"/>
              <w:left w:w="100" w:type="dxa"/>
              <w:bottom w:w="100" w:type="dxa"/>
              <w:right w:w="100" w:type="dxa"/>
            </w:tcMar>
          </w:tcPr>
          <w:p w14:paraId="79162E8C" w14:textId="77777777" w:rsidR="0062799E" w:rsidRPr="00331F91" w:rsidRDefault="69CFA879" w:rsidP="69CFA879">
            <w:pPr>
              <w:widowControl w:val="0"/>
              <w:pBdr>
                <w:top w:val="nil"/>
                <w:left w:val="nil"/>
                <w:bottom w:val="nil"/>
                <w:right w:val="nil"/>
                <w:between w:val="nil"/>
              </w:pBdr>
              <w:spacing w:line="240" w:lineRule="auto"/>
              <w:ind w:firstLine="0"/>
              <w:rPr>
                <w:sz w:val="20"/>
                <w:szCs w:val="20"/>
              </w:rPr>
            </w:pPr>
            <w:r w:rsidRPr="00331F91">
              <w:rPr>
                <w:sz w:val="20"/>
                <w:szCs w:val="20"/>
              </w:rPr>
              <w:t>SMOG grade Level</w:t>
            </w:r>
          </w:p>
        </w:tc>
        <w:tc>
          <w:tcPr>
            <w:tcW w:w="1260" w:type="dxa"/>
            <w:shd w:val="clear" w:color="auto" w:fill="auto"/>
            <w:tcMar>
              <w:top w:w="100" w:type="dxa"/>
              <w:left w:w="100" w:type="dxa"/>
              <w:bottom w:w="100" w:type="dxa"/>
              <w:right w:w="100" w:type="dxa"/>
            </w:tcMar>
          </w:tcPr>
          <w:p w14:paraId="575B5A70" w14:textId="77777777" w:rsidR="0062799E" w:rsidRPr="00331F91" w:rsidRDefault="3EEF55E6" w:rsidP="3EEF55E6">
            <w:pPr>
              <w:widowControl w:val="0"/>
              <w:spacing w:line="240" w:lineRule="auto"/>
              <w:ind w:firstLine="0"/>
              <w:jc w:val="center"/>
              <w:rPr>
                <w:sz w:val="20"/>
                <w:szCs w:val="20"/>
              </w:rPr>
            </w:pPr>
            <w:r w:rsidRPr="00331F91">
              <w:rPr>
                <w:sz w:val="20"/>
                <w:szCs w:val="20"/>
              </w:rPr>
              <w:t>8.1</w:t>
            </w:r>
          </w:p>
        </w:tc>
        <w:tc>
          <w:tcPr>
            <w:tcW w:w="720" w:type="dxa"/>
            <w:shd w:val="clear" w:color="auto" w:fill="auto"/>
            <w:tcMar>
              <w:top w:w="100" w:type="dxa"/>
              <w:left w:w="100" w:type="dxa"/>
              <w:bottom w:w="100" w:type="dxa"/>
              <w:right w:w="100" w:type="dxa"/>
            </w:tcMar>
          </w:tcPr>
          <w:p w14:paraId="3A2A683A" w14:textId="77777777" w:rsidR="0062799E" w:rsidRPr="00331F91" w:rsidRDefault="3EEF55E6" w:rsidP="3EEF55E6">
            <w:pPr>
              <w:widowControl w:val="0"/>
              <w:spacing w:line="240" w:lineRule="auto"/>
              <w:ind w:firstLine="0"/>
              <w:jc w:val="center"/>
              <w:rPr>
                <w:sz w:val="20"/>
                <w:szCs w:val="20"/>
              </w:rPr>
            </w:pPr>
            <w:r w:rsidRPr="00331F91">
              <w:rPr>
                <w:sz w:val="20"/>
                <w:szCs w:val="20"/>
              </w:rPr>
              <w:t>1.53</w:t>
            </w:r>
          </w:p>
        </w:tc>
        <w:tc>
          <w:tcPr>
            <w:tcW w:w="1260" w:type="dxa"/>
            <w:shd w:val="clear" w:color="auto" w:fill="auto"/>
            <w:tcMar>
              <w:top w:w="100" w:type="dxa"/>
              <w:left w:w="100" w:type="dxa"/>
              <w:bottom w:w="100" w:type="dxa"/>
              <w:right w:w="100" w:type="dxa"/>
            </w:tcMar>
          </w:tcPr>
          <w:p w14:paraId="02F9FAB8" w14:textId="77777777" w:rsidR="0062799E" w:rsidRPr="00331F91" w:rsidRDefault="3EEF55E6" w:rsidP="3EEF55E6">
            <w:pPr>
              <w:widowControl w:val="0"/>
              <w:spacing w:line="240" w:lineRule="auto"/>
              <w:ind w:firstLine="0"/>
              <w:jc w:val="center"/>
              <w:rPr>
                <w:sz w:val="20"/>
                <w:szCs w:val="20"/>
              </w:rPr>
            </w:pPr>
            <w:r w:rsidRPr="00331F91">
              <w:rPr>
                <w:sz w:val="20"/>
                <w:szCs w:val="20"/>
              </w:rPr>
              <w:t>11.9</w:t>
            </w:r>
          </w:p>
        </w:tc>
        <w:tc>
          <w:tcPr>
            <w:tcW w:w="1080" w:type="dxa"/>
            <w:shd w:val="clear" w:color="auto" w:fill="auto"/>
            <w:tcMar>
              <w:top w:w="100" w:type="dxa"/>
              <w:left w:w="100" w:type="dxa"/>
              <w:bottom w:w="100" w:type="dxa"/>
              <w:right w:w="100" w:type="dxa"/>
            </w:tcMar>
          </w:tcPr>
          <w:p w14:paraId="2518F0A9" w14:textId="77777777" w:rsidR="0062799E" w:rsidRPr="00331F91" w:rsidRDefault="3EEF55E6" w:rsidP="3EEF55E6">
            <w:pPr>
              <w:widowControl w:val="0"/>
              <w:spacing w:line="240" w:lineRule="auto"/>
              <w:ind w:firstLine="0"/>
              <w:jc w:val="center"/>
              <w:rPr>
                <w:sz w:val="20"/>
                <w:szCs w:val="20"/>
              </w:rPr>
            </w:pPr>
            <w:r w:rsidRPr="00331F91">
              <w:rPr>
                <w:sz w:val="20"/>
                <w:szCs w:val="20"/>
              </w:rPr>
              <w:t>1.52</w:t>
            </w:r>
          </w:p>
        </w:tc>
        <w:tc>
          <w:tcPr>
            <w:tcW w:w="1350" w:type="dxa"/>
            <w:shd w:val="clear" w:color="auto" w:fill="auto"/>
            <w:tcMar>
              <w:top w:w="100" w:type="dxa"/>
              <w:left w:w="100" w:type="dxa"/>
              <w:bottom w:w="100" w:type="dxa"/>
              <w:right w:w="100" w:type="dxa"/>
            </w:tcMar>
          </w:tcPr>
          <w:p w14:paraId="54E83418" w14:textId="77777777" w:rsidR="0062799E" w:rsidRPr="00331F91" w:rsidRDefault="69CFA879" w:rsidP="69CFA879">
            <w:pPr>
              <w:widowControl w:val="0"/>
              <w:spacing w:line="240" w:lineRule="auto"/>
              <w:ind w:firstLine="0"/>
              <w:jc w:val="center"/>
              <w:rPr>
                <w:sz w:val="20"/>
                <w:szCs w:val="20"/>
              </w:rPr>
            </w:pPr>
            <w:r w:rsidRPr="00331F91">
              <w:rPr>
                <w:sz w:val="20"/>
                <w:szCs w:val="20"/>
              </w:rPr>
              <w:t>1.3*10</w:t>
            </w:r>
            <w:r w:rsidRPr="00331F91">
              <w:rPr>
                <w:sz w:val="20"/>
                <w:szCs w:val="20"/>
                <w:vertAlign w:val="superscript"/>
              </w:rPr>
              <w:t>-10</w:t>
            </w:r>
          </w:p>
        </w:tc>
      </w:tr>
      <w:tr w:rsidR="0062799E" w:rsidRPr="00C74791" w14:paraId="519E04E4" w14:textId="77777777" w:rsidTr="3EEF55E6">
        <w:tc>
          <w:tcPr>
            <w:tcW w:w="1980" w:type="dxa"/>
            <w:shd w:val="clear" w:color="auto" w:fill="auto"/>
            <w:tcMar>
              <w:top w:w="100" w:type="dxa"/>
              <w:left w:w="100" w:type="dxa"/>
              <w:bottom w:w="100" w:type="dxa"/>
              <w:right w:w="100" w:type="dxa"/>
            </w:tcMar>
          </w:tcPr>
          <w:p w14:paraId="0423039E" w14:textId="77777777" w:rsidR="0062799E" w:rsidRPr="00331F91" w:rsidRDefault="3EEF55E6" w:rsidP="3EEF55E6">
            <w:pPr>
              <w:widowControl w:val="0"/>
              <w:pBdr>
                <w:top w:val="nil"/>
                <w:left w:val="nil"/>
                <w:bottom w:val="nil"/>
                <w:right w:val="nil"/>
                <w:between w:val="nil"/>
              </w:pBdr>
              <w:spacing w:line="240" w:lineRule="auto"/>
              <w:ind w:firstLine="0"/>
              <w:rPr>
                <w:sz w:val="20"/>
                <w:szCs w:val="20"/>
              </w:rPr>
            </w:pPr>
            <w:r w:rsidRPr="00331F91">
              <w:rPr>
                <w:sz w:val="20"/>
                <w:szCs w:val="20"/>
              </w:rPr>
              <w:t xml:space="preserve">SAM Literacy </w:t>
            </w:r>
            <w:proofErr w:type="spellStart"/>
            <w:r w:rsidRPr="00331F91">
              <w:rPr>
                <w:sz w:val="20"/>
                <w:szCs w:val="20"/>
              </w:rPr>
              <w:t>Subscore</w:t>
            </w:r>
            <w:proofErr w:type="spellEnd"/>
          </w:p>
        </w:tc>
        <w:tc>
          <w:tcPr>
            <w:tcW w:w="1260" w:type="dxa"/>
            <w:shd w:val="clear" w:color="auto" w:fill="auto"/>
            <w:tcMar>
              <w:top w:w="100" w:type="dxa"/>
              <w:left w:w="100" w:type="dxa"/>
              <w:bottom w:w="100" w:type="dxa"/>
              <w:right w:w="100" w:type="dxa"/>
            </w:tcMar>
          </w:tcPr>
          <w:p w14:paraId="3E6EE250" w14:textId="77777777" w:rsidR="0062799E" w:rsidRPr="00331F91" w:rsidRDefault="69CFA879" w:rsidP="69CFA879">
            <w:pPr>
              <w:widowControl w:val="0"/>
              <w:spacing w:line="240" w:lineRule="auto"/>
              <w:ind w:firstLine="0"/>
              <w:jc w:val="center"/>
              <w:rPr>
                <w:sz w:val="20"/>
                <w:szCs w:val="20"/>
              </w:rPr>
            </w:pPr>
            <w:r w:rsidRPr="00331F91">
              <w:rPr>
                <w:sz w:val="20"/>
                <w:szCs w:val="20"/>
              </w:rPr>
              <w:t>69.5%</w:t>
            </w:r>
          </w:p>
        </w:tc>
        <w:tc>
          <w:tcPr>
            <w:tcW w:w="720" w:type="dxa"/>
            <w:shd w:val="clear" w:color="auto" w:fill="auto"/>
            <w:tcMar>
              <w:top w:w="100" w:type="dxa"/>
              <w:left w:w="100" w:type="dxa"/>
              <w:bottom w:w="100" w:type="dxa"/>
              <w:right w:w="100" w:type="dxa"/>
            </w:tcMar>
          </w:tcPr>
          <w:p w14:paraId="267243E3" w14:textId="77777777" w:rsidR="0062799E" w:rsidRPr="00331F91" w:rsidRDefault="3EEF55E6" w:rsidP="3EEF55E6">
            <w:pPr>
              <w:widowControl w:val="0"/>
              <w:spacing w:line="240" w:lineRule="auto"/>
              <w:ind w:firstLine="0"/>
              <w:jc w:val="center"/>
              <w:rPr>
                <w:sz w:val="20"/>
                <w:szCs w:val="20"/>
              </w:rPr>
            </w:pPr>
            <w:r w:rsidRPr="00331F91">
              <w:rPr>
                <w:sz w:val="20"/>
                <w:szCs w:val="20"/>
              </w:rPr>
              <w:t>15.7</w:t>
            </w:r>
          </w:p>
        </w:tc>
        <w:tc>
          <w:tcPr>
            <w:tcW w:w="1260" w:type="dxa"/>
            <w:shd w:val="clear" w:color="auto" w:fill="auto"/>
            <w:tcMar>
              <w:top w:w="100" w:type="dxa"/>
              <w:left w:w="100" w:type="dxa"/>
              <w:bottom w:w="100" w:type="dxa"/>
              <w:right w:w="100" w:type="dxa"/>
            </w:tcMar>
          </w:tcPr>
          <w:p w14:paraId="7A344C63" w14:textId="77777777" w:rsidR="0062799E" w:rsidRPr="00331F91" w:rsidRDefault="69CFA879" w:rsidP="69CFA879">
            <w:pPr>
              <w:widowControl w:val="0"/>
              <w:spacing w:line="240" w:lineRule="auto"/>
              <w:ind w:firstLine="0"/>
              <w:jc w:val="center"/>
              <w:rPr>
                <w:sz w:val="20"/>
                <w:szCs w:val="20"/>
              </w:rPr>
            </w:pPr>
            <w:r w:rsidRPr="00331F91">
              <w:rPr>
                <w:sz w:val="20"/>
                <w:szCs w:val="20"/>
              </w:rPr>
              <w:t>40%</w:t>
            </w:r>
          </w:p>
        </w:tc>
        <w:tc>
          <w:tcPr>
            <w:tcW w:w="1080" w:type="dxa"/>
            <w:shd w:val="clear" w:color="auto" w:fill="auto"/>
            <w:tcMar>
              <w:top w:w="100" w:type="dxa"/>
              <w:left w:w="100" w:type="dxa"/>
              <w:bottom w:w="100" w:type="dxa"/>
              <w:right w:w="100" w:type="dxa"/>
            </w:tcMar>
          </w:tcPr>
          <w:p w14:paraId="2302C4E9" w14:textId="77777777" w:rsidR="0062799E" w:rsidRPr="00331F91" w:rsidRDefault="3EEF55E6" w:rsidP="3EEF55E6">
            <w:pPr>
              <w:widowControl w:val="0"/>
              <w:spacing w:line="240" w:lineRule="auto"/>
              <w:ind w:firstLine="0"/>
              <w:jc w:val="center"/>
              <w:rPr>
                <w:sz w:val="20"/>
                <w:szCs w:val="20"/>
              </w:rPr>
            </w:pPr>
            <w:r w:rsidRPr="00331F91">
              <w:rPr>
                <w:sz w:val="20"/>
                <w:szCs w:val="20"/>
              </w:rPr>
              <w:t>12.3</w:t>
            </w:r>
          </w:p>
        </w:tc>
        <w:tc>
          <w:tcPr>
            <w:tcW w:w="1350" w:type="dxa"/>
            <w:shd w:val="clear" w:color="auto" w:fill="auto"/>
            <w:tcMar>
              <w:top w:w="100" w:type="dxa"/>
              <w:left w:w="100" w:type="dxa"/>
              <w:bottom w:w="100" w:type="dxa"/>
              <w:right w:w="100" w:type="dxa"/>
            </w:tcMar>
          </w:tcPr>
          <w:p w14:paraId="3ADF11B4" w14:textId="77777777" w:rsidR="0062799E" w:rsidRPr="00331F91" w:rsidRDefault="69CFA879" w:rsidP="69CFA879">
            <w:pPr>
              <w:widowControl w:val="0"/>
              <w:spacing w:line="240" w:lineRule="auto"/>
              <w:ind w:firstLine="0"/>
              <w:jc w:val="center"/>
              <w:rPr>
                <w:sz w:val="20"/>
                <w:szCs w:val="20"/>
              </w:rPr>
            </w:pPr>
            <w:r w:rsidRPr="00331F91">
              <w:rPr>
                <w:sz w:val="20"/>
                <w:szCs w:val="20"/>
              </w:rPr>
              <w:t>3.6*10</w:t>
            </w:r>
            <w:r w:rsidRPr="00331F91">
              <w:rPr>
                <w:sz w:val="20"/>
                <w:szCs w:val="20"/>
                <w:vertAlign w:val="superscript"/>
              </w:rPr>
              <w:t>-8</w:t>
            </w:r>
          </w:p>
        </w:tc>
      </w:tr>
      <w:tr w:rsidR="0062799E" w:rsidRPr="00C74791" w14:paraId="6EC8E1D1" w14:textId="77777777" w:rsidTr="3EEF55E6">
        <w:tc>
          <w:tcPr>
            <w:tcW w:w="1980" w:type="dxa"/>
            <w:shd w:val="clear" w:color="auto" w:fill="auto"/>
            <w:tcMar>
              <w:top w:w="100" w:type="dxa"/>
              <w:left w:w="100" w:type="dxa"/>
              <w:bottom w:w="100" w:type="dxa"/>
              <w:right w:w="100" w:type="dxa"/>
            </w:tcMar>
          </w:tcPr>
          <w:p w14:paraId="464D047A" w14:textId="77777777" w:rsidR="0062799E" w:rsidRPr="00331F91" w:rsidRDefault="69CFA879" w:rsidP="69CFA879">
            <w:pPr>
              <w:widowControl w:val="0"/>
              <w:pBdr>
                <w:top w:val="nil"/>
                <w:left w:val="nil"/>
                <w:bottom w:val="nil"/>
                <w:right w:val="nil"/>
                <w:between w:val="nil"/>
              </w:pBdr>
              <w:spacing w:line="240" w:lineRule="auto"/>
              <w:ind w:firstLine="0"/>
              <w:rPr>
                <w:sz w:val="20"/>
                <w:szCs w:val="20"/>
              </w:rPr>
            </w:pPr>
            <w:r w:rsidRPr="00331F91">
              <w:rPr>
                <w:sz w:val="20"/>
                <w:szCs w:val="20"/>
              </w:rPr>
              <w:t>SAM Total Score</w:t>
            </w:r>
          </w:p>
        </w:tc>
        <w:tc>
          <w:tcPr>
            <w:tcW w:w="1260" w:type="dxa"/>
            <w:shd w:val="clear" w:color="auto" w:fill="auto"/>
            <w:tcMar>
              <w:top w:w="100" w:type="dxa"/>
              <w:left w:w="100" w:type="dxa"/>
              <w:bottom w:w="100" w:type="dxa"/>
              <w:right w:w="100" w:type="dxa"/>
            </w:tcMar>
          </w:tcPr>
          <w:p w14:paraId="45E582F6" w14:textId="77777777" w:rsidR="0062799E" w:rsidRPr="00331F91" w:rsidRDefault="69CFA879" w:rsidP="69CFA879">
            <w:pPr>
              <w:widowControl w:val="0"/>
              <w:spacing w:line="240" w:lineRule="auto"/>
              <w:ind w:firstLine="0"/>
              <w:jc w:val="center"/>
              <w:rPr>
                <w:sz w:val="20"/>
                <w:szCs w:val="20"/>
              </w:rPr>
            </w:pPr>
            <w:r w:rsidRPr="00331F91">
              <w:rPr>
                <w:sz w:val="20"/>
                <w:szCs w:val="20"/>
              </w:rPr>
              <w:t>56.1%</w:t>
            </w:r>
          </w:p>
        </w:tc>
        <w:tc>
          <w:tcPr>
            <w:tcW w:w="720" w:type="dxa"/>
            <w:shd w:val="clear" w:color="auto" w:fill="auto"/>
            <w:tcMar>
              <w:top w:w="100" w:type="dxa"/>
              <w:left w:w="100" w:type="dxa"/>
              <w:bottom w:w="100" w:type="dxa"/>
              <w:right w:w="100" w:type="dxa"/>
            </w:tcMar>
          </w:tcPr>
          <w:p w14:paraId="4888B873" w14:textId="77777777" w:rsidR="0062799E" w:rsidRPr="00331F91" w:rsidRDefault="3EEF55E6" w:rsidP="3EEF55E6">
            <w:pPr>
              <w:widowControl w:val="0"/>
              <w:spacing w:line="240" w:lineRule="auto"/>
              <w:ind w:firstLine="0"/>
              <w:jc w:val="center"/>
              <w:rPr>
                <w:sz w:val="20"/>
                <w:szCs w:val="20"/>
              </w:rPr>
            </w:pPr>
            <w:r w:rsidRPr="00331F91">
              <w:rPr>
                <w:sz w:val="20"/>
                <w:szCs w:val="20"/>
              </w:rPr>
              <w:t>5.0</w:t>
            </w:r>
          </w:p>
        </w:tc>
        <w:tc>
          <w:tcPr>
            <w:tcW w:w="1260" w:type="dxa"/>
            <w:shd w:val="clear" w:color="auto" w:fill="auto"/>
            <w:tcMar>
              <w:top w:w="100" w:type="dxa"/>
              <w:left w:w="100" w:type="dxa"/>
              <w:bottom w:w="100" w:type="dxa"/>
              <w:right w:w="100" w:type="dxa"/>
            </w:tcMar>
          </w:tcPr>
          <w:p w14:paraId="2EDF923D" w14:textId="77777777" w:rsidR="0062799E" w:rsidRPr="00331F91" w:rsidRDefault="69CFA879" w:rsidP="69CFA879">
            <w:pPr>
              <w:widowControl w:val="0"/>
              <w:spacing w:line="240" w:lineRule="auto"/>
              <w:ind w:firstLine="0"/>
              <w:jc w:val="center"/>
              <w:rPr>
                <w:sz w:val="20"/>
                <w:szCs w:val="20"/>
              </w:rPr>
            </w:pPr>
            <w:r w:rsidRPr="00331F91">
              <w:rPr>
                <w:sz w:val="20"/>
                <w:szCs w:val="20"/>
              </w:rPr>
              <w:t>40.2%</w:t>
            </w:r>
          </w:p>
        </w:tc>
        <w:tc>
          <w:tcPr>
            <w:tcW w:w="1080" w:type="dxa"/>
            <w:shd w:val="clear" w:color="auto" w:fill="auto"/>
            <w:tcMar>
              <w:top w:w="100" w:type="dxa"/>
              <w:left w:w="100" w:type="dxa"/>
              <w:bottom w:w="100" w:type="dxa"/>
              <w:right w:w="100" w:type="dxa"/>
            </w:tcMar>
          </w:tcPr>
          <w:p w14:paraId="2EFFF5FD" w14:textId="77777777" w:rsidR="0062799E" w:rsidRPr="00331F91" w:rsidRDefault="3EEF55E6" w:rsidP="3EEF55E6">
            <w:pPr>
              <w:widowControl w:val="0"/>
              <w:spacing w:line="240" w:lineRule="auto"/>
              <w:ind w:firstLine="0"/>
              <w:jc w:val="center"/>
              <w:rPr>
                <w:sz w:val="20"/>
                <w:szCs w:val="20"/>
              </w:rPr>
            </w:pPr>
            <w:r w:rsidRPr="00331F91">
              <w:rPr>
                <w:sz w:val="20"/>
                <w:szCs w:val="20"/>
              </w:rPr>
              <w:t>11.2</w:t>
            </w:r>
          </w:p>
        </w:tc>
        <w:tc>
          <w:tcPr>
            <w:tcW w:w="1350" w:type="dxa"/>
            <w:shd w:val="clear" w:color="auto" w:fill="auto"/>
            <w:tcMar>
              <w:top w:w="100" w:type="dxa"/>
              <w:left w:w="100" w:type="dxa"/>
              <w:bottom w:w="100" w:type="dxa"/>
              <w:right w:w="100" w:type="dxa"/>
            </w:tcMar>
          </w:tcPr>
          <w:p w14:paraId="0963E06D" w14:textId="77777777" w:rsidR="0062799E" w:rsidRPr="00331F91" w:rsidRDefault="69CFA879" w:rsidP="69CFA879">
            <w:pPr>
              <w:widowControl w:val="0"/>
              <w:spacing w:line="240" w:lineRule="auto"/>
              <w:ind w:firstLine="0"/>
              <w:jc w:val="center"/>
              <w:rPr>
                <w:sz w:val="20"/>
                <w:szCs w:val="20"/>
              </w:rPr>
            </w:pPr>
            <w:r w:rsidRPr="00331F91">
              <w:rPr>
                <w:sz w:val="20"/>
                <w:szCs w:val="20"/>
              </w:rPr>
              <w:t>2.5*10</w:t>
            </w:r>
            <w:r w:rsidRPr="00331F91">
              <w:rPr>
                <w:sz w:val="20"/>
                <w:szCs w:val="20"/>
                <w:vertAlign w:val="superscript"/>
              </w:rPr>
              <w:t>-8</w:t>
            </w:r>
          </w:p>
        </w:tc>
      </w:tr>
      <w:tr w:rsidR="0062799E" w:rsidRPr="00C74791" w14:paraId="4B612B36" w14:textId="77777777" w:rsidTr="3EEF55E6">
        <w:tc>
          <w:tcPr>
            <w:tcW w:w="1980" w:type="dxa"/>
            <w:shd w:val="clear" w:color="auto" w:fill="auto"/>
            <w:tcMar>
              <w:top w:w="100" w:type="dxa"/>
              <w:left w:w="100" w:type="dxa"/>
              <w:bottom w:w="100" w:type="dxa"/>
              <w:right w:w="100" w:type="dxa"/>
            </w:tcMar>
          </w:tcPr>
          <w:p w14:paraId="698536F5" w14:textId="77777777" w:rsidR="0062799E" w:rsidRPr="00331F91" w:rsidRDefault="0062799E" w:rsidP="0030012E">
            <w:pPr>
              <w:widowControl w:val="0"/>
              <w:spacing w:line="240" w:lineRule="auto"/>
              <w:rPr>
                <w:sz w:val="20"/>
                <w:szCs w:val="20"/>
              </w:rPr>
            </w:pPr>
          </w:p>
        </w:tc>
        <w:tc>
          <w:tcPr>
            <w:tcW w:w="1260" w:type="dxa"/>
            <w:shd w:val="clear" w:color="auto" w:fill="auto"/>
            <w:tcMar>
              <w:top w:w="100" w:type="dxa"/>
              <w:left w:w="100" w:type="dxa"/>
              <w:bottom w:w="100" w:type="dxa"/>
              <w:right w:w="100" w:type="dxa"/>
            </w:tcMar>
          </w:tcPr>
          <w:p w14:paraId="6B9A9C84" w14:textId="77777777" w:rsidR="0062799E" w:rsidRPr="00331F91" w:rsidRDefault="69CFA879" w:rsidP="69CFA879">
            <w:pPr>
              <w:widowControl w:val="0"/>
              <w:spacing w:line="240" w:lineRule="auto"/>
              <w:ind w:firstLine="0"/>
              <w:jc w:val="center"/>
              <w:rPr>
                <w:sz w:val="20"/>
                <w:szCs w:val="20"/>
              </w:rPr>
            </w:pPr>
            <w:r w:rsidRPr="00331F91">
              <w:rPr>
                <w:sz w:val="20"/>
                <w:szCs w:val="20"/>
              </w:rPr>
              <w:t>%</w:t>
            </w:r>
          </w:p>
        </w:tc>
        <w:tc>
          <w:tcPr>
            <w:tcW w:w="720" w:type="dxa"/>
            <w:shd w:val="clear" w:color="auto" w:fill="auto"/>
            <w:tcMar>
              <w:top w:w="100" w:type="dxa"/>
              <w:left w:w="100" w:type="dxa"/>
              <w:bottom w:w="100" w:type="dxa"/>
              <w:right w:w="100" w:type="dxa"/>
            </w:tcMar>
          </w:tcPr>
          <w:p w14:paraId="7BC1BAF2" w14:textId="77777777" w:rsidR="0062799E" w:rsidRPr="00331F91" w:rsidRDefault="0062799E" w:rsidP="0030012E">
            <w:pPr>
              <w:widowControl w:val="0"/>
              <w:spacing w:line="240" w:lineRule="auto"/>
              <w:jc w:val="center"/>
              <w:rPr>
                <w:sz w:val="20"/>
                <w:szCs w:val="20"/>
              </w:rPr>
            </w:pPr>
          </w:p>
        </w:tc>
        <w:tc>
          <w:tcPr>
            <w:tcW w:w="1260" w:type="dxa"/>
            <w:shd w:val="clear" w:color="auto" w:fill="auto"/>
            <w:tcMar>
              <w:top w:w="100" w:type="dxa"/>
              <w:left w:w="100" w:type="dxa"/>
              <w:bottom w:w="100" w:type="dxa"/>
              <w:right w:w="100" w:type="dxa"/>
            </w:tcMar>
          </w:tcPr>
          <w:p w14:paraId="77C6967E" w14:textId="77777777" w:rsidR="0062799E" w:rsidRPr="00331F91" w:rsidRDefault="69CFA879" w:rsidP="69CFA879">
            <w:pPr>
              <w:widowControl w:val="0"/>
              <w:spacing w:line="240" w:lineRule="auto"/>
              <w:ind w:firstLine="0"/>
              <w:jc w:val="center"/>
              <w:rPr>
                <w:sz w:val="20"/>
                <w:szCs w:val="20"/>
              </w:rPr>
            </w:pPr>
            <w:r w:rsidRPr="00331F91">
              <w:rPr>
                <w:sz w:val="20"/>
                <w:szCs w:val="20"/>
              </w:rPr>
              <w:t>%</w:t>
            </w:r>
          </w:p>
        </w:tc>
        <w:tc>
          <w:tcPr>
            <w:tcW w:w="1080" w:type="dxa"/>
            <w:shd w:val="clear" w:color="auto" w:fill="auto"/>
            <w:tcMar>
              <w:top w:w="100" w:type="dxa"/>
              <w:left w:w="100" w:type="dxa"/>
              <w:bottom w:w="100" w:type="dxa"/>
              <w:right w:w="100" w:type="dxa"/>
            </w:tcMar>
          </w:tcPr>
          <w:p w14:paraId="61C988F9" w14:textId="77777777" w:rsidR="0062799E" w:rsidRPr="00331F91" w:rsidRDefault="0062799E" w:rsidP="0030012E">
            <w:pPr>
              <w:widowControl w:val="0"/>
              <w:spacing w:line="240" w:lineRule="auto"/>
              <w:jc w:val="center"/>
              <w:rPr>
                <w:sz w:val="20"/>
                <w:szCs w:val="20"/>
              </w:rPr>
            </w:pPr>
          </w:p>
        </w:tc>
        <w:tc>
          <w:tcPr>
            <w:tcW w:w="1350" w:type="dxa"/>
            <w:shd w:val="clear" w:color="auto" w:fill="auto"/>
            <w:tcMar>
              <w:top w:w="100" w:type="dxa"/>
              <w:left w:w="100" w:type="dxa"/>
              <w:bottom w:w="100" w:type="dxa"/>
              <w:right w:w="100" w:type="dxa"/>
            </w:tcMar>
          </w:tcPr>
          <w:p w14:paraId="3B22BB7D" w14:textId="77777777" w:rsidR="0062799E" w:rsidRPr="00331F91" w:rsidRDefault="0062799E" w:rsidP="0030012E">
            <w:pPr>
              <w:widowControl w:val="0"/>
              <w:spacing w:line="240" w:lineRule="auto"/>
              <w:jc w:val="center"/>
              <w:rPr>
                <w:sz w:val="20"/>
                <w:szCs w:val="20"/>
              </w:rPr>
            </w:pPr>
          </w:p>
        </w:tc>
      </w:tr>
      <w:tr w:rsidR="0062799E" w:rsidRPr="00C74791" w14:paraId="69408CEA" w14:textId="77777777" w:rsidTr="3EEF55E6">
        <w:tc>
          <w:tcPr>
            <w:tcW w:w="1980" w:type="dxa"/>
            <w:shd w:val="clear" w:color="auto" w:fill="auto"/>
            <w:tcMar>
              <w:top w:w="100" w:type="dxa"/>
              <w:left w:w="100" w:type="dxa"/>
              <w:bottom w:w="100" w:type="dxa"/>
              <w:right w:w="100" w:type="dxa"/>
            </w:tcMar>
          </w:tcPr>
          <w:p w14:paraId="23178E8A" w14:textId="77777777" w:rsidR="0062799E" w:rsidRPr="00331F91" w:rsidRDefault="69CFA879" w:rsidP="69CFA879">
            <w:pPr>
              <w:widowControl w:val="0"/>
              <w:spacing w:line="240" w:lineRule="auto"/>
              <w:ind w:firstLine="0"/>
              <w:rPr>
                <w:sz w:val="20"/>
                <w:szCs w:val="20"/>
              </w:rPr>
            </w:pPr>
            <w:r w:rsidRPr="00331F91">
              <w:rPr>
                <w:sz w:val="20"/>
                <w:szCs w:val="20"/>
              </w:rPr>
              <w:t>Written at an 8th grade level or lower</w:t>
            </w:r>
          </w:p>
        </w:tc>
        <w:tc>
          <w:tcPr>
            <w:tcW w:w="1260" w:type="dxa"/>
            <w:shd w:val="clear" w:color="auto" w:fill="auto"/>
            <w:tcMar>
              <w:top w:w="100" w:type="dxa"/>
              <w:left w:w="100" w:type="dxa"/>
              <w:bottom w:w="100" w:type="dxa"/>
              <w:right w:w="100" w:type="dxa"/>
            </w:tcMar>
          </w:tcPr>
          <w:p w14:paraId="135DF624" w14:textId="77777777" w:rsidR="0062799E" w:rsidRPr="00331F91" w:rsidRDefault="69CFA879" w:rsidP="69CFA879">
            <w:pPr>
              <w:widowControl w:val="0"/>
              <w:spacing w:line="240" w:lineRule="auto"/>
              <w:ind w:firstLine="0"/>
              <w:jc w:val="center"/>
              <w:rPr>
                <w:sz w:val="20"/>
                <w:szCs w:val="20"/>
              </w:rPr>
            </w:pPr>
            <w:r w:rsidRPr="00331F91">
              <w:rPr>
                <w:sz w:val="20"/>
                <w:szCs w:val="20"/>
              </w:rPr>
              <w:t>65%</w:t>
            </w:r>
          </w:p>
        </w:tc>
        <w:tc>
          <w:tcPr>
            <w:tcW w:w="720" w:type="dxa"/>
            <w:shd w:val="clear" w:color="auto" w:fill="auto"/>
            <w:tcMar>
              <w:top w:w="100" w:type="dxa"/>
              <w:left w:w="100" w:type="dxa"/>
              <w:bottom w:w="100" w:type="dxa"/>
              <w:right w:w="100" w:type="dxa"/>
            </w:tcMar>
          </w:tcPr>
          <w:p w14:paraId="17B246DD" w14:textId="77777777" w:rsidR="0062799E" w:rsidRPr="00331F91" w:rsidRDefault="0062799E" w:rsidP="0030012E">
            <w:pPr>
              <w:widowControl w:val="0"/>
              <w:spacing w:line="240" w:lineRule="auto"/>
              <w:jc w:val="center"/>
              <w:rPr>
                <w:sz w:val="20"/>
                <w:szCs w:val="20"/>
              </w:rPr>
            </w:pPr>
          </w:p>
        </w:tc>
        <w:tc>
          <w:tcPr>
            <w:tcW w:w="1260" w:type="dxa"/>
            <w:shd w:val="clear" w:color="auto" w:fill="auto"/>
            <w:tcMar>
              <w:top w:w="100" w:type="dxa"/>
              <w:left w:w="100" w:type="dxa"/>
              <w:bottom w:w="100" w:type="dxa"/>
              <w:right w:w="100" w:type="dxa"/>
            </w:tcMar>
          </w:tcPr>
          <w:p w14:paraId="1BEFDE1A" w14:textId="77777777" w:rsidR="0062799E" w:rsidRPr="00331F91" w:rsidRDefault="69CFA879" w:rsidP="69CFA879">
            <w:pPr>
              <w:widowControl w:val="0"/>
              <w:spacing w:line="240" w:lineRule="auto"/>
              <w:ind w:firstLine="0"/>
              <w:jc w:val="center"/>
              <w:rPr>
                <w:sz w:val="20"/>
                <w:szCs w:val="20"/>
              </w:rPr>
            </w:pPr>
            <w:r w:rsidRPr="00331F91">
              <w:rPr>
                <w:sz w:val="20"/>
                <w:szCs w:val="20"/>
              </w:rPr>
              <w:t>0%</w:t>
            </w:r>
          </w:p>
        </w:tc>
        <w:tc>
          <w:tcPr>
            <w:tcW w:w="1080" w:type="dxa"/>
            <w:shd w:val="clear" w:color="auto" w:fill="auto"/>
            <w:tcMar>
              <w:top w:w="100" w:type="dxa"/>
              <w:left w:w="100" w:type="dxa"/>
              <w:bottom w:w="100" w:type="dxa"/>
              <w:right w:w="100" w:type="dxa"/>
            </w:tcMar>
          </w:tcPr>
          <w:p w14:paraId="6BF89DA3" w14:textId="77777777" w:rsidR="0062799E" w:rsidRPr="00331F91" w:rsidRDefault="0062799E" w:rsidP="0030012E">
            <w:pPr>
              <w:widowControl w:val="0"/>
              <w:spacing w:line="240" w:lineRule="auto"/>
              <w:jc w:val="center"/>
              <w:rPr>
                <w:sz w:val="20"/>
                <w:szCs w:val="20"/>
              </w:rPr>
            </w:pPr>
          </w:p>
        </w:tc>
        <w:tc>
          <w:tcPr>
            <w:tcW w:w="1350" w:type="dxa"/>
            <w:shd w:val="clear" w:color="auto" w:fill="auto"/>
            <w:tcMar>
              <w:top w:w="100" w:type="dxa"/>
              <w:left w:w="100" w:type="dxa"/>
              <w:bottom w:w="100" w:type="dxa"/>
              <w:right w:w="100" w:type="dxa"/>
            </w:tcMar>
          </w:tcPr>
          <w:p w14:paraId="00398D01" w14:textId="77777777" w:rsidR="0062799E" w:rsidRPr="00331F91" w:rsidRDefault="69CFA879" w:rsidP="69CFA879">
            <w:pPr>
              <w:widowControl w:val="0"/>
              <w:spacing w:line="240" w:lineRule="auto"/>
              <w:ind w:firstLine="0"/>
              <w:jc w:val="center"/>
              <w:rPr>
                <w:sz w:val="20"/>
                <w:szCs w:val="20"/>
              </w:rPr>
            </w:pPr>
            <w:r w:rsidRPr="00331F91">
              <w:rPr>
                <w:sz w:val="20"/>
                <w:szCs w:val="20"/>
              </w:rPr>
              <w:t>2.2*10</w:t>
            </w:r>
            <w:r w:rsidRPr="00331F91">
              <w:rPr>
                <w:sz w:val="20"/>
                <w:szCs w:val="20"/>
                <w:vertAlign w:val="superscript"/>
              </w:rPr>
              <w:t>-7</w:t>
            </w:r>
          </w:p>
        </w:tc>
      </w:tr>
      <w:tr w:rsidR="0062799E" w:rsidRPr="00C74791" w14:paraId="76F9D1E5" w14:textId="77777777" w:rsidTr="3EEF55E6">
        <w:tc>
          <w:tcPr>
            <w:tcW w:w="1980" w:type="dxa"/>
            <w:shd w:val="clear" w:color="auto" w:fill="auto"/>
            <w:tcMar>
              <w:top w:w="100" w:type="dxa"/>
              <w:left w:w="100" w:type="dxa"/>
              <w:bottom w:w="100" w:type="dxa"/>
              <w:right w:w="100" w:type="dxa"/>
            </w:tcMar>
          </w:tcPr>
          <w:p w14:paraId="21D3D09E" w14:textId="77777777" w:rsidR="0062799E" w:rsidRPr="00331F91" w:rsidRDefault="69CFA879" w:rsidP="69CFA879">
            <w:pPr>
              <w:widowControl w:val="0"/>
              <w:pBdr>
                <w:top w:val="nil"/>
                <w:left w:val="nil"/>
                <w:bottom w:val="nil"/>
                <w:right w:val="nil"/>
                <w:between w:val="nil"/>
              </w:pBdr>
              <w:spacing w:line="240" w:lineRule="auto"/>
              <w:ind w:firstLine="0"/>
              <w:rPr>
                <w:sz w:val="20"/>
                <w:szCs w:val="20"/>
              </w:rPr>
            </w:pPr>
            <w:r w:rsidRPr="00331F91">
              <w:rPr>
                <w:sz w:val="20"/>
                <w:szCs w:val="20"/>
              </w:rPr>
              <w:t>Achieving an Adequate SAM Total Score</w:t>
            </w:r>
          </w:p>
        </w:tc>
        <w:tc>
          <w:tcPr>
            <w:tcW w:w="1260" w:type="dxa"/>
            <w:shd w:val="clear" w:color="auto" w:fill="auto"/>
            <w:tcMar>
              <w:top w:w="100" w:type="dxa"/>
              <w:left w:w="100" w:type="dxa"/>
              <w:bottom w:w="100" w:type="dxa"/>
              <w:right w:w="100" w:type="dxa"/>
            </w:tcMar>
          </w:tcPr>
          <w:p w14:paraId="3F393A7F" w14:textId="77777777" w:rsidR="0062799E" w:rsidRPr="00331F91" w:rsidRDefault="69CFA879" w:rsidP="69CFA879">
            <w:pPr>
              <w:widowControl w:val="0"/>
              <w:spacing w:line="240" w:lineRule="auto"/>
              <w:ind w:firstLine="0"/>
              <w:jc w:val="center"/>
              <w:rPr>
                <w:sz w:val="20"/>
                <w:szCs w:val="20"/>
              </w:rPr>
            </w:pPr>
            <w:r w:rsidRPr="00331F91">
              <w:rPr>
                <w:sz w:val="20"/>
                <w:szCs w:val="20"/>
              </w:rPr>
              <w:t>100%</w:t>
            </w:r>
          </w:p>
        </w:tc>
        <w:tc>
          <w:tcPr>
            <w:tcW w:w="720" w:type="dxa"/>
            <w:shd w:val="clear" w:color="auto" w:fill="auto"/>
            <w:tcMar>
              <w:top w:w="100" w:type="dxa"/>
              <w:left w:w="100" w:type="dxa"/>
              <w:bottom w:w="100" w:type="dxa"/>
              <w:right w:w="100" w:type="dxa"/>
            </w:tcMar>
          </w:tcPr>
          <w:p w14:paraId="5C3E0E74" w14:textId="77777777" w:rsidR="0062799E" w:rsidRPr="00331F91" w:rsidRDefault="0062799E" w:rsidP="0030012E">
            <w:pPr>
              <w:widowControl w:val="0"/>
              <w:spacing w:line="240" w:lineRule="auto"/>
              <w:jc w:val="center"/>
              <w:rPr>
                <w:sz w:val="20"/>
                <w:szCs w:val="20"/>
              </w:rPr>
            </w:pPr>
          </w:p>
        </w:tc>
        <w:tc>
          <w:tcPr>
            <w:tcW w:w="1260" w:type="dxa"/>
            <w:shd w:val="clear" w:color="auto" w:fill="auto"/>
            <w:tcMar>
              <w:top w:w="100" w:type="dxa"/>
              <w:left w:w="100" w:type="dxa"/>
              <w:bottom w:w="100" w:type="dxa"/>
              <w:right w:w="100" w:type="dxa"/>
            </w:tcMar>
          </w:tcPr>
          <w:p w14:paraId="292DB4B9" w14:textId="77777777" w:rsidR="0062799E" w:rsidRPr="00331F91" w:rsidRDefault="69CFA879" w:rsidP="69CFA879">
            <w:pPr>
              <w:widowControl w:val="0"/>
              <w:spacing w:line="240" w:lineRule="auto"/>
              <w:ind w:firstLine="0"/>
              <w:jc w:val="center"/>
              <w:rPr>
                <w:sz w:val="20"/>
                <w:szCs w:val="20"/>
              </w:rPr>
            </w:pPr>
            <w:r w:rsidRPr="00331F91">
              <w:rPr>
                <w:sz w:val="20"/>
                <w:szCs w:val="20"/>
              </w:rPr>
              <w:t>50%</w:t>
            </w:r>
          </w:p>
        </w:tc>
        <w:tc>
          <w:tcPr>
            <w:tcW w:w="1080" w:type="dxa"/>
            <w:shd w:val="clear" w:color="auto" w:fill="auto"/>
            <w:tcMar>
              <w:top w:w="100" w:type="dxa"/>
              <w:left w:w="100" w:type="dxa"/>
              <w:bottom w:w="100" w:type="dxa"/>
              <w:right w:w="100" w:type="dxa"/>
            </w:tcMar>
          </w:tcPr>
          <w:p w14:paraId="66A1FAB9" w14:textId="77777777" w:rsidR="0062799E" w:rsidRPr="00331F91" w:rsidRDefault="0062799E" w:rsidP="0030012E">
            <w:pPr>
              <w:widowControl w:val="0"/>
              <w:spacing w:line="240" w:lineRule="auto"/>
              <w:jc w:val="center"/>
              <w:rPr>
                <w:sz w:val="20"/>
                <w:szCs w:val="20"/>
              </w:rPr>
            </w:pPr>
          </w:p>
        </w:tc>
        <w:tc>
          <w:tcPr>
            <w:tcW w:w="1350" w:type="dxa"/>
            <w:shd w:val="clear" w:color="auto" w:fill="auto"/>
            <w:tcMar>
              <w:top w:w="100" w:type="dxa"/>
              <w:left w:w="100" w:type="dxa"/>
              <w:bottom w:w="100" w:type="dxa"/>
              <w:right w:w="100" w:type="dxa"/>
            </w:tcMar>
          </w:tcPr>
          <w:p w14:paraId="49592C5B" w14:textId="77777777" w:rsidR="0062799E" w:rsidRPr="00331F91" w:rsidRDefault="69CFA879" w:rsidP="69CFA879">
            <w:pPr>
              <w:widowControl w:val="0"/>
              <w:spacing w:line="240" w:lineRule="auto"/>
              <w:ind w:firstLine="0"/>
              <w:jc w:val="center"/>
              <w:rPr>
                <w:sz w:val="20"/>
                <w:szCs w:val="20"/>
              </w:rPr>
            </w:pPr>
            <w:r w:rsidRPr="00331F91">
              <w:rPr>
                <w:sz w:val="20"/>
                <w:szCs w:val="20"/>
              </w:rPr>
              <w:t>8.4*10</w:t>
            </w:r>
            <w:r w:rsidRPr="00331F91">
              <w:rPr>
                <w:sz w:val="20"/>
                <w:szCs w:val="20"/>
                <w:vertAlign w:val="superscript"/>
              </w:rPr>
              <w:t>-5</w:t>
            </w:r>
          </w:p>
        </w:tc>
      </w:tr>
    </w:tbl>
    <w:p w14:paraId="76BB753C" w14:textId="77777777" w:rsidR="0062799E" w:rsidRDefault="0062799E" w:rsidP="0062799E"/>
    <w:p w14:paraId="4AFE23A4" w14:textId="77777777" w:rsidR="000B1C26" w:rsidRDefault="69CFA879" w:rsidP="000B1C26">
      <w:pPr>
        <w:pStyle w:val="Heading1"/>
      </w:pPr>
      <w:bookmarkStart w:id="25" w:name="_Toc525805129"/>
      <w:r>
        <w:lastRenderedPageBreak/>
        <w:t>Discussion</w:t>
      </w:r>
      <w:bookmarkEnd w:id="25"/>
    </w:p>
    <w:p w14:paraId="1E5B6794" w14:textId="77777777" w:rsidR="000B1C26" w:rsidRDefault="69CFA879" w:rsidP="000B1C26">
      <w:pPr>
        <w:pStyle w:val="Heading2"/>
      </w:pPr>
      <w:bookmarkStart w:id="26" w:name="_Toc525805130"/>
      <w:r>
        <w:t>Practical Considerations: How did we do, and how can we do better?</w:t>
      </w:r>
      <w:bookmarkEnd w:id="26"/>
    </w:p>
    <w:p w14:paraId="7FB89141" w14:textId="77777777" w:rsidR="000B1C26" w:rsidRDefault="69CFA879" w:rsidP="0030012E">
      <w:pPr>
        <w:pStyle w:val="Heading3"/>
        <w:numPr>
          <w:ilvl w:val="2"/>
          <w:numId w:val="1"/>
        </w:numPr>
        <w:tabs>
          <w:tab w:val="clear" w:pos="0"/>
        </w:tabs>
      </w:pPr>
      <w:bookmarkStart w:id="27" w:name="_Toc106513530"/>
      <w:bookmarkStart w:id="28" w:name="_Toc106717788"/>
      <w:bookmarkStart w:id="29" w:name="_Toc114179897"/>
      <w:bookmarkStart w:id="30" w:name="_Toc525805131"/>
      <w:r>
        <w:t>Overview of Surveyed Materials</w:t>
      </w:r>
      <w:bookmarkEnd w:id="27"/>
      <w:bookmarkEnd w:id="28"/>
      <w:bookmarkEnd w:id="29"/>
      <w:bookmarkEnd w:id="30"/>
    </w:p>
    <w:p w14:paraId="6E3ED98A" w14:textId="77777777" w:rsidR="000B1C26" w:rsidRPr="00C74791" w:rsidRDefault="69CFA879" w:rsidP="000B1C26">
      <w:pPr>
        <w:ind w:firstLine="0"/>
      </w:pPr>
      <w:r>
        <w:t xml:space="preserve">Keeping with the recommendations of CMS (McGee, 2012), this author would not recommend a hard target for the grade level of individual documents. The reasoning behind this recommendation </w:t>
      </w:r>
      <w:proofErr w:type="gramStart"/>
      <w:r>
        <w:t>will be discussed</w:t>
      </w:r>
      <w:proofErr w:type="gramEnd"/>
      <w:r>
        <w:t xml:space="preserve"> in a later section. Even without a hard target, this author does feel comfortable stating that the material distributed by outpatient clinics </w:t>
      </w:r>
      <w:proofErr w:type="gramStart"/>
      <w:r>
        <w:t>was written</w:t>
      </w:r>
      <w:proofErr w:type="gramEnd"/>
      <w:r>
        <w:t xml:space="preserve"> at dramatically too high of an overall grade level for the general population when taken as a whole. In the subspecialty </w:t>
      </w:r>
      <w:proofErr w:type="gramStart"/>
      <w:r>
        <w:t>clinics</w:t>
      </w:r>
      <w:proofErr w:type="gramEnd"/>
      <w:r>
        <w:t xml:space="preserve"> this was particularly evident, as not a single collected piece achieved even an 8th grade reading level (</w:t>
      </w:r>
      <w:r w:rsidRPr="69CFA879">
        <w:rPr>
          <w:b/>
          <w:bCs/>
        </w:rPr>
        <w:t>Table 2</w:t>
      </w:r>
      <w:r>
        <w:t xml:space="preserve">). The general pediatrics clinic performed significantly better, and was able to achieve a mean grade level of 8.13. This represents a set of materials that are at least approaching the abilities of those with low health literacy. A pairwise comparison confirms that the general pediatrics clinic materials were at a significantly lower level than the </w:t>
      </w:r>
      <w:proofErr w:type="gramStart"/>
      <w:r>
        <w:t>three subspecialty</w:t>
      </w:r>
      <w:proofErr w:type="gramEnd"/>
      <w:r>
        <w:t xml:space="preserve"> clinics, whose materials did not significantly differ from each other in this respect (</w:t>
      </w:r>
      <w:r w:rsidRPr="69CFA879">
        <w:rPr>
          <w:b/>
          <w:bCs/>
        </w:rPr>
        <w:t>Table 2</w:t>
      </w:r>
      <w:r>
        <w:t xml:space="preserve">, </w:t>
      </w:r>
      <w:r w:rsidRPr="69CFA879">
        <w:rPr>
          <w:b/>
          <w:bCs/>
        </w:rPr>
        <w:t>Table 3</w:t>
      </w:r>
      <w:r>
        <w:t>).</w:t>
      </w:r>
    </w:p>
    <w:p w14:paraId="45C7FB87" w14:textId="77777777" w:rsidR="000B1C26" w:rsidRPr="00C74791" w:rsidRDefault="69CFA879" w:rsidP="000B1C26">
      <w:r>
        <w:t xml:space="preserve">There are both upsides and downsides to this finding. The major upside is that a much larger proportion of children and families have contact with a general pediatrics office compared to a subspecialty clinic (American Academy of Pediatrics, 2010). Thus, the majority of materials that </w:t>
      </w:r>
      <w:proofErr w:type="gramStart"/>
      <w:r>
        <w:t>are being handed out</w:t>
      </w:r>
      <w:proofErr w:type="gramEnd"/>
      <w:r>
        <w:t xml:space="preserve"> are of higher quality. The downside is that children who see </w:t>
      </w:r>
      <w:r>
        <w:lastRenderedPageBreak/>
        <w:t xml:space="preserve">subspecialists, especially those that see them regularly, are more likely to have chronic medical conditions and thus would be more likely to benefit from superior behavior-modifying materials.  </w:t>
      </w:r>
    </w:p>
    <w:p w14:paraId="4385C3A8" w14:textId="77777777" w:rsidR="000B1C26" w:rsidRPr="00C74791" w:rsidRDefault="69CFA879" w:rsidP="000B1C26">
      <w:proofErr w:type="gramStart"/>
      <w:r>
        <w:t>With regards to</w:t>
      </w:r>
      <w:proofErr w:type="gramEnd"/>
      <w:r>
        <w:t xml:space="preserve"> SAM analysis, the sample of materials performed better than they did for grade level, though they were still far from stellar. The mean SAM score was 46.6%, a mark </w:t>
      </w:r>
      <w:proofErr w:type="gramStart"/>
      <w:r>
        <w:t>which</w:t>
      </w:r>
      <w:proofErr w:type="gramEnd"/>
      <w:r>
        <w:t xml:space="preserve"> is firmly in the “adequate” rating though still far below “superior.” </w:t>
      </w:r>
      <w:proofErr w:type="gramStart"/>
      <w:r>
        <w:t>70%</w:t>
      </w:r>
      <w:proofErr w:type="gramEnd"/>
      <w:r>
        <w:t xml:space="preserve"> of materials achieved the adequate rating. That said, it </w:t>
      </w:r>
      <w:proofErr w:type="gramStart"/>
      <w:r>
        <w:t>should be noted</w:t>
      </w:r>
      <w:proofErr w:type="gramEnd"/>
      <w:r>
        <w:t xml:space="preserve"> that this number was buoyed by the general pediatrics and dermatology clinics. The general pediatrics clinic went an impressive 20/20 in achieving an adequate rating, while dermatology went an admirable 8/10. Meanwhile, infectious disease and endocrine went 4/10 and 3/10 respectively, and posted mean SAM scores below 40% (</w:t>
      </w:r>
      <w:r w:rsidRPr="69CFA879">
        <w:rPr>
          <w:b/>
          <w:bCs/>
        </w:rPr>
        <w:t>Table 4</w:t>
      </w:r>
      <w:r>
        <w:t xml:space="preserve">). </w:t>
      </w:r>
    </w:p>
    <w:p w14:paraId="0C04686F" w14:textId="77777777" w:rsidR="000B1C26" w:rsidRPr="00C74791" w:rsidRDefault="3EEF55E6" w:rsidP="000B1C26">
      <w:r>
        <w:t xml:space="preserve">One heartening findings is the improvement of AAP material over the past decade. In 2005, every single AAP document reviewed had a grade level of 9th grade or higher (Freda, 2005). While 35% of AAP materials still have this shortcoming, it is a dramatic improvement from previous analyses. Of particular note, every single piece from the Bright Futures line that was reviewed had a grade level of </w:t>
      </w:r>
      <w:proofErr w:type="gramStart"/>
      <w:r>
        <w:t>8</w:t>
      </w:r>
      <w:proofErr w:type="gramEnd"/>
      <w:r>
        <w:t xml:space="preserve"> or lower. As is clear from Table 6, AAP materials separated themselves from all other materials surveyed. Their average grade level was </w:t>
      </w:r>
      <w:proofErr w:type="gramStart"/>
      <w:r>
        <w:t>2</w:t>
      </w:r>
      <w:proofErr w:type="gramEnd"/>
      <w:r>
        <w:t xml:space="preserve"> grades lower than the rest of the sample, and their mean SAM score was 15% higher. Particularly strikingly, APP materials had a mean “Literacy” </w:t>
      </w:r>
      <w:proofErr w:type="spellStart"/>
      <w:r>
        <w:t>subscore</w:t>
      </w:r>
      <w:proofErr w:type="spellEnd"/>
      <w:r>
        <w:t xml:space="preserve"> nearly 30% higher than the remainder of the sample. This certainly shows that lowering the literacy requirements of patient education materials is possible. Given where the AAP materials stood in 2005, improvement is additionally achievable in a reasonable </w:t>
      </w:r>
      <w:proofErr w:type="gramStart"/>
      <w:r>
        <w:t>period of time</w:t>
      </w:r>
      <w:proofErr w:type="gramEnd"/>
      <w:r>
        <w:t xml:space="preserve">. </w:t>
      </w:r>
    </w:p>
    <w:p w14:paraId="611734EC" w14:textId="77777777" w:rsidR="000B1C26" w:rsidRPr="000B1C26" w:rsidRDefault="69CFA879" w:rsidP="000B1C26">
      <w:pPr>
        <w:pStyle w:val="Noindent"/>
        <w:ind w:firstLine="720"/>
      </w:pPr>
      <w:r>
        <w:t>Based on the above statistical analyses, materials produced by outside groups tended to be better than those written in house (</w:t>
      </w:r>
      <w:r w:rsidRPr="69CFA879">
        <w:rPr>
          <w:b/>
          <w:bCs/>
        </w:rPr>
        <w:t>Table 5</w:t>
      </w:r>
      <w:r>
        <w:t>). That said</w:t>
      </w:r>
      <w:proofErr w:type="gramStart"/>
      <w:r>
        <w:t>,</w:t>
      </w:r>
      <w:proofErr w:type="gramEnd"/>
      <w:r>
        <w:t xml:space="preserve"> this finding comes with an important caveat. As was noted above, AAP materials outperformed their peers in every facet measured by this study (</w:t>
      </w:r>
      <w:r w:rsidRPr="69CFA879">
        <w:rPr>
          <w:b/>
          <w:bCs/>
        </w:rPr>
        <w:t>Table 6</w:t>
      </w:r>
      <w:r>
        <w:t xml:space="preserve">). Given that the majority (20/38) of outside materials were from the AAP, this author is </w:t>
      </w:r>
      <w:r>
        <w:lastRenderedPageBreak/>
        <w:t xml:space="preserve">hesitant to make any generalizing statement. For example, </w:t>
      </w:r>
      <w:proofErr w:type="gramStart"/>
      <w:r>
        <w:t>all 10 pieces of material from the endocrinology clinic were produced by the Pediatric Endocrine Society</w:t>
      </w:r>
      <w:proofErr w:type="gramEnd"/>
      <w:r>
        <w:t>. This means that, from both a grade level and a SAM perspective, the best and worst performing clinics used solely professionally produced materials. Thus, it seems prudent for clinicians not to automatically assume that these materials are going to be suitable for all patients and parents.</w:t>
      </w:r>
    </w:p>
    <w:p w14:paraId="1C749C66" w14:textId="77777777" w:rsidR="00620701" w:rsidRDefault="69CFA879" w:rsidP="0030012E">
      <w:pPr>
        <w:pStyle w:val="Heading3"/>
        <w:numPr>
          <w:ilvl w:val="2"/>
          <w:numId w:val="1"/>
        </w:numPr>
        <w:tabs>
          <w:tab w:val="clear" w:pos="0"/>
        </w:tabs>
      </w:pPr>
      <w:bookmarkStart w:id="31" w:name="_Toc525805132"/>
      <w:r>
        <w:t>The Curious Case of Endocrine</w:t>
      </w:r>
      <w:bookmarkEnd w:id="31"/>
    </w:p>
    <w:p w14:paraId="1FA20A73" w14:textId="77777777" w:rsidR="00620701" w:rsidRPr="00C74791" w:rsidRDefault="3EEF55E6" w:rsidP="00620701">
      <w:pPr>
        <w:ind w:firstLine="0"/>
      </w:pPr>
      <w:r>
        <w:t>Despite using only professionally produced materials, the endocrine clinic scored quite poorly (</w:t>
      </w:r>
      <w:r w:rsidRPr="3EEF55E6">
        <w:rPr>
          <w:b/>
          <w:bCs/>
        </w:rPr>
        <w:t>Table 2</w:t>
      </w:r>
      <w:r>
        <w:t xml:space="preserve">, </w:t>
      </w:r>
      <w:r w:rsidRPr="3EEF55E6">
        <w:rPr>
          <w:b/>
          <w:bCs/>
        </w:rPr>
        <w:t>Table 4</w:t>
      </w:r>
      <w:r>
        <w:t xml:space="preserve">). The causes were multifactorial. For one, their materials had the </w:t>
      </w:r>
      <w:proofErr w:type="gramStart"/>
      <w:r>
        <w:t>highest grade</w:t>
      </w:r>
      <w:proofErr w:type="gramEnd"/>
      <w:r>
        <w:t xml:space="preserve"> level of any clinic. Still, that is only a small part of the SAM analysis, on which they also performed poorly. One issue was overuse of technical jargon, difficult vocabulary, and high sentence complexity. Perhaps a larger issue was that their materials </w:t>
      </w:r>
      <w:proofErr w:type="gramStart"/>
      <w:r>
        <w:t>were penalized</w:t>
      </w:r>
      <w:proofErr w:type="gramEnd"/>
      <w:r>
        <w:t xml:space="preserve"> for not focusing on modifiable behaviors and instead focusing on facts and information. This issue </w:t>
      </w:r>
      <w:proofErr w:type="gramStart"/>
      <w:r>
        <w:t>will be discussed</w:t>
      </w:r>
      <w:proofErr w:type="gramEnd"/>
      <w:r>
        <w:t xml:space="preserve"> in the context of the SAM rubric in a later section, but for now let us focus on the practical matter at hand: were these penalties appropriate, and should this study judge the endocrinology materials harshly? Ultimately, this author would argue that the answer to this question is most certainly “yes.” There is utility in having purely informational materials. After all, parents might want a record of a benign diagnosis, or a paper to which they can refer to remind themselves why they brought their child to see a subspecialist. That said, these materials almost certainly do not improve patient outcomes or address disparities. </w:t>
      </w:r>
    </w:p>
    <w:p w14:paraId="7FB7D7FF" w14:textId="77777777" w:rsidR="00620701" w:rsidRPr="00C74791" w:rsidRDefault="69CFA879" w:rsidP="00620701">
      <w:r>
        <w:t xml:space="preserve">There is a strong justice-centered argument for writing our health education materials to be as readable and comprehensible as possible and to focus on changing behaviors over simply informing. Put simply, society ought to prioritize improving the understanding of low health </w:t>
      </w:r>
      <w:r>
        <w:lastRenderedPageBreak/>
        <w:t>literacy individual from insufficient to adequate. This is in contrast to producing complex (or purely informative) patient education materials with lower readability (</w:t>
      </w:r>
      <w:proofErr w:type="gramStart"/>
      <w:r>
        <w:t>higher grade</w:t>
      </w:r>
      <w:proofErr w:type="gramEnd"/>
      <w:r>
        <w:t xml:space="preserve"> level) and comprehensibility. The latter materials might improve the understanding of those with high health literacy from adequate to excellent, but would be useless to those with low general literacy and health literacy. Frankly, those with high health literacy do not need any additional help. Their outcomes are far better than those with low health </w:t>
      </w:r>
      <w:proofErr w:type="gramStart"/>
      <w:r>
        <w:t>literacy</w:t>
      </w:r>
      <w:proofErr w:type="gramEnd"/>
      <w:r>
        <w:t xml:space="preserve">, and as such they should not be the focus of our attention. </w:t>
      </w:r>
    </w:p>
    <w:p w14:paraId="1F9EA708" w14:textId="77777777" w:rsidR="0062799E" w:rsidRDefault="59C3CF1A" w:rsidP="00620701">
      <w:r>
        <w:t xml:space="preserve">Is there a place for the materials that the endocrine clinic utilizes? Absolutely. A reassuring handout that a parent of high SES can refer to at their leisure certainly has its place. The main problem is that this represents all of the materials in the endocrinology clinic’s repertoire. They provided the author with a single handout for ten distinct conditions. This included a single handout each on Type 1 and Type 2 Diabetes Mellitus. Diabetes is the type of chronic health condition that clearly manifests disparities between those of lower health literacy (Hassan &amp; </w:t>
      </w:r>
      <w:proofErr w:type="spellStart"/>
      <w:r>
        <w:t>Heptulla</w:t>
      </w:r>
      <w:proofErr w:type="spellEnd"/>
      <w:r>
        <w:t xml:space="preserve">, 2010; Schillinger et al, 2002; Al </w:t>
      </w:r>
      <w:proofErr w:type="spellStart"/>
      <w:r>
        <w:t>Sayah</w:t>
      </w:r>
      <w:proofErr w:type="spellEnd"/>
      <w:r>
        <w:t xml:space="preserve"> et al, 2013) and SES (Walker et al, 2014; Walker et al, 2015). So this author’s question is: why are chronic conditions with a high and increasing prevalence and long term irreversible complications given as much thought as benign conditions when it comes to educational </w:t>
      </w:r>
      <w:proofErr w:type="gramStart"/>
      <w:r>
        <w:t>materials?</w:t>
      </w:r>
      <w:proofErr w:type="gramEnd"/>
      <w:r>
        <w:t xml:space="preserve"> In addition, why </w:t>
      </w:r>
      <w:proofErr w:type="gramStart"/>
      <w:r>
        <w:t>are materials written</w:t>
      </w:r>
      <w:proofErr w:type="gramEnd"/>
      <w:r>
        <w:t xml:space="preserve"> to be most appropriate for the group of persons that already have the best outcomes? If the goal of health education materials </w:t>
      </w:r>
      <w:proofErr w:type="gramStart"/>
      <w:r>
        <w:t>is</w:t>
      </w:r>
      <w:proofErr w:type="gramEnd"/>
      <w:r>
        <w:t xml:space="preserve"> to improve patient understanding and help address these inequities, then it would be much preferable for the endocrine clinic to have ten pieces of material on diabetes, written at an appropriately low grade level and with the SAM rubric in mind, and nothing else. The reality is, unfortunately, the opposite.</w:t>
      </w:r>
    </w:p>
    <w:p w14:paraId="23F561BE" w14:textId="77777777" w:rsidR="00620701" w:rsidRDefault="69CFA879" w:rsidP="0030012E">
      <w:pPr>
        <w:pStyle w:val="Heading3"/>
        <w:numPr>
          <w:ilvl w:val="2"/>
          <w:numId w:val="1"/>
        </w:numPr>
        <w:tabs>
          <w:tab w:val="clear" w:pos="0"/>
        </w:tabs>
      </w:pPr>
      <w:bookmarkStart w:id="32" w:name="_Toc525805133"/>
      <w:r>
        <w:lastRenderedPageBreak/>
        <w:t>General Recommendations to Outpatient Clinics</w:t>
      </w:r>
      <w:bookmarkEnd w:id="32"/>
    </w:p>
    <w:p w14:paraId="55F9C48C" w14:textId="77777777" w:rsidR="00620701" w:rsidRPr="00C74791" w:rsidRDefault="69CFA879" w:rsidP="00620701">
      <w:pPr>
        <w:ind w:firstLine="0"/>
      </w:pPr>
      <w:r>
        <w:t xml:space="preserve">Every clinic that participated in this study, even the general pediatrics clinic, has room to improve. Grade level of materials </w:t>
      </w:r>
      <w:proofErr w:type="gramStart"/>
      <w:r>
        <w:t>can overall be lowered</w:t>
      </w:r>
      <w:proofErr w:type="gramEnd"/>
      <w:r>
        <w:t xml:space="preserve">, and they can additionally be evaluated and improved across multiple domains by using each subsection of the SAM rubric. Across a large sample of materials, grade level </w:t>
      </w:r>
      <w:proofErr w:type="gramStart"/>
      <w:r>
        <w:t>should be lowered</w:t>
      </w:r>
      <w:proofErr w:type="gramEnd"/>
      <w:r>
        <w:t xml:space="preserve"> as much as possible. A mean reading level of grade 8 is certainly feasible, and should be a minimum baseline that each clinic attempts to achieve. Again, in keeping with CDC and CMS recommendations, this author will not suggest a particular target grade level for individual documents. The thought process behind this recommendation </w:t>
      </w:r>
      <w:proofErr w:type="gramStart"/>
      <w:r>
        <w:t>will be discussed</w:t>
      </w:r>
      <w:proofErr w:type="gramEnd"/>
      <w:r>
        <w:t xml:space="preserve"> later in this section. </w:t>
      </w:r>
    </w:p>
    <w:p w14:paraId="4A51564E" w14:textId="77777777" w:rsidR="00620701" w:rsidRPr="00C74791" w:rsidRDefault="59C3CF1A" w:rsidP="00620701">
      <w:r>
        <w:t xml:space="preserve">Beyond the specifics of grade level and suitability analysis tools, perhaps the most important recommendation is that clinicians keep in mind the purpose behind patient education materials. As alluded to in previous sections, the purpose should not be to provide superfluous education to those who already have high health literacy and high likelihood of follow-up and compliance. Rather, they should focus on the patients who have low health literacy and low understanding, as all pieces of data we have available to us suggest that they will be the ones to suffer worse outcomes. Materials should focus on being understandable and appropriate for as wide a swath of the population as possible. Given </w:t>
      </w:r>
      <w:proofErr w:type="gramStart"/>
      <w:r>
        <w:t>data</w:t>
      </w:r>
      <w:proofErr w:type="gramEnd"/>
      <w:r>
        <w:t xml:space="preserve"> suggest that in order to achieve this goal, materials must require at most basic inference capabilities. Straightforwardness and simplicity is the key. The rheumatoid arthritis literature again provides some salient points for providers to keep in mind. There is no correlation between severity of disease and medication adherence in rheumatoid arthritis (Wong, 2016). This is a fairly remarkable and counterintuitive finding. What can improve compliance? Understanding of </w:t>
      </w:r>
      <w:proofErr w:type="gramStart"/>
      <w:r>
        <w:t>long term</w:t>
      </w:r>
      <w:proofErr w:type="gramEnd"/>
      <w:r>
        <w:t xml:space="preserve"> prognosis and current disease status can (Wong, 2016). </w:t>
      </w:r>
      <w:proofErr w:type="gramStart"/>
      <w:r>
        <w:t>But</w:t>
      </w:r>
      <w:proofErr w:type="gramEnd"/>
      <w:r>
        <w:t xml:space="preserve"> what definitively does not? General disease education that does not address </w:t>
      </w:r>
      <w:r>
        <w:lastRenderedPageBreak/>
        <w:t xml:space="preserve">modifiable factors or behaviors (Wong, 2016). </w:t>
      </w:r>
      <w:proofErr w:type="gramStart"/>
      <w:r>
        <w:t>In a nutshell</w:t>
      </w:r>
      <w:proofErr w:type="gramEnd"/>
      <w:r>
        <w:t xml:space="preserve">, these three findings provide the perfect roadmap towards effective, suitable patient education materials. These are precisely the domains that SAM analysis attempts to quantify and improve. </w:t>
      </w:r>
    </w:p>
    <w:p w14:paraId="7F803D7B" w14:textId="77777777" w:rsidR="00620701" w:rsidRPr="00620701" w:rsidRDefault="00620701" w:rsidP="00620701">
      <w:pPr>
        <w:pStyle w:val="Noindent"/>
      </w:pPr>
      <w:r w:rsidRPr="00C74791">
        <w:tab/>
        <w:t>In order to put these recommendations into practice, clinics should actually grade the materials they are handing out to patients. Ideally, they would comp</w:t>
      </w:r>
      <w:r w:rsidR="001B7BC4">
        <w:t>lete grade level and SAM analyse</w:t>
      </w:r>
      <w:r w:rsidRPr="00C74791">
        <w:t xml:space="preserve">s on any piece of material that they are considering using. If the materials come from a larger set or product line, evaluating even a small sample of the documents would likely be sufficient. Still, clinics are very busy places, and doing a complete review of materials is potentially very labor intensive. Even if </w:t>
      </w:r>
      <w:r w:rsidR="002B6D09">
        <w:t>formally</w:t>
      </w:r>
      <w:r w:rsidRPr="00C74791">
        <w:t xml:space="preserve"> filling out a SAM rubric is too time consuming, reviewing materials in the context of the SAM scoring system is the absolute minimum that </w:t>
      </w:r>
      <w:proofErr w:type="gramStart"/>
      <w:r w:rsidRPr="00C74791">
        <w:t>should be done</w:t>
      </w:r>
      <w:proofErr w:type="gramEnd"/>
      <w:r w:rsidRPr="00C74791">
        <w:t>. It should not take nearly as long, and will provide an overall sense of which documents are performing well in multiple domains and which ones are not.</w:t>
      </w:r>
    </w:p>
    <w:p w14:paraId="696F4E86" w14:textId="77777777" w:rsidR="00620701" w:rsidRDefault="69CFA879" w:rsidP="0030012E">
      <w:pPr>
        <w:pStyle w:val="Heading3"/>
        <w:numPr>
          <w:ilvl w:val="2"/>
          <w:numId w:val="1"/>
        </w:numPr>
        <w:tabs>
          <w:tab w:val="clear" w:pos="0"/>
        </w:tabs>
      </w:pPr>
      <w:bookmarkStart w:id="33" w:name="_Toc525805134"/>
      <w:r>
        <w:t>How Should Clinics Approach Selection and Improvement of Materials?</w:t>
      </w:r>
      <w:bookmarkEnd w:id="33"/>
    </w:p>
    <w:p w14:paraId="7A65EC34" w14:textId="77777777" w:rsidR="00620701" w:rsidRPr="00C74791" w:rsidRDefault="59C3CF1A" w:rsidP="00620701">
      <w:pPr>
        <w:ind w:firstLine="0"/>
      </w:pPr>
      <w:r>
        <w:t xml:space="preserve">Ultimately, a score of 50% on the SAM rubric is </w:t>
      </w:r>
      <w:proofErr w:type="gramStart"/>
      <w:r>
        <w:t>fairly meaningless</w:t>
      </w:r>
      <w:proofErr w:type="gramEnd"/>
      <w:r>
        <w:t xml:space="preserve"> in a vacuum. Meanwhile, increasing the SAM score of a document from 35% to 50% shows meaningful improvement in how useful it might be to the general public, particularly those with low health literacy. This document will now do more to address the inequities that are associated with low education and low understanding. That is, and should be, the ultimate goal. Thus, instead of focusing on a target score, this author would recommend that all clinics regularly take time to update and improve any educational materials that they are distributing to patients. The SAM rubric is a perfectly acceptable starting point to begin any improvement effort. When professionally produced materials are available, this author would recommend defaulting to those materials. That said, even </w:t>
      </w:r>
      <w:r>
        <w:lastRenderedPageBreak/>
        <w:t xml:space="preserve">professional materials </w:t>
      </w:r>
      <w:proofErr w:type="gramStart"/>
      <w:r>
        <w:t>should be reviewed and critiqued regularly by clinics</w:t>
      </w:r>
      <w:proofErr w:type="gramEnd"/>
      <w:r>
        <w:t>. As is clear from our analysis (</w:t>
      </w:r>
      <w:r w:rsidRPr="59C3CF1A">
        <w:rPr>
          <w:b/>
          <w:bCs/>
        </w:rPr>
        <w:t>Table 7</w:t>
      </w:r>
      <w:r>
        <w:t xml:space="preserve">), even when materials are from the same organization they can vary significantly in quality and suitability. </w:t>
      </w:r>
      <w:proofErr w:type="gramStart"/>
      <w:r>
        <w:t>Though</w:t>
      </w:r>
      <w:proofErr w:type="gramEnd"/>
      <w:r>
        <w:t xml:space="preserve"> both scored similarly on the SAM rubric, AAP Bright Futures materials were written at a significantly lower grade level than their PECTP counterparts. In order to maximize quality of the materials they are providing, </w:t>
      </w:r>
      <w:proofErr w:type="gramStart"/>
      <w:r>
        <w:t>this fact should always be kept in mind by those making the final decision</w:t>
      </w:r>
      <w:proofErr w:type="gramEnd"/>
      <w:r>
        <w:t xml:space="preserve">. Clinicians should also remember that the most important goal of these materials is to influence behaviors, and they should not </w:t>
      </w:r>
      <w:proofErr w:type="gramStart"/>
      <w:r>
        <w:t>get</w:t>
      </w:r>
      <w:proofErr w:type="gramEnd"/>
      <w:r>
        <w:t xml:space="preserve"> caught up on small technical inaccuracies. Do not miss the forest (improving patient understanding and behaviors) for the trees (biomedical accuracy). With that said, clinicians should also be sure that materials are actually highlighting the messages that they believe are appropriate for the patient in question.</w:t>
      </w:r>
    </w:p>
    <w:p w14:paraId="36811D7A" w14:textId="77777777" w:rsidR="00620701" w:rsidRPr="00620701" w:rsidRDefault="69CFA879" w:rsidP="00FF7CDB">
      <w:pPr>
        <w:pStyle w:val="Noindent"/>
        <w:ind w:firstLine="720"/>
      </w:pPr>
      <w:r>
        <w:t xml:space="preserve">In the case where professionally produced materials are not available, materials written in house are, of course, the only alternative. The upside of in-house materials is that they </w:t>
      </w:r>
      <w:proofErr w:type="gramStart"/>
      <w:r>
        <w:t>can be tailored</w:t>
      </w:r>
      <w:proofErr w:type="gramEnd"/>
      <w:r>
        <w:t xml:space="preserve"> to certain patient groups with surgical precision. This is particularly useful for rare diseases that tend </w:t>
      </w:r>
      <w:proofErr w:type="gramStart"/>
      <w:r>
        <w:t>to only show</w:t>
      </w:r>
      <w:proofErr w:type="gramEnd"/>
      <w:r>
        <w:t xml:space="preserve"> up in number at tertiary care centers such as the one that participated in this study. In addition, clinics have full ability to iterate and improve these materials at will. The downside, of course, is that this process is time intensive. We would recommend making an effort to lead regular quality improvement projects to ensure that all materials are at a suitable level. In addition, consider asking patients to provide their own feedback about any materials they </w:t>
      </w:r>
      <w:proofErr w:type="gramStart"/>
      <w:r>
        <w:t>are provided</w:t>
      </w:r>
      <w:proofErr w:type="gramEnd"/>
      <w:r>
        <w:t xml:space="preserve"> (Gillette et al, 2018). This last point can also apply just as well to materials produced by outside groups.</w:t>
      </w:r>
    </w:p>
    <w:p w14:paraId="15D11D65" w14:textId="77777777" w:rsidR="00620701" w:rsidRDefault="69CFA879" w:rsidP="0030012E">
      <w:pPr>
        <w:pStyle w:val="Heading3"/>
        <w:numPr>
          <w:ilvl w:val="2"/>
          <w:numId w:val="1"/>
        </w:numPr>
        <w:tabs>
          <w:tab w:val="clear" w:pos="0"/>
        </w:tabs>
      </w:pPr>
      <w:bookmarkStart w:id="34" w:name="_Toc525805135"/>
      <w:r>
        <w:lastRenderedPageBreak/>
        <w:t>Beyond Print Materials</w:t>
      </w:r>
      <w:bookmarkEnd w:id="34"/>
    </w:p>
    <w:p w14:paraId="0F9CB295" w14:textId="77777777" w:rsidR="00620701" w:rsidRPr="00C74791" w:rsidRDefault="69CFA879" w:rsidP="00620701">
      <w:pPr>
        <w:ind w:firstLine="0"/>
      </w:pPr>
      <w:r>
        <w:t xml:space="preserve">This study focused purely on paper based educational material for multiple reasons. First, tools and guidelines are available which allow robust evaluation of these materials. Secondly, while the majority of clinics have some repository of paper-based educational materials, very few make use of anything beyond that. In this author’s opinion, that is a mistake. Obviously, these materials are not available for every diagnosis or patient population. </w:t>
      </w:r>
      <w:proofErr w:type="gramStart"/>
      <w:r>
        <w:t>But</w:t>
      </w:r>
      <w:proofErr w:type="gramEnd"/>
      <w:r>
        <w:t xml:space="preserve"> this author would strongly recommend that every clinician, especially those in subspecialties, make sure to stay abreast of all research that is being done in their field with regards to multimedia, audiovisual, and interactive patient education strategies.</w:t>
      </w:r>
    </w:p>
    <w:p w14:paraId="4AE9576A" w14:textId="77777777" w:rsidR="00620701" w:rsidRDefault="59C3CF1A" w:rsidP="00620701">
      <w:r>
        <w:t xml:space="preserve">The justification for this recommendation is </w:t>
      </w:r>
      <w:proofErr w:type="gramStart"/>
      <w:r>
        <w:t>fairly straightforward</w:t>
      </w:r>
      <w:proofErr w:type="gramEnd"/>
      <w:r>
        <w:t>: whenever they are tried, these strategies produce encouraging results. This paper has noted these examples previously, but they bear repeating. In bariatric surgery, standardized videos have improved patient understanding and satisfaction, and have reduced patient uncertainty (</w:t>
      </w:r>
      <w:proofErr w:type="spellStart"/>
      <w:r>
        <w:t>Arterburn</w:t>
      </w:r>
      <w:proofErr w:type="spellEnd"/>
      <w:r>
        <w:t xml:space="preserve"> et al, 2011). A similar concept has proven effective in </w:t>
      </w:r>
      <w:proofErr w:type="gramStart"/>
      <w:r>
        <w:t>minimally-invasive</w:t>
      </w:r>
      <w:proofErr w:type="gramEnd"/>
      <w:r>
        <w:t xml:space="preserve"> procedures (Bowers et al, 2017). In rheumatoid arthritis, a pilot study showed that an interactive counselling component improves medication adherence and reduces desire to stop medication (El </w:t>
      </w:r>
      <w:proofErr w:type="spellStart"/>
      <w:r>
        <w:t>Miedany</w:t>
      </w:r>
      <w:proofErr w:type="spellEnd"/>
      <w:r>
        <w:t xml:space="preserve"> et al, 2012). Though increasing the knowledge of the underlying diagnosis without modifying behavior is not an ideal strategy, multimedia strategies are also effective at this aim (Goldsworthy et al, 2017). The bottom line is that with modern technology, remote access to audio, video, and programs with interaction and feedback has never been easier. Going forward, these modalities should begin to </w:t>
      </w:r>
      <w:proofErr w:type="gramStart"/>
      <w:r>
        <w:t>be integrated</w:t>
      </w:r>
      <w:proofErr w:type="gramEnd"/>
      <w:r>
        <w:t xml:space="preserve"> into the world of patient education.</w:t>
      </w:r>
    </w:p>
    <w:p w14:paraId="1D356AFB" w14:textId="77777777" w:rsidR="003027EC" w:rsidRDefault="69CFA879" w:rsidP="003027EC">
      <w:pPr>
        <w:pStyle w:val="Heading2"/>
      </w:pPr>
      <w:bookmarkStart w:id="35" w:name="_Toc525805136"/>
      <w:r>
        <w:lastRenderedPageBreak/>
        <w:t>Theoretical Considerations: Grade level, readability, and comprehensibility</w:t>
      </w:r>
      <w:bookmarkEnd w:id="35"/>
    </w:p>
    <w:p w14:paraId="6A8EDBCC" w14:textId="77777777" w:rsidR="00302883" w:rsidRDefault="69CFA879" w:rsidP="0030012E">
      <w:pPr>
        <w:pStyle w:val="Heading3"/>
        <w:numPr>
          <w:ilvl w:val="2"/>
          <w:numId w:val="1"/>
        </w:numPr>
        <w:tabs>
          <w:tab w:val="clear" w:pos="0"/>
        </w:tabs>
      </w:pPr>
      <w:bookmarkStart w:id="36" w:name="_Toc525805137"/>
      <w:r>
        <w:t>Statistics of Grade Level Formulas</w:t>
      </w:r>
      <w:bookmarkEnd w:id="36"/>
    </w:p>
    <w:p w14:paraId="3D3BE0F8" w14:textId="77777777" w:rsidR="00302883" w:rsidRPr="00C74791" w:rsidRDefault="69CFA879" w:rsidP="00302883">
      <w:pPr>
        <w:ind w:firstLine="0"/>
      </w:pPr>
      <w:r>
        <w:t xml:space="preserve">Currently it seems that readability </w:t>
      </w:r>
      <w:proofErr w:type="gramStart"/>
      <w:r>
        <w:t>is usually defined</w:t>
      </w:r>
      <w:proofErr w:type="gramEnd"/>
      <w:r>
        <w:t xml:space="preserve"> by the classical notion of “grade levels” and formulas that can produce such grade levels. That said</w:t>
      </w:r>
      <w:proofErr w:type="gramStart"/>
      <w:r>
        <w:t>,</w:t>
      </w:r>
      <w:proofErr w:type="gramEnd"/>
      <w:r>
        <w:t xml:space="preserve"> there are a number of pitfalls to this definition. The first </w:t>
      </w:r>
      <w:proofErr w:type="gramStart"/>
      <w:r>
        <w:t>is related</w:t>
      </w:r>
      <w:proofErr w:type="gramEnd"/>
      <w:r>
        <w:t xml:space="preserve"> to the precision and accuracy of said formulas. It was noted previously that SMOG and Flesch-Kincaid were developed and implemented in very different ways, and that SMOG tends to produce </w:t>
      </w:r>
      <w:proofErr w:type="gramStart"/>
      <w:r>
        <w:t>higher grade</w:t>
      </w:r>
      <w:proofErr w:type="gramEnd"/>
      <w:r>
        <w:t xml:space="preserve"> levels compared to other formulas. Obviously, this should be alarming to anyone who wants accuracy in </w:t>
      </w:r>
      <w:proofErr w:type="gramStart"/>
      <w:r>
        <w:t>their</w:t>
      </w:r>
      <w:proofErr w:type="gramEnd"/>
      <w:r>
        <w:t xml:space="preserve"> evaluation tool. How can one possibly know which method to use for any given purpose? Realistically, one cannot. Instead, perhaps the best bet is to use the least forgiving and/or most conservative formula, to ensure that you are truly reaching your target grade level. That very thought (along with ease of use) is a major reason this author decided to use the SMOG method for this study. </w:t>
      </w:r>
    </w:p>
    <w:p w14:paraId="22DFC628" w14:textId="77777777" w:rsidR="00302883" w:rsidRPr="00C74791" w:rsidRDefault="69CFA879" w:rsidP="00302883">
      <w:r>
        <w:t>That said</w:t>
      </w:r>
      <w:proofErr w:type="gramStart"/>
      <w:r>
        <w:t>,</w:t>
      </w:r>
      <w:proofErr w:type="gramEnd"/>
      <w:r>
        <w:t xml:space="preserve"> there are downsides to this plan. As is clear from the presented data, the SMOG method is truly unforgiving. Only the AAP was able to produce materials written at an 8th grade level, and only at a 65% rate. Only a single piece reached a 6th grade level consistent with many of the organizational recommendations, and not a single reached the 5th grade level that is required for a perfect SAM score. Like with any metric or statistical test, being overly conservative can be a disadvantage. With a statistical test, it will prevent you from recognizing true findings that are present in your data that a more powerful test might detect. In the specific case of grade level testing, if one consistently overestimates grade level of the materials </w:t>
      </w:r>
      <w:proofErr w:type="gramStart"/>
      <w:r>
        <w:t>they’re</w:t>
      </w:r>
      <w:proofErr w:type="gramEnd"/>
      <w:r>
        <w:t xml:space="preserve"> producing, then they could potentially overcorrect and produce materials so simple that they are unable to convey the </w:t>
      </w:r>
      <w:r>
        <w:lastRenderedPageBreak/>
        <w:t xml:space="preserve">key points of information they aim to teach. That said, at this point the author would argue that this is a mostly theoretical concern. Given the results presented above it should be clear that making materials “too simple” is not something we need to worry about in the near future. </w:t>
      </w:r>
    </w:p>
    <w:p w14:paraId="5E9B76C4" w14:textId="77777777" w:rsidR="00302883" w:rsidRPr="00C74791" w:rsidRDefault="69CFA879" w:rsidP="00302883">
      <w:r>
        <w:t xml:space="preserve">As noted above, in addition to accuracy there is the issue of precision. For any individual document, the SMOG grade level is moderately precise, with standard error of +/- 1.5 grade levels (McLaughlin, 1969). When looking at a sample of materials, as was done for this study, this </w:t>
      </w:r>
      <w:proofErr w:type="gramStart"/>
      <w:r>
        <w:t>isn’t</w:t>
      </w:r>
      <w:proofErr w:type="gramEnd"/>
      <w:r>
        <w:t xml:space="preserve"> too much of an issue; assuming the errors of the SMOG formula are random, an accurate mean should quickly emerge. </w:t>
      </w:r>
      <w:proofErr w:type="gramStart"/>
      <w:r>
        <w:t>Similarly, any errors in the 6th and 8th grade proportions that were calculated should essentially cancel out given a large enough sample size (i.e. the error of not counting a document with true grade level 8 and SMOG grade level 9 will be cancelled out by the equally likely occurrence of counting a document with true grade level 9 but SMOG grade level 8).</w:t>
      </w:r>
      <w:proofErr w:type="gramEnd"/>
      <w:r>
        <w:t xml:space="preserve"> Thus, when assessing a sample of documents, the precision issue </w:t>
      </w:r>
      <w:proofErr w:type="gramStart"/>
      <w:r>
        <w:t>is easily accounted for</w:t>
      </w:r>
      <w:proofErr w:type="gramEnd"/>
      <w:r>
        <w:t xml:space="preserve">. That said, </w:t>
      </w:r>
      <w:proofErr w:type="gramStart"/>
      <w:r>
        <w:t>it must actually be accounted for by investigators in their expectations and data analysis</w:t>
      </w:r>
      <w:proofErr w:type="gramEnd"/>
      <w:r>
        <w:t xml:space="preserve">. As an example, in a sample of documents that all have a true grade level of exactly 6, over one third of them would be judged by the SMOG formula to have a grade level of 6.5 or greater, thus technically not meeting the 6th grade reading level recommendations. </w:t>
      </w:r>
    </w:p>
    <w:p w14:paraId="78D0471E" w14:textId="77777777" w:rsidR="00302883" w:rsidRPr="00302883" w:rsidRDefault="59C3CF1A" w:rsidP="00FB6957">
      <w:pPr>
        <w:pStyle w:val="Noindent"/>
        <w:ind w:firstLine="720"/>
      </w:pPr>
      <w:bookmarkStart w:id="37" w:name="_GoBack"/>
      <w:bookmarkEnd w:id="37"/>
      <w:r>
        <w:t xml:space="preserve">This becomes a bigger issue in assessing individual documents. After all, one of the purposes of an evaluation of patient education materials is to iterate on and improve those that scored poorly. Unfortunately, it is impossible to produce a series of materials that </w:t>
      </w:r>
      <w:proofErr w:type="gramStart"/>
      <w:r>
        <w:t>are all written</w:t>
      </w:r>
      <w:proofErr w:type="gramEnd"/>
      <w:r>
        <w:t xml:space="preserve"> at an identical grade level. If you aim to write at a sixth grade level, you will inevitably produce some documents that are at or below that level, while some miss the mark. In this </w:t>
      </w:r>
      <w:proofErr w:type="gramStart"/>
      <w:r>
        <w:t>scenario</w:t>
      </w:r>
      <w:proofErr w:type="gramEnd"/>
      <w:r>
        <w:t xml:space="preserve"> it is impossible to evaluate which 16% of documents are rated more than 1.5 grade levels too high, and which 16% are rated more than 1.5 grade levels too low. It presents a legitimate challenge, without </w:t>
      </w:r>
      <w:r>
        <w:lastRenderedPageBreak/>
        <w:t xml:space="preserve">any quantitative way to solve it. One potential solution to this problem is to use grade level in conjunction with other metrics to produce a less purely quantitative definition of readability. It was this concept that led the author to track the SAM “Literacy” </w:t>
      </w:r>
      <w:proofErr w:type="spellStart"/>
      <w:r>
        <w:t>subscore</w:t>
      </w:r>
      <w:proofErr w:type="spellEnd"/>
      <w:r>
        <w:t xml:space="preserve"> in the statistical analysis. This will be discussed further later in the paper.</w:t>
      </w:r>
    </w:p>
    <w:p w14:paraId="7C0A8987" w14:textId="77777777" w:rsidR="00302883" w:rsidRDefault="69CFA879" w:rsidP="0030012E">
      <w:pPr>
        <w:pStyle w:val="Heading3"/>
        <w:numPr>
          <w:ilvl w:val="2"/>
          <w:numId w:val="1"/>
        </w:numPr>
        <w:tabs>
          <w:tab w:val="clear" w:pos="0"/>
        </w:tabs>
      </w:pPr>
      <w:bookmarkStart w:id="38" w:name="_Toc525805138"/>
      <w:r>
        <w:t>Problems with the Definitions of Readability and Comprehensibility</w:t>
      </w:r>
      <w:bookmarkEnd w:id="38"/>
    </w:p>
    <w:p w14:paraId="33606487" w14:textId="77777777" w:rsidR="00302883" w:rsidRPr="00C74791" w:rsidRDefault="59C3CF1A" w:rsidP="00302883">
      <w:pPr>
        <w:ind w:firstLine="0"/>
      </w:pPr>
      <w:r>
        <w:t xml:space="preserve">In addition to the statistical concerns noted above, this author has a second more fundamental concern about the definition of “readability” being synonymous with grade level. Currently, it seems that the literature has produced two distinct concepts: “readability” and “comprehensibility.” Is this distinction </w:t>
      </w:r>
      <w:proofErr w:type="gramStart"/>
      <w:r>
        <w:t>really necessary</w:t>
      </w:r>
      <w:proofErr w:type="gramEnd"/>
      <w:r>
        <w:t xml:space="preserve">? Ultimately, the goal of patient education materials is to allow the patient to understand and internalize key points related to their diagnosis, prognosis, and treatment plan. This idea sounds like it could easily be encompassed by the term “readability,” but that term is currently co-opted to a much </w:t>
      </w:r>
      <w:proofErr w:type="gramStart"/>
      <w:r>
        <w:t>more narrow</w:t>
      </w:r>
      <w:proofErr w:type="gramEnd"/>
      <w:r>
        <w:t xml:space="preserve">, and arguably less useful, definition. One would think, without examining the definitions, that if you optimized the readability of a document for patient consumption your goal would be complete. However, as it currently sits, your goal is far from complete. Your document is “readable” as per the definition, and yet </w:t>
      </w:r>
      <w:proofErr w:type="gramStart"/>
      <w:r>
        <w:t>it’s</w:t>
      </w:r>
      <w:proofErr w:type="gramEnd"/>
      <w:r>
        <w:t xml:space="preserve"> very possible that patients are still unable to process its meaning efficiently. </w:t>
      </w:r>
    </w:p>
    <w:p w14:paraId="526A141A" w14:textId="77777777" w:rsidR="003027EC" w:rsidRDefault="69CFA879" w:rsidP="00302883">
      <w:r>
        <w:t xml:space="preserve">In a sense, it would seem more logical to define “readability” and “comprehensibility” as synonyms, both taking the current definition of “comprehensibility” that is presented in the Background. Grade level formulas would still exist, and would still be a key part of evaluating these materials, but </w:t>
      </w:r>
      <w:proofErr w:type="gramStart"/>
      <w:r>
        <w:t>would be referred</w:t>
      </w:r>
      <w:proofErr w:type="gramEnd"/>
      <w:r>
        <w:t xml:space="preserve"> to simply as “grade level.” This would be more intuitive for those evaluating and editing these materials. As the literature on this topic continues to develop, </w:t>
      </w:r>
      <w:r>
        <w:lastRenderedPageBreak/>
        <w:t>the definitions of each of these terms is worth revisiting, as researchers work to build a broadly applicable framework for studying these issues both on a theoretical and practical basis.</w:t>
      </w:r>
    </w:p>
    <w:p w14:paraId="35C25B66" w14:textId="77777777" w:rsidR="00302883" w:rsidRDefault="69CFA879" w:rsidP="0030012E">
      <w:pPr>
        <w:pStyle w:val="Heading3"/>
        <w:numPr>
          <w:ilvl w:val="2"/>
          <w:numId w:val="1"/>
        </w:numPr>
        <w:tabs>
          <w:tab w:val="clear" w:pos="0"/>
        </w:tabs>
      </w:pPr>
      <w:bookmarkStart w:id="39" w:name="_Toc525805139"/>
      <w:r>
        <w:t>Strength of SAM: Cognitive Load Theory</w:t>
      </w:r>
      <w:bookmarkEnd w:id="39"/>
    </w:p>
    <w:p w14:paraId="3EC0F68B" w14:textId="77777777" w:rsidR="00302883" w:rsidRPr="00C74791" w:rsidRDefault="59C3CF1A" w:rsidP="00302883">
      <w:pPr>
        <w:ind w:firstLine="0"/>
      </w:pPr>
      <w:proofErr w:type="spellStart"/>
      <w:r>
        <w:t>Pusic</w:t>
      </w:r>
      <w:proofErr w:type="spellEnd"/>
      <w:r>
        <w:t>, et al</w:t>
      </w:r>
      <w:proofErr w:type="gramStart"/>
      <w:r>
        <w:t>.,</w:t>
      </w:r>
      <w:proofErr w:type="gramEnd"/>
      <w:r>
        <w:t xml:space="preserve"> produced seven recommendations on how to integrate cognitive load theory into outpatient education (</w:t>
      </w:r>
      <w:proofErr w:type="spellStart"/>
      <w:r>
        <w:t>Pusic</w:t>
      </w:r>
      <w:proofErr w:type="spellEnd"/>
      <w:r>
        <w:t xml:space="preserve"> et al, 2014). Three of them are directly relevant to the scope of this project. The first is that clinicians should rely less on spoken words, and more on “enduring materials.” This obviously is an argument for the distribution of written educational materials by clinicians. The second is to eliminate all extraneous or unnecessary details. As noted above, extraneous details increase cognitive load and reduce understanding of the materials. Finally, present both words and graphics when appropriate to maximize uptake of the information. This relates to multimedia theory as described above. </w:t>
      </w:r>
      <w:proofErr w:type="spellStart"/>
      <w:r>
        <w:t>Pusic</w:t>
      </w:r>
      <w:proofErr w:type="spellEnd"/>
      <w:r>
        <w:t xml:space="preserve">, et al., also argue strongly that video and interactive multimedia materials </w:t>
      </w:r>
      <w:proofErr w:type="gramStart"/>
      <w:r>
        <w:t>should be used</w:t>
      </w:r>
      <w:proofErr w:type="gramEnd"/>
      <w:r>
        <w:t xml:space="preserve"> more frequently in patient education, both in the outpatient office as well as for independent consumption. </w:t>
      </w:r>
    </w:p>
    <w:p w14:paraId="085EA53B" w14:textId="77777777" w:rsidR="00302883" w:rsidRPr="00C74791" w:rsidRDefault="59C3CF1A" w:rsidP="00302883">
      <w:r>
        <w:t xml:space="preserve">SAM analysis, whether explicitly or implicitly, examines documents through the lens of cognitive load theory. It is not difficult to make links between the individual components of the score and the broader theory. Perhaps the most obvious is in the “Layout and Typography” </w:t>
      </w:r>
      <w:proofErr w:type="spellStart"/>
      <w:r>
        <w:t>subscore</w:t>
      </w:r>
      <w:proofErr w:type="spellEnd"/>
      <w:r>
        <w:t xml:space="preserve">. Materials receive points for short lines, appealing font, sufficiently large font size, and appropriate contrast/glossiness (Appendix B). All of these components might seem odd at first, particularly to professionals accustomed to reading long blocks of small black text in a journal article or textbook. That said, each item strives to remove unnecessary work by a </w:t>
      </w:r>
      <w:proofErr w:type="gramStart"/>
      <w:r>
        <w:t>patient’s</w:t>
      </w:r>
      <w:proofErr w:type="gramEnd"/>
      <w:r>
        <w:t xml:space="preserve"> working memory: the less energy they have to spend squinting to read the text, the more brain space they have to actually comprehend what they are reading. This is also present in pieces of the “Content” </w:t>
      </w:r>
      <w:proofErr w:type="spellStart"/>
      <w:r>
        <w:lastRenderedPageBreak/>
        <w:t>subscore</w:t>
      </w:r>
      <w:proofErr w:type="spellEnd"/>
      <w:r>
        <w:t xml:space="preserve">: points </w:t>
      </w:r>
      <w:proofErr w:type="gramStart"/>
      <w:r>
        <w:t>are awarded</w:t>
      </w:r>
      <w:proofErr w:type="gramEnd"/>
      <w:r>
        <w:t xml:space="preserve"> for a clear purpose/title and appropriate scope. The less time readers have to spend figuring out what the point of the document is, and the less brain space they have to spend sifting through superfluous information, the more likely they are to finish reading and internalize the key points. </w:t>
      </w:r>
    </w:p>
    <w:p w14:paraId="56EE63E4" w14:textId="77777777" w:rsidR="00302883" w:rsidRPr="00302883" w:rsidRDefault="59C3CF1A" w:rsidP="00F977DD">
      <w:pPr>
        <w:pStyle w:val="Noindent"/>
        <w:ind w:firstLine="720"/>
      </w:pPr>
      <w:r>
        <w:t xml:space="preserve">Similarly, the “Subheading” component rewards a document for presenting information in short lists with appropriate organizers. This allows low literacy patients in particular </w:t>
      </w:r>
      <w:proofErr w:type="gramStart"/>
      <w:r>
        <w:t>to intuitively understand</w:t>
      </w:r>
      <w:proofErr w:type="gramEnd"/>
      <w:r>
        <w:t xml:space="preserve"> that each member of the list is related. There is only minimal inference to be made, as opposed to the </w:t>
      </w:r>
      <w:proofErr w:type="gramStart"/>
      <w:r>
        <w:t>higher level</w:t>
      </w:r>
      <w:proofErr w:type="gramEnd"/>
      <w:r>
        <w:t xml:space="preserve"> inference required to connect scattered facts in disparate, overly complex sentences. This is particular relevant due to the fact that, as is noted in the background, over half of US adults have at most the ability of basic inference when trying to comprehend documents.</w:t>
      </w:r>
    </w:p>
    <w:p w14:paraId="61C237F0" w14:textId="77777777" w:rsidR="00302883" w:rsidRDefault="59C3CF1A" w:rsidP="0030012E">
      <w:pPr>
        <w:pStyle w:val="Heading3"/>
        <w:numPr>
          <w:ilvl w:val="2"/>
          <w:numId w:val="1"/>
        </w:numPr>
        <w:tabs>
          <w:tab w:val="clear" w:pos="0"/>
        </w:tabs>
      </w:pPr>
      <w:bookmarkStart w:id="40" w:name="_Toc525805140"/>
      <w:r>
        <w:t xml:space="preserve">Literacy </w:t>
      </w:r>
      <w:proofErr w:type="spellStart"/>
      <w:r>
        <w:t>Subscore</w:t>
      </w:r>
      <w:proofErr w:type="spellEnd"/>
      <w:r>
        <w:t xml:space="preserve"> and the Future of Grade Level Formulas</w:t>
      </w:r>
      <w:bookmarkEnd w:id="40"/>
    </w:p>
    <w:p w14:paraId="3A036424" w14:textId="77777777" w:rsidR="00302883" w:rsidRPr="00C74791" w:rsidRDefault="59C3CF1A" w:rsidP="00302883">
      <w:pPr>
        <w:ind w:firstLine="0"/>
      </w:pPr>
      <w:r>
        <w:t xml:space="preserve">This brings us to the “Literacy” </w:t>
      </w:r>
      <w:proofErr w:type="spellStart"/>
      <w:r>
        <w:t>subscore</w:t>
      </w:r>
      <w:proofErr w:type="spellEnd"/>
      <w:r>
        <w:t xml:space="preserve">, which this author was particularly interested in (note that it was the only SAM </w:t>
      </w:r>
      <w:proofErr w:type="spellStart"/>
      <w:r>
        <w:t>subscore</w:t>
      </w:r>
      <w:proofErr w:type="spellEnd"/>
      <w:r>
        <w:t xml:space="preserve"> that was included in the statistical analysis). It is particularly interesting as, in this author’s opinion, it provides a way forward </w:t>
      </w:r>
      <w:proofErr w:type="gramStart"/>
      <w:r>
        <w:t>to potentially broaden</w:t>
      </w:r>
      <w:proofErr w:type="gramEnd"/>
      <w:r>
        <w:t xml:space="preserve"> the way we think about “readability” and grade level. As noted previously, this author questions whether the current definition of readability is sufficient. It is possible that it </w:t>
      </w:r>
      <w:proofErr w:type="gramStart"/>
      <w:r>
        <w:t>should be broadened</w:t>
      </w:r>
      <w:proofErr w:type="gramEnd"/>
      <w:r>
        <w:t xml:space="preserve"> significantly, to be synonymous with “comprehensibility.” If the field decides it is impractical to go that far, the “Literacy” </w:t>
      </w:r>
      <w:proofErr w:type="spellStart"/>
      <w:r>
        <w:t>subscore</w:t>
      </w:r>
      <w:proofErr w:type="spellEnd"/>
      <w:r>
        <w:t xml:space="preserve"> is still a potential way to broaden the definition of readability beyond just a grade level. </w:t>
      </w:r>
    </w:p>
    <w:p w14:paraId="7D802E24" w14:textId="77777777" w:rsidR="00302883" w:rsidRPr="00C74791" w:rsidRDefault="69CFA879" w:rsidP="00302883">
      <w:r>
        <w:t xml:space="preserve">To illustrate the potential importance of this point, it is worth referencing a piece of patient education material on mole checks and melanoma provided by the dermatology clinic. It </w:t>
      </w:r>
      <w:proofErr w:type="gramStart"/>
      <w:r>
        <w:t>was rated</w:t>
      </w:r>
      <w:proofErr w:type="gramEnd"/>
      <w:r>
        <w:t xml:space="preserve"> </w:t>
      </w:r>
      <w:r>
        <w:lastRenderedPageBreak/>
        <w:t xml:space="preserve">at “above an 8th grade reading level” per the SMOG formula. Given that the document </w:t>
      </w:r>
      <w:proofErr w:type="gramStart"/>
      <w:r>
        <w:t>is related</w:t>
      </w:r>
      <w:proofErr w:type="gramEnd"/>
      <w:r>
        <w:t xml:space="preserve"> to melanoma, it uses that particular polysyllabic word a number of times. When calculating the grade level, each instance of the word “melanoma” counts as a polysyllabic word. </w:t>
      </w:r>
      <w:proofErr w:type="gramStart"/>
      <w:r>
        <w:t>Let’s</w:t>
      </w:r>
      <w:proofErr w:type="gramEnd"/>
      <w:r>
        <w:t xml:space="preserve"> envision a hypothetical world where “melanoma” is instead named “croup,” or “lupus,” or “basal cell skin cancer.” In all of those cases, an otherwise identical document </w:t>
      </w:r>
      <w:proofErr w:type="gramStart"/>
      <w:r>
        <w:t>would be rated</w:t>
      </w:r>
      <w:proofErr w:type="gramEnd"/>
      <w:r>
        <w:t xml:space="preserve"> as being more readable by grade level formulas. In a vacuum, is the difficulty of “melanoma” any higher than “croup” or “lupus?” One can certainly make that argument: it is a longer word with more syllables. However, in context, the argument becomes flimsier. The entire pamphlet is about the disease; the patient is already thinking about melanoma so additional instances of the word are going to add minimal additional cognitive load. Whether the disease </w:t>
      </w:r>
      <w:proofErr w:type="gramStart"/>
      <w:r>
        <w:t>is named</w:t>
      </w:r>
      <w:proofErr w:type="gramEnd"/>
      <w:r>
        <w:t xml:space="preserve"> croup or lupus should not make that large of a difference. In fact, in the case of “basal cell skin cancer,” one could argue that the cognitive load of the phrase is significantly higher than that associated with melanoma, despite the fact that it contains no polysyllabic words. </w:t>
      </w:r>
    </w:p>
    <w:p w14:paraId="2F8D5240" w14:textId="77777777" w:rsidR="00302883" w:rsidRPr="00C74791" w:rsidRDefault="59C3CF1A" w:rsidP="00302883">
      <w:r>
        <w:t xml:space="preserve">This is not to say that grade level is useless. It is merely to say that, as was alluded to earlier, it is imprecise. It is not difficult to come up with simple polysyllabic words (family, infection), nor is it difficult to come up with one- or two-syllable words that are not simple (breakthrough, zeitgeist). The components of the SAM “Literacy” </w:t>
      </w:r>
      <w:proofErr w:type="spellStart"/>
      <w:r>
        <w:t>subscore</w:t>
      </w:r>
      <w:proofErr w:type="spellEnd"/>
      <w:r>
        <w:t xml:space="preserve">, when evaluated honestly, provide a way to assess the readability of a document beyond the grade level. In particular, sentences written in the active voice, with few clauses, and with common vocabulary </w:t>
      </w:r>
      <w:proofErr w:type="gramStart"/>
      <w:r>
        <w:t>are awarded</w:t>
      </w:r>
      <w:proofErr w:type="gramEnd"/>
      <w:r>
        <w:t xml:space="preserve"> the highest possible score (Appendix B). One again, it examines documents with cognitive load theory in mind. Passages in the active voice allow for shorter and simpler sentences. Shorter sentences without multiple clauses allow the patient to understand and internalize the document in smaller chunks. Finally, using common words instead of uncommon words or medical </w:t>
      </w:r>
      <w:r>
        <w:lastRenderedPageBreak/>
        <w:t xml:space="preserve">jargon will reduce the amount of working memory that readers spend on understanding individual words and increase the amount that they can use to decipher the overall meaning. To use an example drawn from one of the analyzed infectious disease documents, the phrase “chest and back” and the word “trunk” would be treated identically by SMOG scoring, despite the fact that “trunk” is not a commonly used word among laypeople. SAM can make a distinction between these two phrases. The “Literacy” </w:t>
      </w:r>
      <w:proofErr w:type="spellStart"/>
      <w:r>
        <w:t>subscore</w:t>
      </w:r>
      <w:proofErr w:type="spellEnd"/>
      <w:r>
        <w:t xml:space="preserve"> also provides a useful template and checklist for how to improve documents that are under review. If a document </w:t>
      </w:r>
      <w:proofErr w:type="gramStart"/>
      <w:r>
        <w:t>is written</w:t>
      </w:r>
      <w:proofErr w:type="gramEnd"/>
      <w:r>
        <w:t xml:space="preserve"> at much too high a grade level, going through the points mentioned by SAM is an easy way to reduce the complexity and grade level of a document. </w:t>
      </w:r>
    </w:p>
    <w:p w14:paraId="04EBEDC2" w14:textId="77777777" w:rsidR="00302883" w:rsidRPr="00302883" w:rsidRDefault="69CFA879" w:rsidP="00302883">
      <w:pPr>
        <w:pStyle w:val="Noindent"/>
        <w:ind w:firstLine="720"/>
      </w:pPr>
      <w:r>
        <w:t xml:space="preserve">In a way, the </w:t>
      </w:r>
      <w:proofErr w:type="gramStart"/>
      <w:r>
        <w:t>general consensus</w:t>
      </w:r>
      <w:proofErr w:type="gramEnd"/>
      <w:r>
        <w:t xml:space="preserve"> seems to be moving in this direction. As has been noted, adult literacy is no longer tracked by grade level, but instead by conceptual benchmarks defined by one’s ability </w:t>
      </w:r>
      <w:proofErr w:type="gramStart"/>
      <w:r>
        <w:t>to functionally apply</w:t>
      </w:r>
      <w:proofErr w:type="gramEnd"/>
      <w:r>
        <w:t xml:space="preserve"> documents of escalating difficulty. </w:t>
      </w:r>
      <w:proofErr w:type="gramStart"/>
      <w:r>
        <w:t>Also</w:t>
      </w:r>
      <w:proofErr w:type="gramEnd"/>
      <w:r>
        <w:t xml:space="preserve">, governmental guides have seemed to deemphasize the importance of grade level analysis over the years. As mentioned previously, in 1999 the CDC recommended a clear target for grade level and discussed it at length. By 2009, they no longer felt such a recommendation was appropriate and advised extreme caution that grade level alone was not sufficient to ensure appropriateness of materials. CMS took this a step further, making an explicit recommendation against a grade level target, based on a belief that such a target could do more harm than good (McGee, 2012). Their arguments are in line to those made above, namely that writing to a grade level target can cause authors to forgo longer but simpler words/phrases for more convoluted ones that technically score lower. If consensus continues to move in this direction, then the field will need to adapt along with it. If we move away from grade level as a clear but imperfect target, we will need something to replace it. </w:t>
      </w:r>
      <w:r>
        <w:lastRenderedPageBreak/>
        <w:t xml:space="preserve">It is possible that SAM could be that replacement, though it does have some </w:t>
      </w:r>
      <w:proofErr w:type="gramStart"/>
      <w:r>
        <w:t>shortcomings which</w:t>
      </w:r>
      <w:proofErr w:type="gramEnd"/>
      <w:r>
        <w:t xml:space="preserve"> we will discuss below.</w:t>
      </w:r>
    </w:p>
    <w:p w14:paraId="5AEA4DC4" w14:textId="77777777" w:rsidR="00302883" w:rsidRDefault="69CFA879" w:rsidP="0030012E">
      <w:pPr>
        <w:pStyle w:val="Heading3"/>
        <w:numPr>
          <w:ilvl w:val="2"/>
          <w:numId w:val="1"/>
        </w:numPr>
        <w:tabs>
          <w:tab w:val="clear" w:pos="0"/>
        </w:tabs>
      </w:pPr>
      <w:bookmarkStart w:id="41" w:name="_Toc525805141"/>
      <w:r>
        <w:t>Cultural Appropriateness</w:t>
      </w:r>
      <w:bookmarkEnd w:id="41"/>
      <w:r>
        <w:t xml:space="preserve"> </w:t>
      </w:r>
    </w:p>
    <w:p w14:paraId="370AC95F" w14:textId="77777777" w:rsidR="00302883" w:rsidRPr="00302883" w:rsidRDefault="59C3CF1A" w:rsidP="00302883">
      <w:pPr>
        <w:pStyle w:val="Noindent"/>
      </w:pPr>
      <w:r>
        <w:t xml:space="preserve">Finally, this author would be remiss not to give special mention to the cultural appropriateness subsection of SAM. The majority of documents that </w:t>
      </w:r>
      <w:proofErr w:type="gramStart"/>
      <w:r>
        <w:t>were scored</w:t>
      </w:r>
      <w:proofErr w:type="gramEnd"/>
      <w:r>
        <w:t xml:space="preserve"> in this paper were not graded on their cultural appropriateness. The exceptions were a few of the dermatology materials, which often had pictures of skin in their brochures. All of these materials earned at </w:t>
      </w:r>
      <w:proofErr w:type="gramStart"/>
      <w:r>
        <w:t>least an “</w:t>
      </w:r>
      <w:proofErr w:type="gramEnd"/>
      <w:r>
        <w:t xml:space="preserve">adequate” </w:t>
      </w:r>
      <w:proofErr w:type="spellStart"/>
      <w:r>
        <w:t>subscore</w:t>
      </w:r>
      <w:proofErr w:type="spellEnd"/>
      <w:r>
        <w:t xml:space="preserve"> in cultural appropriateness, as they all contained picture of various skin tones and/or discussed how lesions might differ depending on the patient’s base skin color. Overall, grading cultural appropriateness is quite a difficult task fraught with pitfalls. For one, it seems as though you would need a well-defined target population in order to assess how appropriate a material is. One of the examples given for consideration in the SAM rubric is the appropriateness of particular food suggestions. For one, a particular suggestion can be relevant for a huge majority of the overall population while still missing a key but very small minority population. If one is assessing the materials for the entire population (as was done for this study), would that be considered culturally appropriate? This author would argue “yes” as, again, the target population for this study was the entire population. However, arguments </w:t>
      </w:r>
      <w:proofErr w:type="gramStart"/>
      <w:r>
        <w:t>could be made</w:t>
      </w:r>
      <w:proofErr w:type="gramEnd"/>
      <w:r>
        <w:t xml:space="preserve"> in the opposite direction as well. In addition, assessing these factors was difficult given the race and socioeconomic status of the author and grader as a white middle-class male. Ultimately, the author would not consider this study </w:t>
      </w:r>
      <w:proofErr w:type="gramStart"/>
      <w:r>
        <w:t>to be definitive</w:t>
      </w:r>
      <w:proofErr w:type="gramEnd"/>
      <w:r>
        <w:t xml:space="preserve"> or sufficient with regard to the cultural appropriateness domain of these materials. The author would recommend that studies in this area </w:t>
      </w:r>
      <w:proofErr w:type="gramStart"/>
      <w:r>
        <w:t>be focused</w:t>
      </w:r>
      <w:proofErr w:type="gramEnd"/>
      <w:r>
        <w:t xml:space="preserve"> on smaller, homogeneous ethnic and cultural groups, as that is where such an inequity is likely to be found.</w:t>
      </w:r>
    </w:p>
    <w:p w14:paraId="086E7A64" w14:textId="77777777" w:rsidR="006F2B85" w:rsidRDefault="69CFA879" w:rsidP="0030012E">
      <w:pPr>
        <w:pStyle w:val="Heading3"/>
        <w:numPr>
          <w:ilvl w:val="2"/>
          <w:numId w:val="1"/>
        </w:numPr>
        <w:tabs>
          <w:tab w:val="clear" w:pos="0"/>
        </w:tabs>
      </w:pPr>
      <w:bookmarkStart w:id="42" w:name="_Toc525805142"/>
      <w:r>
        <w:lastRenderedPageBreak/>
        <w:t>Weaknesses of SAM</w:t>
      </w:r>
      <w:bookmarkEnd w:id="42"/>
    </w:p>
    <w:p w14:paraId="5CCB6706" w14:textId="77777777" w:rsidR="006F2B85" w:rsidRPr="00C74791" w:rsidRDefault="69CFA879" w:rsidP="006F2B85">
      <w:pPr>
        <w:ind w:firstLine="0"/>
      </w:pPr>
      <w:r>
        <w:t xml:space="preserve">SAM is a broad and exceedingly useful tool for anyone who hopes to produce health education materials that are understandable to the entire breadth of the US population. Though never explicitly stated, this author imagines that the broadness and universality of SAM was a defining feature of the tool in the minds of its developers. It was, per this author’s review of the literature, the first serious attempt to create a rubric for evaluating comprehensible health education materials beyond basic grade level formulas. As the first, it makes sense that it was overly broad in nature; after all, it was all that existed. In some ways, this is both a strength and a weakness. The strength, of course, is its utility. The weakness is that some standards can be particularly difficult to apply, or even inappropriate, to certain classes of materials. One example is the SAM guideline to use “adult-appropriate line drawings/sketches” as opposed to actual photos. While this may generally be a good rule of thumb, the area of dermatology is one where this might not be the best practice. Showing actual visuals of a skin condition or signs of benign and/or malignant moles could potentially be of great benefit to patients. A simple line drawing is possibly not enough detail to illustrate the difference between particular rashes. In order to minimize subjectivity and potential inter-rater variance, materials in this study </w:t>
      </w:r>
      <w:proofErr w:type="gramStart"/>
      <w:r>
        <w:t>were graded</w:t>
      </w:r>
      <w:proofErr w:type="gramEnd"/>
      <w:r>
        <w:t xml:space="preserve"> strictly by the rubric. However, this particular example is a case where the author was unsure of his agreement with the details of the rubric.</w:t>
      </w:r>
    </w:p>
    <w:p w14:paraId="468E1C48" w14:textId="77777777" w:rsidR="006F2B85" w:rsidRPr="00C74791" w:rsidRDefault="59C3CF1A" w:rsidP="006F2B85">
      <w:r>
        <w:t xml:space="preserve">A second example involves the Bright Futures line of materials produced by the AAP. Despite the fact that they were by far the best performing set of materials that </w:t>
      </w:r>
      <w:proofErr w:type="gramStart"/>
      <w:r>
        <w:t>were evaluated</w:t>
      </w:r>
      <w:proofErr w:type="gramEnd"/>
      <w:r>
        <w:t xml:space="preserve">, they were not perfect. For example, they consistently lost points for having too broad of a scope and no conclusion. The Bright Futures materials that </w:t>
      </w:r>
      <w:proofErr w:type="gramStart"/>
      <w:r>
        <w:t>were reviewed</w:t>
      </w:r>
      <w:proofErr w:type="gramEnd"/>
      <w:r>
        <w:t xml:space="preserve"> are anticipatory guidance intended for parents at well child visits between birth and five years of age. Unsurprisingly, the scope of </w:t>
      </w:r>
      <w:r>
        <w:lastRenderedPageBreak/>
        <w:t xml:space="preserve">each document was quite large. After all, there numerous domains on which parents must be counselled </w:t>
      </w:r>
      <w:proofErr w:type="gramStart"/>
      <w:r>
        <w:t>with regards to</w:t>
      </w:r>
      <w:proofErr w:type="gramEnd"/>
      <w:r>
        <w:t xml:space="preserve"> young children. Feeding, toilet training, sleep habits, home safety, car safety, and development are just some of the key domains that are applicable in various ways to all young children. Though the materials were </w:t>
      </w:r>
      <w:proofErr w:type="gramStart"/>
      <w:r>
        <w:t>well-organized</w:t>
      </w:r>
      <w:proofErr w:type="gramEnd"/>
      <w:r>
        <w:t xml:space="preserve"> with bulleted lists and clear headings, the scope was still very broad. In order to reduce the scope, you would need to split these single, age appropriate handouts into five or more distinct pieces of paper. The SAM rubric would consider this an improvement, but an argument can be made that handing parents a single piece of paper with some key guidelines is ultimately more likely to be effective than handing them a stack of papers that are more narrow in scope. This is a particular issue with anticipatory guidance: one cannot know in </w:t>
      </w:r>
      <w:proofErr w:type="gramStart"/>
      <w:r>
        <w:t>advance</w:t>
      </w:r>
      <w:proofErr w:type="gramEnd"/>
      <w:r>
        <w:t xml:space="preserve"> which children and families are going to have which issues! In this case, it very well might be preferable to produce a single document with a broader scope.</w:t>
      </w:r>
    </w:p>
    <w:p w14:paraId="40AC7277" w14:textId="77777777" w:rsidR="006F2B85" w:rsidRPr="006F2B85" w:rsidRDefault="69CFA879" w:rsidP="006F2B85">
      <w:pPr>
        <w:pStyle w:val="Noindent"/>
        <w:ind w:firstLine="720"/>
      </w:pPr>
      <w:r>
        <w:t xml:space="preserve">Finally, there is the tricky case of the endocrinology material. These documents scored particularly poorly on the SAM rubric. Some of this is the fact that the grade level was far too high and the vocabulary and prose were far too complex. Changes in these domains would likely propel a large majority of these documents to an “adequate” score.  However, they also lost a large number of points in the following three components: “Content Topics,” “Modelling of Behaviors” and “Motivation” (Appendix B). All three of these components focus on providing goal-directed advice for patients. The logic behind these components is sound: as has been mentioned previously, education </w:t>
      </w:r>
      <w:proofErr w:type="gramStart"/>
      <w:r>
        <w:t>should be focused</w:t>
      </w:r>
      <w:proofErr w:type="gramEnd"/>
      <w:r>
        <w:t xml:space="preserve"> on modifying behaviors as opposed to just teaching facts. With that said, a number of the endocrinology materials were about conditions for which no treatment is necessary. One example is a handout on early breast development in girls (“premature </w:t>
      </w:r>
      <w:proofErr w:type="spellStart"/>
      <w:r>
        <w:t>thelarche</w:t>
      </w:r>
      <w:proofErr w:type="spellEnd"/>
      <w:r>
        <w:t xml:space="preserve">”). When isolated, no treatment is necessary for this condition. Close observation by a general pediatrician or a pediatric endocrinologist is sufficient. There is nothing to do, and as such </w:t>
      </w:r>
      <w:r>
        <w:lastRenderedPageBreak/>
        <w:t>no recommendations to be made other than to schedule follow-up appointments. As noted earlier, this author does not believe that materials like this are the most important or highest yield option for improving health inequities. That said</w:t>
      </w:r>
      <w:proofErr w:type="gramStart"/>
      <w:r>
        <w:t>,</w:t>
      </w:r>
      <w:proofErr w:type="gramEnd"/>
      <w:r>
        <w:t xml:space="preserve"> there is a potential place for materials like these, particularly for higher health literacy parents who want to better understand their child’s diagnosis. As long as one realizes that materials like these are unlikely to </w:t>
      </w:r>
      <w:proofErr w:type="gramStart"/>
      <w:r>
        <w:t>impact</w:t>
      </w:r>
      <w:proofErr w:type="gramEnd"/>
      <w:r>
        <w:t xml:space="preserve"> behaviors or outcomes, it is fair to argue that such a format is appropriate in certain situations, even against the recommendations of the SAM rubric.</w:t>
      </w:r>
    </w:p>
    <w:p w14:paraId="7E00500E" w14:textId="77777777" w:rsidR="00623359" w:rsidRDefault="69CFA879" w:rsidP="0030012E">
      <w:pPr>
        <w:pStyle w:val="Heading3"/>
        <w:numPr>
          <w:ilvl w:val="2"/>
          <w:numId w:val="1"/>
        </w:numPr>
        <w:tabs>
          <w:tab w:val="clear" w:pos="0"/>
        </w:tabs>
      </w:pPr>
      <w:bookmarkStart w:id="43" w:name="_Toc525805143"/>
      <w:r>
        <w:t>SAM Analysis Going Forward</w:t>
      </w:r>
      <w:bookmarkEnd w:id="43"/>
    </w:p>
    <w:p w14:paraId="3753966E" w14:textId="77777777" w:rsidR="00623359" w:rsidRPr="00C74791" w:rsidRDefault="69CFA879" w:rsidP="00623359">
      <w:pPr>
        <w:ind w:firstLine="0"/>
      </w:pPr>
      <w:r>
        <w:t xml:space="preserve">At the end of the day, many of the concerns noted above </w:t>
      </w:r>
      <w:proofErr w:type="gramStart"/>
      <w:r>
        <w:t>are ameliorated</w:t>
      </w:r>
      <w:proofErr w:type="gramEnd"/>
      <w:r>
        <w:t xml:space="preserve"> by the fact that the SAM rubric has a very lenient cutoff for adequacy. Thus, a few percentage points here or there are not going to render an otherwise pristine document “unsuitable.” Given the one-size-fits-all nature of SAM, this author would argue that is a good thing. Going forward, the author recommends reviewers should treat the 40% threshold for adequacy as merely a rough signpost; an absolute minimum, if you will. Just because all of your material scores </w:t>
      </w:r>
      <w:proofErr w:type="gramStart"/>
      <w:r>
        <w:t>42%</w:t>
      </w:r>
      <w:proofErr w:type="gramEnd"/>
      <w:r>
        <w:t xml:space="preserve"> does not mean you should throw up a mission accomplished banner and wash your hands of future improvement. Rather, it should merely indicate that the materials are above some absolute minimum threshold and thus potentially suitable for patients. Despite this, they </w:t>
      </w:r>
      <w:proofErr w:type="gramStart"/>
      <w:r>
        <w:t>should still be improved</w:t>
      </w:r>
      <w:proofErr w:type="gramEnd"/>
      <w:r>
        <w:t xml:space="preserve"> in any way possible. Authors and clinicians should use the SAM rubric as a guideline for continuous improvement of health education materials that are making their way into the community. A document might not ever achieve a maximum score in every component, and reviewers should not necessarily strive for this. What they ought to do is find components where improvement is appropriate and </w:t>
      </w:r>
      <w:r>
        <w:lastRenderedPageBreak/>
        <w:t>beneficial to the overall product. As was discussed previously, a trend of increasing SAM scores is more important than the exact value a particular document receives.</w:t>
      </w:r>
    </w:p>
    <w:p w14:paraId="00517E3A" w14:textId="77777777" w:rsidR="00302883" w:rsidRDefault="59C3CF1A" w:rsidP="00623359">
      <w:r>
        <w:t xml:space="preserve">As noted previously, SAM has become more popular in the literature, and earlier this author recommended its routine use in evaluating education materials. That said, other authors have expressed hesitance about using SAM </w:t>
      </w:r>
      <w:proofErr w:type="gramStart"/>
      <w:r>
        <w:t>due to the fact that</w:t>
      </w:r>
      <w:proofErr w:type="gramEnd"/>
      <w:r>
        <w:t xml:space="preserve"> it is subjective and “not-well validated” (Sabharwal et al, 2008; </w:t>
      </w:r>
      <w:proofErr w:type="spellStart"/>
      <w:r>
        <w:t>Badarudeen</w:t>
      </w:r>
      <w:proofErr w:type="spellEnd"/>
      <w:r>
        <w:t xml:space="preserve"> &amp; Sabharwal, 2010). This criticism is partly true: there are aspects of SAM that are subjective. That said</w:t>
      </w:r>
      <w:proofErr w:type="gramStart"/>
      <w:r>
        <w:t>,</w:t>
      </w:r>
      <w:proofErr w:type="gramEnd"/>
      <w:r>
        <w:t xml:space="preserve"> iterations of the tool have attempted to explicitly lessen the amount of subjectivity. As an example, the subheading component specifically calls out limiting lists to five or seven items in order to receive 1 or 2 points. Similarly, multiple components talk about “50% or more” of sentences or sections meeting an objective criteria (Appendix B). Still, the broader the SAM rubric is, the more subjective it is going to be.  Can one really expect the same tool, unmodified, to assess a basic trifold pamphlet and an interactive computer program? As SAM becomes more utilized, further validation and improvement needs to </w:t>
      </w:r>
      <w:proofErr w:type="gramStart"/>
      <w:r>
        <w:t>be completed</w:t>
      </w:r>
      <w:proofErr w:type="gramEnd"/>
      <w:r>
        <w:t xml:space="preserve"> on the underlying rubric. In addition, it would make sense to expand and modify the rubric for different </w:t>
      </w:r>
      <w:proofErr w:type="gramStart"/>
      <w:r>
        <w:t>end products</w:t>
      </w:r>
      <w:proofErr w:type="gramEnd"/>
      <w:r>
        <w:t>. One could imagine related, but distinct scoring systems (or even just scoring instructions) for paper-based materials, audiovisual materials, and interactive materials in order to provide more targeted feedback.</w:t>
      </w:r>
    </w:p>
    <w:p w14:paraId="2B2A7A39" w14:textId="77777777" w:rsidR="00AF5427" w:rsidRDefault="69CFA879" w:rsidP="00AF5427">
      <w:pPr>
        <w:pStyle w:val="Heading1"/>
      </w:pPr>
      <w:bookmarkStart w:id="44" w:name="_Toc525805144"/>
      <w:r>
        <w:lastRenderedPageBreak/>
        <w:t>Conclusion</w:t>
      </w:r>
      <w:bookmarkEnd w:id="44"/>
    </w:p>
    <w:p w14:paraId="582AE978" w14:textId="77777777" w:rsidR="00AF5427" w:rsidRPr="00C74791" w:rsidRDefault="69CFA879" w:rsidP="00AF5427">
      <w:pPr>
        <w:ind w:firstLine="0"/>
      </w:pPr>
      <w:r>
        <w:t xml:space="preserve">Ultimately, the patient education materials that were surveyed at outpatient clinics affiliated with a free-standing tertiary-care children’s hospital were written at far too high of a grade level, though they scored adequately on overall suitability per the Suitability Assessment of Materials grading scale. Professionally produced materials tended to outperform those written by individual clinics, though this was merely a trend, not a hard and fast rule. The overall profile of these materials is unlikely to be accomplishing the goal of lessening health inequities for those who have low health literacy. </w:t>
      </w:r>
    </w:p>
    <w:p w14:paraId="4BB18F23" w14:textId="77777777" w:rsidR="00AF5427" w:rsidRPr="00D91B56" w:rsidRDefault="69CFA879" w:rsidP="00AF5427">
      <w:r>
        <w:t xml:space="preserve">Overall, the author would recommend that all clinics work to continuously iterate, improve, or replace the materials they provide to maximize their quality. Clinics should also use grade level formulas as a benchmark, particularly when examining their entire catalog of materials, but should show caution when dealing with individual documents. In addition to grade level formulas, this author would highly recommend using either formal SAM analysis or the instruction packets provided by various governmental and professional groups to improve overall readability and comprehensibility of all patient facing educational materials. Finally, this author hopes that going forward new modalities, particularly interactive and audiovisual products, will be developed and utilized as a supplement to text-based physical handouts. They show great promise and recent research has demonstrated actual benefit to adherence, which has not typically been the case with traditional education materials. In addition to developing these materials, time and effort </w:t>
      </w:r>
      <w:proofErr w:type="gramStart"/>
      <w:r>
        <w:t>must be spent</w:t>
      </w:r>
      <w:proofErr w:type="gramEnd"/>
      <w:r>
        <w:t xml:space="preserve"> on new tools to guide clinicians and educators on building and evaluating them.</w:t>
      </w:r>
    </w:p>
    <w:p w14:paraId="20E3639C" w14:textId="77777777" w:rsidR="00E35361" w:rsidRPr="00172E7E" w:rsidRDefault="69CFA879" w:rsidP="69CFA879">
      <w:pPr>
        <w:pStyle w:val="Appendix"/>
        <w:rPr>
          <w:b/>
          <w:bCs/>
        </w:rPr>
      </w:pPr>
      <w:bookmarkStart w:id="45" w:name="_Toc106513536"/>
      <w:bookmarkStart w:id="46" w:name="_Toc106717794"/>
      <w:bookmarkStart w:id="47" w:name="_Toc525805145"/>
      <w:r w:rsidRPr="69CFA879">
        <w:rPr>
          <w:b/>
          <w:bCs/>
        </w:rPr>
        <w:lastRenderedPageBreak/>
        <w:t>: FIVE LEVELS OF ADULT LITERACY</w:t>
      </w:r>
      <w:bookmarkEnd w:id="47"/>
    </w:p>
    <w:bookmarkEnd w:id="45"/>
    <w:bookmarkEnd w:id="46"/>
    <w:p w14:paraId="513DA1E0" w14:textId="77777777" w:rsidR="00B917F0" w:rsidRDefault="000B510B" w:rsidP="004B5CE4">
      <w:pPr>
        <w:ind w:firstLine="270"/>
      </w:pPr>
      <w:r>
        <w:rPr>
          <w:noProof/>
        </w:rPr>
        <w:lastRenderedPageBreak/>
        <w:drawing>
          <wp:inline distT="0" distB="0" distL="0" distR="0" wp14:anchorId="616861F8" wp14:editId="07777777">
            <wp:extent cx="5799455" cy="7663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9455" cy="7663815"/>
                    </a:xfrm>
                    <a:prstGeom prst="rect">
                      <a:avLst/>
                    </a:prstGeom>
                    <a:noFill/>
                    <a:ln>
                      <a:noFill/>
                    </a:ln>
                  </pic:spPr>
                </pic:pic>
              </a:graphicData>
            </a:graphic>
          </wp:inline>
        </w:drawing>
      </w:r>
    </w:p>
    <w:p w14:paraId="79BAFF41" w14:textId="77777777" w:rsidR="00B917F0" w:rsidRPr="00172E7E" w:rsidRDefault="69CFA879" w:rsidP="69CFA879">
      <w:pPr>
        <w:pStyle w:val="Appendix"/>
        <w:rPr>
          <w:b/>
          <w:bCs/>
        </w:rPr>
      </w:pPr>
      <w:bookmarkStart w:id="48" w:name="_Toc525805146"/>
      <w:r w:rsidRPr="69CFA879">
        <w:rPr>
          <w:b/>
          <w:bCs/>
        </w:rPr>
        <w:lastRenderedPageBreak/>
        <w:t>: SAM RUBRIC USED FOR THIS ANALYSIS</w:t>
      </w:r>
      <w:bookmarkEnd w:id="48"/>
    </w:p>
    <w:p w14:paraId="0D981312" w14:textId="77777777" w:rsidR="002D01B1" w:rsidRDefault="69CFA879" w:rsidP="00CE2FA5">
      <w:pPr>
        <w:pStyle w:val="Noindent"/>
      </w:pPr>
      <w:r>
        <w:t xml:space="preserve">The following SAM rubric </w:t>
      </w:r>
      <w:proofErr w:type="gramStart"/>
      <w:r>
        <w:t>was used</w:t>
      </w:r>
      <w:proofErr w:type="gramEnd"/>
      <w:r>
        <w:t xml:space="preserve"> to score all documents in the experimental section of this essay. It </w:t>
      </w:r>
      <w:proofErr w:type="gramStart"/>
      <w:r>
        <w:t>was taken</w:t>
      </w:r>
      <w:proofErr w:type="gramEnd"/>
      <w:r>
        <w:t xml:space="preserve"> from the website of the Department of Health and Human Services of the government of Tasmanian and is available online at </w:t>
      </w:r>
      <w:hyperlink r:id="rId11">
        <w:r w:rsidRPr="69CFA879">
          <w:rPr>
            <w:rStyle w:val="Hyperlink"/>
          </w:rPr>
          <w:t>http://www.dhhs.tas.gov.au/publichealth/health_literacy/health_literacy_toolkit/suitability_assessment_of_material_score_sheet</w:t>
        </w:r>
      </w:hyperlink>
      <w:r>
        <w:t xml:space="preserve">. </w:t>
      </w:r>
    </w:p>
    <w:p w14:paraId="75CAC6F5" w14:textId="77777777" w:rsidR="000A48A1" w:rsidRDefault="000A48A1" w:rsidP="000A48A1"/>
    <w:tbl>
      <w:tblPr>
        <w:tblW w:w="9892" w:type="dxa"/>
        <w:shd w:val="clear" w:color="auto" w:fill="FBFAF7"/>
        <w:tblCellMar>
          <w:left w:w="0" w:type="dxa"/>
          <w:right w:w="0" w:type="dxa"/>
        </w:tblCellMar>
        <w:tblLook w:val="04A0" w:firstRow="1" w:lastRow="0" w:firstColumn="1" w:lastColumn="0" w:noHBand="0" w:noVBand="1"/>
      </w:tblPr>
      <w:tblGrid>
        <w:gridCol w:w="1803"/>
        <w:gridCol w:w="3836"/>
        <w:gridCol w:w="3364"/>
        <w:gridCol w:w="889"/>
      </w:tblGrid>
      <w:tr w:rsidR="000A48A1" w:rsidRPr="000A48A1" w14:paraId="2BCF1D82" w14:textId="77777777" w:rsidTr="005927E7">
        <w:trPr>
          <w:trHeight w:val="300"/>
        </w:trPr>
        <w:tc>
          <w:tcPr>
            <w:tcW w:w="5639" w:type="dxa"/>
            <w:gridSpan w:val="2"/>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2D337CF0" w14:textId="77777777" w:rsidR="000A48A1" w:rsidRPr="000A48A1" w:rsidRDefault="000A48A1" w:rsidP="69CFA879">
            <w:pPr>
              <w:spacing w:beforeAutospacing="1" w:afterAutospacing="1" w:line="240" w:lineRule="auto"/>
              <w:ind w:firstLine="0"/>
              <w:jc w:val="left"/>
              <w:textAlignment w:val="baseline"/>
              <w:rPr>
                <w:rFonts w:ascii="Verdana" w:hAnsi="Verdana"/>
                <w:color w:val="434342"/>
                <w:sz w:val="18"/>
                <w:szCs w:val="18"/>
              </w:rPr>
            </w:pPr>
            <w:r w:rsidRPr="000A48A1">
              <w:rPr>
                <w:rFonts w:ascii="Verdana" w:hAnsi="Verdana"/>
                <w:b/>
                <w:bCs/>
                <w:color w:val="434342"/>
                <w:sz w:val="18"/>
                <w:szCs w:val="18"/>
                <w:bdr w:val="none" w:sz="0" w:space="0" w:color="auto" w:frame="1"/>
              </w:rPr>
              <w:t>SAM FACTOR TO BE RATED</w:t>
            </w:r>
          </w:p>
        </w:tc>
        <w:tc>
          <w:tcPr>
            <w:tcW w:w="3364"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268D350A" w14:textId="77777777" w:rsidR="000A48A1" w:rsidRPr="000A48A1" w:rsidRDefault="000A48A1" w:rsidP="69CFA879">
            <w:pPr>
              <w:spacing w:beforeAutospacing="1" w:afterAutospacing="1" w:line="240" w:lineRule="auto"/>
              <w:ind w:firstLine="0"/>
              <w:jc w:val="left"/>
              <w:textAlignment w:val="baseline"/>
              <w:rPr>
                <w:rFonts w:ascii="Verdana" w:hAnsi="Verdana"/>
                <w:color w:val="434342"/>
                <w:sz w:val="18"/>
                <w:szCs w:val="18"/>
              </w:rPr>
            </w:pPr>
            <w:r w:rsidRPr="000A48A1">
              <w:rPr>
                <w:rFonts w:ascii="Verdana" w:hAnsi="Verdana"/>
                <w:b/>
                <w:bCs/>
                <w:color w:val="434342"/>
                <w:sz w:val="18"/>
                <w:szCs w:val="18"/>
                <w:bdr w:val="none" w:sz="0" w:space="0" w:color="auto" w:frame="1"/>
              </w:rPr>
              <w:t>EVALUATION CRITERIA</w:t>
            </w:r>
          </w:p>
        </w:tc>
        <w:tc>
          <w:tcPr>
            <w:tcW w:w="889"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3B837176" w14:textId="77777777" w:rsidR="000A48A1" w:rsidRPr="000A48A1" w:rsidRDefault="000A48A1" w:rsidP="69CFA879">
            <w:pPr>
              <w:spacing w:beforeAutospacing="1" w:afterAutospacing="1" w:line="240" w:lineRule="auto"/>
              <w:ind w:firstLine="0"/>
              <w:jc w:val="left"/>
              <w:textAlignment w:val="baseline"/>
              <w:rPr>
                <w:rFonts w:ascii="Verdana" w:hAnsi="Verdana"/>
                <w:color w:val="434342"/>
                <w:sz w:val="18"/>
                <w:szCs w:val="18"/>
              </w:rPr>
            </w:pPr>
            <w:r w:rsidRPr="000A48A1">
              <w:rPr>
                <w:rFonts w:ascii="Verdana" w:hAnsi="Verdana"/>
                <w:b/>
                <w:bCs/>
                <w:color w:val="434342"/>
                <w:sz w:val="18"/>
                <w:szCs w:val="18"/>
                <w:bdr w:val="none" w:sz="0" w:space="0" w:color="auto" w:frame="1"/>
              </w:rPr>
              <w:t>SCORE</w:t>
            </w:r>
          </w:p>
        </w:tc>
      </w:tr>
      <w:tr w:rsidR="000A48A1" w:rsidRPr="000A48A1" w14:paraId="728CAFBD" w14:textId="77777777" w:rsidTr="005927E7">
        <w:trPr>
          <w:trHeight w:val="300"/>
        </w:trPr>
        <w:tc>
          <w:tcPr>
            <w:tcW w:w="1803"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6BCC8A2D"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1. Content</w:t>
            </w:r>
          </w:p>
        </w:tc>
        <w:tc>
          <w:tcPr>
            <w:tcW w:w="3836"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094CC9B"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a. Purpose</w:t>
            </w:r>
          </w:p>
          <w:p w14:paraId="2375644A"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 xml:space="preserve">It is important that readers understand the purpose of the materials. If they </w:t>
            </w:r>
            <w:proofErr w:type="gramStart"/>
            <w:r w:rsidRPr="69CFA879">
              <w:rPr>
                <w:rFonts w:ascii="Verdana" w:hAnsi="Verdana"/>
                <w:color w:val="434342"/>
                <w:sz w:val="18"/>
                <w:szCs w:val="18"/>
              </w:rPr>
              <w:t>don't</w:t>
            </w:r>
            <w:proofErr w:type="gramEnd"/>
            <w:r w:rsidRPr="69CFA879">
              <w:rPr>
                <w:rFonts w:ascii="Verdana" w:hAnsi="Verdana"/>
                <w:color w:val="434342"/>
                <w:sz w:val="18"/>
                <w:szCs w:val="18"/>
              </w:rPr>
              <w:t xml:space="preserve"> they may miss the main point.</w:t>
            </w:r>
          </w:p>
        </w:tc>
        <w:tc>
          <w:tcPr>
            <w:tcW w:w="3364"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39D1063B"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 xml:space="preserve">Purpose </w:t>
            </w:r>
            <w:proofErr w:type="gramStart"/>
            <w:r w:rsidRPr="69CFA879">
              <w:rPr>
                <w:rFonts w:ascii="Verdana" w:hAnsi="Verdana"/>
                <w:color w:val="434342"/>
                <w:sz w:val="18"/>
                <w:szCs w:val="18"/>
              </w:rPr>
              <w:t>is explicitly stated</w:t>
            </w:r>
            <w:proofErr w:type="gramEnd"/>
            <w:r w:rsidRPr="69CFA879">
              <w:rPr>
                <w:rFonts w:ascii="Verdana" w:hAnsi="Verdana"/>
                <w:color w:val="434342"/>
                <w:sz w:val="18"/>
                <w:szCs w:val="18"/>
              </w:rPr>
              <w:t xml:space="preserve"> in the title, cover illustration or introduction.</w:t>
            </w:r>
          </w:p>
        </w:tc>
        <w:tc>
          <w:tcPr>
            <w:tcW w:w="889"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8F999B5"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2</w:t>
            </w:r>
          </w:p>
        </w:tc>
      </w:tr>
      <w:tr w:rsidR="000A48A1" w:rsidRPr="000A48A1" w14:paraId="70E69873" w14:textId="77777777" w:rsidTr="005927E7">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66060428"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1D0656FE" w14:textId="77777777" w:rsidR="000A48A1" w:rsidRPr="000A48A1" w:rsidRDefault="000A48A1" w:rsidP="000A48A1">
            <w:pPr>
              <w:spacing w:line="240" w:lineRule="auto"/>
              <w:ind w:firstLine="0"/>
              <w:jc w:val="left"/>
              <w:rPr>
                <w:rFonts w:ascii="Verdana" w:hAnsi="Verdana"/>
                <w:color w:val="434342"/>
                <w:sz w:val="18"/>
                <w:szCs w:val="18"/>
              </w:rPr>
            </w:pPr>
          </w:p>
        </w:tc>
        <w:tc>
          <w:tcPr>
            <w:tcW w:w="3364"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3F761E5"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Purpose is not explicit. It is implied or multiple purposes are stated.</w:t>
            </w:r>
          </w:p>
        </w:tc>
        <w:tc>
          <w:tcPr>
            <w:tcW w:w="889"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649841BE"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1</w:t>
            </w:r>
          </w:p>
        </w:tc>
      </w:tr>
      <w:tr w:rsidR="000A48A1" w:rsidRPr="000A48A1" w14:paraId="3DF491E9" w14:textId="77777777" w:rsidTr="005927E7">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7B37605A"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394798F2" w14:textId="77777777" w:rsidR="000A48A1" w:rsidRPr="000A48A1" w:rsidRDefault="000A48A1" w:rsidP="000A48A1">
            <w:pPr>
              <w:spacing w:line="240" w:lineRule="auto"/>
              <w:ind w:firstLine="0"/>
              <w:jc w:val="left"/>
              <w:rPr>
                <w:rFonts w:ascii="Verdana" w:hAnsi="Verdana"/>
                <w:color w:val="434342"/>
                <w:sz w:val="18"/>
                <w:szCs w:val="18"/>
              </w:rPr>
            </w:pPr>
          </w:p>
        </w:tc>
        <w:tc>
          <w:tcPr>
            <w:tcW w:w="3364"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090217B9"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No purpose is stated in the title, illustration or introduction</w:t>
            </w:r>
          </w:p>
        </w:tc>
        <w:tc>
          <w:tcPr>
            <w:tcW w:w="889"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2322F001"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0</w:t>
            </w:r>
          </w:p>
        </w:tc>
      </w:tr>
      <w:tr w:rsidR="000A48A1" w:rsidRPr="000A48A1" w14:paraId="758D79E4" w14:textId="77777777" w:rsidTr="005927E7">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3889A505" w14:textId="77777777" w:rsidR="000A48A1" w:rsidRPr="000A48A1" w:rsidRDefault="000A48A1" w:rsidP="000A48A1">
            <w:pPr>
              <w:spacing w:line="240" w:lineRule="auto"/>
              <w:ind w:firstLine="0"/>
              <w:jc w:val="left"/>
              <w:rPr>
                <w:rFonts w:ascii="Verdana" w:hAnsi="Verdana"/>
                <w:color w:val="434342"/>
                <w:sz w:val="18"/>
                <w:szCs w:val="18"/>
              </w:rPr>
            </w:pPr>
          </w:p>
        </w:tc>
        <w:tc>
          <w:tcPr>
            <w:tcW w:w="3836"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369298FB"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b. Content topics</w:t>
            </w:r>
          </w:p>
          <w:p w14:paraId="58F4C4A8"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 xml:space="preserve">Adult learners usually want to solve their problem, rather than learn facts. The content of most interest and use is likely to be </w:t>
            </w:r>
            <w:proofErr w:type="spellStart"/>
            <w:r w:rsidRPr="59C3CF1A">
              <w:rPr>
                <w:rFonts w:ascii="Verdana" w:hAnsi="Verdana"/>
                <w:color w:val="434342"/>
                <w:sz w:val="18"/>
                <w:szCs w:val="18"/>
              </w:rPr>
              <w:t>behaviour</w:t>
            </w:r>
            <w:proofErr w:type="spellEnd"/>
            <w:r w:rsidRPr="59C3CF1A">
              <w:rPr>
                <w:rFonts w:ascii="Verdana" w:hAnsi="Verdana"/>
                <w:color w:val="434342"/>
                <w:sz w:val="18"/>
                <w:szCs w:val="18"/>
              </w:rPr>
              <w:t xml:space="preserve"> information to help solve their problem.</w:t>
            </w:r>
          </w:p>
        </w:tc>
        <w:tc>
          <w:tcPr>
            <w:tcW w:w="3364"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43EABD35"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 xml:space="preserve">Thrust of material is application of knowledge/skills aimed at desirable reader </w:t>
            </w:r>
            <w:proofErr w:type="spellStart"/>
            <w:r w:rsidRPr="59C3CF1A">
              <w:rPr>
                <w:rFonts w:ascii="Verdana" w:hAnsi="Verdana"/>
                <w:color w:val="434342"/>
                <w:sz w:val="18"/>
                <w:szCs w:val="18"/>
              </w:rPr>
              <w:t>behaviour</w:t>
            </w:r>
            <w:proofErr w:type="spellEnd"/>
            <w:r w:rsidRPr="59C3CF1A">
              <w:rPr>
                <w:rFonts w:ascii="Verdana" w:hAnsi="Verdana"/>
                <w:color w:val="434342"/>
                <w:sz w:val="18"/>
                <w:szCs w:val="18"/>
              </w:rPr>
              <w:t xml:space="preserve"> rather than facts.</w:t>
            </w:r>
          </w:p>
        </w:tc>
        <w:tc>
          <w:tcPr>
            <w:tcW w:w="889"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7144751B"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2</w:t>
            </w:r>
          </w:p>
        </w:tc>
      </w:tr>
      <w:tr w:rsidR="000A48A1" w:rsidRPr="000A48A1" w14:paraId="38BE6A11" w14:textId="77777777" w:rsidTr="005927E7">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29079D35"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17686DC7" w14:textId="77777777" w:rsidR="000A48A1" w:rsidRPr="000A48A1" w:rsidRDefault="000A48A1" w:rsidP="000A48A1">
            <w:pPr>
              <w:spacing w:line="240" w:lineRule="auto"/>
              <w:ind w:firstLine="0"/>
              <w:jc w:val="left"/>
              <w:rPr>
                <w:rFonts w:ascii="Verdana" w:hAnsi="Verdana"/>
                <w:color w:val="434342"/>
                <w:sz w:val="18"/>
                <w:szCs w:val="18"/>
              </w:rPr>
            </w:pPr>
          </w:p>
        </w:tc>
        <w:tc>
          <w:tcPr>
            <w:tcW w:w="3364"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D175DF2"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 xml:space="preserve">At least 40 per cent of content topics focus on desirable </w:t>
            </w:r>
            <w:proofErr w:type="spellStart"/>
            <w:r w:rsidRPr="59C3CF1A">
              <w:rPr>
                <w:rFonts w:ascii="Verdana" w:hAnsi="Verdana"/>
                <w:color w:val="434342"/>
                <w:sz w:val="18"/>
                <w:szCs w:val="18"/>
              </w:rPr>
              <w:t>behaviours</w:t>
            </w:r>
            <w:proofErr w:type="spellEnd"/>
            <w:r w:rsidRPr="59C3CF1A">
              <w:rPr>
                <w:rFonts w:ascii="Verdana" w:hAnsi="Verdana"/>
                <w:color w:val="434342"/>
                <w:sz w:val="18"/>
                <w:szCs w:val="18"/>
              </w:rPr>
              <w:t xml:space="preserve"> or actions.</w:t>
            </w:r>
          </w:p>
        </w:tc>
        <w:tc>
          <w:tcPr>
            <w:tcW w:w="889"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56B20A0C"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1</w:t>
            </w:r>
          </w:p>
        </w:tc>
      </w:tr>
      <w:tr w:rsidR="000A48A1" w:rsidRPr="000A48A1" w14:paraId="4E9B1E97" w14:textId="77777777" w:rsidTr="005927E7">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53BD644D"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1A3FAC43" w14:textId="77777777" w:rsidR="000A48A1" w:rsidRPr="000A48A1" w:rsidRDefault="000A48A1" w:rsidP="000A48A1">
            <w:pPr>
              <w:spacing w:line="240" w:lineRule="auto"/>
              <w:ind w:firstLine="0"/>
              <w:jc w:val="left"/>
              <w:rPr>
                <w:rFonts w:ascii="Verdana" w:hAnsi="Verdana"/>
                <w:color w:val="434342"/>
                <w:sz w:val="18"/>
                <w:szCs w:val="18"/>
              </w:rPr>
            </w:pPr>
          </w:p>
        </w:tc>
        <w:tc>
          <w:tcPr>
            <w:tcW w:w="3364"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71F033DD"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Nearly all topics focus on non-</w:t>
            </w:r>
            <w:proofErr w:type="spellStart"/>
            <w:r w:rsidRPr="59C3CF1A">
              <w:rPr>
                <w:rFonts w:ascii="Verdana" w:hAnsi="Verdana"/>
                <w:color w:val="434342"/>
                <w:sz w:val="18"/>
                <w:szCs w:val="18"/>
              </w:rPr>
              <w:t>behaviour</w:t>
            </w:r>
            <w:proofErr w:type="spellEnd"/>
            <w:r w:rsidRPr="59C3CF1A">
              <w:rPr>
                <w:rFonts w:ascii="Verdana" w:hAnsi="Verdana"/>
                <w:color w:val="434342"/>
                <w:sz w:val="18"/>
                <w:szCs w:val="18"/>
              </w:rPr>
              <w:t xml:space="preserve"> facts.</w:t>
            </w:r>
          </w:p>
        </w:tc>
        <w:tc>
          <w:tcPr>
            <w:tcW w:w="889"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7B7EFE02"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0</w:t>
            </w:r>
          </w:p>
        </w:tc>
      </w:tr>
      <w:tr w:rsidR="000A48A1" w:rsidRPr="000A48A1" w14:paraId="5AE6CEE4" w14:textId="77777777" w:rsidTr="005927E7">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2BBD94B2" w14:textId="77777777" w:rsidR="000A48A1" w:rsidRPr="000A48A1" w:rsidRDefault="000A48A1" w:rsidP="000A48A1">
            <w:pPr>
              <w:spacing w:line="240" w:lineRule="auto"/>
              <w:ind w:firstLine="0"/>
              <w:jc w:val="left"/>
              <w:rPr>
                <w:rFonts w:ascii="Verdana" w:hAnsi="Verdana"/>
                <w:color w:val="434342"/>
                <w:sz w:val="18"/>
                <w:szCs w:val="18"/>
              </w:rPr>
            </w:pPr>
          </w:p>
        </w:tc>
        <w:tc>
          <w:tcPr>
            <w:tcW w:w="3836"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49A7DA8B"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c. Scope</w:t>
            </w:r>
          </w:p>
          <w:p w14:paraId="2597B7D8"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 xml:space="preserve">Scope should be limited to the purpose/objectives of the material, and to what </w:t>
            </w:r>
            <w:proofErr w:type="gramStart"/>
            <w:r w:rsidRPr="69CFA879">
              <w:rPr>
                <w:rFonts w:ascii="Verdana" w:hAnsi="Verdana"/>
                <w:color w:val="434342"/>
                <w:sz w:val="18"/>
                <w:szCs w:val="18"/>
              </w:rPr>
              <w:t>can reasonably be learned</w:t>
            </w:r>
            <w:proofErr w:type="gramEnd"/>
            <w:r w:rsidRPr="69CFA879">
              <w:rPr>
                <w:rFonts w:ascii="Verdana" w:hAnsi="Verdana"/>
                <w:color w:val="434342"/>
                <w:sz w:val="18"/>
                <w:szCs w:val="18"/>
              </w:rPr>
              <w:t xml:space="preserve"> in the time typically allocated to reading the information.</w:t>
            </w:r>
          </w:p>
        </w:tc>
        <w:tc>
          <w:tcPr>
            <w:tcW w:w="3364"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7E38410C"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 xml:space="preserve">Scope limited to essential information directly related to the purpose. Experience shows it </w:t>
            </w:r>
            <w:proofErr w:type="gramStart"/>
            <w:r w:rsidRPr="69CFA879">
              <w:rPr>
                <w:rFonts w:ascii="Verdana" w:hAnsi="Verdana"/>
                <w:color w:val="434342"/>
                <w:sz w:val="18"/>
                <w:szCs w:val="18"/>
              </w:rPr>
              <w:t>can be learned</w:t>
            </w:r>
            <w:proofErr w:type="gramEnd"/>
            <w:r w:rsidRPr="69CFA879">
              <w:rPr>
                <w:rFonts w:ascii="Verdana" w:hAnsi="Verdana"/>
                <w:color w:val="434342"/>
                <w:sz w:val="18"/>
                <w:szCs w:val="18"/>
              </w:rPr>
              <w:t xml:space="preserve"> in the time available.</w:t>
            </w:r>
          </w:p>
        </w:tc>
        <w:tc>
          <w:tcPr>
            <w:tcW w:w="889"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78E884CA"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2</w:t>
            </w:r>
          </w:p>
        </w:tc>
      </w:tr>
      <w:tr w:rsidR="000A48A1" w:rsidRPr="000A48A1" w14:paraId="3CBA9B8B" w14:textId="77777777" w:rsidTr="005927E7">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5854DE7F"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2CA7ADD4" w14:textId="77777777" w:rsidR="000A48A1" w:rsidRPr="000A48A1" w:rsidRDefault="000A48A1" w:rsidP="000A48A1">
            <w:pPr>
              <w:spacing w:line="240" w:lineRule="auto"/>
              <w:ind w:firstLine="0"/>
              <w:jc w:val="left"/>
              <w:rPr>
                <w:rFonts w:ascii="Verdana" w:hAnsi="Verdana"/>
                <w:color w:val="434342"/>
                <w:sz w:val="18"/>
                <w:szCs w:val="18"/>
              </w:rPr>
            </w:pPr>
          </w:p>
        </w:tc>
        <w:tc>
          <w:tcPr>
            <w:tcW w:w="3364"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36EED29"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 xml:space="preserve">Scope expanded beyond the purpose of the document, but no more than 40% is non-essential information. Key points </w:t>
            </w:r>
            <w:proofErr w:type="gramStart"/>
            <w:r w:rsidRPr="69CFA879">
              <w:rPr>
                <w:rFonts w:ascii="Verdana" w:hAnsi="Verdana"/>
                <w:color w:val="434342"/>
                <w:sz w:val="18"/>
                <w:szCs w:val="18"/>
              </w:rPr>
              <w:t>can be learned</w:t>
            </w:r>
            <w:proofErr w:type="gramEnd"/>
            <w:r w:rsidRPr="69CFA879">
              <w:rPr>
                <w:rFonts w:ascii="Verdana" w:hAnsi="Verdana"/>
                <w:color w:val="434342"/>
                <w:sz w:val="18"/>
                <w:szCs w:val="18"/>
              </w:rPr>
              <w:t xml:space="preserve"> in the time available.</w:t>
            </w:r>
          </w:p>
        </w:tc>
        <w:tc>
          <w:tcPr>
            <w:tcW w:w="889"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249FAAB8"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1</w:t>
            </w:r>
          </w:p>
        </w:tc>
      </w:tr>
      <w:tr w:rsidR="000A48A1" w:rsidRPr="000A48A1" w14:paraId="47A18E4B" w14:textId="77777777" w:rsidTr="005927E7">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314EE24A"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76614669" w14:textId="77777777" w:rsidR="000A48A1" w:rsidRPr="000A48A1" w:rsidRDefault="000A48A1" w:rsidP="000A48A1">
            <w:pPr>
              <w:spacing w:line="240" w:lineRule="auto"/>
              <w:ind w:firstLine="0"/>
              <w:jc w:val="left"/>
              <w:rPr>
                <w:rFonts w:ascii="Verdana" w:hAnsi="Verdana"/>
                <w:color w:val="434342"/>
                <w:sz w:val="18"/>
                <w:szCs w:val="18"/>
              </w:rPr>
            </w:pPr>
          </w:p>
        </w:tc>
        <w:tc>
          <w:tcPr>
            <w:tcW w:w="3364"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69685BDA"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Scope is far out of proportion to the purpose and time available.</w:t>
            </w:r>
          </w:p>
        </w:tc>
        <w:tc>
          <w:tcPr>
            <w:tcW w:w="889"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33113584"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0</w:t>
            </w:r>
          </w:p>
        </w:tc>
      </w:tr>
      <w:tr w:rsidR="000A48A1" w:rsidRPr="000A48A1" w14:paraId="5E9B76D3" w14:textId="77777777" w:rsidTr="005927E7">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57590049" w14:textId="77777777" w:rsidR="000A48A1" w:rsidRPr="000A48A1" w:rsidRDefault="000A48A1" w:rsidP="000A48A1">
            <w:pPr>
              <w:spacing w:line="240" w:lineRule="auto"/>
              <w:ind w:firstLine="0"/>
              <w:jc w:val="left"/>
              <w:rPr>
                <w:rFonts w:ascii="Verdana" w:hAnsi="Verdana"/>
                <w:color w:val="434342"/>
                <w:sz w:val="18"/>
                <w:szCs w:val="18"/>
              </w:rPr>
            </w:pPr>
          </w:p>
        </w:tc>
        <w:tc>
          <w:tcPr>
            <w:tcW w:w="3836"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0CB0A7DA"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d. Summary/review</w:t>
            </w:r>
          </w:p>
          <w:p w14:paraId="1FF17FF6"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A summary offers readers a chance to see the key points in other words or examples. They are important; readers often miss the key points when they first read them.</w:t>
            </w:r>
          </w:p>
        </w:tc>
        <w:tc>
          <w:tcPr>
            <w:tcW w:w="3364"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31AEB174"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A summary is included and retells the key message in different words and examples.</w:t>
            </w:r>
          </w:p>
        </w:tc>
        <w:tc>
          <w:tcPr>
            <w:tcW w:w="889"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7842F596"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2</w:t>
            </w:r>
          </w:p>
        </w:tc>
      </w:tr>
      <w:tr w:rsidR="000A48A1" w:rsidRPr="000A48A1" w14:paraId="0934FCF2" w14:textId="77777777" w:rsidTr="005927E7">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0C5B615A"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792F1AA2" w14:textId="77777777" w:rsidR="000A48A1" w:rsidRPr="000A48A1" w:rsidRDefault="000A48A1" w:rsidP="000A48A1">
            <w:pPr>
              <w:spacing w:line="240" w:lineRule="auto"/>
              <w:ind w:firstLine="0"/>
              <w:jc w:val="left"/>
              <w:rPr>
                <w:rFonts w:ascii="Verdana" w:hAnsi="Verdana"/>
                <w:color w:val="434342"/>
                <w:sz w:val="18"/>
                <w:szCs w:val="18"/>
              </w:rPr>
            </w:pPr>
          </w:p>
        </w:tc>
        <w:tc>
          <w:tcPr>
            <w:tcW w:w="3364"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6BE73ECE"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 xml:space="preserve">Some key ideas </w:t>
            </w:r>
            <w:proofErr w:type="gramStart"/>
            <w:r w:rsidRPr="69CFA879">
              <w:rPr>
                <w:rFonts w:ascii="Verdana" w:hAnsi="Verdana"/>
                <w:color w:val="434342"/>
                <w:sz w:val="18"/>
                <w:szCs w:val="18"/>
              </w:rPr>
              <w:t>are reviewed</w:t>
            </w:r>
            <w:proofErr w:type="gramEnd"/>
            <w:r w:rsidRPr="69CFA879">
              <w:rPr>
                <w:rFonts w:ascii="Verdana" w:hAnsi="Verdana"/>
                <w:color w:val="434342"/>
                <w:sz w:val="18"/>
                <w:szCs w:val="18"/>
              </w:rPr>
              <w:t>.</w:t>
            </w:r>
          </w:p>
        </w:tc>
        <w:tc>
          <w:tcPr>
            <w:tcW w:w="889"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9F14E3C"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1</w:t>
            </w:r>
          </w:p>
        </w:tc>
      </w:tr>
      <w:tr w:rsidR="000A48A1" w:rsidRPr="000A48A1" w14:paraId="4C8562E6" w14:textId="77777777" w:rsidTr="005927E7">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1A499DFC"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5E7E3C41" w14:textId="77777777" w:rsidR="000A48A1" w:rsidRPr="000A48A1" w:rsidRDefault="000A48A1" w:rsidP="000A48A1">
            <w:pPr>
              <w:spacing w:line="240" w:lineRule="auto"/>
              <w:ind w:firstLine="0"/>
              <w:jc w:val="left"/>
              <w:rPr>
                <w:rFonts w:ascii="Verdana" w:hAnsi="Verdana"/>
                <w:color w:val="434342"/>
                <w:sz w:val="18"/>
                <w:szCs w:val="18"/>
              </w:rPr>
            </w:pPr>
          </w:p>
        </w:tc>
        <w:tc>
          <w:tcPr>
            <w:tcW w:w="3364"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68ED3724"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No summary or review is included.</w:t>
            </w:r>
          </w:p>
        </w:tc>
        <w:tc>
          <w:tcPr>
            <w:tcW w:w="889"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5531F93F"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0</w:t>
            </w:r>
          </w:p>
        </w:tc>
      </w:tr>
      <w:tr w:rsidR="000A48A1" w:rsidRPr="000A48A1" w14:paraId="5E4E3769" w14:textId="77777777" w:rsidTr="005927E7">
        <w:trPr>
          <w:trHeight w:val="300"/>
        </w:trPr>
        <w:tc>
          <w:tcPr>
            <w:tcW w:w="1803"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0B148C2F"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2. Literacy demand</w:t>
            </w:r>
          </w:p>
        </w:tc>
        <w:tc>
          <w:tcPr>
            <w:tcW w:w="3836"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CCA6571"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a. Reading Grade Level</w:t>
            </w:r>
          </w:p>
          <w:p w14:paraId="147CE0FE"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The text reading level will be an important factor in whether your target group understands your document. Reading formulas, like SMOG, provide a reasonably accurate measure of reading difficulty.</w:t>
            </w:r>
          </w:p>
        </w:tc>
        <w:tc>
          <w:tcPr>
            <w:tcW w:w="3364"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445C6C59"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5th-grade or lower (5 years of schooling).</w:t>
            </w:r>
          </w:p>
        </w:tc>
        <w:tc>
          <w:tcPr>
            <w:tcW w:w="889"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2CC21B90"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2</w:t>
            </w:r>
          </w:p>
        </w:tc>
      </w:tr>
      <w:tr w:rsidR="000A48A1" w:rsidRPr="000A48A1" w14:paraId="2A49C531" w14:textId="77777777" w:rsidTr="005927E7">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03F828E4"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2AC57CB0" w14:textId="77777777" w:rsidR="000A48A1" w:rsidRPr="000A48A1" w:rsidRDefault="000A48A1" w:rsidP="000A48A1">
            <w:pPr>
              <w:spacing w:line="240" w:lineRule="auto"/>
              <w:ind w:firstLine="0"/>
              <w:jc w:val="left"/>
              <w:rPr>
                <w:rFonts w:ascii="Verdana" w:hAnsi="Verdana"/>
                <w:color w:val="434342"/>
                <w:sz w:val="18"/>
                <w:szCs w:val="18"/>
              </w:rPr>
            </w:pPr>
          </w:p>
        </w:tc>
        <w:tc>
          <w:tcPr>
            <w:tcW w:w="3364"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71116B40" w14:textId="77777777" w:rsidR="000A48A1" w:rsidRPr="000A48A1" w:rsidRDefault="000A48A1" w:rsidP="69CFA879">
            <w:pPr>
              <w:spacing w:beforeAutospacing="1" w:afterAutospacing="1" w:line="240" w:lineRule="auto"/>
              <w:ind w:firstLine="0"/>
              <w:jc w:val="left"/>
              <w:textAlignment w:val="baseline"/>
              <w:rPr>
                <w:rFonts w:ascii="Verdana" w:hAnsi="Verdana"/>
                <w:color w:val="434342"/>
                <w:sz w:val="18"/>
                <w:szCs w:val="18"/>
              </w:rPr>
            </w:pPr>
            <w:r w:rsidRPr="000A48A1">
              <w:rPr>
                <w:rFonts w:ascii="Verdana" w:hAnsi="Verdana"/>
                <w:color w:val="434342"/>
                <w:sz w:val="18"/>
                <w:szCs w:val="18"/>
              </w:rPr>
              <w:t>6</w:t>
            </w:r>
            <w:r w:rsidRPr="000A48A1">
              <w:rPr>
                <w:rFonts w:ascii="Verdana" w:hAnsi="Verdana"/>
                <w:color w:val="434342"/>
                <w:sz w:val="18"/>
                <w:szCs w:val="18"/>
                <w:bdr w:val="none" w:sz="0" w:space="0" w:color="auto" w:frame="1"/>
                <w:vertAlign w:val="superscript"/>
              </w:rPr>
              <w:t>th</w:t>
            </w:r>
            <w:r w:rsidRPr="000A48A1">
              <w:rPr>
                <w:rFonts w:ascii="Verdana" w:hAnsi="Verdana"/>
                <w:color w:val="434342"/>
                <w:sz w:val="18"/>
                <w:szCs w:val="18"/>
              </w:rPr>
              <w:t> – 8</w:t>
            </w:r>
            <w:r w:rsidRPr="000A48A1">
              <w:rPr>
                <w:rFonts w:ascii="Verdana" w:hAnsi="Verdana"/>
                <w:color w:val="434342"/>
                <w:sz w:val="18"/>
                <w:szCs w:val="18"/>
                <w:bdr w:val="none" w:sz="0" w:space="0" w:color="auto" w:frame="1"/>
                <w:vertAlign w:val="superscript"/>
              </w:rPr>
              <w:t>th</w:t>
            </w:r>
            <w:r w:rsidRPr="000A48A1">
              <w:rPr>
                <w:rFonts w:ascii="Verdana" w:hAnsi="Verdana"/>
                <w:color w:val="434342"/>
                <w:sz w:val="18"/>
                <w:szCs w:val="18"/>
              </w:rPr>
              <w:t>- grade level (6 – 8 years of schooling).</w:t>
            </w:r>
          </w:p>
        </w:tc>
        <w:tc>
          <w:tcPr>
            <w:tcW w:w="889"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065D2414"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1</w:t>
            </w:r>
          </w:p>
        </w:tc>
      </w:tr>
      <w:tr w:rsidR="000A48A1" w:rsidRPr="000A48A1" w14:paraId="54D61449" w14:textId="77777777" w:rsidTr="005927E7">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5186B13D"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6C57C439" w14:textId="77777777" w:rsidR="000A48A1" w:rsidRPr="000A48A1" w:rsidRDefault="000A48A1" w:rsidP="000A48A1">
            <w:pPr>
              <w:spacing w:line="240" w:lineRule="auto"/>
              <w:ind w:firstLine="0"/>
              <w:jc w:val="left"/>
              <w:rPr>
                <w:rFonts w:ascii="Verdana" w:hAnsi="Verdana"/>
                <w:color w:val="434342"/>
                <w:sz w:val="18"/>
                <w:szCs w:val="18"/>
              </w:rPr>
            </w:pPr>
          </w:p>
        </w:tc>
        <w:tc>
          <w:tcPr>
            <w:tcW w:w="3364"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69957303" w14:textId="77777777" w:rsidR="000A48A1" w:rsidRPr="000A48A1" w:rsidRDefault="000A48A1" w:rsidP="69CFA879">
            <w:pPr>
              <w:spacing w:beforeAutospacing="1" w:afterAutospacing="1" w:line="240" w:lineRule="auto"/>
              <w:ind w:firstLine="0"/>
              <w:jc w:val="left"/>
              <w:textAlignment w:val="baseline"/>
              <w:rPr>
                <w:rFonts w:ascii="Verdana" w:hAnsi="Verdana"/>
                <w:color w:val="434342"/>
                <w:sz w:val="18"/>
                <w:szCs w:val="18"/>
              </w:rPr>
            </w:pPr>
            <w:r w:rsidRPr="000A48A1">
              <w:rPr>
                <w:rFonts w:ascii="Verdana" w:hAnsi="Verdana"/>
                <w:color w:val="434342"/>
                <w:sz w:val="18"/>
                <w:szCs w:val="18"/>
              </w:rPr>
              <w:t>9</w:t>
            </w:r>
            <w:r w:rsidRPr="000A48A1">
              <w:rPr>
                <w:rFonts w:ascii="Verdana" w:hAnsi="Verdana"/>
                <w:color w:val="434342"/>
                <w:sz w:val="18"/>
                <w:szCs w:val="18"/>
                <w:bdr w:val="none" w:sz="0" w:space="0" w:color="auto" w:frame="1"/>
                <w:vertAlign w:val="superscript"/>
              </w:rPr>
              <w:t>th</w:t>
            </w:r>
            <w:r w:rsidRPr="000A48A1">
              <w:rPr>
                <w:rFonts w:ascii="Verdana" w:hAnsi="Verdana"/>
                <w:color w:val="434342"/>
                <w:sz w:val="18"/>
                <w:szCs w:val="18"/>
              </w:rPr>
              <w:t>-grade level and above (9+ years of schooling).</w:t>
            </w:r>
          </w:p>
        </w:tc>
        <w:tc>
          <w:tcPr>
            <w:tcW w:w="889"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0213FF8E"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0</w:t>
            </w:r>
          </w:p>
        </w:tc>
      </w:tr>
    </w:tbl>
    <w:p w14:paraId="3D404BC9" w14:textId="77777777" w:rsidR="000A48A1" w:rsidRPr="000A48A1" w:rsidRDefault="000A48A1" w:rsidP="000A48A1">
      <w:pPr>
        <w:spacing w:line="240" w:lineRule="auto"/>
        <w:ind w:firstLine="0"/>
        <w:jc w:val="left"/>
        <w:rPr>
          <w:vanish/>
        </w:rPr>
      </w:pPr>
    </w:p>
    <w:tbl>
      <w:tblPr>
        <w:tblW w:w="9892" w:type="dxa"/>
        <w:shd w:val="clear" w:color="auto" w:fill="FBFAF7"/>
        <w:tblCellMar>
          <w:left w:w="0" w:type="dxa"/>
          <w:right w:w="0" w:type="dxa"/>
        </w:tblCellMar>
        <w:tblLook w:val="04A0" w:firstRow="1" w:lastRow="0" w:firstColumn="1" w:lastColumn="0" w:noHBand="0" w:noVBand="1"/>
      </w:tblPr>
      <w:tblGrid>
        <w:gridCol w:w="1729"/>
        <w:gridCol w:w="4339"/>
        <w:gridCol w:w="2916"/>
        <w:gridCol w:w="908"/>
      </w:tblGrid>
      <w:tr w:rsidR="000A48A1" w:rsidRPr="000A48A1" w14:paraId="1C2E1101" w14:textId="77777777" w:rsidTr="005927E7">
        <w:trPr>
          <w:trHeight w:val="300"/>
        </w:trPr>
        <w:tc>
          <w:tcPr>
            <w:tcW w:w="1729"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6B53BEAD"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               </w:t>
            </w:r>
          </w:p>
        </w:tc>
        <w:tc>
          <w:tcPr>
            <w:tcW w:w="4339"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0AB063CD"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b. Writing style</w:t>
            </w:r>
          </w:p>
          <w:p w14:paraId="2C3A3E02"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Conversational style and active voice lead </w:t>
            </w:r>
            <w:r w:rsidR="000A48A1">
              <w:br/>
            </w:r>
            <w:r w:rsidRPr="69CFA879">
              <w:rPr>
                <w:rFonts w:ascii="Verdana" w:hAnsi="Verdana"/>
                <w:color w:val="434342"/>
                <w:sz w:val="18"/>
                <w:szCs w:val="18"/>
              </w:rPr>
              <w:t xml:space="preserve">to easy-to-understand text. </w:t>
            </w:r>
            <w:proofErr w:type="gramStart"/>
            <w:r w:rsidRPr="69CFA879">
              <w:rPr>
                <w:rFonts w:ascii="Verdana" w:hAnsi="Verdana"/>
                <w:color w:val="434342"/>
                <w:sz w:val="18"/>
                <w:szCs w:val="18"/>
              </w:rPr>
              <w:t>E.g.</w:t>
            </w:r>
            <w:proofErr w:type="gramEnd"/>
            <w:r w:rsidRPr="69CFA879">
              <w:rPr>
                <w:rFonts w:ascii="Verdana" w:hAnsi="Verdana"/>
                <w:color w:val="434342"/>
                <w:sz w:val="18"/>
                <w:szCs w:val="18"/>
              </w:rPr>
              <w:t xml:space="preserve"> 'Take you</w:t>
            </w:r>
            <w:r w:rsidR="000A48A1">
              <w:br/>
            </w:r>
            <w:r w:rsidRPr="69CFA879">
              <w:rPr>
                <w:rFonts w:ascii="Verdana" w:hAnsi="Verdana"/>
                <w:color w:val="434342"/>
                <w:sz w:val="18"/>
                <w:szCs w:val="18"/>
              </w:rPr>
              <w:t>r medicine every day' (active voice) is more </w:t>
            </w:r>
            <w:r w:rsidR="000A48A1">
              <w:br/>
            </w:r>
            <w:r w:rsidRPr="69CFA879">
              <w:rPr>
                <w:rFonts w:ascii="Verdana" w:hAnsi="Verdana"/>
                <w:color w:val="434342"/>
                <w:sz w:val="18"/>
                <w:szCs w:val="18"/>
              </w:rPr>
              <w:t>effective than 'Patients are advised to take</w:t>
            </w:r>
            <w:r w:rsidR="000A48A1">
              <w:br/>
            </w:r>
            <w:r w:rsidRPr="69CFA879">
              <w:rPr>
                <w:rFonts w:ascii="Verdana" w:hAnsi="Verdana"/>
                <w:color w:val="434342"/>
                <w:sz w:val="18"/>
                <w:szCs w:val="18"/>
              </w:rPr>
              <w:t>their medicine every day' (passive voice).</w:t>
            </w:r>
            <w:r w:rsidR="000A48A1">
              <w:br/>
            </w:r>
            <w:r w:rsidRPr="69CFA879">
              <w:rPr>
                <w:rFonts w:ascii="Verdana" w:hAnsi="Verdana"/>
                <w:color w:val="434342"/>
                <w:sz w:val="18"/>
                <w:szCs w:val="18"/>
              </w:rPr>
              <w:t>Embedded information – long or multiple </w:t>
            </w:r>
            <w:r w:rsidR="000A48A1">
              <w:br/>
            </w:r>
            <w:r w:rsidRPr="69CFA879">
              <w:rPr>
                <w:rFonts w:ascii="Verdana" w:hAnsi="Verdana"/>
                <w:color w:val="434342"/>
                <w:sz w:val="18"/>
                <w:szCs w:val="18"/>
              </w:rPr>
              <w:t>phrases included within a sentence – slows </w:t>
            </w:r>
            <w:r w:rsidR="000A48A1">
              <w:br/>
            </w:r>
            <w:r w:rsidRPr="69CFA879">
              <w:rPr>
                <w:rFonts w:ascii="Verdana" w:hAnsi="Verdana"/>
                <w:color w:val="434342"/>
                <w:sz w:val="18"/>
                <w:szCs w:val="18"/>
              </w:rPr>
              <w:t>down the reading process and often makes comprehension harder.</w:t>
            </w:r>
          </w:p>
        </w:tc>
        <w:tc>
          <w:tcPr>
            <w:tcW w:w="2916"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6D3CE669"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Both of the following are present: the text is mostly conversational style and active voice</w:t>
            </w:r>
          </w:p>
          <w:p w14:paraId="5323C4C0" w14:textId="77777777" w:rsidR="000A48A1" w:rsidRPr="000A48A1" w:rsidRDefault="69CFA879" w:rsidP="69CFA879">
            <w:pPr>
              <w:numPr>
                <w:ilvl w:val="0"/>
                <w:numId w:val="4"/>
              </w:numPr>
              <w:spacing w:line="240" w:lineRule="auto"/>
              <w:ind w:left="300" w:right="300"/>
              <w:jc w:val="left"/>
              <w:textAlignment w:val="baseline"/>
              <w:rPr>
                <w:rFonts w:ascii="Verdana" w:hAnsi="Verdana"/>
                <w:color w:val="434342"/>
                <w:sz w:val="18"/>
                <w:szCs w:val="18"/>
              </w:rPr>
            </w:pPr>
            <w:r w:rsidRPr="69CFA879">
              <w:rPr>
                <w:rFonts w:ascii="Verdana" w:hAnsi="Verdana"/>
                <w:color w:val="434342"/>
                <w:sz w:val="18"/>
                <w:szCs w:val="18"/>
              </w:rPr>
              <w:t>simple sentences are used extensively</w:t>
            </w:r>
          </w:p>
          <w:p w14:paraId="31481E64" w14:textId="77777777" w:rsidR="000A48A1" w:rsidRPr="000A48A1" w:rsidRDefault="69CFA879" w:rsidP="69CFA879">
            <w:pPr>
              <w:numPr>
                <w:ilvl w:val="0"/>
                <w:numId w:val="4"/>
              </w:numPr>
              <w:spacing w:line="240" w:lineRule="auto"/>
              <w:ind w:left="300" w:right="300"/>
              <w:jc w:val="left"/>
              <w:textAlignment w:val="baseline"/>
              <w:rPr>
                <w:rFonts w:ascii="Verdana" w:hAnsi="Verdana"/>
                <w:color w:val="434342"/>
                <w:sz w:val="18"/>
                <w:szCs w:val="18"/>
              </w:rPr>
            </w:pPr>
            <w:proofErr w:type="gramStart"/>
            <w:r w:rsidRPr="69CFA879">
              <w:rPr>
                <w:rFonts w:ascii="Verdana" w:hAnsi="Verdana"/>
                <w:color w:val="434342"/>
                <w:sz w:val="18"/>
                <w:szCs w:val="18"/>
              </w:rPr>
              <w:t>few</w:t>
            </w:r>
            <w:proofErr w:type="gramEnd"/>
            <w:r w:rsidRPr="69CFA879">
              <w:rPr>
                <w:rFonts w:ascii="Verdana" w:hAnsi="Verdana"/>
                <w:color w:val="434342"/>
                <w:sz w:val="18"/>
                <w:szCs w:val="18"/>
              </w:rPr>
              <w:t xml:space="preserve"> sentences contain embedded information.</w:t>
            </w:r>
          </w:p>
        </w:tc>
        <w:tc>
          <w:tcPr>
            <w:tcW w:w="908"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9F37634" w14:textId="2F9E2B1D"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2</w:t>
            </w:r>
          </w:p>
        </w:tc>
      </w:tr>
      <w:tr w:rsidR="000A48A1" w:rsidRPr="000A48A1" w14:paraId="1D454B3B" w14:textId="77777777" w:rsidTr="005927E7">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61319B8A"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31A560F4" w14:textId="77777777" w:rsidR="000A48A1" w:rsidRPr="000A48A1" w:rsidRDefault="000A48A1" w:rsidP="000A48A1">
            <w:pPr>
              <w:spacing w:line="240" w:lineRule="auto"/>
              <w:ind w:firstLine="0"/>
              <w:jc w:val="left"/>
              <w:rPr>
                <w:rFonts w:ascii="Verdana" w:hAnsi="Verdana"/>
                <w:color w:val="434342"/>
                <w:sz w:val="18"/>
                <w:szCs w:val="18"/>
              </w:rPr>
            </w:pPr>
          </w:p>
        </w:tc>
        <w:tc>
          <w:tcPr>
            <w:tcW w:w="2916"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063912C"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About 50 per cent of the text uses conversational style and active voice. Less than half of the sentences have embedded information.</w:t>
            </w:r>
          </w:p>
        </w:tc>
        <w:tc>
          <w:tcPr>
            <w:tcW w:w="908"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2E32D521"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1</w:t>
            </w:r>
          </w:p>
        </w:tc>
      </w:tr>
      <w:tr w:rsidR="000A48A1" w:rsidRPr="000A48A1" w14:paraId="773D1297" w14:textId="77777777" w:rsidTr="005927E7">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70DF735C"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3A413BF6" w14:textId="77777777" w:rsidR="000A48A1" w:rsidRPr="000A48A1" w:rsidRDefault="000A48A1" w:rsidP="000A48A1">
            <w:pPr>
              <w:spacing w:line="240" w:lineRule="auto"/>
              <w:ind w:firstLine="0"/>
              <w:jc w:val="left"/>
              <w:rPr>
                <w:rFonts w:ascii="Verdana" w:hAnsi="Verdana"/>
                <w:color w:val="434342"/>
                <w:sz w:val="18"/>
                <w:szCs w:val="18"/>
              </w:rPr>
            </w:pPr>
          </w:p>
        </w:tc>
        <w:tc>
          <w:tcPr>
            <w:tcW w:w="2916"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319E064D"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 xml:space="preserve">Passive voice </w:t>
            </w:r>
            <w:proofErr w:type="gramStart"/>
            <w:r w:rsidRPr="69CFA879">
              <w:rPr>
                <w:rFonts w:ascii="Verdana" w:hAnsi="Verdana"/>
                <w:color w:val="434342"/>
                <w:sz w:val="18"/>
                <w:szCs w:val="18"/>
              </w:rPr>
              <w:t>is used</w:t>
            </w:r>
            <w:proofErr w:type="gramEnd"/>
            <w:r w:rsidRPr="69CFA879">
              <w:rPr>
                <w:rFonts w:ascii="Verdana" w:hAnsi="Verdana"/>
                <w:color w:val="434342"/>
                <w:sz w:val="18"/>
                <w:szCs w:val="18"/>
              </w:rPr>
              <w:t xml:space="preserve"> throughout. Over half the sentences have extensive embedded information.</w:t>
            </w:r>
          </w:p>
        </w:tc>
        <w:tc>
          <w:tcPr>
            <w:tcW w:w="908"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370D6AA5"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0</w:t>
            </w:r>
          </w:p>
        </w:tc>
      </w:tr>
      <w:tr w:rsidR="000A48A1" w:rsidRPr="000A48A1" w14:paraId="2FECE7F1" w14:textId="77777777" w:rsidTr="005927E7">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33D28B4B" w14:textId="77777777" w:rsidR="000A48A1" w:rsidRPr="000A48A1" w:rsidRDefault="000A48A1" w:rsidP="000A48A1">
            <w:pPr>
              <w:spacing w:line="240" w:lineRule="auto"/>
              <w:ind w:firstLine="0"/>
              <w:jc w:val="left"/>
              <w:rPr>
                <w:rFonts w:ascii="Verdana" w:hAnsi="Verdana"/>
                <w:color w:val="434342"/>
                <w:sz w:val="18"/>
                <w:szCs w:val="18"/>
              </w:rPr>
            </w:pPr>
          </w:p>
        </w:tc>
        <w:tc>
          <w:tcPr>
            <w:tcW w:w="4339"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6EE15911"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c. Vocabulary</w:t>
            </w:r>
          </w:p>
          <w:p w14:paraId="531C5CAD"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It's best to:</w:t>
            </w:r>
          </w:p>
          <w:p w14:paraId="06AA4C9D" w14:textId="77777777" w:rsidR="000A48A1" w:rsidRPr="000A48A1" w:rsidRDefault="69CFA879" w:rsidP="69CFA879">
            <w:pPr>
              <w:numPr>
                <w:ilvl w:val="0"/>
                <w:numId w:val="5"/>
              </w:numPr>
              <w:spacing w:line="240" w:lineRule="auto"/>
              <w:ind w:left="300" w:right="300"/>
              <w:jc w:val="left"/>
              <w:textAlignment w:val="baseline"/>
              <w:rPr>
                <w:rFonts w:ascii="Verdana" w:hAnsi="Verdana"/>
                <w:color w:val="434342"/>
                <w:sz w:val="18"/>
                <w:szCs w:val="18"/>
              </w:rPr>
            </w:pPr>
            <w:proofErr w:type="gramStart"/>
            <w:r w:rsidRPr="69CFA879">
              <w:rPr>
                <w:rFonts w:ascii="Verdana" w:hAnsi="Verdana"/>
                <w:color w:val="434342"/>
                <w:sz w:val="18"/>
                <w:szCs w:val="18"/>
              </w:rPr>
              <w:t>use</w:t>
            </w:r>
            <w:proofErr w:type="gramEnd"/>
            <w:r w:rsidRPr="69CFA879">
              <w:rPr>
                <w:rFonts w:ascii="Verdana" w:hAnsi="Verdana"/>
                <w:color w:val="434342"/>
                <w:sz w:val="18"/>
                <w:szCs w:val="18"/>
              </w:rPr>
              <w:t xml:space="preserve"> common, explicit words, e.g. 'doctor' rather than 'specialist'/'physician'.</w:t>
            </w:r>
          </w:p>
          <w:p w14:paraId="241EF1F7" w14:textId="77777777" w:rsidR="000A48A1" w:rsidRPr="000A48A1" w:rsidRDefault="69CFA879" w:rsidP="69CFA879">
            <w:pPr>
              <w:numPr>
                <w:ilvl w:val="0"/>
                <w:numId w:val="5"/>
              </w:numPr>
              <w:spacing w:line="240" w:lineRule="auto"/>
              <w:ind w:left="300" w:right="300"/>
              <w:jc w:val="left"/>
              <w:textAlignment w:val="baseline"/>
              <w:rPr>
                <w:rFonts w:ascii="Verdana" w:hAnsi="Verdana"/>
                <w:color w:val="434342"/>
                <w:sz w:val="18"/>
                <w:szCs w:val="18"/>
              </w:rPr>
            </w:pPr>
            <w:r w:rsidRPr="69CFA879">
              <w:rPr>
                <w:rFonts w:ascii="Verdana" w:hAnsi="Verdana"/>
                <w:color w:val="434342"/>
                <w:sz w:val="18"/>
                <w:szCs w:val="18"/>
              </w:rPr>
              <w:t>avoid words that express general terms:</w:t>
            </w:r>
          </w:p>
          <w:p w14:paraId="4AD1AC20" w14:textId="77777777" w:rsidR="000A48A1" w:rsidRPr="000A48A1" w:rsidRDefault="69CFA879" w:rsidP="69CFA879">
            <w:pPr>
              <w:numPr>
                <w:ilvl w:val="1"/>
                <w:numId w:val="5"/>
              </w:numPr>
              <w:spacing w:line="240" w:lineRule="auto"/>
              <w:ind w:left="600" w:right="600"/>
              <w:jc w:val="left"/>
              <w:textAlignment w:val="baseline"/>
              <w:rPr>
                <w:rFonts w:ascii="Verdana" w:hAnsi="Verdana"/>
                <w:color w:val="434342"/>
                <w:sz w:val="18"/>
                <w:szCs w:val="18"/>
              </w:rPr>
            </w:pPr>
            <w:r w:rsidRPr="69CFA879">
              <w:rPr>
                <w:rFonts w:ascii="Verdana" w:hAnsi="Verdana"/>
                <w:color w:val="434342"/>
                <w:sz w:val="18"/>
                <w:szCs w:val="18"/>
              </w:rPr>
              <w:t>categories, e.g. 'a disability unit' versus 'a unit that's specially designed for people with disabilities'</w:t>
            </w:r>
          </w:p>
          <w:p w14:paraId="728C78B9" w14:textId="77777777" w:rsidR="000A48A1" w:rsidRPr="000A48A1" w:rsidRDefault="59C3CF1A" w:rsidP="59C3CF1A">
            <w:pPr>
              <w:numPr>
                <w:ilvl w:val="1"/>
                <w:numId w:val="5"/>
              </w:numPr>
              <w:spacing w:line="240" w:lineRule="auto"/>
              <w:ind w:left="600" w:right="600"/>
              <w:jc w:val="left"/>
              <w:textAlignment w:val="baseline"/>
              <w:rPr>
                <w:rFonts w:ascii="Verdana" w:hAnsi="Verdana"/>
                <w:color w:val="434342"/>
                <w:sz w:val="18"/>
                <w:szCs w:val="18"/>
              </w:rPr>
            </w:pPr>
            <w:r w:rsidRPr="59C3CF1A">
              <w:rPr>
                <w:rFonts w:ascii="Verdana" w:hAnsi="Verdana"/>
                <w:color w:val="434342"/>
                <w:sz w:val="18"/>
                <w:szCs w:val="18"/>
              </w:rPr>
              <w:t xml:space="preserve">concepts, e.g. 'normal range' versus '15–70 </w:t>
            </w:r>
            <w:proofErr w:type="spellStart"/>
            <w:r w:rsidRPr="59C3CF1A">
              <w:rPr>
                <w:rFonts w:ascii="Verdana" w:hAnsi="Verdana"/>
                <w:color w:val="434342"/>
                <w:sz w:val="18"/>
                <w:szCs w:val="18"/>
              </w:rPr>
              <w:t>metres'</w:t>
            </w:r>
            <w:proofErr w:type="spellEnd"/>
          </w:p>
          <w:p w14:paraId="518C3AD9" w14:textId="77777777" w:rsidR="000A48A1" w:rsidRPr="000A48A1" w:rsidRDefault="69CFA879" w:rsidP="69CFA879">
            <w:pPr>
              <w:numPr>
                <w:ilvl w:val="1"/>
                <w:numId w:val="5"/>
              </w:numPr>
              <w:spacing w:line="240" w:lineRule="auto"/>
              <w:ind w:left="600" w:right="600"/>
              <w:jc w:val="left"/>
              <w:textAlignment w:val="baseline"/>
              <w:rPr>
                <w:rFonts w:ascii="Verdana" w:hAnsi="Verdana"/>
                <w:color w:val="434342"/>
                <w:sz w:val="18"/>
                <w:szCs w:val="18"/>
              </w:rPr>
            </w:pPr>
            <w:r w:rsidRPr="69CFA879">
              <w:rPr>
                <w:rFonts w:ascii="Verdana" w:hAnsi="Verdana"/>
                <w:color w:val="434342"/>
                <w:sz w:val="18"/>
                <w:szCs w:val="18"/>
              </w:rPr>
              <w:t xml:space="preserve">value judgements, e.g. 'excessive pain' versus 'pain that </w:t>
            </w:r>
            <w:r w:rsidRPr="69CFA879">
              <w:rPr>
                <w:rFonts w:ascii="Verdana" w:hAnsi="Verdana"/>
                <w:color w:val="434342"/>
                <w:sz w:val="18"/>
                <w:szCs w:val="18"/>
              </w:rPr>
              <w:lastRenderedPageBreak/>
              <w:t>makes it hard to think about anything else'</w:t>
            </w:r>
          </w:p>
          <w:p w14:paraId="4DD2B654" w14:textId="77777777" w:rsidR="000A48A1" w:rsidRPr="000A48A1" w:rsidRDefault="59C3CF1A" w:rsidP="59C3CF1A">
            <w:pPr>
              <w:numPr>
                <w:ilvl w:val="0"/>
                <w:numId w:val="5"/>
              </w:numPr>
              <w:spacing w:line="240" w:lineRule="auto"/>
              <w:ind w:left="300" w:right="300"/>
              <w:jc w:val="left"/>
              <w:textAlignment w:val="baseline"/>
              <w:rPr>
                <w:rFonts w:ascii="Verdana" w:hAnsi="Verdana"/>
                <w:color w:val="434342"/>
                <w:sz w:val="18"/>
                <w:szCs w:val="18"/>
              </w:rPr>
            </w:pPr>
            <w:proofErr w:type="gramStart"/>
            <w:r w:rsidRPr="59C3CF1A">
              <w:rPr>
                <w:rFonts w:ascii="Verdana" w:hAnsi="Verdana"/>
                <w:color w:val="434342"/>
                <w:sz w:val="18"/>
                <w:szCs w:val="18"/>
              </w:rPr>
              <w:t>use</w:t>
            </w:r>
            <w:proofErr w:type="gramEnd"/>
            <w:r w:rsidRPr="59C3CF1A">
              <w:rPr>
                <w:rFonts w:ascii="Verdana" w:hAnsi="Verdana"/>
                <w:color w:val="434342"/>
                <w:sz w:val="18"/>
                <w:szCs w:val="18"/>
              </w:rPr>
              <w:t xml:space="preserve"> words that create an image, e.g. 'brown bread' versus 'dietary </w:t>
            </w:r>
            <w:proofErr w:type="spellStart"/>
            <w:r w:rsidRPr="59C3CF1A">
              <w:rPr>
                <w:rFonts w:ascii="Verdana" w:hAnsi="Verdana"/>
                <w:color w:val="434342"/>
                <w:sz w:val="18"/>
                <w:szCs w:val="18"/>
              </w:rPr>
              <w:t>fibre</w:t>
            </w:r>
            <w:proofErr w:type="spellEnd"/>
            <w:r w:rsidRPr="59C3CF1A">
              <w:rPr>
                <w:rFonts w:ascii="Verdana" w:hAnsi="Verdana"/>
                <w:color w:val="434342"/>
                <w:sz w:val="18"/>
                <w:szCs w:val="18"/>
              </w:rPr>
              <w:t>'; a 'runny nose' versus 'excess mucus'.</w:t>
            </w:r>
          </w:p>
        </w:tc>
        <w:tc>
          <w:tcPr>
            <w:tcW w:w="2916"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737AE35D"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lastRenderedPageBreak/>
              <w:t>All three of the following are present:</w:t>
            </w:r>
          </w:p>
          <w:p w14:paraId="68DC3DA8" w14:textId="77777777" w:rsidR="000A48A1" w:rsidRPr="000A48A1" w:rsidRDefault="69CFA879" w:rsidP="69CFA879">
            <w:pPr>
              <w:numPr>
                <w:ilvl w:val="0"/>
                <w:numId w:val="6"/>
              </w:numPr>
              <w:spacing w:line="240" w:lineRule="auto"/>
              <w:ind w:left="300" w:right="300"/>
              <w:jc w:val="left"/>
              <w:textAlignment w:val="baseline"/>
              <w:rPr>
                <w:rFonts w:ascii="Verdana" w:hAnsi="Verdana"/>
                <w:color w:val="434342"/>
                <w:sz w:val="18"/>
                <w:szCs w:val="18"/>
              </w:rPr>
            </w:pPr>
            <w:r w:rsidRPr="69CFA879">
              <w:rPr>
                <w:rFonts w:ascii="Verdana" w:hAnsi="Verdana"/>
                <w:color w:val="434342"/>
                <w:sz w:val="18"/>
                <w:szCs w:val="18"/>
              </w:rPr>
              <w:t>common words are used nearly all the time</w:t>
            </w:r>
          </w:p>
          <w:p w14:paraId="7E8675AF" w14:textId="77777777" w:rsidR="000A48A1" w:rsidRPr="000A48A1" w:rsidRDefault="69CFA879" w:rsidP="69CFA879">
            <w:pPr>
              <w:numPr>
                <w:ilvl w:val="0"/>
                <w:numId w:val="6"/>
              </w:numPr>
              <w:spacing w:line="240" w:lineRule="auto"/>
              <w:ind w:left="300" w:right="300"/>
              <w:jc w:val="left"/>
              <w:textAlignment w:val="baseline"/>
              <w:rPr>
                <w:rFonts w:ascii="Verdana" w:hAnsi="Verdana"/>
                <w:color w:val="434342"/>
                <w:sz w:val="18"/>
                <w:szCs w:val="18"/>
              </w:rPr>
            </w:pPr>
            <w:r w:rsidRPr="69CFA879">
              <w:rPr>
                <w:rFonts w:ascii="Verdana" w:hAnsi="Verdana"/>
                <w:color w:val="434342"/>
                <w:sz w:val="18"/>
                <w:szCs w:val="18"/>
              </w:rPr>
              <w:t>technical, concept, category and value judgement words are explained by examples</w:t>
            </w:r>
          </w:p>
          <w:p w14:paraId="001D7227" w14:textId="77777777" w:rsidR="000A48A1" w:rsidRPr="000A48A1" w:rsidRDefault="69CFA879" w:rsidP="69CFA879">
            <w:pPr>
              <w:numPr>
                <w:ilvl w:val="0"/>
                <w:numId w:val="6"/>
              </w:numPr>
              <w:spacing w:line="240" w:lineRule="auto"/>
              <w:ind w:left="300" w:right="300"/>
              <w:jc w:val="left"/>
              <w:textAlignment w:val="baseline"/>
              <w:rPr>
                <w:rFonts w:ascii="Verdana" w:hAnsi="Verdana"/>
                <w:color w:val="434342"/>
                <w:sz w:val="18"/>
                <w:szCs w:val="18"/>
              </w:rPr>
            </w:pPr>
            <w:proofErr w:type="gramStart"/>
            <w:r w:rsidRPr="69CFA879">
              <w:rPr>
                <w:rFonts w:ascii="Verdana" w:hAnsi="Verdana"/>
                <w:color w:val="434342"/>
                <w:sz w:val="18"/>
                <w:szCs w:val="18"/>
              </w:rPr>
              <w:t>imagery</w:t>
            </w:r>
            <w:proofErr w:type="gramEnd"/>
            <w:r w:rsidRPr="69CFA879">
              <w:rPr>
                <w:rFonts w:ascii="Verdana" w:hAnsi="Verdana"/>
                <w:color w:val="434342"/>
                <w:sz w:val="18"/>
                <w:szCs w:val="18"/>
              </w:rPr>
              <w:t xml:space="preserve"> words are used as appropriate for content.</w:t>
            </w:r>
          </w:p>
        </w:tc>
        <w:tc>
          <w:tcPr>
            <w:tcW w:w="908"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38328F9"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2</w:t>
            </w:r>
          </w:p>
        </w:tc>
      </w:tr>
      <w:tr w:rsidR="000A48A1" w:rsidRPr="000A48A1" w14:paraId="171F38DA" w14:textId="77777777" w:rsidTr="005927E7">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37EFA3E3"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41C6AC2A" w14:textId="77777777" w:rsidR="000A48A1" w:rsidRPr="000A48A1" w:rsidRDefault="000A48A1" w:rsidP="000A48A1">
            <w:pPr>
              <w:spacing w:line="240" w:lineRule="auto"/>
              <w:ind w:firstLine="0"/>
              <w:jc w:val="left"/>
              <w:rPr>
                <w:rFonts w:ascii="Verdana" w:hAnsi="Verdana"/>
                <w:color w:val="434342"/>
                <w:sz w:val="18"/>
                <w:szCs w:val="18"/>
              </w:rPr>
            </w:pPr>
          </w:p>
        </w:tc>
        <w:tc>
          <w:tcPr>
            <w:tcW w:w="2916"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909397B"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 xml:space="preserve">Common words are frequently used. Technical concept, category and value judgement words </w:t>
            </w:r>
            <w:proofErr w:type="gramStart"/>
            <w:r w:rsidRPr="69CFA879">
              <w:rPr>
                <w:rFonts w:ascii="Verdana" w:hAnsi="Verdana"/>
                <w:color w:val="434342"/>
                <w:sz w:val="18"/>
                <w:szCs w:val="18"/>
              </w:rPr>
              <w:t>are sometimes explained</w:t>
            </w:r>
            <w:proofErr w:type="gramEnd"/>
            <w:r w:rsidRPr="69CFA879">
              <w:rPr>
                <w:rFonts w:ascii="Verdana" w:hAnsi="Verdana"/>
                <w:color w:val="434342"/>
                <w:sz w:val="18"/>
                <w:szCs w:val="18"/>
              </w:rPr>
              <w:t xml:space="preserve"> by </w:t>
            </w:r>
            <w:r w:rsidRPr="69CFA879">
              <w:rPr>
                <w:rFonts w:ascii="Verdana" w:hAnsi="Verdana"/>
                <w:color w:val="434342"/>
                <w:sz w:val="18"/>
                <w:szCs w:val="18"/>
              </w:rPr>
              <w:lastRenderedPageBreak/>
              <w:t>examples. Some jargon or math symbols are included.</w:t>
            </w:r>
          </w:p>
        </w:tc>
        <w:tc>
          <w:tcPr>
            <w:tcW w:w="908"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0C50080F"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lastRenderedPageBreak/>
              <w:t>1</w:t>
            </w:r>
          </w:p>
        </w:tc>
      </w:tr>
      <w:tr w:rsidR="000A48A1" w:rsidRPr="000A48A1" w14:paraId="3BAAFFDA" w14:textId="77777777" w:rsidTr="005927E7">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2DC44586"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4FFCBC07" w14:textId="77777777" w:rsidR="000A48A1" w:rsidRPr="000A48A1" w:rsidRDefault="000A48A1" w:rsidP="000A48A1">
            <w:pPr>
              <w:spacing w:line="240" w:lineRule="auto"/>
              <w:ind w:firstLine="0"/>
              <w:jc w:val="left"/>
              <w:rPr>
                <w:rFonts w:ascii="Verdana" w:hAnsi="Verdana"/>
                <w:color w:val="434342"/>
                <w:sz w:val="18"/>
                <w:szCs w:val="18"/>
              </w:rPr>
            </w:pPr>
          </w:p>
        </w:tc>
        <w:tc>
          <w:tcPr>
            <w:tcW w:w="2916"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1A6BBED"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At least two of the following are present:</w:t>
            </w:r>
          </w:p>
          <w:p w14:paraId="6DDA9B27" w14:textId="77777777" w:rsidR="000A48A1" w:rsidRPr="000A48A1" w:rsidRDefault="69CFA879" w:rsidP="69CFA879">
            <w:pPr>
              <w:numPr>
                <w:ilvl w:val="0"/>
                <w:numId w:val="7"/>
              </w:numPr>
              <w:spacing w:line="240" w:lineRule="auto"/>
              <w:ind w:left="300" w:right="300"/>
              <w:jc w:val="left"/>
              <w:textAlignment w:val="baseline"/>
              <w:rPr>
                <w:rFonts w:ascii="Verdana" w:hAnsi="Verdana"/>
                <w:color w:val="434342"/>
                <w:sz w:val="18"/>
                <w:szCs w:val="18"/>
              </w:rPr>
            </w:pPr>
            <w:r w:rsidRPr="69CFA879">
              <w:rPr>
                <w:rFonts w:ascii="Verdana" w:hAnsi="Verdana"/>
                <w:color w:val="434342"/>
                <w:sz w:val="18"/>
                <w:szCs w:val="18"/>
              </w:rPr>
              <w:t>uncommon words are frequently used in lieu of common words</w:t>
            </w:r>
          </w:p>
          <w:p w14:paraId="15980C88" w14:textId="77777777" w:rsidR="000A48A1" w:rsidRPr="000A48A1" w:rsidRDefault="69CFA879" w:rsidP="69CFA879">
            <w:pPr>
              <w:numPr>
                <w:ilvl w:val="0"/>
                <w:numId w:val="7"/>
              </w:numPr>
              <w:spacing w:line="240" w:lineRule="auto"/>
              <w:ind w:left="300" w:right="300"/>
              <w:jc w:val="left"/>
              <w:textAlignment w:val="baseline"/>
              <w:rPr>
                <w:rFonts w:ascii="Verdana" w:hAnsi="Verdana"/>
                <w:color w:val="434342"/>
                <w:sz w:val="18"/>
                <w:szCs w:val="18"/>
              </w:rPr>
            </w:pPr>
            <w:r w:rsidRPr="69CFA879">
              <w:rPr>
                <w:rFonts w:ascii="Verdana" w:hAnsi="Verdana"/>
                <w:color w:val="434342"/>
                <w:sz w:val="18"/>
                <w:szCs w:val="18"/>
              </w:rPr>
              <w:t>no examples are given for technical, concept, category and value judgement words</w:t>
            </w:r>
          </w:p>
          <w:p w14:paraId="544FFE68" w14:textId="77777777" w:rsidR="000A48A1" w:rsidRPr="000A48A1" w:rsidRDefault="69CFA879" w:rsidP="69CFA879">
            <w:pPr>
              <w:numPr>
                <w:ilvl w:val="0"/>
                <w:numId w:val="7"/>
              </w:numPr>
              <w:spacing w:line="240" w:lineRule="auto"/>
              <w:ind w:left="300" w:right="300"/>
              <w:jc w:val="left"/>
              <w:textAlignment w:val="baseline"/>
              <w:rPr>
                <w:rFonts w:ascii="Verdana" w:hAnsi="Verdana"/>
                <w:color w:val="434342"/>
                <w:sz w:val="18"/>
                <w:szCs w:val="18"/>
              </w:rPr>
            </w:pPr>
            <w:proofErr w:type="gramStart"/>
            <w:r w:rsidRPr="69CFA879">
              <w:rPr>
                <w:rFonts w:ascii="Verdana" w:hAnsi="Verdana"/>
                <w:color w:val="434342"/>
                <w:sz w:val="18"/>
                <w:szCs w:val="18"/>
              </w:rPr>
              <w:t>extensive</w:t>
            </w:r>
            <w:proofErr w:type="gramEnd"/>
            <w:r w:rsidRPr="69CFA879">
              <w:rPr>
                <w:rFonts w:ascii="Verdana" w:hAnsi="Verdana"/>
                <w:color w:val="434342"/>
                <w:sz w:val="18"/>
                <w:szCs w:val="18"/>
              </w:rPr>
              <w:t xml:space="preserve"> jargon is used.</w:t>
            </w:r>
          </w:p>
        </w:tc>
        <w:tc>
          <w:tcPr>
            <w:tcW w:w="908"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05F7728E"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0</w:t>
            </w:r>
          </w:p>
        </w:tc>
      </w:tr>
      <w:tr w:rsidR="000A48A1" w:rsidRPr="000A48A1" w14:paraId="21A159E7" w14:textId="77777777" w:rsidTr="005927E7">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1728B4D0" w14:textId="77777777" w:rsidR="000A48A1" w:rsidRPr="000A48A1" w:rsidRDefault="000A48A1" w:rsidP="000A48A1">
            <w:pPr>
              <w:spacing w:line="240" w:lineRule="auto"/>
              <w:ind w:firstLine="0"/>
              <w:jc w:val="left"/>
              <w:rPr>
                <w:rFonts w:ascii="Verdana" w:hAnsi="Verdana"/>
                <w:color w:val="434342"/>
                <w:sz w:val="18"/>
                <w:szCs w:val="18"/>
              </w:rPr>
            </w:pPr>
          </w:p>
        </w:tc>
        <w:tc>
          <w:tcPr>
            <w:tcW w:w="4339"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617CB087"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d. Context</w:t>
            </w:r>
          </w:p>
          <w:p w14:paraId="24051AD4"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We learn new facts/</w:t>
            </w:r>
            <w:proofErr w:type="spellStart"/>
            <w:r w:rsidRPr="59C3CF1A">
              <w:rPr>
                <w:rFonts w:ascii="Verdana" w:hAnsi="Verdana"/>
                <w:color w:val="434342"/>
                <w:sz w:val="18"/>
                <w:szCs w:val="18"/>
              </w:rPr>
              <w:t>behaviours</w:t>
            </w:r>
            <w:proofErr w:type="spellEnd"/>
            <w:r w:rsidRPr="59C3CF1A">
              <w:rPr>
                <w:rFonts w:ascii="Verdana" w:hAnsi="Verdana"/>
                <w:color w:val="434342"/>
                <w:sz w:val="18"/>
                <w:szCs w:val="18"/>
              </w:rPr>
              <w:t xml:space="preserve"> more quickly</w:t>
            </w:r>
            <w:r w:rsidR="000A48A1">
              <w:br/>
            </w:r>
            <w:r w:rsidRPr="59C3CF1A">
              <w:rPr>
                <w:rFonts w:ascii="Verdana" w:hAnsi="Verdana"/>
                <w:color w:val="434342"/>
                <w:sz w:val="18"/>
                <w:szCs w:val="18"/>
              </w:rPr>
              <w:t>when told the context first. E.g. 'To find</w:t>
            </w:r>
            <w:r w:rsidR="000A48A1">
              <w:br/>
            </w:r>
            <w:r w:rsidRPr="59C3CF1A">
              <w:rPr>
                <w:rFonts w:ascii="Verdana" w:hAnsi="Verdana"/>
                <w:color w:val="434342"/>
                <w:sz w:val="18"/>
                <w:szCs w:val="18"/>
              </w:rPr>
              <w:t xml:space="preserve">out </w:t>
            </w:r>
            <w:proofErr w:type="gramStart"/>
            <w:r w:rsidRPr="59C3CF1A">
              <w:rPr>
                <w:rFonts w:ascii="Verdana" w:hAnsi="Verdana"/>
                <w:color w:val="434342"/>
                <w:sz w:val="18"/>
                <w:szCs w:val="18"/>
              </w:rPr>
              <w:t>what's</w:t>
            </w:r>
            <w:proofErr w:type="gramEnd"/>
            <w:r w:rsidRPr="59C3CF1A">
              <w:rPr>
                <w:rFonts w:ascii="Verdana" w:hAnsi="Verdana"/>
                <w:color w:val="434342"/>
                <w:sz w:val="18"/>
                <w:szCs w:val="18"/>
              </w:rPr>
              <w:t xml:space="preserve"> wrong with you (the context first), </w:t>
            </w:r>
            <w:r w:rsidR="000A48A1">
              <w:br/>
            </w:r>
            <w:r w:rsidRPr="59C3CF1A">
              <w:rPr>
                <w:rFonts w:ascii="Verdana" w:hAnsi="Verdana"/>
                <w:color w:val="434342"/>
                <w:sz w:val="18"/>
                <w:szCs w:val="18"/>
              </w:rPr>
              <w:t>the doctor will take a sample of your blood </w:t>
            </w:r>
            <w:r w:rsidR="000A48A1">
              <w:br/>
            </w:r>
            <w:r w:rsidRPr="59C3CF1A">
              <w:rPr>
                <w:rFonts w:ascii="Verdana" w:hAnsi="Verdana"/>
                <w:color w:val="434342"/>
                <w:sz w:val="18"/>
                <w:szCs w:val="18"/>
              </w:rPr>
              <w:t>for testing in the lab.'</w:t>
            </w:r>
          </w:p>
        </w:tc>
        <w:tc>
          <w:tcPr>
            <w:tcW w:w="2916"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2A9DBA47"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The material consistently provides context before presenting new information.</w:t>
            </w:r>
          </w:p>
        </w:tc>
        <w:tc>
          <w:tcPr>
            <w:tcW w:w="908"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54B6C890"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2</w:t>
            </w:r>
          </w:p>
        </w:tc>
      </w:tr>
      <w:tr w:rsidR="000A48A1" w:rsidRPr="000A48A1" w14:paraId="6080BD17" w14:textId="77777777" w:rsidTr="005927E7">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34959D4B"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7BD58BA2" w14:textId="77777777" w:rsidR="000A48A1" w:rsidRPr="000A48A1" w:rsidRDefault="000A48A1" w:rsidP="000A48A1">
            <w:pPr>
              <w:spacing w:line="240" w:lineRule="auto"/>
              <w:ind w:firstLine="0"/>
              <w:jc w:val="left"/>
              <w:rPr>
                <w:rFonts w:ascii="Verdana" w:hAnsi="Verdana"/>
                <w:color w:val="434342"/>
                <w:sz w:val="18"/>
                <w:szCs w:val="18"/>
              </w:rPr>
            </w:pPr>
          </w:p>
        </w:tc>
        <w:tc>
          <w:tcPr>
            <w:tcW w:w="2916"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7F37A236"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Provides context before new information about 50 per cent of the time.</w:t>
            </w:r>
          </w:p>
        </w:tc>
        <w:tc>
          <w:tcPr>
            <w:tcW w:w="908"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050B3AD0"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1</w:t>
            </w:r>
          </w:p>
        </w:tc>
      </w:tr>
      <w:tr w:rsidR="000A48A1" w:rsidRPr="000A48A1" w14:paraId="07A800D0" w14:textId="77777777" w:rsidTr="005927E7">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4357A966"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44690661" w14:textId="77777777" w:rsidR="000A48A1" w:rsidRPr="000A48A1" w:rsidRDefault="000A48A1" w:rsidP="000A48A1">
            <w:pPr>
              <w:spacing w:line="240" w:lineRule="auto"/>
              <w:ind w:firstLine="0"/>
              <w:jc w:val="left"/>
              <w:rPr>
                <w:rFonts w:ascii="Verdana" w:hAnsi="Verdana"/>
                <w:color w:val="434342"/>
                <w:sz w:val="18"/>
                <w:szCs w:val="18"/>
              </w:rPr>
            </w:pPr>
          </w:p>
        </w:tc>
        <w:tc>
          <w:tcPr>
            <w:tcW w:w="2916"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3D99449A"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 xml:space="preserve">Context </w:t>
            </w:r>
            <w:proofErr w:type="gramStart"/>
            <w:r w:rsidRPr="69CFA879">
              <w:rPr>
                <w:rFonts w:ascii="Verdana" w:hAnsi="Verdana"/>
                <w:color w:val="434342"/>
                <w:sz w:val="18"/>
                <w:szCs w:val="18"/>
              </w:rPr>
              <w:t>is provided</w:t>
            </w:r>
            <w:proofErr w:type="gramEnd"/>
            <w:r w:rsidRPr="69CFA879">
              <w:rPr>
                <w:rFonts w:ascii="Verdana" w:hAnsi="Verdana"/>
                <w:color w:val="434342"/>
                <w:sz w:val="18"/>
                <w:szCs w:val="18"/>
              </w:rPr>
              <w:t xml:space="preserve"> last or no content is provided.</w:t>
            </w:r>
          </w:p>
        </w:tc>
        <w:tc>
          <w:tcPr>
            <w:tcW w:w="908"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3D22F59A"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0</w:t>
            </w:r>
          </w:p>
        </w:tc>
      </w:tr>
    </w:tbl>
    <w:p w14:paraId="74539910" w14:textId="77777777" w:rsidR="000A48A1" w:rsidRPr="000A48A1" w:rsidRDefault="000A48A1" w:rsidP="000A48A1">
      <w:pPr>
        <w:spacing w:line="240" w:lineRule="auto"/>
        <w:ind w:firstLine="0"/>
        <w:jc w:val="left"/>
        <w:rPr>
          <w:vanish/>
        </w:rPr>
      </w:pPr>
    </w:p>
    <w:tbl>
      <w:tblPr>
        <w:tblW w:w="9892" w:type="dxa"/>
        <w:shd w:val="clear" w:color="auto" w:fill="FBFAF7"/>
        <w:tblCellMar>
          <w:left w:w="0" w:type="dxa"/>
          <w:right w:w="0" w:type="dxa"/>
        </w:tblCellMar>
        <w:tblLook w:val="04A0" w:firstRow="1" w:lastRow="0" w:firstColumn="1" w:lastColumn="0" w:noHBand="0" w:noVBand="1"/>
      </w:tblPr>
      <w:tblGrid>
        <w:gridCol w:w="1716"/>
        <w:gridCol w:w="4171"/>
        <w:gridCol w:w="3107"/>
        <w:gridCol w:w="898"/>
      </w:tblGrid>
      <w:tr w:rsidR="000A48A1" w:rsidRPr="000A48A1" w14:paraId="56A2CA39" w14:textId="77777777" w:rsidTr="00C440EE">
        <w:trPr>
          <w:trHeight w:val="300"/>
        </w:trPr>
        <w:tc>
          <w:tcPr>
            <w:tcW w:w="1782"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6E7BEAA2" w14:textId="77777777" w:rsidR="000A48A1" w:rsidRPr="000A48A1" w:rsidRDefault="59C3CF1A" w:rsidP="59C3CF1A">
            <w:pPr>
              <w:spacing w:line="240" w:lineRule="auto"/>
              <w:ind w:firstLine="0"/>
              <w:jc w:val="left"/>
              <w:rPr>
                <w:rFonts w:ascii="Verdana" w:hAnsi="Verdana"/>
                <w:color w:val="434342"/>
                <w:sz w:val="18"/>
                <w:szCs w:val="18"/>
              </w:rPr>
            </w:pPr>
            <w:r w:rsidRPr="59C3CF1A">
              <w:rPr>
                <w:rFonts w:ascii="Verdana" w:hAnsi="Verdana"/>
                <w:color w:val="434342"/>
                <w:sz w:val="18"/>
                <w:szCs w:val="18"/>
              </w:rPr>
              <w:t> </w:t>
            </w:r>
          </w:p>
        </w:tc>
        <w:tc>
          <w:tcPr>
            <w:tcW w:w="4330"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725CCB13"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 xml:space="preserve">e. Advanced </w:t>
            </w:r>
            <w:proofErr w:type="spellStart"/>
            <w:r w:rsidRPr="59C3CF1A">
              <w:rPr>
                <w:rFonts w:ascii="Verdana" w:hAnsi="Verdana"/>
                <w:color w:val="434342"/>
                <w:sz w:val="18"/>
                <w:szCs w:val="18"/>
              </w:rPr>
              <w:t>organisers</w:t>
            </w:r>
            <w:proofErr w:type="spellEnd"/>
            <w:r w:rsidRPr="59C3CF1A">
              <w:rPr>
                <w:rFonts w:ascii="Verdana" w:hAnsi="Verdana"/>
                <w:color w:val="434342"/>
                <w:sz w:val="18"/>
                <w:szCs w:val="18"/>
              </w:rPr>
              <w:t>                            </w:t>
            </w:r>
          </w:p>
          <w:p w14:paraId="48CC7019"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 xml:space="preserve">Headers or topic captions tell very </w:t>
            </w:r>
            <w:proofErr w:type="gramStart"/>
            <w:r w:rsidRPr="69CFA879">
              <w:rPr>
                <w:rFonts w:ascii="Verdana" w:hAnsi="Verdana"/>
                <w:color w:val="434342"/>
                <w:sz w:val="18"/>
                <w:szCs w:val="18"/>
              </w:rPr>
              <w:t>briefly</w:t>
            </w:r>
            <w:proofErr w:type="gramEnd"/>
            <w:r w:rsidRPr="69CFA879">
              <w:rPr>
                <w:rFonts w:ascii="Verdana" w:hAnsi="Verdana"/>
                <w:color w:val="434342"/>
                <w:sz w:val="18"/>
                <w:szCs w:val="18"/>
              </w:rPr>
              <w:t xml:space="preserve"> what's coming up next. These 'road signs' make the text look less formidable, and prepare the reader's thought process to expect the next topic.</w:t>
            </w:r>
          </w:p>
        </w:tc>
        <w:tc>
          <w:tcPr>
            <w:tcW w:w="322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7864528D"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proofErr w:type="gramStart"/>
            <w:r w:rsidRPr="59C3CF1A">
              <w:rPr>
                <w:rFonts w:ascii="Verdana" w:hAnsi="Verdana"/>
                <w:color w:val="434342"/>
                <w:sz w:val="18"/>
                <w:szCs w:val="18"/>
              </w:rPr>
              <w:t xml:space="preserve">Nearly all topics are preceded by an advance </w:t>
            </w:r>
            <w:proofErr w:type="spellStart"/>
            <w:r w:rsidRPr="59C3CF1A">
              <w:rPr>
                <w:rFonts w:ascii="Verdana" w:hAnsi="Verdana"/>
                <w:color w:val="434342"/>
                <w:sz w:val="18"/>
                <w:szCs w:val="18"/>
              </w:rPr>
              <w:t>organiser</w:t>
            </w:r>
            <w:proofErr w:type="spellEnd"/>
            <w:r w:rsidRPr="59C3CF1A">
              <w:rPr>
                <w:rFonts w:ascii="Verdana" w:hAnsi="Verdana"/>
                <w:color w:val="434342"/>
                <w:sz w:val="18"/>
                <w:szCs w:val="18"/>
              </w:rPr>
              <w:t xml:space="preserve"> (a statement that tells what is coming next)</w:t>
            </w:r>
            <w:proofErr w:type="gramEnd"/>
            <w:r w:rsidRPr="59C3CF1A">
              <w:rPr>
                <w:rFonts w:ascii="Verdana" w:hAnsi="Verdana"/>
                <w:color w:val="434342"/>
                <w:sz w:val="18"/>
                <w:szCs w:val="18"/>
              </w:rPr>
              <w:t>.</w:t>
            </w:r>
          </w:p>
        </w:tc>
        <w:tc>
          <w:tcPr>
            <w:tcW w:w="55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208C6388"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2          </w:t>
            </w:r>
          </w:p>
        </w:tc>
      </w:tr>
      <w:tr w:rsidR="000A48A1" w:rsidRPr="000A48A1" w14:paraId="044F056E"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5A7E0CF2"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60FA6563" w14:textId="77777777" w:rsidR="000A48A1" w:rsidRPr="000A48A1" w:rsidRDefault="000A48A1" w:rsidP="000A48A1">
            <w:pPr>
              <w:spacing w:line="240" w:lineRule="auto"/>
              <w:ind w:firstLine="0"/>
              <w:jc w:val="left"/>
              <w:rPr>
                <w:rFonts w:ascii="Verdana" w:hAnsi="Verdana"/>
                <w:color w:val="434342"/>
                <w:sz w:val="18"/>
                <w:szCs w:val="18"/>
              </w:rPr>
            </w:pPr>
          </w:p>
        </w:tc>
        <w:tc>
          <w:tcPr>
            <w:tcW w:w="322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7892A70B"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proofErr w:type="gramStart"/>
            <w:r w:rsidRPr="59C3CF1A">
              <w:rPr>
                <w:rFonts w:ascii="Verdana" w:hAnsi="Verdana"/>
                <w:color w:val="434342"/>
                <w:sz w:val="18"/>
                <w:szCs w:val="18"/>
              </w:rPr>
              <w:t xml:space="preserve">About 50 per cent of the topics are preceded by advance </w:t>
            </w:r>
            <w:proofErr w:type="spellStart"/>
            <w:r w:rsidRPr="59C3CF1A">
              <w:rPr>
                <w:rFonts w:ascii="Verdana" w:hAnsi="Verdana"/>
                <w:color w:val="434342"/>
                <w:sz w:val="18"/>
                <w:szCs w:val="18"/>
              </w:rPr>
              <w:t>organisers</w:t>
            </w:r>
            <w:proofErr w:type="spellEnd"/>
            <w:proofErr w:type="gramEnd"/>
            <w:r w:rsidRPr="59C3CF1A">
              <w:rPr>
                <w:rFonts w:ascii="Verdana" w:hAnsi="Verdana"/>
                <w:color w:val="434342"/>
                <w:sz w:val="18"/>
                <w:szCs w:val="18"/>
              </w:rPr>
              <w:t>.</w:t>
            </w:r>
          </w:p>
        </w:tc>
        <w:tc>
          <w:tcPr>
            <w:tcW w:w="55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6B965A47"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1</w:t>
            </w:r>
          </w:p>
        </w:tc>
      </w:tr>
      <w:tr w:rsidR="000A48A1" w:rsidRPr="000A48A1" w14:paraId="22066C18"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1AC5CDBE"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342D4C27" w14:textId="77777777" w:rsidR="000A48A1" w:rsidRPr="000A48A1" w:rsidRDefault="000A48A1" w:rsidP="000A48A1">
            <w:pPr>
              <w:spacing w:line="240" w:lineRule="auto"/>
              <w:ind w:firstLine="0"/>
              <w:jc w:val="left"/>
              <w:rPr>
                <w:rFonts w:ascii="Verdana" w:hAnsi="Verdana"/>
                <w:color w:val="434342"/>
                <w:sz w:val="18"/>
                <w:szCs w:val="18"/>
              </w:rPr>
            </w:pPr>
          </w:p>
        </w:tc>
        <w:tc>
          <w:tcPr>
            <w:tcW w:w="322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61BDD28C"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proofErr w:type="gramStart"/>
            <w:r w:rsidRPr="59C3CF1A">
              <w:rPr>
                <w:rFonts w:ascii="Verdana" w:hAnsi="Verdana"/>
                <w:color w:val="434342"/>
                <w:sz w:val="18"/>
                <w:szCs w:val="18"/>
              </w:rPr>
              <w:t>Few/no</w:t>
            </w:r>
            <w:proofErr w:type="gramEnd"/>
            <w:r w:rsidRPr="59C3CF1A">
              <w:rPr>
                <w:rFonts w:ascii="Verdana" w:hAnsi="Verdana"/>
                <w:color w:val="434342"/>
                <w:sz w:val="18"/>
                <w:szCs w:val="18"/>
              </w:rPr>
              <w:t xml:space="preserve"> advance </w:t>
            </w:r>
            <w:proofErr w:type="spellStart"/>
            <w:r w:rsidRPr="59C3CF1A">
              <w:rPr>
                <w:rFonts w:ascii="Verdana" w:hAnsi="Verdana"/>
                <w:color w:val="434342"/>
                <w:sz w:val="18"/>
                <w:szCs w:val="18"/>
              </w:rPr>
              <w:t>organisers</w:t>
            </w:r>
            <w:proofErr w:type="spellEnd"/>
            <w:r w:rsidRPr="59C3CF1A">
              <w:rPr>
                <w:rFonts w:ascii="Verdana" w:hAnsi="Verdana"/>
                <w:color w:val="434342"/>
                <w:sz w:val="18"/>
                <w:szCs w:val="18"/>
              </w:rPr>
              <w:t xml:space="preserve"> are used.</w:t>
            </w:r>
          </w:p>
        </w:tc>
        <w:tc>
          <w:tcPr>
            <w:tcW w:w="55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56C62623"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0</w:t>
            </w:r>
          </w:p>
        </w:tc>
      </w:tr>
      <w:tr w:rsidR="000A48A1" w:rsidRPr="000A48A1" w14:paraId="6F3C7358" w14:textId="77777777" w:rsidTr="00C440EE">
        <w:trPr>
          <w:trHeight w:val="300"/>
        </w:trPr>
        <w:tc>
          <w:tcPr>
            <w:tcW w:w="1782"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20133A85"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3. Graphics</w:t>
            </w:r>
          </w:p>
        </w:tc>
        <w:tc>
          <w:tcPr>
            <w:tcW w:w="4330"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62813F87"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a. Cover graphic</w:t>
            </w:r>
          </w:p>
          <w:p w14:paraId="53061700"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People do judge a booklet by its cover. The cover image is often the deciding factor in a reader's attitude toward, and interest in, the information.</w:t>
            </w:r>
          </w:p>
        </w:tc>
        <w:tc>
          <w:tcPr>
            <w:tcW w:w="322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A8FAEDB"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All three of the following are present:</w:t>
            </w:r>
          </w:p>
          <w:p w14:paraId="31775C8E" w14:textId="77777777" w:rsidR="000A48A1" w:rsidRPr="000A48A1" w:rsidRDefault="69CFA879" w:rsidP="69CFA879">
            <w:pPr>
              <w:numPr>
                <w:ilvl w:val="0"/>
                <w:numId w:val="8"/>
              </w:numPr>
              <w:spacing w:line="240" w:lineRule="auto"/>
              <w:ind w:left="150" w:right="150"/>
              <w:jc w:val="left"/>
              <w:textAlignment w:val="baseline"/>
              <w:rPr>
                <w:rFonts w:ascii="Verdana" w:hAnsi="Verdana"/>
                <w:color w:val="434342"/>
                <w:sz w:val="18"/>
                <w:szCs w:val="18"/>
              </w:rPr>
            </w:pPr>
            <w:r w:rsidRPr="69CFA879">
              <w:rPr>
                <w:rFonts w:ascii="Verdana" w:hAnsi="Verdana"/>
                <w:color w:val="434342"/>
                <w:sz w:val="18"/>
                <w:szCs w:val="18"/>
              </w:rPr>
              <w:t>The cover graphic is friendly</w:t>
            </w:r>
          </w:p>
          <w:p w14:paraId="7AE01BD7" w14:textId="77777777" w:rsidR="000A48A1" w:rsidRPr="000A48A1" w:rsidRDefault="69CFA879" w:rsidP="69CFA879">
            <w:pPr>
              <w:numPr>
                <w:ilvl w:val="0"/>
                <w:numId w:val="8"/>
              </w:numPr>
              <w:spacing w:line="240" w:lineRule="auto"/>
              <w:ind w:left="150" w:right="150"/>
              <w:jc w:val="left"/>
              <w:textAlignment w:val="baseline"/>
              <w:rPr>
                <w:rFonts w:ascii="Verdana" w:hAnsi="Verdana"/>
                <w:color w:val="434342"/>
                <w:sz w:val="18"/>
                <w:szCs w:val="18"/>
              </w:rPr>
            </w:pPr>
            <w:r w:rsidRPr="69CFA879">
              <w:rPr>
                <w:rFonts w:ascii="Verdana" w:hAnsi="Verdana"/>
                <w:color w:val="434342"/>
                <w:sz w:val="18"/>
                <w:szCs w:val="18"/>
              </w:rPr>
              <w:t>The cover graphic attracts attention</w:t>
            </w:r>
          </w:p>
          <w:p w14:paraId="146F01CA" w14:textId="77777777" w:rsidR="000A48A1" w:rsidRPr="000A48A1" w:rsidRDefault="69CFA879" w:rsidP="69CFA879">
            <w:pPr>
              <w:numPr>
                <w:ilvl w:val="0"/>
                <w:numId w:val="8"/>
              </w:numPr>
              <w:spacing w:line="240" w:lineRule="auto"/>
              <w:ind w:left="150" w:right="150"/>
              <w:jc w:val="left"/>
              <w:textAlignment w:val="baseline"/>
              <w:rPr>
                <w:rFonts w:ascii="Verdana" w:hAnsi="Verdana"/>
                <w:color w:val="434342"/>
                <w:sz w:val="18"/>
                <w:szCs w:val="18"/>
              </w:rPr>
            </w:pPr>
            <w:r w:rsidRPr="69CFA879">
              <w:rPr>
                <w:rFonts w:ascii="Verdana" w:hAnsi="Verdana"/>
                <w:color w:val="434342"/>
                <w:sz w:val="18"/>
                <w:szCs w:val="18"/>
              </w:rPr>
              <w:t>The cover graphic clearly portrays the purpose of the material.</w:t>
            </w:r>
          </w:p>
        </w:tc>
        <w:tc>
          <w:tcPr>
            <w:tcW w:w="55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58A8CB7E"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2</w:t>
            </w:r>
          </w:p>
        </w:tc>
      </w:tr>
      <w:tr w:rsidR="000A48A1" w:rsidRPr="000A48A1" w14:paraId="7F22BE28"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3572E399"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6CEB15CE" w14:textId="77777777" w:rsidR="000A48A1" w:rsidRPr="000A48A1" w:rsidRDefault="000A48A1" w:rsidP="000A48A1">
            <w:pPr>
              <w:spacing w:line="240" w:lineRule="auto"/>
              <w:ind w:firstLine="0"/>
              <w:jc w:val="left"/>
              <w:rPr>
                <w:rFonts w:ascii="Verdana" w:hAnsi="Verdana"/>
                <w:color w:val="434342"/>
                <w:sz w:val="18"/>
                <w:szCs w:val="18"/>
              </w:rPr>
            </w:pPr>
          </w:p>
        </w:tc>
        <w:tc>
          <w:tcPr>
            <w:tcW w:w="322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7568D1E1"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The cover graphic has one or two of the superior criteria.</w:t>
            </w:r>
          </w:p>
        </w:tc>
        <w:tc>
          <w:tcPr>
            <w:tcW w:w="55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511F3AB7"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1</w:t>
            </w:r>
          </w:p>
        </w:tc>
      </w:tr>
      <w:tr w:rsidR="000A48A1" w:rsidRPr="000A48A1" w14:paraId="05557B40"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66518E39"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7E75FCD0" w14:textId="77777777" w:rsidR="000A48A1" w:rsidRPr="000A48A1" w:rsidRDefault="000A48A1" w:rsidP="000A48A1">
            <w:pPr>
              <w:spacing w:line="240" w:lineRule="auto"/>
              <w:ind w:firstLine="0"/>
              <w:jc w:val="left"/>
              <w:rPr>
                <w:rFonts w:ascii="Verdana" w:hAnsi="Verdana"/>
                <w:color w:val="434342"/>
                <w:sz w:val="18"/>
                <w:szCs w:val="18"/>
              </w:rPr>
            </w:pPr>
          </w:p>
        </w:tc>
        <w:tc>
          <w:tcPr>
            <w:tcW w:w="322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763BF564"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The cover graphic has none of the superior criteria.</w:t>
            </w:r>
          </w:p>
        </w:tc>
        <w:tc>
          <w:tcPr>
            <w:tcW w:w="55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7A06C686"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0</w:t>
            </w:r>
          </w:p>
        </w:tc>
      </w:tr>
      <w:tr w:rsidR="000A48A1" w:rsidRPr="000A48A1" w14:paraId="56ACF064"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10FDAA0E" w14:textId="77777777" w:rsidR="000A48A1" w:rsidRPr="000A48A1" w:rsidRDefault="000A48A1" w:rsidP="000A48A1">
            <w:pPr>
              <w:spacing w:line="240" w:lineRule="auto"/>
              <w:ind w:firstLine="0"/>
              <w:jc w:val="left"/>
              <w:rPr>
                <w:rFonts w:ascii="Verdana" w:hAnsi="Verdana"/>
                <w:color w:val="434342"/>
                <w:sz w:val="18"/>
                <w:szCs w:val="18"/>
              </w:rPr>
            </w:pPr>
          </w:p>
        </w:tc>
        <w:tc>
          <w:tcPr>
            <w:tcW w:w="4330"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3142F7F"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b. Type of illustrations</w:t>
            </w:r>
          </w:p>
          <w:p w14:paraId="1734188E"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lastRenderedPageBreak/>
              <w:t xml:space="preserve">Simple line drawings can promote realism without including distracting details (photos often include extra details). Visuals are accepted and remembered </w:t>
            </w:r>
            <w:proofErr w:type="gramStart"/>
            <w:r w:rsidRPr="59C3CF1A">
              <w:rPr>
                <w:rFonts w:ascii="Verdana" w:hAnsi="Verdana"/>
                <w:color w:val="434342"/>
                <w:sz w:val="18"/>
                <w:szCs w:val="18"/>
              </w:rPr>
              <w:t>better</w:t>
            </w:r>
            <w:proofErr w:type="gramEnd"/>
            <w:r w:rsidRPr="59C3CF1A">
              <w:rPr>
                <w:rFonts w:ascii="Verdana" w:hAnsi="Verdana"/>
                <w:color w:val="434342"/>
                <w:sz w:val="18"/>
                <w:szCs w:val="18"/>
              </w:rPr>
              <w:t xml:space="preserve"> when they portray what is familiar and easily </w:t>
            </w:r>
            <w:proofErr w:type="spellStart"/>
            <w:r w:rsidRPr="59C3CF1A">
              <w:rPr>
                <w:rFonts w:ascii="Verdana" w:hAnsi="Verdana"/>
                <w:color w:val="434342"/>
                <w:sz w:val="18"/>
                <w:szCs w:val="18"/>
              </w:rPr>
              <w:t>recognised</w:t>
            </w:r>
            <w:proofErr w:type="spellEnd"/>
            <w:r w:rsidRPr="59C3CF1A">
              <w:rPr>
                <w:rFonts w:ascii="Verdana" w:hAnsi="Verdana"/>
                <w:color w:val="434342"/>
                <w:sz w:val="18"/>
                <w:szCs w:val="18"/>
              </w:rPr>
              <w:t>.</w:t>
            </w:r>
          </w:p>
        </w:tc>
        <w:tc>
          <w:tcPr>
            <w:tcW w:w="322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539CAFBC"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lastRenderedPageBreak/>
              <w:t>Both of the following are present:</w:t>
            </w:r>
          </w:p>
          <w:p w14:paraId="4147AC5A" w14:textId="77777777" w:rsidR="000A48A1" w:rsidRPr="000A48A1" w:rsidRDefault="69CFA879" w:rsidP="69CFA879">
            <w:pPr>
              <w:numPr>
                <w:ilvl w:val="0"/>
                <w:numId w:val="9"/>
              </w:numPr>
              <w:spacing w:line="240" w:lineRule="auto"/>
              <w:ind w:left="150" w:right="150"/>
              <w:jc w:val="left"/>
              <w:textAlignment w:val="baseline"/>
              <w:rPr>
                <w:rFonts w:ascii="Verdana" w:hAnsi="Verdana"/>
                <w:color w:val="434342"/>
                <w:sz w:val="18"/>
                <w:szCs w:val="18"/>
              </w:rPr>
            </w:pPr>
            <w:r w:rsidRPr="69CFA879">
              <w:rPr>
                <w:rFonts w:ascii="Verdana" w:hAnsi="Verdana"/>
                <w:color w:val="434342"/>
                <w:sz w:val="18"/>
                <w:szCs w:val="18"/>
              </w:rPr>
              <w:lastRenderedPageBreak/>
              <w:t>Simple, adult-appropriate line drawings/sketches</w:t>
            </w:r>
          </w:p>
          <w:p w14:paraId="2998BAB2" w14:textId="77777777" w:rsidR="000A48A1" w:rsidRPr="000A48A1" w:rsidRDefault="69CFA879" w:rsidP="69CFA879">
            <w:pPr>
              <w:numPr>
                <w:ilvl w:val="0"/>
                <w:numId w:val="9"/>
              </w:numPr>
              <w:spacing w:line="240" w:lineRule="auto"/>
              <w:ind w:left="150" w:right="150"/>
              <w:jc w:val="left"/>
              <w:textAlignment w:val="baseline"/>
              <w:rPr>
                <w:rFonts w:ascii="Verdana" w:hAnsi="Verdana"/>
                <w:color w:val="434342"/>
                <w:sz w:val="18"/>
                <w:szCs w:val="18"/>
              </w:rPr>
            </w:pPr>
            <w:r w:rsidRPr="69CFA879">
              <w:rPr>
                <w:rFonts w:ascii="Verdana" w:hAnsi="Verdana"/>
                <w:color w:val="434342"/>
                <w:sz w:val="18"/>
                <w:szCs w:val="18"/>
              </w:rPr>
              <w:t>Illustrations are likely to be familiar to readers.</w:t>
            </w:r>
          </w:p>
        </w:tc>
        <w:tc>
          <w:tcPr>
            <w:tcW w:w="55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2E643A39"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lastRenderedPageBreak/>
              <w:t>2</w:t>
            </w:r>
          </w:p>
        </w:tc>
      </w:tr>
      <w:tr w:rsidR="000A48A1" w:rsidRPr="000A48A1" w14:paraId="5C0E47C7"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774AF2BF"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7A292896" w14:textId="77777777" w:rsidR="000A48A1" w:rsidRPr="000A48A1" w:rsidRDefault="000A48A1" w:rsidP="000A48A1">
            <w:pPr>
              <w:spacing w:line="240" w:lineRule="auto"/>
              <w:ind w:firstLine="0"/>
              <w:jc w:val="left"/>
              <w:rPr>
                <w:rFonts w:ascii="Verdana" w:hAnsi="Verdana"/>
                <w:color w:val="434342"/>
                <w:sz w:val="18"/>
                <w:szCs w:val="18"/>
              </w:rPr>
            </w:pPr>
          </w:p>
        </w:tc>
        <w:tc>
          <w:tcPr>
            <w:tcW w:w="322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06CA6364"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One of the superior factors is missing.</w:t>
            </w:r>
          </w:p>
        </w:tc>
        <w:tc>
          <w:tcPr>
            <w:tcW w:w="55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39507054"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1</w:t>
            </w:r>
          </w:p>
        </w:tc>
      </w:tr>
      <w:tr w:rsidR="000A48A1" w:rsidRPr="000A48A1" w14:paraId="537095CA"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2191599E"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7673E5AE" w14:textId="77777777" w:rsidR="000A48A1" w:rsidRPr="000A48A1" w:rsidRDefault="000A48A1" w:rsidP="000A48A1">
            <w:pPr>
              <w:spacing w:line="240" w:lineRule="auto"/>
              <w:ind w:firstLine="0"/>
              <w:jc w:val="left"/>
              <w:rPr>
                <w:rFonts w:ascii="Verdana" w:hAnsi="Verdana"/>
                <w:color w:val="434342"/>
                <w:sz w:val="18"/>
                <w:szCs w:val="18"/>
              </w:rPr>
            </w:pPr>
          </w:p>
        </w:tc>
        <w:tc>
          <w:tcPr>
            <w:tcW w:w="322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5F9CF8A"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 xml:space="preserve">None of the superior factors </w:t>
            </w:r>
            <w:proofErr w:type="gramStart"/>
            <w:r w:rsidRPr="69CFA879">
              <w:rPr>
                <w:rFonts w:ascii="Verdana" w:hAnsi="Verdana"/>
                <w:color w:val="434342"/>
                <w:sz w:val="18"/>
                <w:szCs w:val="18"/>
              </w:rPr>
              <w:t>are</w:t>
            </w:r>
            <w:proofErr w:type="gramEnd"/>
            <w:r w:rsidRPr="69CFA879">
              <w:rPr>
                <w:rFonts w:ascii="Verdana" w:hAnsi="Verdana"/>
                <w:color w:val="434342"/>
                <w:sz w:val="18"/>
                <w:szCs w:val="18"/>
              </w:rPr>
              <w:t xml:space="preserve"> present.</w:t>
            </w:r>
          </w:p>
        </w:tc>
        <w:tc>
          <w:tcPr>
            <w:tcW w:w="55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574AF32"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0</w:t>
            </w:r>
          </w:p>
        </w:tc>
      </w:tr>
      <w:tr w:rsidR="000A48A1" w:rsidRPr="000A48A1" w14:paraId="4629E11D"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041D98D7" w14:textId="77777777" w:rsidR="000A48A1" w:rsidRPr="000A48A1" w:rsidRDefault="000A48A1" w:rsidP="000A48A1">
            <w:pPr>
              <w:spacing w:line="240" w:lineRule="auto"/>
              <w:ind w:firstLine="0"/>
              <w:jc w:val="left"/>
              <w:rPr>
                <w:rFonts w:ascii="Verdana" w:hAnsi="Verdana"/>
                <w:color w:val="434342"/>
                <w:sz w:val="18"/>
                <w:szCs w:val="18"/>
              </w:rPr>
            </w:pPr>
          </w:p>
        </w:tc>
        <w:tc>
          <w:tcPr>
            <w:tcW w:w="4330"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42DB34BF"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c. Relevance of illustrations</w:t>
            </w:r>
          </w:p>
          <w:p w14:paraId="0A5E7B7B"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 xml:space="preserve">Non-essential details such as room background, elaborate borders, unneeded </w:t>
            </w:r>
            <w:proofErr w:type="spellStart"/>
            <w:r w:rsidRPr="59C3CF1A">
              <w:rPr>
                <w:rFonts w:ascii="Verdana" w:hAnsi="Verdana"/>
                <w:color w:val="434342"/>
                <w:sz w:val="18"/>
                <w:szCs w:val="18"/>
              </w:rPr>
              <w:t>colour</w:t>
            </w:r>
            <w:proofErr w:type="spellEnd"/>
            <w:r w:rsidRPr="59C3CF1A">
              <w:rPr>
                <w:rFonts w:ascii="Verdana" w:hAnsi="Verdana"/>
                <w:color w:val="434342"/>
                <w:sz w:val="18"/>
                <w:szCs w:val="18"/>
              </w:rPr>
              <w:t xml:space="preserve"> can distract the reader, whose eyes may be 'captured' by these details.</w:t>
            </w:r>
          </w:p>
          <w:p w14:paraId="69ECC0C0"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The illustrations should tell the key points visually.</w:t>
            </w:r>
          </w:p>
        </w:tc>
        <w:tc>
          <w:tcPr>
            <w:tcW w:w="322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5BE890CD"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Illustrations present key messages visually so the reader can grasp the key ideas from the illustrations alone. There are no distracting illustrations.</w:t>
            </w:r>
          </w:p>
        </w:tc>
        <w:tc>
          <w:tcPr>
            <w:tcW w:w="55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5A9DB5E7"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2</w:t>
            </w:r>
          </w:p>
        </w:tc>
      </w:tr>
      <w:tr w:rsidR="000A48A1" w:rsidRPr="000A48A1" w14:paraId="3153B7B3"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5AB7C0C5"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55B33694" w14:textId="77777777" w:rsidR="000A48A1" w:rsidRPr="000A48A1" w:rsidRDefault="000A48A1" w:rsidP="000A48A1">
            <w:pPr>
              <w:spacing w:line="240" w:lineRule="auto"/>
              <w:ind w:firstLine="0"/>
              <w:jc w:val="left"/>
              <w:rPr>
                <w:rFonts w:ascii="Verdana" w:hAnsi="Verdana"/>
                <w:color w:val="434342"/>
                <w:sz w:val="18"/>
                <w:szCs w:val="18"/>
              </w:rPr>
            </w:pPr>
          </w:p>
        </w:tc>
        <w:tc>
          <w:tcPr>
            <w:tcW w:w="322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021843DC"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Illustrations include some distractions and/or there are insufficient illustrations.</w:t>
            </w:r>
          </w:p>
        </w:tc>
        <w:tc>
          <w:tcPr>
            <w:tcW w:w="55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0295336A"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1</w:t>
            </w:r>
          </w:p>
        </w:tc>
      </w:tr>
      <w:tr w:rsidR="000A48A1" w:rsidRPr="000A48A1" w14:paraId="639ED715"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4455F193"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1C2776EB" w14:textId="77777777" w:rsidR="000A48A1" w:rsidRPr="000A48A1" w:rsidRDefault="000A48A1" w:rsidP="000A48A1">
            <w:pPr>
              <w:spacing w:line="240" w:lineRule="auto"/>
              <w:ind w:firstLine="0"/>
              <w:jc w:val="left"/>
              <w:rPr>
                <w:rFonts w:ascii="Verdana" w:hAnsi="Verdana"/>
                <w:color w:val="434342"/>
                <w:sz w:val="18"/>
                <w:szCs w:val="18"/>
              </w:rPr>
            </w:pPr>
          </w:p>
        </w:tc>
        <w:tc>
          <w:tcPr>
            <w:tcW w:w="322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48F35C5F"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There are confusing or technical illustrations (non-</w:t>
            </w:r>
            <w:proofErr w:type="spellStart"/>
            <w:r w:rsidRPr="59C3CF1A">
              <w:rPr>
                <w:rFonts w:ascii="Verdana" w:hAnsi="Verdana"/>
                <w:color w:val="434342"/>
                <w:sz w:val="18"/>
                <w:szCs w:val="18"/>
              </w:rPr>
              <w:t>behaviour</w:t>
            </w:r>
            <w:proofErr w:type="spellEnd"/>
            <w:r w:rsidRPr="59C3CF1A">
              <w:rPr>
                <w:rFonts w:ascii="Verdana" w:hAnsi="Verdana"/>
                <w:color w:val="434342"/>
                <w:sz w:val="18"/>
                <w:szCs w:val="18"/>
              </w:rPr>
              <w:t xml:space="preserve"> related), no illustrations or an overload of illustrations.</w:t>
            </w:r>
          </w:p>
        </w:tc>
        <w:tc>
          <w:tcPr>
            <w:tcW w:w="55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0CF44D54"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0</w:t>
            </w:r>
          </w:p>
        </w:tc>
      </w:tr>
      <w:tr w:rsidR="000A48A1" w:rsidRPr="000A48A1" w14:paraId="2A61F40D"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15342E60" w14:textId="77777777" w:rsidR="000A48A1" w:rsidRPr="000A48A1" w:rsidRDefault="000A48A1" w:rsidP="000A48A1">
            <w:pPr>
              <w:spacing w:line="240" w:lineRule="auto"/>
              <w:ind w:firstLine="0"/>
              <w:jc w:val="left"/>
              <w:rPr>
                <w:rFonts w:ascii="Verdana" w:hAnsi="Verdana"/>
                <w:color w:val="434342"/>
                <w:sz w:val="18"/>
                <w:szCs w:val="18"/>
              </w:rPr>
            </w:pPr>
          </w:p>
        </w:tc>
        <w:tc>
          <w:tcPr>
            <w:tcW w:w="4330"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07A6687C"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d. List, tables, graphs, charts</w:t>
            </w:r>
          </w:p>
          <w:p w14:paraId="448B75F1"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Many readers do not understand the purpose for lists, charts, and graphs. Explanations and directions are essential.</w:t>
            </w:r>
          </w:p>
        </w:tc>
        <w:tc>
          <w:tcPr>
            <w:tcW w:w="322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78B5A808"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proofErr w:type="gramStart"/>
            <w:r w:rsidRPr="69CFA879">
              <w:rPr>
                <w:rFonts w:ascii="Verdana" w:hAnsi="Verdana"/>
                <w:color w:val="434342"/>
                <w:sz w:val="18"/>
                <w:szCs w:val="18"/>
              </w:rPr>
              <w:t>Step-by-step</w:t>
            </w:r>
            <w:proofErr w:type="gramEnd"/>
            <w:r w:rsidRPr="69CFA879">
              <w:rPr>
                <w:rFonts w:ascii="Verdana" w:hAnsi="Verdana"/>
                <w:color w:val="434342"/>
                <w:sz w:val="18"/>
                <w:szCs w:val="18"/>
              </w:rPr>
              <w:t xml:space="preserve"> directions, with an example, are provided that will build comprehension and self-efficacy.</w:t>
            </w:r>
          </w:p>
        </w:tc>
        <w:tc>
          <w:tcPr>
            <w:tcW w:w="55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BC03362"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2</w:t>
            </w:r>
          </w:p>
        </w:tc>
      </w:tr>
      <w:tr w:rsidR="000A48A1" w:rsidRPr="000A48A1" w14:paraId="71911A21"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5EB89DE8"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7D62D461" w14:textId="77777777" w:rsidR="000A48A1" w:rsidRPr="000A48A1" w:rsidRDefault="000A48A1" w:rsidP="000A48A1">
            <w:pPr>
              <w:spacing w:line="240" w:lineRule="auto"/>
              <w:ind w:firstLine="0"/>
              <w:jc w:val="left"/>
              <w:rPr>
                <w:rFonts w:ascii="Verdana" w:hAnsi="Verdana"/>
                <w:color w:val="434342"/>
                <w:sz w:val="18"/>
                <w:szCs w:val="18"/>
              </w:rPr>
            </w:pPr>
          </w:p>
        </w:tc>
        <w:tc>
          <w:tcPr>
            <w:tcW w:w="322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6BB8B874"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'How-to' directions are too brief for reader to understand and use the graphic without additional counselling.</w:t>
            </w:r>
          </w:p>
        </w:tc>
        <w:tc>
          <w:tcPr>
            <w:tcW w:w="55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71CBABF6"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1</w:t>
            </w:r>
          </w:p>
        </w:tc>
      </w:tr>
      <w:tr w:rsidR="000A48A1" w:rsidRPr="000A48A1" w14:paraId="19AFC942"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078B034E"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492506DD" w14:textId="77777777" w:rsidR="000A48A1" w:rsidRPr="000A48A1" w:rsidRDefault="000A48A1" w:rsidP="000A48A1">
            <w:pPr>
              <w:spacing w:line="240" w:lineRule="auto"/>
              <w:ind w:firstLine="0"/>
              <w:jc w:val="left"/>
              <w:rPr>
                <w:rFonts w:ascii="Verdana" w:hAnsi="Verdana"/>
                <w:color w:val="434342"/>
                <w:sz w:val="18"/>
                <w:szCs w:val="18"/>
              </w:rPr>
            </w:pPr>
          </w:p>
        </w:tc>
        <w:tc>
          <w:tcPr>
            <w:tcW w:w="322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416176EE"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 xml:space="preserve">Graphics </w:t>
            </w:r>
            <w:proofErr w:type="gramStart"/>
            <w:r w:rsidRPr="69CFA879">
              <w:rPr>
                <w:rFonts w:ascii="Verdana" w:hAnsi="Verdana"/>
                <w:color w:val="434342"/>
                <w:sz w:val="18"/>
                <w:szCs w:val="18"/>
              </w:rPr>
              <w:t>are presented</w:t>
            </w:r>
            <w:proofErr w:type="gramEnd"/>
            <w:r w:rsidRPr="69CFA879">
              <w:rPr>
                <w:rFonts w:ascii="Verdana" w:hAnsi="Verdana"/>
                <w:color w:val="434342"/>
                <w:sz w:val="18"/>
                <w:szCs w:val="18"/>
              </w:rPr>
              <w:t xml:space="preserve"> without explanation.</w:t>
            </w:r>
          </w:p>
        </w:tc>
        <w:tc>
          <w:tcPr>
            <w:tcW w:w="55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65DCE8A"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0</w:t>
            </w:r>
          </w:p>
        </w:tc>
      </w:tr>
      <w:tr w:rsidR="000A48A1" w:rsidRPr="000A48A1" w14:paraId="0C32E9D9" w14:textId="77777777" w:rsidTr="00C440EE">
        <w:trPr>
          <w:trHeight w:val="300"/>
        </w:trPr>
        <w:tc>
          <w:tcPr>
            <w:tcW w:w="1782"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63E4A9CD" w14:textId="77777777" w:rsidR="000A48A1" w:rsidRPr="000A48A1" w:rsidRDefault="59C3CF1A" w:rsidP="59C3CF1A">
            <w:pPr>
              <w:spacing w:line="240" w:lineRule="auto"/>
              <w:ind w:firstLine="0"/>
              <w:jc w:val="left"/>
              <w:rPr>
                <w:rFonts w:ascii="Verdana" w:hAnsi="Verdana"/>
                <w:color w:val="434342"/>
                <w:sz w:val="18"/>
                <w:szCs w:val="18"/>
              </w:rPr>
            </w:pPr>
            <w:r w:rsidRPr="59C3CF1A">
              <w:rPr>
                <w:rFonts w:ascii="Verdana" w:hAnsi="Verdana"/>
                <w:color w:val="434342"/>
                <w:sz w:val="18"/>
                <w:szCs w:val="18"/>
              </w:rPr>
              <w:t> </w:t>
            </w:r>
          </w:p>
        </w:tc>
        <w:tc>
          <w:tcPr>
            <w:tcW w:w="4330"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0B12DA90"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e.  Captions</w:t>
            </w:r>
          </w:p>
          <w:p w14:paraId="3BD22DFB"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Captions can quickly tell the reader what the graphic is all about and where to focus within the graphic. A graphic without a caption is usually an inferior instruction and a missed learning opportunity.</w:t>
            </w:r>
          </w:p>
        </w:tc>
        <w:tc>
          <w:tcPr>
            <w:tcW w:w="322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4957F36D"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 xml:space="preserve">Explanatory captions </w:t>
            </w:r>
            <w:proofErr w:type="gramStart"/>
            <w:r w:rsidRPr="69CFA879">
              <w:rPr>
                <w:rFonts w:ascii="Verdana" w:hAnsi="Verdana"/>
                <w:color w:val="434342"/>
                <w:sz w:val="18"/>
                <w:szCs w:val="18"/>
              </w:rPr>
              <w:t>are provided</w:t>
            </w:r>
            <w:proofErr w:type="gramEnd"/>
            <w:r w:rsidRPr="69CFA879">
              <w:rPr>
                <w:rFonts w:ascii="Verdana" w:hAnsi="Verdana"/>
                <w:color w:val="434342"/>
                <w:sz w:val="18"/>
                <w:szCs w:val="18"/>
              </w:rPr>
              <w:t xml:space="preserve"> with all or nearly all illustrations and graphics.</w:t>
            </w:r>
          </w:p>
        </w:tc>
        <w:tc>
          <w:tcPr>
            <w:tcW w:w="55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24DED8E9"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2</w:t>
            </w:r>
          </w:p>
        </w:tc>
      </w:tr>
      <w:tr w:rsidR="000A48A1" w:rsidRPr="000A48A1" w14:paraId="542A1BEE"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31CD0C16"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7FD8715F" w14:textId="77777777" w:rsidR="000A48A1" w:rsidRPr="000A48A1" w:rsidRDefault="000A48A1" w:rsidP="000A48A1">
            <w:pPr>
              <w:spacing w:line="240" w:lineRule="auto"/>
              <w:ind w:firstLine="0"/>
              <w:jc w:val="left"/>
              <w:rPr>
                <w:rFonts w:ascii="Verdana" w:hAnsi="Verdana"/>
                <w:color w:val="434342"/>
                <w:sz w:val="18"/>
                <w:szCs w:val="18"/>
              </w:rPr>
            </w:pPr>
          </w:p>
        </w:tc>
        <w:tc>
          <w:tcPr>
            <w:tcW w:w="322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5814EF01"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Brief captions used for some illustrations and graphics.</w:t>
            </w:r>
          </w:p>
        </w:tc>
        <w:tc>
          <w:tcPr>
            <w:tcW w:w="55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6EA80843"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1</w:t>
            </w:r>
          </w:p>
        </w:tc>
      </w:tr>
      <w:tr w:rsidR="000A48A1" w:rsidRPr="000A48A1" w14:paraId="1620DD59"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6BDFDFC2"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41F9AE5E" w14:textId="77777777" w:rsidR="000A48A1" w:rsidRPr="000A48A1" w:rsidRDefault="000A48A1" w:rsidP="000A48A1">
            <w:pPr>
              <w:spacing w:line="240" w:lineRule="auto"/>
              <w:ind w:firstLine="0"/>
              <w:jc w:val="left"/>
              <w:rPr>
                <w:rFonts w:ascii="Verdana" w:hAnsi="Verdana"/>
                <w:color w:val="434342"/>
                <w:sz w:val="18"/>
                <w:szCs w:val="18"/>
              </w:rPr>
            </w:pPr>
          </w:p>
        </w:tc>
        <w:tc>
          <w:tcPr>
            <w:tcW w:w="322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FAA6B14"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Captions are not used.</w:t>
            </w:r>
          </w:p>
        </w:tc>
        <w:tc>
          <w:tcPr>
            <w:tcW w:w="55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7BD0726E"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0</w:t>
            </w:r>
          </w:p>
        </w:tc>
      </w:tr>
      <w:tr w:rsidR="000A48A1" w:rsidRPr="000A48A1" w14:paraId="21CD221D" w14:textId="77777777" w:rsidTr="00C440EE">
        <w:trPr>
          <w:trHeight w:val="300"/>
        </w:trPr>
        <w:tc>
          <w:tcPr>
            <w:tcW w:w="1782"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0591FDBF"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4. Layout and typography</w:t>
            </w:r>
          </w:p>
        </w:tc>
        <w:tc>
          <w:tcPr>
            <w:tcW w:w="4330"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3DEDACB5"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a. Layout</w:t>
            </w:r>
          </w:p>
          <w:p w14:paraId="4BEFD223"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Layout has a substantial influence on the suitability of materials.</w:t>
            </w:r>
          </w:p>
        </w:tc>
        <w:tc>
          <w:tcPr>
            <w:tcW w:w="322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D0EEB60"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At least 5 of the following are present:</w:t>
            </w:r>
          </w:p>
          <w:p w14:paraId="63F9E44B" w14:textId="77777777" w:rsidR="000A48A1" w:rsidRPr="000A48A1" w:rsidRDefault="69CFA879" w:rsidP="69CFA879">
            <w:pPr>
              <w:numPr>
                <w:ilvl w:val="0"/>
                <w:numId w:val="10"/>
              </w:numPr>
              <w:spacing w:line="240" w:lineRule="auto"/>
              <w:ind w:left="150" w:right="150"/>
              <w:jc w:val="left"/>
              <w:textAlignment w:val="baseline"/>
              <w:rPr>
                <w:rFonts w:ascii="Verdana" w:hAnsi="Verdana"/>
                <w:color w:val="434342"/>
                <w:sz w:val="18"/>
                <w:szCs w:val="18"/>
              </w:rPr>
            </w:pPr>
            <w:r w:rsidRPr="69CFA879">
              <w:rPr>
                <w:rFonts w:ascii="Verdana" w:hAnsi="Verdana"/>
                <w:color w:val="434342"/>
                <w:sz w:val="18"/>
                <w:szCs w:val="18"/>
              </w:rPr>
              <w:t>Illustrations are on the same page adjacent to the related text.</w:t>
            </w:r>
          </w:p>
          <w:p w14:paraId="3EFC6E4C" w14:textId="77777777" w:rsidR="000A48A1" w:rsidRPr="000A48A1" w:rsidRDefault="69CFA879" w:rsidP="69CFA879">
            <w:pPr>
              <w:numPr>
                <w:ilvl w:val="0"/>
                <w:numId w:val="10"/>
              </w:numPr>
              <w:spacing w:line="240" w:lineRule="auto"/>
              <w:ind w:left="150" w:right="150"/>
              <w:jc w:val="left"/>
              <w:textAlignment w:val="baseline"/>
              <w:rPr>
                <w:rFonts w:ascii="Verdana" w:hAnsi="Verdana"/>
                <w:color w:val="434342"/>
                <w:sz w:val="18"/>
                <w:szCs w:val="18"/>
              </w:rPr>
            </w:pPr>
            <w:r w:rsidRPr="69CFA879">
              <w:rPr>
                <w:rFonts w:ascii="Verdana" w:hAnsi="Verdana"/>
                <w:color w:val="434342"/>
                <w:sz w:val="18"/>
                <w:szCs w:val="18"/>
              </w:rPr>
              <w:t>Layout and sequence of information is consistent, making it easy for the reader to predict the flow of information.</w:t>
            </w:r>
          </w:p>
          <w:p w14:paraId="216EECFF" w14:textId="77777777" w:rsidR="000A48A1" w:rsidRPr="000A48A1" w:rsidRDefault="69CFA879" w:rsidP="69CFA879">
            <w:pPr>
              <w:numPr>
                <w:ilvl w:val="0"/>
                <w:numId w:val="10"/>
              </w:numPr>
              <w:spacing w:line="240" w:lineRule="auto"/>
              <w:ind w:left="150" w:right="150"/>
              <w:jc w:val="left"/>
              <w:textAlignment w:val="baseline"/>
              <w:rPr>
                <w:rFonts w:ascii="Verdana" w:hAnsi="Verdana"/>
                <w:color w:val="434342"/>
                <w:sz w:val="18"/>
                <w:szCs w:val="18"/>
              </w:rPr>
            </w:pPr>
            <w:r w:rsidRPr="69CFA879">
              <w:rPr>
                <w:rFonts w:ascii="Verdana" w:hAnsi="Verdana"/>
                <w:color w:val="434342"/>
                <w:sz w:val="18"/>
                <w:szCs w:val="18"/>
              </w:rPr>
              <w:lastRenderedPageBreak/>
              <w:t xml:space="preserve">Visual cuing devices (shading, boxes, </w:t>
            </w:r>
            <w:proofErr w:type="gramStart"/>
            <w:r w:rsidRPr="69CFA879">
              <w:rPr>
                <w:rFonts w:ascii="Verdana" w:hAnsi="Verdana"/>
                <w:color w:val="434342"/>
                <w:sz w:val="18"/>
                <w:szCs w:val="18"/>
              </w:rPr>
              <w:t>arrows</w:t>
            </w:r>
            <w:proofErr w:type="gramEnd"/>
            <w:r w:rsidRPr="69CFA879">
              <w:rPr>
                <w:rFonts w:ascii="Verdana" w:hAnsi="Verdana"/>
                <w:color w:val="434342"/>
                <w:sz w:val="18"/>
                <w:szCs w:val="18"/>
              </w:rPr>
              <w:t>) are used to direct attention to specific points or key content.</w:t>
            </w:r>
          </w:p>
          <w:p w14:paraId="18256B6C" w14:textId="77777777" w:rsidR="000A48A1" w:rsidRPr="000A48A1" w:rsidRDefault="69CFA879" w:rsidP="69CFA879">
            <w:pPr>
              <w:numPr>
                <w:ilvl w:val="0"/>
                <w:numId w:val="10"/>
              </w:numPr>
              <w:spacing w:line="240" w:lineRule="auto"/>
              <w:ind w:left="150" w:right="150"/>
              <w:jc w:val="left"/>
              <w:textAlignment w:val="baseline"/>
              <w:rPr>
                <w:rFonts w:ascii="Verdana" w:hAnsi="Verdana"/>
                <w:color w:val="434342"/>
                <w:sz w:val="18"/>
                <w:szCs w:val="18"/>
              </w:rPr>
            </w:pPr>
            <w:r w:rsidRPr="69CFA879">
              <w:rPr>
                <w:rFonts w:ascii="Verdana" w:hAnsi="Verdana"/>
                <w:color w:val="434342"/>
                <w:sz w:val="18"/>
                <w:szCs w:val="18"/>
              </w:rPr>
              <w:t xml:space="preserve">Adequate white space </w:t>
            </w:r>
            <w:proofErr w:type="gramStart"/>
            <w:r w:rsidRPr="69CFA879">
              <w:rPr>
                <w:rFonts w:ascii="Verdana" w:hAnsi="Verdana"/>
                <w:color w:val="434342"/>
                <w:sz w:val="18"/>
                <w:szCs w:val="18"/>
              </w:rPr>
              <w:t>is used</w:t>
            </w:r>
            <w:proofErr w:type="gramEnd"/>
            <w:r w:rsidRPr="69CFA879">
              <w:rPr>
                <w:rFonts w:ascii="Verdana" w:hAnsi="Verdana"/>
                <w:color w:val="434342"/>
                <w:sz w:val="18"/>
                <w:szCs w:val="18"/>
              </w:rPr>
              <w:t xml:space="preserve"> to reduce clutter.</w:t>
            </w:r>
          </w:p>
          <w:p w14:paraId="62434353" w14:textId="77777777" w:rsidR="000A48A1" w:rsidRPr="000A48A1" w:rsidRDefault="59C3CF1A" w:rsidP="59C3CF1A">
            <w:pPr>
              <w:numPr>
                <w:ilvl w:val="0"/>
                <w:numId w:val="10"/>
              </w:numPr>
              <w:spacing w:line="240" w:lineRule="auto"/>
              <w:ind w:left="150" w:right="150"/>
              <w:jc w:val="left"/>
              <w:textAlignment w:val="baseline"/>
              <w:rPr>
                <w:rFonts w:ascii="Verdana" w:hAnsi="Verdana"/>
                <w:color w:val="434342"/>
                <w:sz w:val="18"/>
                <w:szCs w:val="18"/>
              </w:rPr>
            </w:pPr>
            <w:r w:rsidRPr="59C3CF1A">
              <w:rPr>
                <w:rFonts w:ascii="Verdana" w:hAnsi="Verdana"/>
                <w:color w:val="434342"/>
                <w:sz w:val="18"/>
                <w:szCs w:val="18"/>
              </w:rPr>
              <w:t xml:space="preserve">Use of </w:t>
            </w:r>
            <w:proofErr w:type="spellStart"/>
            <w:r w:rsidRPr="59C3CF1A">
              <w:rPr>
                <w:rFonts w:ascii="Verdana" w:hAnsi="Verdana"/>
                <w:color w:val="434342"/>
                <w:sz w:val="18"/>
                <w:szCs w:val="18"/>
              </w:rPr>
              <w:t>colour</w:t>
            </w:r>
            <w:proofErr w:type="spellEnd"/>
            <w:r w:rsidRPr="59C3CF1A">
              <w:rPr>
                <w:rFonts w:ascii="Verdana" w:hAnsi="Verdana"/>
                <w:color w:val="434342"/>
                <w:sz w:val="18"/>
                <w:szCs w:val="18"/>
              </w:rPr>
              <w:t xml:space="preserve"> supports and is not distracting to the message. Viewers need not learn </w:t>
            </w:r>
            <w:proofErr w:type="spellStart"/>
            <w:r w:rsidRPr="59C3CF1A">
              <w:rPr>
                <w:rFonts w:ascii="Verdana" w:hAnsi="Verdana"/>
                <w:color w:val="434342"/>
                <w:sz w:val="18"/>
                <w:szCs w:val="18"/>
              </w:rPr>
              <w:t>colour</w:t>
            </w:r>
            <w:proofErr w:type="spellEnd"/>
            <w:r w:rsidRPr="59C3CF1A">
              <w:rPr>
                <w:rFonts w:ascii="Verdana" w:hAnsi="Verdana"/>
                <w:color w:val="434342"/>
                <w:sz w:val="18"/>
                <w:szCs w:val="18"/>
              </w:rPr>
              <w:t xml:space="preserve"> codes to understand and use the message.</w:t>
            </w:r>
          </w:p>
          <w:p w14:paraId="262E4E6C" w14:textId="77777777" w:rsidR="000A48A1" w:rsidRPr="000A48A1" w:rsidRDefault="69CFA879" w:rsidP="69CFA879">
            <w:pPr>
              <w:numPr>
                <w:ilvl w:val="0"/>
                <w:numId w:val="10"/>
              </w:numPr>
              <w:spacing w:line="240" w:lineRule="auto"/>
              <w:ind w:left="150" w:right="150"/>
              <w:jc w:val="left"/>
              <w:textAlignment w:val="baseline"/>
              <w:rPr>
                <w:rFonts w:ascii="Verdana" w:hAnsi="Verdana"/>
                <w:color w:val="434342"/>
                <w:sz w:val="18"/>
                <w:szCs w:val="18"/>
              </w:rPr>
            </w:pPr>
            <w:r w:rsidRPr="69CFA879">
              <w:rPr>
                <w:rFonts w:ascii="Verdana" w:hAnsi="Verdana"/>
                <w:color w:val="434342"/>
                <w:sz w:val="18"/>
                <w:szCs w:val="18"/>
              </w:rPr>
              <w:t>Line length is 30–50 characters and spaces.</w:t>
            </w:r>
          </w:p>
          <w:p w14:paraId="5784DA2B" w14:textId="77777777" w:rsidR="000A48A1" w:rsidRPr="000A48A1" w:rsidRDefault="69CFA879" w:rsidP="69CFA879">
            <w:pPr>
              <w:numPr>
                <w:ilvl w:val="0"/>
                <w:numId w:val="10"/>
              </w:numPr>
              <w:spacing w:line="240" w:lineRule="auto"/>
              <w:ind w:left="150" w:right="150"/>
              <w:jc w:val="left"/>
              <w:textAlignment w:val="baseline"/>
              <w:rPr>
                <w:rFonts w:ascii="Verdana" w:hAnsi="Verdana"/>
                <w:color w:val="434342"/>
                <w:sz w:val="18"/>
                <w:szCs w:val="18"/>
              </w:rPr>
            </w:pPr>
            <w:r w:rsidRPr="69CFA879">
              <w:rPr>
                <w:rFonts w:ascii="Verdana" w:hAnsi="Verdana"/>
                <w:color w:val="434342"/>
                <w:sz w:val="18"/>
                <w:szCs w:val="18"/>
              </w:rPr>
              <w:t>There is high contrast between type and paper.</w:t>
            </w:r>
          </w:p>
          <w:p w14:paraId="098AE83A" w14:textId="77777777" w:rsidR="000A48A1" w:rsidRPr="000A48A1" w:rsidRDefault="69CFA879" w:rsidP="69CFA879">
            <w:pPr>
              <w:numPr>
                <w:ilvl w:val="0"/>
                <w:numId w:val="10"/>
              </w:numPr>
              <w:spacing w:line="240" w:lineRule="auto"/>
              <w:ind w:left="150" w:right="150"/>
              <w:jc w:val="left"/>
              <w:textAlignment w:val="baseline"/>
              <w:rPr>
                <w:rFonts w:ascii="Verdana" w:hAnsi="Verdana"/>
                <w:color w:val="434342"/>
                <w:sz w:val="18"/>
                <w:szCs w:val="18"/>
              </w:rPr>
            </w:pPr>
            <w:r w:rsidRPr="69CFA879">
              <w:rPr>
                <w:rFonts w:ascii="Verdana" w:hAnsi="Verdana"/>
                <w:color w:val="434342"/>
                <w:sz w:val="18"/>
                <w:szCs w:val="18"/>
              </w:rPr>
              <w:t>Paper has non-gloss or low-gloss surface.</w:t>
            </w:r>
          </w:p>
        </w:tc>
        <w:tc>
          <w:tcPr>
            <w:tcW w:w="55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D63D2B4"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lastRenderedPageBreak/>
              <w:t>2</w:t>
            </w:r>
          </w:p>
        </w:tc>
      </w:tr>
      <w:tr w:rsidR="000A48A1" w:rsidRPr="000A48A1" w14:paraId="6B1FA596"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00F03A6D"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6930E822" w14:textId="77777777" w:rsidR="000A48A1" w:rsidRPr="000A48A1" w:rsidRDefault="000A48A1" w:rsidP="000A48A1">
            <w:pPr>
              <w:spacing w:line="240" w:lineRule="auto"/>
              <w:ind w:firstLine="0"/>
              <w:jc w:val="left"/>
              <w:rPr>
                <w:rFonts w:ascii="Verdana" w:hAnsi="Verdana"/>
                <w:color w:val="434342"/>
                <w:sz w:val="18"/>
                <w:szCs w:val="18"/>
              </w:rPr>
            </w:pPr>
          </w:p>
        </w:tc>
        <w:tc>
          <w:tcPr>
            <w:tcW w:w="322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72A1D588"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Three+ superior factors are present.</w:t>
            </w:r>
          </w:p>
        </w:tc>
        <w:tc>
          <w:tcPr>
            <w:tcW w:w="55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33A66D29"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1</w:t>
            </w:r>
          </w:p>
        </w:tc>
      </w:tr>
      <w:tr w:rsidR="000A48A1" w:rsidRPr="000A48A1" w14:paraId="400D579C"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20E36DAB"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32D85219" w14:textId="77777777" w:rsidR="000A48A1" w:rsidRPr="000A48A1" w:rsidRDefault="000A48A1" w:rsidP="000A48A1">
            <w:pPr>
              <w:spacing w:line="240" w:lineRule="auto"/>
              <w:ind w:firstLine="0"/>
              <w:jc w:val="left"/>
              <w:rPr>
                <w:rFonts w:ascii="Verdana" w:hAnsi="Verdana"/>
                <w:color w:val="434342"/>
                <w:sz w:val="18"/>
                <w:szCs w:val="18"/>
              </w:rPr>
            </w:pPr>
          </w:p>
        </w:tc>
        <w:tc>
          <w:tcPr>
            <w:tcW w:w="322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33D3600A"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Two (or less) superior factors are present. The material looks uninviting or discouragingly hard to read.</w:t>
            </w:r>
          </w:p>
        </w:tc>
        <w:tc>
          <w:tcPr>
            <w:tcW w:w="55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47F30171"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0</w:t>
            </w:r>
          </w:p>
        </w:tc>
      </w:tr>
      <w:tr w:rsidR="000A48A1" w:rsidRPr="000A48A1" w14:paraId="34C28B6A"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0CE19BC3" w14:textId="77777777" w:rsidR="000A48A1" w:rsidRPr="000A48A1" w:rsidRDefault="000A48A1" w:rsidP="000A48A1">
            <w:pPr>
              <w:spacing w:line="240" w:lineRule="auto"/>
              <w:ind w:firstLine="0"/>
              <w:jc w:val="left"/>
              <w:rPr>
                <w:rFonts w:ascii="Verdana" w:hAnsi="Verdana"/>
                <w:color w:val="434342"/>
                <w:sz w:val="18"/>
                <w:szCs w:val="18"/>
              </w:rPr>
            </w:pPr>
          </w:p>
        </w:tc>
        <w:tc>
          <w:tcPr>
            <w:tcW w:w="4330"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37B129A7"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b. Typography</w:t>
            </w:r>
          </w:p>
          <w:p w14:paraId="3A1869F5"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 xml:space="preserve">Type size and fonts can make text easy or difficult for readers at all skill levels. For </w:t>
            </w:r>
            <w:proofErr w:type="gramStart"/>
            <w:r w:rsidRPr="59C3CF1A">
              <w:rPr>
                <w:rFonts w:ascii="Verdana" w:hAnsi="Verdana"/>
                <w:color w:val="434342"/>
                <w:sz w:val="18"/>
                <w:szCs w:val="18"/>
              </w:rPr>
              <w:t>example</w:t>
            </w:r>
            <w:proofErr w:type="gramEnd"/>
            <w:r w:rsidRPr="59C3CF1A">
              <w:rPr>
                <w:rFonts w:ascii="Verdana" w:hAnsi="Verdana"/>
                <w:color w:val="434342"/>
                <w:sz w:val="18"/>
                <w:szCs w:val="18"/>
              </w:rPr>
              <w:t xml:space="preserve"> text in ALL CAPS slows reading comprehension. </w:t>
            </w:r>
            <w:proofErr w:type="gramStart"/>
            <w:r w:rsidRPr="59C3CF1A">
              <w:rPr>
                <w:rFonts w:ascii="Verdana" w:hAnsi="Verdana"/>
                <w:color w:val="434342"/>
                <w:sz w:val="18"/>
                <w:szCs w:val="18"/>
              </w:rPr>
              <w:t>Also</w:t>
            </w:r>
            <w:proofErr w:type="gramEnd"/>
            <w:r w:rsidRPr="59C3CF1A">
              <w:rPr>
                <w:rFonts w:ascii="Verdana" w:hAnsi="Verdana"/>
                <w:color w:val="434342"/>
                <w:sz w:val="18"/>
                <w:szCs w:val="18"/>
              </w:rPr>
              <w:t>, when to many (six or more) type fonts and sizes are used on a page, the appearance becomes confusing and the focus uncertain.</w:t>
            </w:r>
          </w:p>
        </w:tc>
        <w:tc>
          <w:tcPr>
            <w:tcW w:w="322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2F7C597"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The following four factors are present:</w:t>
            </w:r>
          </w:p>
          <w:p w14:paraId="0BABDB2B" w14:textId="77777777" w:rsidR="000A48A1" w:rsidRPr="000A48A1" w:rsidRDefault="69CFA879" w:rsidP="69CFA879">
            <w:pPr>
              <w:numPr>
                <w:ilvl w:val="0"/>
                <w:numId w:val="11"/>
              </w:numPr>
              <w:spacing w:line="240" w:lineRule="auto"/>
              <w:ind w:left="150" w:right="150"/>
              <w:jc w:val="left"/>
              <w:textAlignment w:val="baseline"/>
              <w:rPr>
                <w:rFonts w:ascii="Verdana" w:hAnsi="Verdana"/>
                <w:color w:val="434342"/>
                <w:sz w:val="18"/>
                <w:szCs w:val="18"/>
              </w:rPr>
            </w:pPr>
            <w:r w:rsidRPr="69CFA879">
              <w:rPr>
                <w:rFonts w:ascii="Verdana" w:hAnsi="Verdana"/>
                <w:color w:val="434342"/>
                <w:sz w:val="18"/>
                <w:szCs w:val="18"/>
              </w:rPr>
              <w:t xml:space="preserve">Text type is in uppercase and lower-case serif (best) or </w:t>
            </w:r>
            <w:proofErr w:type="gramStart"/>
            <w:r w:rsidRPr="69CFA879">
              <w:rPr>
                <w:rFonts w:ascii="Verdana" w:hAnsi="Verdana"/>
                <w:color w:val="434342"/>
                <w:sz w:val="18"/>
                <w:szCs w:val="18"/>
              </w:rPr>
              <w:t>sans-serif</w:t>
            </w:r>
            <w:proofErr w:type="gramEnd"/>
            <w:r w:rsidRPr="69CFA879">
              <w:rPr>
                <w:rFonts w:ascii="Verdana" w:hAnsi="Verdana"/>
                <w:color w:val="434342"/>
                <w:sz w:val="18"/>
                <w:szCs w:val="18"/>
              </w:rPr>
              <w:t>.</w:t>
            </w:r>
          </w:p>
          <w:p w14:paraId="5F47D3AC" w14:textId="77777777" w:rsidR="000A48A1" w:rsidRPr="000A48A1" w:rsidRDefault="69CFA879" w:rsidP="69CFA879">
            <w:pPr>
              <w:numPr>
                <w:ilvl w:val="0"/>
                <w:numId w:val="11"/>
              </w:numPr>
              <w:spacing w:line="240" w:lineRule="auto"/>
              <w:ind w:left="150" w:right="150"/>
              <w:jc w:val="left"/>
              <w:textAlignment w:val="baseline"/>
              <w:rPr>
                <w:rFonts w:ascii="Verdana" w:hAnsi="Verdana"/>
                <w:color w:val="434342"/>
                <w:sz w:val="18"/>
                <w:szCs w:val="18"/>
              </w:rPr>
            </w:pPr>
            <w:r w:rsidRPr="69CFA879">
              <w:rPr>
                <w:rFonts w:ascii="Verdana" w:hAnsi="Verdana"/>
                <w:color w:val="434342"/>
                <w:sz w:val="18"/>
                <w:szCs w:val="18"/>
              </w:rPr>
              <w:t>Type size is at least 12 points.</w:t>
            </w:r>
          </w:p>
          <w:p w14:paraId="01DDBD12" w14:textId="77777777" w:rsidR="000A48A1" w:rsidRPr="000A48A1" w:rsidRDefault="59C3CF1A" w:rsidP="59C3CF1A">
            <w:pPr>
              <w:numPr>
                <w:ilvl w:val="0"/>
                <w:numId w:val="11"/>
              </w:numPr>
              <w:spacing w:line="240" w:lineRule="auto"/>
              <w:ind w:left="150" w:right="150"/>
              <w:jc w:val="left"/>
              <w:textAlignment w:val="baseline"/>
              <w:rPr>
                <w:rFonts w:ascii="Verdana" w:hAnsi="Verdana"/>
                <w:color w:val="434342"/>
                <w:sz w:val="18"/>
                <w:szCs w:val="18"/>
              </w:rPr>
            </w:pPr>
            <w:r w:rsidRPr="59C3CF1A">
              <w:rPr>
                <w:rFonts w:ascii="Verdana" w:hAnsi="Verdana"/>
                <w:color w:val="434342"/>
                <w:sz w:val="18"/>
                <w:szCs w:val="18"/>
              </w:rPr>
              <w:t xml:space="preserve">Typographic cues (bold, size, </w:t>
            </w:r>
            <w:proofErr w:type="spellStart"/>
            <w:r w:rsidRPr="59C3CF1A">
              <w:rPr>
                <w:rFonts w:ascii="Verdana" w:hAnsi="Verdana"/>
                <w:color w:val="434342"/>
                <w:sz w:val="18"/>
                <w:szCs w:val="18"/>
              </w:rPr>
              <w:t>colour</w:t>
            </w:r>
            <w:proofErr w:type="spellEnd"/>
            <w:r w:rsidRPr="59C3CF1A">
              <w:rPr>
                <w:rFonts w:ascii="Verdana" w:hAnsi="Verdana"/>
                <w:color w:val="434342"/>
                <w:sz w:val="18"/>
                <w:szCs w:val="18"/>
              </w:rPr>
              <w:t xml:space="preserve">) </w:t>
            </w:r>
            <w:proofErr w:type="spellStart"/>
            <w:r w:rsidRPr="59C3CF1A">
              <w:rPr>
                <w:rFonts w:ascii="Verdana" w:hAnsi="Verdana"/>
                <w:color w:val="434342"/>
                <w:sz w:val="18"/>
                <w:szCs w:val="18"/>
              </w:rPr>
              <w:t>emphasise</w:t>
            </w:r>
            <w:proofErr w:type="spellEnd"/>
            <w:r w:rsidRPr="59C3CF1A">
              <w:rPr>
                <w:rFonts w:ascii="Verdana" w:hAnsi="Verdana"/>
                <w:color w:val="434342"/>
                <w:sz w:val="18"/>
                <w:szCs w:val="18"/>
              </w:rPr>
              <w:t xml:space="preserve"> key points.</w:t>
            </w:r>
          </w:p>
          <w:p w14:paraId="5415758C" w14:textId="77777777" w:rsidR="000A48A1" w:rsidRPr="000A48A1" w:rsidRDefault="69CFA879" w:rsidP="69CFA879">
            <w:pPr>
              <w:numPr>
                <w:ilvl w:val="0"/>
                <w:numId w:val="11"/>
              </w:numPr>
              <w:spacing w:line="240" w:lineRule="auto"/>
              <w:ind w:left="150" w:right="150"/>
              <w:jc w:val="left"/>
              <w:textAlignment w:val="baseline"/>
              <w:rPr>
                <w:rFonts w:ascii="Verdana" w:hAnsi="Verdana"/>
                <w:color w:val="434342"/>
                <w:sz w:val="18"/>
                <w:szCs w:val="18"/>
              </w:rPr>
            </w:pPr>
            <w:r w:rsidRPr="69CFA879">
              <w:rPr>
                <w:rFonts w:ascii="Verdana" w:hAnsi="Verdana"/>
                <w:color w:val="434342"/>
                <w:sz w:val="18"/>
                <w:szCs w:val="18"/>
              </w:rPr>
              <w:t xml:space="preserve">No ALL CAPS </w:t>
            </w:r>
            <w:proofErr w:type="gramStart"/>
            <w:r w:rsidRPr="69CFA879">
              <w:rPr>
                <w:rFonts w:ascii="Verdana" w:hAnsi="Verdana"/>
                <w:color w:val="434342"/>
                <w:sz w:val="18"/>
                <w:szCs w:val="18"/>
              </w:rPr>
              <w:t>are used</w:t>
            </w:r>
            <w:proofErr w:type="gramEnd"/>
            <w:r w:rsidRPr="69CFA879">
              <w:rPr>
                <w:rFonts w:ascii="Verdana" w:hAnsi="Verdana"/>
                <w:color w:val="434342"/>
                <w:sz w:val="18"/>
                <w:szCs w:val="18"/>
              </w:rPr>
              <w:t xml:space="preserve"> for long headings or running text.</w:t>
            </w:r>
          </w:p>
        </w:tc>
        <w:tc>
          <w:tcPr>
            <w:tcW w:w="55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4FD71FBC"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2</w:t>
            </w:r>
          </w:p>
        </w:tc>
      </w:tr>
      <w:tr w:rsidR="000A48A1" w:rsidRPr="000A48A1" w14:paraId="6F460D40"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63966B72"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23536548" w14:textId="77777777" w:rsidR="000A48A1" w:rsidRPr="000A48A1" w:rsidRDefault="000A48A1" w:rsidP="000A48A1">
            <w:pPr>
              <w:spacing w:line="240" w:lineRule="auto"/>
              <w:ind w:firstLine="0"/>
              <w:jc w:val="left"/>
              <w:rPr>
                <w:rFonts w:ascii="Verdana" w:hAnsi="Verdana"/>
                <w:color w:val="434342"/>
                <w:sz w:val="18"/>
                <w:szCs w:val="18"/>
              </w:rPr>
            </w:pPr>
          </w:p>
        </w:tc>
        <w:tc>
          <w:tcPr>
            <w:tcW w:w="322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6A977CF7"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Two of the superior factors are present.</w:t>
            </w:r>
          </w:p>
        </w:tc>
        <w:tc>
          <w:tcPr>
            <w:tcW w:w="55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6474E532"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1</w:t>
            </w:r>
          </w:p>
        </w:tc>
      </w:tr>
      <w:tr w:rsidR="000A48A1" w:rsidRPr="000A48A1" w14:paraId="0B82E977"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271AE1F2"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4AE5B7AF" w14:textId="77777777" w:rsidR="000A48A1" w:rsidRPr="000A48A1" w:rsidRDefault="000A48A1" w:rsidP="000A48A1">
            <w:pPr>
              <w:spacing w:line="240" w:lineRule="auto"/>
              <w:ind w:firstLine="0"/>
              <w:jc w:val="left"/>
              <w:rPr>
                <w:rFonts w:ascii="Verdana" w:hAnsi="Verdana"/>
                <w:color w:val="434342"/>
                <w:sz w:val="18"/>
                <w:szCs w:val="18"/>
              </w:rPr>
            </w:pPr>
          </w:p>
        </w:tc>
        <w:tc>
          <w:tcPr>
            <w:tcW w:w="322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6F4391D5"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 xml:space="preserve">One or none of the superior factors </w:t>
            </w:r>
            <w:proofErr w:type="gramStart"/>
            <w:r w:rsidRPr="69CFA879">
              <w:rPr>
                <w:rFonts w:ascii="Verdana" w:hAnsi="Verdana"/>
                <w:color w:val="434342"/>
                <w:sz w:val="18"/>
                <w:szCs w:val="18"/>
              </w:rPr>
              <w:t>are</w:t>
            </w:r>
            <w:proofErr w:type="gramEnd"/>
            <w:r w:rsidRPr="69CFA879">
              <w:rPr>
                <w:rFonts w:ascii="Verdana" w:hAnsi="Verdana"/>
                <w:color w:val="434342"/>
                <w:sz w:val="18"/>
                <w:szCs w:val="18"/>
              </w:rPr>
              <w:t xml:space="preserve"> present, or six or more type styles and sizes are used on a page.</w:t>
            </w:r>
          </w:p>
        </w:tc>
        <w:tc>
          <w:tcPr>
            <w:tcW w:w="55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32FFD68"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0</w:t>
            </w:r>
          </w:p>
        </w:tc>
      </w:tr>
    </w:tbl>
    <w:p w14:paraId="3955E093" w14:textId="77777777" w:rsidR="000A48A1" w:rsidRPr="000A48A1" w:rsidRDefault="000A48A1" w:rsidP="000A48A1">
      <w:pPr>
        <w:spacing w:line="240" w:lineRule="auto"/>
        <w:ind w:firstLine="0"/>
        <w:jc w:val="left"/>
        <w:rPr>
          <w:vanish/>
        </w:rPr>
      </w:pPr>
    </w:p>
    <w:tbl>
      <w:tblPr>
        <w:tblW w:w="9892" w:type="dxa"/>
        <w:shd w:val="clear" w:color="auto" w:fill="FBFAF7"/>
        <w:tblCellMar>
          <w:left w:w="0" w:type="dxa"/>
          <w:right w:w="0" w:type="dxa"/>
        </w:tblCellMar>
        <w:tblLook w:val="04A0" w:firstRow="1" w:lastRow="0" w:firstColumn="1" w:lastColumn="0" w:noHBand="0" w:noVBand="1"/>
      </w:tblPr>
      <w:tblGrid>
        <w:gridCol w:w="2233"/>
        <w:gridCol w:w="3368"/>
        <w:gridCol w:w="3450"/>
        <w:gridCol w:w="841"/>
      </w:tblGrid>
      <w:tr w:rsidR="000A48A1" w:rsidRPr="000A48A1" w14:paraId="12025F0E" w14:textId="77777777" w:rsidTr="00C440EE">
        <w:trPr>
          <w:trHeight w:val="300"/>
        </w:trPr>
        <w:tc>
          <w:tcPr>
            <w:tcW w:w="2233"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4F6584BE" w14:textId="77777777" w:rsidR="000A48A1" w:rsidRPr="000A48A1" w:rsidRDefault="59C3CF1A" w:rsidP="59C3CF1A">
            <w:pPr>
              <w:spacing w:line="240" w:lineRule="auto"/>
              <w:ind w:firstLine="0"/>
              <w:jc w:val="left"/>
              <w:rPr>
                <w:rFonts w:ascii="Verdana" w:hAnsi="Verdana"/>
                <w:color w:val="434342"/>
                <w:sz w:val="18"/>
                <w:szCs w:val="18"/>
              </w:rPr>
            </w:pPr>
            <w:r w:rsidRPr="59C3CF1A">
              <w:rPr>
                <w:rFonts w:ascii="Verdana" w:hAnsi="Verdana"/>
                <w:color w:val="434342"/>
                <w:sz w:val="18"/>
                <w:szCs w:val="18"/>
              </w:rPr>
              <w:t> </w:t>
            </w:r>
          </w:p>
        </w:tc>
        <w:tc>
          <w:tcPr>
            <w:tcW w:w="3368"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36FEDC23"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c. Subheadings ('chunking')</w:t>
            </w:r>
          </w:p>
          <w:p w14:paraId="24C83E14"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 xml:space="preserve">Few people can remember more than seven independent items. For adults with low literacy skills, the limit may be three- to five-item </w:t>
            </w:r>
            <w:r w:rsidRPr="69CFA879">
              <w:rPr>
                <w:rFonts w:ascii="Verdana" w:hAnsi="Verdana"/>
                <w:color w:val="434342"/>
                <w:sz w:val="18"/>
                <w:szCs w:val="18"/>
              </w:rPr>
              <w:lastRenderedPageBreak/>
              <w:t>lists.  Longer lists need to be broken into smaller "chunks".             </w:t>
            </w:r>
          </w:p>
        </w:tc>
        <w:tc>
          <w:tcPr>
            <w:tcW w:w="3450"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4D2E7EE1"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lastRenderedPageBreak/>
              <w:t xml:space="preserve">Lists </w:t>
            </w:r>
            <w:proofErr w:type="gramStart"/>
            <w:r w:rsidRPr="69CFA879">
              <w:rPr>
                <w:rFonts w:ascii="Verdana" w:hAnsi="Verdana"/>
                <w:color w:val="434342"/>
                <w:sz w:val="18"/>
                <w:szCs w:val="18"/>
              </w:rPr>
              <w:t>are grouped</w:t>
            </w:r>
            <w:proofErr w:type="gramEnd"/>
            <w:r w:rsidRPr="69CFA879">
              <w:rPr>
                <w:rFonts w:ascii="Verdana" w:hAnsi="Verdana"/>
                <w:color w:val="434342"/>
                <w:sz w:val="18"/>
                <w:szCs w:val="18"/>
              </w:rPr>
              <w:t xml:space="preserve"> under descriptive subheadings or "chunks". There are no more than five items presented without a subheading.          </w:t>
            </w:r>
          </w:p>
        </w:tc>
        <w:tc>
          <w:tcPr>
            <w:tcW w:w="841"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576609B1" w14:textId="55CE29C3" w:rsidR="000A48A1" w:rsidRPr="000A48A1" w:rsidRDefault="59C3CF1A" w:rsidP="00C440EE">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2</w:t>
            </w:r>
          </w:p>
        </w:tc>
      </w:tr>
      <w:tr w:rsidR="000A48A1" w:rsidRPr="000A48A1" w14:paraId="4017669B"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12C42424"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379CA55B" w14:textId="77777777" w:rsidR="000A48A1" w:rsidRPr="000A48A1" w:rsidRDefault="000A48A1" w:rsidP="000A48A1">
            <w:pPr>
              <w:spacing w:line="240" w:lineRule="auto"/>
              <w:ind w:firstLine="0"/>
              <w:jc w:val="left"/>
              <w:rPr>
                <w:rFonts w:ascii="Verdana" w:hAnsi="Verdana"/>
                <w:color w:val="434342"/>
                <w:sz w:val="18"/>
                <w:szCs w:val="18"/>
              </w:rPr>
            </w:pPr>
          </w:p>
        </w:tc>
        <w:tc>
          <w:tcPr>
            <w:tcW w:w="3450"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4386EA00"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 xml:space="preserve">No more than seven items </w:t>
            </w:r>
            <w:proofErr w:type="gramStart"/>
            <w:r w:rsidRPr="69CFA879">
              <w:rPr>
                <w:rFonts w:ascii="Verdana" w:hAnsi="Verdana"/>
                <w:color w:val="434342"/>
                <w:sz w:val="18"/>
                <w:szCs w:val="18"/>
              </w:rPr>
              <w:t>are presented</w:t>
            </w:r>
            <w:proofErr w:type="gramEnd"/>
            <w:r w:rsidRPr="69CFA879">
              <w:rPr>
                <w:rFonts w:ascii="Verdana" w:hAnsi="Verdana"/>
                <w:color w:val="434342"/>
                <w:sz w:val="18"/>
                <w:szCs w:val="18"/>
              </w:rPr>
              <w:t xml:space="preserve"> without a subheading.</w:t>
            </w:r>
          </w:p>
        </w:tc>
        <w:tc>
          <w:tcPr>
            <w:tcW w:w="841"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64E14F55"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1</w:t>
            </w:r>
          </w:p>
        </w:tc>
      </w:tr>
      <w:tr w:rsidR="000A48A1" w:rsidRPr="000A48A1" w14:paraId="53DC9E5B"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5ABF93C4"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71DCB018" w14:textId="77777777" w:rsidR="000A48A1" w:rsidRPr="000A48A1" w:rsidRDefault="000A48A1" w:rsidP="000A48A1">
            <w:pPr>
              <w:spacing w:line="240" w:lineRule="auto"/>
              <w:ind w:firstLine="0"/>
              <w:jc w:val="left"/>
              <w:rPr>
                <w:rFonts w:ascii="Verdana" w:hAnsi="Verdana"/>
                <w:color w:val="434342"/>
                <w:sz w:val="18"/>
                <w:szCs w:val="18"/>
              </w:rPr>
            </w:pPr>
          </w:p>
        </w:tc>
        <w:tc>
          <w:tcPr>
            <w:tcW w:w="3450"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5B3CE09A"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 xml:space="preserve">More than seven items </w:t>
            </w:r>
            <w:proofErr w:type="gramStart"/>
            <w:r w:rsidRPr="69CFA879">
              <w:rPr>
                <w:rFonts w:ascii="Verdana" w:hAnsi="Verdana"/>
                <w:color w:val="434342"/>
                <w:sz w:val="18"/>
                <w:szCs w:val="18"/>
              </w:rPr>
              <w:t>are presented</w:t>
            </w:r>
            <w:proofErr w:type="gramEnd"/>
            <w:r w:rsidRPr="69CFA879">
              <w:rPr>
                <w:rFonts w:ascii="Verdana" w:hAnsi="Verdana"/>
                <w:color w:val="434342"/>
                <w:sz w:val="18"/>
                <w:szCs w:val="18"/>
              </w:rPr>
              <w:t xml:space="preserve"> without a subheading.</w:t>
            </w:r>
          </w:p>
        </w:tc>
        <w:tc>
          <w:tcPr>
            <w:tcW w:w="841"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6F6BB521"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0</w:t>
            </w:r>
          </w:p>
        </w:tc>
      </w:tr>
      <w:tr w:rsidR="000A48A1" w:rsidRPr="000A48A1" w14:paraId="777D9372" w14:textId="77777777" w:rsidTr="00C440EE">
        <w:trPr>
          <w:trHeight w:val="300"/>
        </w:trPr>
        <w:tc>
          <w:tcPr>
            <w:tcW w:w="2233"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670D0D42"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5. Learning stimulation, motivation</w:t>
            </w:r>
          </w:p>
        </w:tc>
        <w:tc>
          <w:tcPr>
            <w:tcW w:w="3368"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07C6DAD5"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a. Interaction</w:t>
            </w:r>
          </w:p>
          <w:p w14:paraId="49E14743"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When a reader responds to an instruction (i.e. does something in response) chemical changes take place in the brain that enhance retention in long-term memory. Readers should be asked to solve problems, to make choices, to demonstrate, etc.</w:t>
            </w:r>
          </w:p>
        </w:tc>
        <w:tc>
          <w:tcPr>
            <w:tcW w:w="3450"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47E8F48E"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 xml:space="preserve">Problems or questions </w:t>
            </w:r>
            <w:proofErr w:type="gramStart"/>
            <w:r w:rsidRPr="69CFA879">
              <w:rPr>
                <w:rFonts w:ascii="Verdana" w:hAnsi="Verdana"/>
                <w:color w:val="434342"/>
                <w:sz w:val="18"/>
                <w:szCs w:val="18"/>
              </w:rPr>
              <w:t>are presented</w:t>
            </w:r>
            <w:proofErr w:type="gramEnd"/>
            <w:r w:rsidRPr="69CFA879">
              <w:rPr>
                <w:rFonts w:ascii="Verdana" w:hAnsi="Verdana"/>
                <w:color w:val="434342"/>
                <w:sz w:val="18"/>
                <w:szCs w:val="18"/>
              </w:rPr>
              <w:t xml:space="preserve"> for reader responses.</w:t>
            </w:r>
          </w:p>
        </w:tc>
        <w:tc>
          <w:tcPr>
            <w:tcW w:w="841"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39A728AC"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2</w:t>
            </w:r>
          </w:p>
        </w:tc>
      </w:tr>
      <w:tr w:rsidR="000A48A1" w:rsidRPr="000A48A1" w14:paraId="1DA547E3"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4B644A8D"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082C48EB" w14:textId="77777777" w:rsidR="000A48A1" w:rsidRPr="000A48A1" w:rsidRDefault="000A48A1" w:rsidP="000A48A1">
            <w:pPr>
              <w:spacing w:line="240" w:lineRule="auto"/>
              <w:ind w:firstLine="0"/>
              <w:jc w:val="left"/>
              <w:rPr>
                <w:rFonts w:ascii="Verdana" w:hAnsi="Verdana"/>
                <w:color w:val="434342"/>
                <w:sz w:val="18"/>
                <w:szCs w:val="18"/>
              </w:rPr>
            </w:pPr>
          </w:p>
        </w:tc>
        <w:tc>
          <w:tcPr>
            <w:tcW w:w="3450"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780D6F48"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 xml:space="preserve">Question-and-answer format </w:t>
            </w:r>
            <w:proofErr w:type="gramStart"/>
            <w:r w:rsidRPr="69CFA879">
              <w:rPr>
                <w:rFonts w:ascii="Verdana" w:hAnsi="Verdana"/>
                <w:color w:val="434342"/>
                <w:sz w:val="18"/>
                <w:szCs w:val="18"/>
              </w:rPr>
              <w:t>is used</w:t>
            </w:r>
            <w:proofErr w:type="gramEnd"/>
            <w:r w:rsidRPr="69CFA879">
              <w:rPr>
                <w:rFonts w:ascii="Verdana" w:hAnsi="Verdana"/>
                <w:color w:val="434342"/>
                <w:sz w:val="18"/>
                <w:szCs w:val="18"/>
              </w:rPr>
              <w:t xml:space="preserve"> to present problems and solutions (passive interaction).</w:t>
            </w:r>
          </w:p>
        </w:tc>
        <w:tc>
          <w:tcPr>
            <w:tcW w:w="841"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30470A0D"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1</w:t>
            </w:r>
          </w:p>
        </w:tc>
      </w:tr>
      <w:tr w:rsidR="000A48A1" w:rsidRPr="000A48A1" w14:paraId="65ADEF4B"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2677290C"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249BF8C6" w14:textId="77777777" w:rsidR="000A48A1" w:rsidRPr="000A48A1" w:rsidRDefault="000A48A1" w:rsidP="000A48A1">
            <w:pPr>
              <w:spacing w:line="240" w:lineRule="auto"/>
              <w:ind w:firstLine="0"/>
              <w:jc w:val="left"/>
              <w:rPr>
                <w:rFonts w:ascii="Verdana" w:hAnsi="Verdana"/>
                <w:color w:val="434342"/>
                <w:sz w:val="18"/>
                <w:szCs w:val="18"/>
              </w:rPr>
            </w:pPr>
          </w:p>
        </w:tc>
        <w:tc>
          <w:tcPr>
            <w:tcW w:w="3450"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436EF891"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No interactive learning stimulation provided.</w:t>
            </w:r>
          </w:p>
        </w:tc>
        <w:tc>
          <w:tcPr>
            <w:tcW w:w="841"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53AF8648"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0</w:t>
            </w:r>
          </w:p>
        </w:tc>
      </w:tr>
      <w:tr w:rsidR="000A48A1" w:rsidRPr="000A48A1" w14:paraId="18B84EBA"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0EF46479" w14:textId="77777777" w:rsidR="000A48A1" w:rsidRPr="000A48A1" w:rsidRDefault="000A48A1" w:rsidP="000A48A1">
            <w:pPr>
              <w:spacing w:line="240" w:lineRule="auto"/>
              <w:ind w:firstLine="0"/>
              <w:jc w:val="left"/>
              <w:rPr>
                <w:rFonts w:ascii="Verdana" w:hAnsi="Verdana"/>
                <w:color w:val="434342"/>
                <w:sz w:val="18"/>
                <w:szCs w:val="18"/>
              </w:rPr>
            </w:pPr>
          </w:p>
        </w:tc>
        <w:tc>
          <w:tcPr>
            <w:tcW w:w="3368"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0D83639B"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 xml:space="preserve">b. Modelling of </w:t>
            </w:r>
            <w:proofErr w:type="spellStart"/>
            <w:r w:rsidRPr="59C3CF1A">
              <w:rPr>
                <w:rFonts w:ascii="Verdana" w:hAnsi="Verdana"/>
                <w:color w:val="434342"/>
                <w:sz w:val="18"/>
                <w:szCs w:val="18"/>
              </w:rPr>
              <w:t>behaviours</w:t>
            </w:r>
            <w:proofErr w:type="spellEnd"/>
          </w:p>
          <w:p w14:paraId="0FE5030D"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 xml:space="preserve">People often learn more readily by observation, by doing something for themselves rather than by reading or </w:t>
            </w:r>
            <w:proofErr w:type="gramStart"/>
            <w:r w:rsidRPr="69CFA879">
              <w:rPr>
                <w:rFonts w:ascii="Verdana" w:hAnsi="Verdana"/>
                <w:color w:val="434342"/>
                <w:sz w:val="18"/>
                <w:szCs w:val="18"/>
              </w:rPr>
              <w:t>being told</w:t>
            </w:r>
            <w:proofErr w:type="gramEnd"/>
            <w:r w:rsidRPr="69CFA879">
              <w:rPr>
                <w:rFonts w:ascii="Verdana" w:hAnsi="Verdana"/>
                <w:color w:val="434342"/>
                <w:sz w:val="18"/>
                <w:szCs w:val="18"/>
              </w:rPr>
              <w:t>, and when specific, familiar instances are used rather than the abstract or general.</w:t>
            </w:r>
          </w:p>
        </w:tc>
        <w:tc>
          <w:tcPr>
            <w:tcW w:w="3450"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038F93E9"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 xml:space="preserve">Instruction models specific </w:t>
            </w:r>
            <w:proofErr w:type="spellStart"/>
            <w:r w:rsidRPr="59C3CF1A">
              <w:rPr>
                <w:rFonts w:ascii="Verdana" w:hAnsi="Verdana"/>
                <w:color w:val="434342"/>
                <w:sz w:val="18"/>
                <w:szCs w:val="18"/>
              </w:rPr>
              <w:t>behaviours</w:t>
            </w:r>
            <w:proofErr w:type="spellEnd"/>
            <w:r w:rsidRPr="59C3CF1A">
              <w:rPr>
                <w:rFonts w:ascii="Verdana" w:hAnsi="Verdana"/>
                <w:color w:val="434342"/>
                <w:sz w:val="18"/>
                <w:szCs w:val="18"/>
              </w:rPr>
              <w:t xml:space="preserve"> or skills, e.g. for nutrition instruction, emphasis is given to specific </w:t>
            </w:r>
            <w:proofErr w:type="spellStart"/>
            <w:r w:rsidRPr="59C3CF1A">
              <w:rPr>
                <w:rFonts w:ascii="Verdana" w:hAnsi="Verdana"/>
                <w:color w:val="434342"/>
                <w:sz w:val="18"/>
                <w:szCs w:val="18"/>
              </w:rPr>
              <w:t>behaviours</w:t>
            </w:r>
            <w:proofErr w:type="spellEnd"/>
            <w:r w:rsidRPr="59C3CF1A">
              <w:rPr>
                <w:rFonts w:ascii="Verdana" w:hAnsi="Verdana"/>
                <w:color w:val="434342"/>
                <w:sz w:val="18"/>
                <w:szCs w:val="18"/>
              </w:rPr>
              <w:t xml:space="preserve"> like reading produce labels.</w:t>
            </w:r>
          </w:p>
        </w:tc>
        <w:tc>
          <w:tcPr>
            <w:tcW w:w="841"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8B4C29E"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2</w:t>
            </w:r>
          </w:p>
        </w:tc>
      </w:tr>
      <w:tr w:rsidR="000A48A1" w:rsidRPr="000A48A1" w14:paraId="63EACD15"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3AB58C42"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4EA9BA15" w14:textId="77777777" w:rsidR="000A48A1" w:rsidRPr="000A48A1" w:rsidRDefault="000A48A1" w:rsidP="000A48A1">
            <w:pPr>
              <w:spacing w:line="240" w:lineRule="auto"/>
              <w:ind w:firstLine="0"/>
              <w:jc w:val="left"/>
              <w:rPr>
                <w:rFonts w:ascii="Verdana" w:hAnsi="Verdana"/>
                <w:color w:val="434342"/>
                <w:sz w:val="18"/>
                <w:szCs w:val="18"/>
              </w:rPr>
            </w:pPr>
          </w:p>
        </w:tc>
        <w:tc>
          <w:tcPr>
            <w:tcW w:w="3450"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40DE9235"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 xml:space="preserve">Information is a mix of technical and common language that the reader may not easily interpret in terms of daily living (for example, Starches:  80 calories per serve; High </w:t>
            </w:r>
            <w:proofErr w:type="spellStart"/>
            <w:r w:rsidRPr="59C3CF1A">
              <w:rPr>
                <w:rFonts w:ascii="Verdana" w:hAnsi="Verdana"/>
                <w:color w:val="434342"/>
                <w:sz w:val="18"/>
                <w:szCs w:val="18"/>
              </w:rPr>
              <w:t>fibre</w:t>
            </w:r>
            <w:proofErr w:type="spellEnd"/>
            <w:r w:rsidRPr="59C3CF1A">
              <w:rPr>
                <w:rFonts w:ascii="Verdana" w:hAnsi="Verdana"/>
                <w:color w:val="434342"/>
                <w:sz w:val="18"/>
                <w:szCs w:val="18"/>
              </w:rPr>
              <w:t xml:space="preserve">: 1–4 grams of </w:t>
            </w:r>
            <w:proofErr w:type="spellStart"/>
            <w:r w:rsidRPr="59C3CF1A">
              <w:rPr>
                <w:rFonts w:ascii="Verdana" w:hAnsi="Verdana"/>
                <w:color w:val="434342"/>
                <w:sz w:val="18"/>
                <w:szCs w:val="18"/>
              </w:rPr>
              <w:t>fibre</w:t>
            </w:r>
            <w:proofErr w:type="spellEnd"/>
            <w:r w:rsidRPr="59C3CF1A">
              <w:rPr>
                <w:rFonts w:ascii="Verdana" w:hAnsi="Verdana"/>
                <w:color w:val="434342"/>
                <w:sz w:val="18"/>
                <w:szCs w:val="18"/>
              </w:rPr>
              <w:t xml:space="preserve"> per serve).</w:t>
            </w:r>
          </w:p>
        </w:tc>
        <w:tc>
          <w:tcPr>
            <w:tcW w:w="841"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6B8E35E1"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1</w:t>
            </w:r>
          </w:p>
        </w:tc>
      </w:tr>
      <w:tr w:rsidR="000A48A1" w:rsidRPr="000A48A1" w14:paraId="0C98AAD1"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7332107B"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5D98A3F1" w14:textId="77777777" w:rsidR="000A48A1" w:rsidRPr="000A48A1" w:rsidRDefault="000A48A1" w:rsidP="000A48A1">
            <w:pPr>
              <w:spacing w:line="240" w:lineRule="auto"/>
              <w:ind w:firstLine="0"/>
              <w:jc w:val="left"/>
              <w:rPr>
                <w:rFonts w:ascii="Verdana" w:hAnsi="Verdana"/>
                <w:color w:val="434342"/>
                <w:sz w:val="18"/>
                <w:szCs w:val="18"/>
              </w:rPr>
            </w:pPr>
          </w:p>
        </w:tc>
        <w:tc>
          <w:tcPr>
            <w:tcW w:w="3450"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34D43A5A"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 xml:space="preserve">Information </w:t>
            </w:r>
            <w:proofErr w:type="gramStart"/>
            <w:r w:rsidRPr="69CFA879">
              <w:rPr>
                <w:rFonts w:ascii="Verdana" w:hAnsi="Verdana"/>
                <w:color w:val="434342"/>
                <w:sz w:val="18"/>
                <w:szCs w:val="18"/>
              </w:rPr>
              <w:t>is presented</w:t>
            </w:r>
            <w:proofErr w:type="gramEnd"/>
            <w:r w:rsidRPr="69CFA879">
              <w:rPr>
                <w:rFonts w:ascii="Verdana" w:hAnsi="Verdana"/>
                <w:color w:val="434342"/>
                <w:sz w:val="18"/>
                <w:szCs w:val="18"/>
              </w:rPr>
              <w:t xml:space="preserve"> in non-specific or category terms such as food groups.</w:t>
            </w:r>
          </w:p>
        </w:tc>
        <w:tc>
          <w:tcPr>
            <w:tcW w:w="841"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3A6AE620"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0</w:t>
            </w:r>
          </w:p>
        </w:tc>
      </w:tr>
      <w:tr w:rsidR="000A48A1" w:rsidRPr="000A48A1" w14:paraId="43723C8A"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50C86B8C" w14:textId="77777777" w:rsidR="000A48A1" w:rsidRPr="000A48A1" w:rsidRDefault="000A48A1" w:rsidP="000A48A1">
            <w:pPr>
              <w:spacing w:line="240" w:lineRule="auto"/>
              <w:ind w:firstLine="0"/>
              <w:jc w:val="left"/>
              <w:rPr>
                <w:rFonts w:ascii="Verdana" w:hAnsi="Verdana"/>
                <w:color w:val="434342"/>
                <w:sz w:val="18"/>
                <w:szCs w:val="18"/>
              </w:rPr>
            </w:pPr>
          </w:p>
        </w:tc>
        <w:tc>
          <w:tcPr>
            <w:tcW w:w="3368"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2B370782"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c. Motivation</w:t>
            </w:r>
          </w:p>
          <w:p w14:paraId="7A157C43"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People are more motivated to learn when they believe the tasks/</w:t>
            </w:r>
            <w:proofErr w:type="spellStart"/>
            <w:r w:rsidRPr="59C3CF1A">
              <w:rPr>
                <w:rFonts w:ascii="Verdana" w:hAnsi="Verdana"/>
                <w:color w:val="434342"/>
                <w:sz w:val="18"/>
                <w:szCs w:val="18"/>
              </w:rPr>
              <w:t>behaviours</w:t>
            </w:r>
            <w:proofErr w:type="spellEnd"/>
            <w:r w:rsidRPr="59C3CF1A">
              <w:rPr>
                <w:rFonts w:ascii="Verdana" w:hAnsi="Verdana"/>
                <w:color w:val="434342"/>
                <w:sz w:val="18"/>
                <w:szCs w:val="18"/>
              </w:rPr>
              <w:t xml:space="preserve"> are do-able by them.</w:t>
            </w:r>
          </w:p>
        </w:tc>
        <w:tc>
          <w:tcPr>
            <w:tcW w:w="3450"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32203CAB"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 xml:space="preserve">Complex topics </w:t>
            </w:r>
            <w:proofErr w:type="gramStart"/>
            <w:r w:rsidRPr="69CFA879">
              <w:rPr>
                <w:rFonts w:ascii="Verdana" w:hAnsi="Verdana"/>
                <w:color w:val="434342"/>
                <w:sz w:val="18"/>
                <w:szCs w:val="18"/>
              </w:rPr>
              <w:t>are subdivided</w:t>
            </w:r>
            <w:proofErr w:type="gramEnd"/>
            <w:r w:rsidRPr="69CFA879">
              <w:rPr>
                <w:rFonts w:ascii="Verdana" w:hAnsi="Verdana"/>
                <w:color w:val="434342"/>
                <w:sz w:val="18"/>
                <w:szCs w:val="18"/>
              </w:rPr>
              <w:t xml:space="preserve"> into small parts so that readers may experience small successes in understanding or problem solving, leading to self-efficacy.</w:t>
            </w:r>
          </w:p>
        </w:tc>
        <w:tc>
          <w:tcPr>
            <w:tcW w:w="841"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6DEB9483"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2</w:t>
            </w:r>
          </w:p>
        </w:tc>
      </w:tr>
      <w:tr w:rsidR="000A48A1" w:rsidRPr="000A48A1" w14:paraId="44D44B66"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60EDCC55"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3BBB8815" w14:textId="77777777" w:rsidR="000A48A1" w:rsidRPr="000A48A1" w:rsidRDefault="000A48A1" w:rsidP="000A48A1">
            <w:pPr>
              <w:spacing w:line="240" w:lineRule="auto"/>
              <w:ind w:firstLine="0"/>
              <w:jc w:val="left"/>
              <w:rPr>
                <w:rFonts w:ascii="Verdana" w:hAnsi="Verdana"/>
                <w:color w:val="434342"/>
                <w:sz w:val="18"/>
                <w:szCs w:val="18"/>
              </w:rPr>
            </w:pPr>
          </w:p>
        </w:tc>
        <w:tc>
          <w:tcPr>
            <w:tcW w:w="3450"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4465FD3E"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 xml:space="preserve">Some topics </w:t>
            </w:r>
            <w:proofErr w:type="gramStart"/>
            <w:r w:rsidRPr="69CFA879">
              <w:rPr>
                <w:rFonts w:ascii="Verdana" w:hAnsi="Verdana"/>
                <w:color w:val="434342"/>
                <w:sz w:val="18"/>
                <w:szCs w:val="18"/>
              </w:rPr>
              <w:t>are subdivided</w:t>
            </w:r>
            <w:proofErr w:type="gramEnd"/>
            <w:r w:rsidRPr="69CFA879">
              <w:rPr>
                <w:rFonts w:ascii="Verdana" w:hAnsi="Verdana"/>
                <w:color w:val="434342"/>
                <w:sz w:val="18"/>
                <w:szCs w:val="18"/>
              </w:rPr>
              <w:t xml:space="preserve"> to improve the readers' self-efficacy.</w:t>
            </w:r>
          </w:p>
        </w:tc>
        <w:tc>
          <w:tcPr>
            <w:tcW w:w="841"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4CF4B1BB"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1</w:t>
            </w:r>
          </w:p>
        </w:tc>
      </w:tr>
      <w:tr w:rsidR="000A48A1" w:rsidRPr="000A48A1" w14:paraId="18BFD2DA"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55B91B0D"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6810F0D1" w14:textId="77777777" w:rsidR="000A48A1" w:rsidRPr="000A48A1" w:rsidRDefault="000A48A1" w:rsidP="000A48A1">
            <w:pPr>
              <w:spacing w:line="240" w:lineRule="auto"/>
              <w:ind w:firstLine="0"/>
              <w:jc w:val="left"/>
              <w:rPr>
                <w:rFonts w:ascii="Verdana" w:hAnsi="Verdana"/>
                <w:color w:val="434342"/>
                <w:sz w:val="18"/>
                <w:szCs w:val="18"/>
              </w:rPr>
            </w:pPr>
          </w:p>
        </w:tc>
        <w:tc>
          <w:tcPr>
            <w:tcW w:w="3450"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52D90A3C"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 xml:space="preserve">No partitioning </w:t>
            </w:r>
            <w:proofErr w:type="gramStart"/>
            <w:r w:rsidRPr="69CFA879">
              <w:rPr>
                <w:rFonts w:ascii="Verdana" w:hAnsi="Verdana"/>
                <w:color w:val="434342"/>
                <w:sz w:val="18"/>
                <w:szCs w:val="18"/>
              </w:rPr>
              <w:t>is provided</w:t>
            </w:r>
            <w:proofErr w:type="gramEnd"/>
            <w:r w:rsidRPr="69CFA879">
              <w:rPr>
                <w:rFonts w:ascii="Verdana" w:hAnsi="Verdana"/>
                <w:color w:val="434342"/>
                <w:sz w:val="18"/>
                <w:szCs w:val="18"/>
              </w:rPr>
              <w:t xml:space="preserve"> to create opportunities for small successes.</w:t>
            </w:r>
          </w:p>
        </w:tc>
        <w:tc>
          <w:tcPr>
            <w:tcW w:w="841"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5D56E414"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0</w:t>
            </w:r>
          </w:p>
        </w:tc>
      </w:tr>
    </w:tbl>
    <w:p w14:paraId="74E797DC" w14:textId="77777777" w:rsidR="000A48A1" w:rsidRPr="000A48A1" w:rsidRDefault="000A48A1" w:rsidP="000A48A1">
      <w:pPr>
        <w:spacing w:line="240" w:lineRule="auto"/>
        <w:ind w:firstLine="0"/>
        <w:jc w:val="left"/>
        <w:rPr>
          <w:vanish/>
        </w:rPr>
      </w:pPr>
    </w:p>
    <w:tbl>
      <w:tblPr>
        <w:tblW w:w="9892" w:type="dxa"/>
        <w:shd w:val="clear" w:color="auto" w:fill="FBFAF7"/>
        <w:tblCellMar>
          <w:left w:w="0" w:type="dxa"/>
          <w:right w:w="0" w:type="dxa"/>
        </w:tblCellMar>
        <w:tblLook w:val="04A0" w:firstRow="1" w:lastRow="0" w:firstColumn="1" w:lastColumn="0" w:noHBand="0" w:noVBand="1"/>
      </w:tblPr>
      <w:tblGrid>
        <w:gridCol w:w="2352"/>
        <w:gridCol w:w="2352"/>
        <w:gridCol w:w="4673"/>
        <w:gridCol w:w="515"/>
      </w:tblGrid>
      <w:tr w:rsidR="000A48A1" w:rsidRPr="000A48A1" w14:paraId="1C50C0E4" w14:textId="77777777" w:rsidTr="00C440EE">
        <w:trPr>
          <w:trHeight w:val="300"/>
        </w:trPr>
        <w:tc>
          <w:tcPr>
            <w:tcW w:w="2352"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5EBFB6B7"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6. Cultural appropriateness</w:t>
            </w:r>
          </w:p>
        </w:tc>
        <w:tc>
          <w:tcPr>
            <w:tcW w:w="2352"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30DC649F"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a. Cultural match</w:t>
            </w:r>
          </w:p>
          <w:p w14:paraId="1A287608"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 xml:space="preserve">A valid measure of cultural appropriateness of material is how well its logic, language, and experience (inherent in the instruction) match the logic, language and experience of the intended audience. For </w:t>
            </w:r>
            <w:proofErr w:type="gramStart"/>
            <w:r w:rsidRPr="59C3CF1A">
              <w:rPr>
                <w:rFonts w:ascii="Verdana" w:hAnsi="Verdana"/>
                <w:color w:val="434342"/>
                <w:sz w:val="18"/>
                <w:szCs w:val="18"/>
              </w:rPr>
              <w:t>example</w:t>
            </w:r>
            <w:proofErr w:type="gramEnd"/>
            <w:r w:rsidRPr="59C3CF1A">
              <w:rPr>
                <w:rFonts w:ascii="Verdana" w:hAnsi="Verdana"/>
                <w:color w:val="434342"/>
                <w:sz w:val="18"/>
                <w:szCs w:val="18"/>
              </w:rPr>
              <w:t xml:space="preserve"> a nutrition instruction is a poor </w:t>
            </w:r>
            <w:r w:rsidRPr="59C3CF1A">
              <w:rPr>
                <w:rFonts w:ascii="Verdana" w:hAnsi="Verdana"/>
                <w:color w:val="434342"/>
                <w:sz w:val="18"/>
                <w:szCs w:val="18"/>
              </w:rPr>
              <w:lastRenderedPageBreak/>
              <w:t xml:space="preserve">cultural match when it tells readers to eat asparagus if asparagus is rarely eaten by people in that culture and is not sold in the readers' </w:t>
            </w:r>
            <w:proofErr w:type="spellStart"/>
            <w:r w:rsidRPr="59C3CF1A">
              <w:rPr>
                <w:rFonts w:ascii="Verdana" w:hAnsi="Verdana"/>
                <w:color w:val="434342"/>
                <w:sz w:val="18"/>
                <w:szCs w:val="18"/>
              </w:rPr>
              <w:t>neighbourhood</w:t>
            </w:r>
            <w:proofErr w:type="spellEnd"/>
            <w:r w:rsidRPr="59C3CF1A">
              <w:rPr>
                <w:rFonts w:ascii="Verdana" w:hAnsi="Verdana"/>
                <w:color w:val="434342"/>
                <w:sz w:val="18"/>
                <w:szCs w:val="18"/>
              </w:rPr>
              <w:t>.</w:t>
            </w:r>
          </w:p>
        </w:tc>
        <w:tc>
          <w:tcPr>
            <w:tcW w:w="4673"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5BC6CB67"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lastRenderedPageBreak/>
              <w:t>Central concepts/ideas of the material appear to be culturally similar to the logic, language and experience of the target culture.                                     </w:t>
            </w:r>
          </w:p>
        </w:tc>
        <w:tc>
          <w:tcPr>
            <w:tcW w:w="51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03292C0A" w14:textId="743CB690" w:rsidR="000A48A1" w:rsidRPr="000A48A1" w:rsidRDefault="59C3CF1A" w:rsidP="00C440EE">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2</w:t>
            </w:r>
          </w:p>
        </w:tc>
      </w:tr>
      <w:tr w:rsidR="000A48A1" w:rsidRPr="000A48A1" w14:paraId="57AA6B55"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25AF7EAE"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2633CEB9" w14:textId="77777777" w:rsidR="000A48A1" w:rsidRPr="000A48A1" w:rsidRDefault="000A48A1" w:rsidP="000A48A1">
            <w:pPr>
              <w:spacing w:line="240" w:lineRule="auto"/>
              <w:ind w:firstLine="0"/>
              <w:jc w:val="left"/>
              <w:rPr>
                <w:rFonts w:ascii="Verdana" w:hAnsi="Verdana"/>
                <w:color w:val="434342"/>
                <w:sz w:val="18"/>
                <w:szCs w:val="18"/>
              </w:rPr>
            </w:pPr>
          </w:p>
        </w:tc>
        <w:tc>
          <w:tcPr>
            <w:tcW w:w="4673"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72A17478"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Significant match in the logic, language and experience for 50 per cent of the central concepts.</w:t>
            </w:r>
          </w:p>
        </w:tc>
        <w:tc>
          <w:tcPr>
            <w:tcW w:w="51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463A60A7"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1</w:t>
            </w:r>
          </w:p>
        </w:tc>
      </w:tr>
      <w:tr w:rsidR="000A48A1" w:rsidRPr="000A48A1" w14:paraId="46F0993D"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4B1D477B"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65BE1F1D" w14:textId="77777777" w:rsidR="000A48A1" w:rsidRPr="000A48A1" w:rsidRDefault="000A48A1" w:rsidP="000A48A1">
            <w:pPr>
              <w:spacing w:line="240" w:lineRule="auto"/>
              <w:ind w:firstLine="0"/>
              <w:jc w:val="left"/>
              <w:rPr>
                <w:rFonts w:ascii="Verdana" w:hAnsi="Verdana"/>
                <w:color w:val="434342"/>
                <w:sz w:val="18"/>
                <w:szCs w:val="18"/>
              </w:rPr>
            </w:pPr>
          </w:p>
        </w:tc>
        <w:tc>
          <w:tcPr>
            <w:tcW w:w="4673"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0E08DBB5"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Clearly a cultural mismatch in the logic, language and experience.</w:t>
            </w:r>
          </w:p>
        </w:tc>
        <w:tc>
          <w:tcPr>
            <w:tcW w:w="51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6BC9F2DD"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0</w:t>
            </w:r>
          </w:p>
        </w:tc>
      </w:tr>
      <w:tr w:rsidR="000A48A1" w:rsidRPr="000A48A1" w14:paraId="292C08C6"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6AFAB436" w14:textId="77777777" w:rsidR="000A48A1" w:rsidRPr="000A48A1" w:rsidRDefault="000A48A1" w:rsidP="000A48A1">
            <w:pPr>
              <w:spacing w:line="240" w:lineRule="auto"/>
              <w:ind w:firstLine="0"/>
              <w:jc w:val="left"/>
              <w:rPr>
                <w:rFonts w:ascii="Verdana" w:hAnsi="Verdana"/>
                <w:color w:val="434342"/>
                <w:sz w:val="18"/>
                <w:szCs w:val="18"/>
              </w:rPr>
            </w:pPr>
          </w:p>
        </w:tc>
        <w:tc>
          <w:tcPr>
            <w:tcW w:w="2352" w:type="dxa"/>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2AD5B56"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b. Cultural image and examples</w:t>
            </w:r>
          </w:p>
          <w:p w14:paraId="489ADD7F"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To be accepted, an instruction must present cultural images and examples in realistic and positive ways.</w:t>
            </w:r>
          </w:p>
        </w:tc>
        <w:tc>
          <w:tcPr>
            <w:tcW w:w="4673"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39432440"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Images and examples present the culture in positive ways.</w:t>
            </w:r>
          </w:p>
        </w:tc>
        <w:tc>
          <w:tcPr>
            <w:tcW w:w="51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7FC42638"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2</w:t>
            </w:r>
          </w:p>
        </w:tc>
      </w:tr>
      <w:tr w:rsidR="000A48A1" w:rsidRPr="000A48A1" w14:paraId="4709FEE4"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042C5D41"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4D2E12B8" w14:textId="77777777" w:rsidR="000A48A1" w:rsidRPr="000A48A1" w:rsidRDefault="000A48A1" w:rsidP="000A48A1">
            <w:pPr>
              <w:spacing w:line="240" w:lineRule="auto"/>
              <w:ind w:firstLine="0"/>
              <w:jc w:val="left"/>
              <w:rPr>
                <w:rFonts w:ascii="Verdana" w:hAnsi="Verdana"/>
                <w:color w:val="434342"/>
                <w:sz w:val="18"/>
                <w:szCs w:val="18"/>
              </w:rPr>
            </w:pPr>
          </w:p>
        </w:tc>
        <w:tc>
          <w:tcPr>
            <w:tcW w:w="4673"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5289FE3A"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There is neutral presentation of cultural images or foods.</w:t>
            </w:r>
          </w:p>
        </w:tc>
        <w:tc>
          <w:tcPr>
            <w:tcW w:w="51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5290AB12"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1</w:t>
            </w:r>
          </w:p>
        </w:tc>
      </w:tr>
      <w:tr w:rsidR="000A48A1" w:rsidRPr="000A48A1" w14:paraId="5F6D6E51" w14:textId="77777777" w:rsidTr="00C440E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308F224F" w14:textId="77777777" w:rsidR="000A48A1" w:rsidRPr="000A48A1" w:rsidRDefault="000A48A1" w:rsidP="000A48A1">
            <w:pPr>
              <w:spacing w:line="240" w:lineRule="auto"/>
              <w:ind w:firstLine="0"/>
              <w:jc w:val="left"/>
              <w:rPr>
                <w:rFonts w:ascii="Verdana" w:hAnsi="Verdana"/>
                <w:color w:val="434342"/>
                <w:sz w:val="18"/>
                <w:szCs w:val="18"/>
              </w:rPr>
            </w:pPr>
          </w:p>
        </w:tc>
        <w:tc>
          <w:tcPr>
            <w:tcW w:w="0" w:type="auto"/>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5E6D6F63" w14:textId="77777777" w:rsidR="000A48A1" w:rsidRPr="000A48A1" w:rsidRDefault="000A48A1" w:rsidP="000A48A1">
            <w:pPr>
              <w:spacing w:line="240" w:lineRule="auto"/>
              <w:ind w:firstLine="0"/>
              <w:jc w:val="left"/>
              <w:rPr>
                <w:rFonts w:ascii="Verdana" w:hAnsi="Verdana"/>
                <w:color w:val="434342"/>
                <w:sz w:val="18"/>
                <w:szCs w:val="18"/>
              </w:rPr>
            </w:pPr>
          </w:p>
        </w:tc>
        <w:tc>
          <w:tcPr>
            <w:tcW w:w="4673"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4CE5C226" w14:textId="77777777" w:rsidR="000A48A1" w:rsidRPr="000A48A1" w:rsidRDefault="69CFA879" w:rsidP="69CFA879">
            <w:pPr>
              <w:spacing w:before="100" w:beforeAutospacing="1" w:after="100" w:afterAutospacing="1" w:line="240" w:lineRule="auto"/>
              <w:ind w:firstLine="0"/>
              <w:jc w:val="left"/>
              <w:textAlignment w:val="baseline"/>
              <w:rPr>
                <w:rFonts w:ascii="Verdana" w:hAnsi="Verdana"/>
                <w:color w:val="434342"/>
                <w:sz w:val="18"/>
                <w:szCs w:val="18"/>
              </w:rPr>
            </w:pPr>
            <w:r w:rsidRPr="69CFA879">
              <w:rPr>
                <w:rFonts w:ascii="Verdana" w:hAnsi="Verdana"/>
                <w:color w:val="434342"/>
                <w:sz w:val="18"/>
                <w:szCs w:val="18"/>
              </w:rPr>
              <w:t xml:space="preserve">Negative images </w:t>
            </w:r>
            <w:proofErr w:type="gramStart"/>
            <w:r w:rsidRPr="69CFA879">
              <w:rPr>
                <w:rFonts w:ascii="Verdana" w:hAnsi="Verdana"/>
                <w:color w:val="434342"/>
                <w:sz w:val="18"/>
                <w:szCs w:val="18"/>
              </w:rPr>
              <w:t>are used</w:t>
            </w:r>
            <w:proofErr w:type="gramEnd"/>
            <w:r w:rsidRPr="69CFA879">
              <w:rPr>
                <w:rFonts w:ascii="Verdana" w:hAnsi="Verdana"/>
                <w:color w:val="434342"/>
                <w:sz w:val="18"/>
                <w:szCs w:val="18"/>
              </w:rPr>
              <w:t>, such as exaggerated or caricatured cultural characteristics, actions or examples.</w:t>
            </w:r>
          </w:p>
        </w:tc>
        <w:tc>
          <w:tcPr>
            <w:tcW w:w="51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24452D0A" w14:textId="77777777" w:rsidR="000A48A1" w:rsidRPr="000A48A1" w:rsidRDefault="59C3CF1A" w:rsidP="59C3CF1A">
            <w:pPr>
              <w:spacing w:before="100" w:beforeAutospacing="1" w:after="100" w:afterAutospacing="1" w:line="240" w:lineRule="auto"/>
              <w:ind w:firstLine="0"/>
              <w:jc w:val="left"/>
              <w:textAlignment w:val="baseline"/>
              <w:rPr>
                <w:rFonts w:ascii="Verdana" w:hAnsi="Verdana"/>
                <w:color w:val="434342"/>
                <w:sz w:val="18"/>
                <w:szCs w:val="18"/>
              </w:rPr>
            </w:pPr>
            <w:r w:rsidRPr="59C3CF1A">
              <w:rPr>
                <w:rFonts w:ascii="Verdana" w:hAnsi="Verdana"/>
                <w:color w:val="434342"/>
                <w:sz w:val="18"/>
                <w:szCs w:val="18"/>
              </w:rPr>
              <w:t>0</w:t>
            </w:r>
          </w:p>
        </w:tc>
      </w:tr>
      <w:tr w:rsidR="000A48A1" w:rsidRPr="000A48A1" w14:paraId="19304F94" w14:textId="77777777" w:rsidTr="00C440EE">
        <w:trPr>
          <w:trHeight w:val="300"/>
        </w:trPr>
        <w:tc>
          <w:tcPr>
            <w:tcW w:w="4704" w:type="dxa"/>
            <w:gridSpan w:val="2"/>
            <w:vMerge w:val="restar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09AF38FC" w14:textId="77777777" w:rsidR="000A48A1" w:rsidRPr="000A48A1" w:rsidRDefault="59C3CF1A" w:rsidP="59C3CF1A">
            <w:pPr>
              <w:spacing w:line="240" w:lineRule="auto"/>
              <w:ind w:firstLine="0"/>
              <w:jc w:val="left"/>
              <w:rPr>
                <w:rFonts w:ascii="Verdana" w:hAnsi="Verdana"/>
                <w:color w:val="434342"/>
                <w:sz w:val="18"/>
                <w:szCs w:val="18"/>
              </w:rPr>
            </w:pPr>
            <w:r w:rsidRPr="59C3CF1A">
              <w:rPr>
                <w:rFonts w:ascii="Verdana" w:hAnsi="Verdana"/>
                <w:color w:val="434342"/>
                <w:sz w:val="18"/>
                <w:szCs w:val="18"/>
              </w:rPr>
              <w:t> </w:t>
            </w:r>
          </w:p>
        </w:tc>
        <w:tc>
          <w:tcPr>
            <w:tcW w:w="4673"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7C0DA78E" w14:textId="77777777" w:rsidR="000A48A1" w:rsidRPr="000A48A1" w:rsidRDefault="000A48A1" w:rsidP="69CFA879">
            <w:pPr>
              <w:spacing w:beforeAutospacing="1" w:afterAutospacing="1" w:line="240" w:lineRule="auto"/>
              <w:ind w:firstLine="0"/>
              <w:jc w:val="left"/>
              <w:textAlignment w:val="baseline"/>
              <w:rPr>
                <w:rFonts w:ascii="Verdana" w:hAnsi="Verdana"/>
                <w:color w:val="434342"/>
                <w:sz w:val="18"/>
                <w:szCs w:val="18"/>
              </w:rPr>
            </w:pPr>
            <w:r w:rsidRPr="000A48A1">
              <w:rPr>
                <w:rFonts w:ascii="Verdana" w:hAnsi="Verdana"/>
                <w:b/>
                <w:bCs/>
                <w:color w:val="434342"/>
                <w:sz w:val="18"/>
                <w:szCs w:val="18"/>
                <w:bdr w:val="none" w:sz="0" w:space="0" w:color="auto" w:frame="1"/>
              </w:rPr>
              <w:t>Total SAM score</w:t>
            </w:r>
          </w:p>
        </w:tc>
        <w:tc>
          <w:tcPr>
            <w:tcW w:w="51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5AA318D" w14:textId="77777777" w:rsidR="000A48A1" w:rsidRPr="000A48A1" w:rsidRDefault="59C3CF1A" w:rsidP="59C3CF1A">
            <w:pPr>
              <w:spacing w:line="240" w:lineRule="auto"/>
              <w:ind w:firstLine="0"/>
              <w:jc w:val="left"/>
              <w:rPr>
                <w:rFonts w:ascii="Verdana" w:hAnsi="Verdana"/>
                <w:color w:val="434342"/>
                <w:sz w:val="18"/>
                <w:szCs w:val="18"/>
              </w:rPr>
            </w:pPr>
            <w:r w:rsidRPr="59C3CF1A">
              <w:rPr>
                <w:rFonts w:ascii="Verdana" w:hAnsi="Verdana"/>
                <w:color w:val="434342"/>
                <w:sz w:val="18"/>
                <w:szCs w:val="18"/>
              </w:rPr>
              <w:t> </w:t>
            </w:r>
          </w:p>
        </w:tc>
      </w:tr>
      <w:tr w:rsidR="000A48A1" w:rsidRPr="000A48A1" w14:paraId="2A24B2FD" w14:textId="77777777" w:rsidTr="00C440EE">
        <w:trPr>
          <w:trHeight w:val="300"/>
        </w:trPr>
        <w:tc>
          <w:tcPr>
            <w:tcW w:w="0" w:type="auto"/>
            <w:gridSpan w:val="2"/>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7B969857" w14:textId="77777777" w:rsidR="000A48A1" w:rsidRPr="000A48A1" w:rsidRDefault="000A48A1" w:rsidP="000A48A1">
            <w:pPr>
              <w:spacing w:line="240" w:lineRule="auto"/>
              <w:ind w:firstLine="0"/>
              <w:jc w:val="left"/>
              <w:rPr>
                <w:rFonts w:ascii="Verdana" w:hAnsi="Verdana"/>
                <w:color w:val="434342"/>
                <w:sz w:val="18"/>
                <w:szCs w:val="18"/>
              </w:rPr>
            </w:pPr>
          </w:p>
        </w:tc>
        <w:tc>
          <w:tcPr>
            <w:tcW w:w="4673"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771E93F4" w14:textId="77777777" w:rsidR="000A48A1" w:rsidRPr="000A48A1" w:rsidRDefault="000A48A1" w:rsidP="69CFA879">
            <w:pPr>
              <w:spacing w:beforeAutospacing="1" w:afterAutospacing="1" w:line="240" w:lineRule="auto"/>
              <w:ind w:firstLine="0"/>
              <w:jc w:val="left"/>
              <w:textAlignment w:val="baseline"/>
              <w:rPr>
                <w:rFonts w:ascii="Verdana" w:hAnsi="Verdana"/>
                <w:color w:val="434342"/>
                <w:sz w:val="18"/>
                <w:szCs w:val="18"/>
              </w:rPr>
            </w:pPr>
            <w:r w:rsidRPr="000A48A1">
              <w:rPr>
                <w:rFonts w:ascii="Verdana" w:hAnsi="Verdana"/>
                <w:b/>
                <w:bCs/>
                <w:color w:val="434342"/>
                <w:sz w:val="18"/>
                <w:szCs w:val="18"/>
                <w:bdr w:val="none" w:sz="0" w:space="0" w:color="auto" w:frame="1"/>
              </w:rPr>
              <w:t>Total possible score</w:t>
            </w:r>
          </w:p>
        </w:tc>
        <w:tc>
          <w:tcPr>
            <w:tcW w:w="51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01512BE8" w14:textId="77777777" w:rsidR="000A48A1" w:rsidRPr="000A48A1" w:rsidRDefault="59C3CF1A" w:rsidP="59C3CF1A">
            <w:pPr>
              <w:spacing w:line="240" w:lineRule="auto"/>
              <w:ind w:firstLine="0"/>
              <w:jc w:val="left"/>
              <w:rPr>
                <w:rFonts w:ascii="Verdana" w:hAnsi="Verdana"/>
                <w:color w:val="434342"/>
                <w:sz w:val="18"/>
                <w:szCs w:val="18"/>
              </w:rPr>
            </w:pPr>
            <w:r w:rsidRPr="59C3CF1A">
              <w:rPr>
                <w:rFonts w:ascii="Verdana" w:hAnsi="Verdana"/>
                <w:color w:val="434342"/>
                <w:sz w:val="18"/>
                <w:szCs w:val="18"/>
              </w:rPr>
              <w:t> </w:t>
            </w:r>
          </w:p>
        </w:tc>
      </w:tr>
      <w:tr w:rsidR="000A48A1" w:rsidRPr="000A48A1" w14:paraId="464FE11D" w14:textId="77777777" w:rsidTr="00C440EE">
        <w:trPr>
          <w:trHeight w:val="300"/>
        </w:trPr>
        <w:tc>
          <w:tcPr>
            <w:tcW w:w="0" w:type="auto"/>
            <w:gridSpan w:val="2"/>
            <w:vMerge/>
            <w:tcBorders>
              <w:top w:val="single" w:sz="6" w:space="0" w:color="999999"/>
              <w:left w:val="single" w:sz="6" w:space="0" w:color="999999"/>
              <w:bottom w:val="single" w:sz="6" w:space="0" w:color="999999"/>
              <w:right w:val="single" w:sz="6" w:space="0" w:color="999999"/>
            </w:tcBorders>
            <w:shd w:val="clear" w:color="auto" w:fill="auto"/>
            <w:vAlign w:val="bottom"/>
            <w:hideMark/>
          </w:tcPr>
          <w:p w14:paraId="0FE634FD" w14:textId="77777777" w:rsidR="000A48A1" w:rsidRPr="000A48A1" w:rsidRDefault="000A48A1" w:rsidP="000A48A1">
            <w:pPr>
              <w:spacing w:line="240" w:lineRule="auto"/>
              <w:ind w:firstLine="0"/>
              <w:jc w:val="left"/>
              <w:rPr>
                <w:rFonts w:ascii="Verdana" w:hAnsi="Verdana"/>
                <w:color w:val="434342"/>
                <w:sz w:val="18"/>
                <w:szCs w:val="18"/>
              </w:rPr>
            </w:pPr>
          </w:p>
        </w:tc>
        <w:tc>
          <w:tcPr>
            <w:tcW w:w="4673"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11B3A823" w14:textId="77777777" w:rsidR="000A48A1" w:rsidRPr="000A48A1" w:rsidRDefault="000A48A1" w:rsidP="69CFA879">
            <w:pPr>
              <w:spacing w:beforeAutospacing="1" w:afterAutospacing="1" w:line="240" w:lineRule="auto"/>
              <w:ind w:firstLine="0"/>
              <w:jc w:val="left"/>
              <w:textAlignment w:val="baseline"/>
              <w:rPr>
                <w:rFonts w:ascii="Verdana" w:hAnsi="Verdana"/>
                <w:color w:val="434342"/>
                <w:sz w:val="18"/>
                <w:szCs w:val="18"/>
              </w:rPr>
            </w:pPr>
            <w:r w:rsidRPr="000A48A1">
              <w:rPr>
                <w:rFonts w:ascii="Verdana" w:hAnsi="Verdana"/>
                <w:b/>
                <w:bCs/>
                <w:color w:val="434342"/>
                <w:sz w:val="18"/>
                <w:szCs w:val="18"/>
                <w:bdr w:val="none" w:sz="0" w:space="0" w:color="auto" w:frame="1"/>
              </w:rPr>
              <w:t>Per cent score</w:t>
            </w:r>
          </w:p>
        </w:tc>
        <w:tc>
          <w:tcPr>
            <w:tcW w:w="515"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vAlign w:val="bottom"/>
            <w:hideMark/>
          </w:tcPr>
          <w:p w14:paraId="0DA70637" w14:textId="77777777" w:rsidR="000A48A1" w:rsidRPr="000A48A1" w:rsidRDefault="59C3CF1A" w:rsidP="59C3CF1A">
            <w:pPr>
              <w:spacing w:line="240" w:lineRule="auto"/>
              <w:ind w:firstLine="0"/>
              <w:jc w:val="left"/>
              <w:rPr>
                <w:rFonts w:ascii="Verdana" w:hAnsi="Verdana"/>
                <w:color w:val="434342"/>
                <w:sz w:val="18"/>
                <w:szCs w:val="18"/>
              </w:rPr>
            </w:pPr>
            <w:r w:rsidRPr="59C3CF1A">
              <w:rPr>
                <w:rFonts w:ascii="Verdana" w:hAnsi="Verdana"/>
                <w:color w:val="434342"/>
                <w:sz w:val="18"/>
                <w:szCs w:val="18"/>
              </w:rPr>
              <w:t> </w:t>
            </w:r>
          </w:p>
        </w:tc>
      </w:tr>
    </w:tbl>
    <w:p w14:paraId="62A1F980" w14:textId="77777777" w:rsidR="000A48A1" w:rsidRPr="000A48A1" w:rsidRDefault="000A48A1" w:rsidP="000A48A1"/>
    <w:p w14:paraId="3E32905C" w14:textId="77777777" w:rsidR="00DA5BA8" w:rsidRDefault="69CFA879" w:rsidP="69CFA879">
      <w:pPr>
        <w:pStyle w:val="Heading"/>
      </w:pPr>
      <w:bookmarkStart w:id="49" w:name="_Toc525805147"/>
      <w:r>
        <w:lastRenderedPageBreak/>
        <w:t>bibliography</w:t>
      </w:r>
      <w:bookmarkEnd w:id="49"/>
    </w:p>
    <w:p w14:paraId="7A6F02F4" w14:textId="77777777" w:rsidR="00181FDF" w:rsidRDefault="59C3CF1A" w:rsidP="00DA5BA8">
      <w:pPr>
        <w:pStyle w:val="BibliographyEntry"/>
      </w:pPr>
      <w:proofErr w:type="spellStart"/>
      <w:r>
        <w:t>Addler</w:t>
      </w:r>
      <w:proofErr w:type="spellEnd"/>
      <w:r>
        <w:t xml:space="preserve"> NE &amp; </w:t>
      </w:r>
      <w:proofErr w:type="spellStart"/>
      <w:r>
        <w:t>Ostrove</w:t>
      </w:r>
      <w:proofErr w:type="spellEnd"/>
      <w:r>
        <w:t xml:space="preserve"> JM. (1999). </w:t>
      </w:r>
      <w:proofErr w:type="gramStart"/>
      <w:r>
        <w:t>Socioeconomic</w:t>
      </w:r>
      <w:proofErr w:type="gramEnd"/>
      <w:r>
        <w:t xml:space="preserve"> status and health: what we know and what we don’t. </w:t>
      </w:r>
      <w:r w:rsidRPr="59C3CF1A">
        <w:rPr>
          <w:i/>
          <w:iCs/>
        </w:rPr>
        <w:t>Annals of the New York Academy of Sciences</w:t>
      </w:r>
      <w:r>
        <w:t xml:space="preserve">. </w:t>
      </w:r>
      <w:proofErr w:type="gramStart"/>
      <w:r>
        <w:t>896</w:t>
      </w:r>
      <w:proofErr w:type="gramEnd"/>
      <w:r>
        <w:t xml:space="preserve">: 3-15. </w:t>
      </w:r>
    </w:p>
    <w:p w14:paraId="1300577C" w14:textId="77777777" w:rsidR="002F0376" w:rsidRDefault="69CFA879" w:rsidP="00DA5BA8">
      <w:pPr>
        <w:pStyle w:val="BibliographyEntry"/>
      </w:pPr>
      <w:proofErr w:type="spellStart"/>
      <w:r>
        <w:t>Agresti</w:t>
      </w:r>
      <w:proofErr w:type="spellEnd"/>
      <w:r>
        <w:t xml:space="preserve"> A. (1992). A survey of exact inference for contingency tables. </w:t>
      </w:r>
      <w:r w:rsidRPr="69CFA879">
        <w:rPr>
          <w:i/>
          <w:iCs/>
        </w:rPr>
        <w:t>Statistical Science</w:t>
      </w:r>
      <w:r>
        <w:t>. 7(1): 131-53.</w:t>
      </w:r>
    </w:p>
    <w:p w14:paraId="1B9B9FB5" w14:textId="77777777" w:rsidR="00294F0C" w:rsidRDefault="59C3CF1A" w:rsidP="00DA5BA8">
      <w:pPr>
        <w:pStyle w:val="BibliographyEntry"/>
      </w:pPr>
      <w:r>
        <w:t xml:space="preserve">Al </w:t>
      </w:r>
      <w:proofErr w:type="spellStart"/>
      <w:r>
        <w:t>Sayah</w:t>
      </w:r>
      <w:proofErr w:type="spellEnd"/>
      <w:r>
        <w:t xml:space="preserve"> F, et al. (2013). Health literacy and health outcomes in diabetes: a systematic review. </w:t>
      </w:r>
      <w:r w:rsidRPr="59C3CF1A">
        <w:rPr>
          <w:i/>
          <w:iCs/>
        </w:rPr>
        <w:t>Journal of General Internal Medicine</w:t>
      </w:r>
      <w:r>
        <w:t xml:space="preserve">. 28(3): 444-52. </w:t>
      </w:r>
    </w:p>
    <w:p w14:paraId="6104D863" w14:textId="77777777" w:rsidR="007F159C" w:rsidRDefault="69CFA879" w:rsidP="00DA5BA8">
      <w:pPr>
        <w:pStyle w:val="BibliographyEntry"/>
      </w:pPr>
      <w:r>
        <w:t xml:space="preserve">American Academy of Pediatrics. (2010). Table 3: Pediatric Office Visits by Physician Specialty by Patient Age, 2004-2007 Annual Average. In </w:t>
      </w:r>
      <w:r w:rsidRPr="69CFA879">
        <w:rPr>
          <w:i/>
          <w:iCs/>
        </w:rPr>
        <w:t>Profile of Pediatric Visits</w:t>
      </w:r>
      <w:r>
        <w:t xml:space="preserve">. Retrieved July </w:t>
      </w:r>
      <w:proofErr w:type="gramStart"/>
      <w:r>
        <w:t>1</w:t>
      </w:r>
      <w:r w:rsidRPr="69CFA879">
        <w:rPr>
          <w:vertAlign w:val="superscript"/>
        </w:rPr>
        <w:t>st</w:t>
      </w:r>
      <w:proofErr w:type="gramEnd"/>
      <w:r>
        <w:t>, from https://www.aap.org/en-us/Documents/practicet_Profile_Pediatric_Visits.pdf.</w:t>
      </w:r>
    </w:p>
    <w:p w14:paraId="4ED98759" w14:textId="77777777" w:rsidR="001B33DA" w:rsidRDefault="69CFA879" w:rsidP="00DA5BA8">
      <w:pPr>
        <w:pStyle w:val="BibliographyEntry"/>
      </w:pPr>
      <w:r>
        <w:t xml:space="preserve">American Medical Association. (2007). Health Literacy Education Kit 2007. American Medical Association. </w:t>
      </w:r>
    </w:p>
    <w:p w14:paraId="3262A374" w14:textId="77777777" w:rsidR="00EA4611" w:rsidRDefault="69CFA879" w:rsidP="00DA5BA8">
      <w:pPr>
        <w:pStyle w:val="BibliographyEntry"/>
      </w:pPr>
      <w:proofErr w:type="spellStart"/>
      <w:r>
        <w:t>Arterburn</w:t>
      </w:r>
      <w:proofErr w:type="spellEnd"/>
      <w:r>
        <w:t xml:space="preserve"> DE, et al. (2011). Randomized trial of a video-based patient decision aid for bariatric surgery. </w:t>
      </w:r>
      <w:r w:rsidRPr="69CFA879">
        <w:rPr>
          <w:i/>
          <w:iCs/>
        </w:rPr>
        <w:t>Obesity (Silver Spring)</w:t>
      </w:r>
      <w:r>
        <w:t xml:space="preserve">. 19(8): 1669-75. </w:t>
      </w:r>
    </w:p>
    <w:p w14:paraId="1F965D1E" w14:textId="77777777" w:rsidR="00A9701D" w:rsidRDefault="59C3CF1A" w:rsidP="00DA5BA8">
      <w:pPr>
        <w:pStyle w:val="BibliographyEntry"/>
      </w:pPr>
      <w:proofErr w:type="spellStart"/>
      <w:r>
        <w:t>Badarudeen</w:t>
      </w:r>
      <w:proofErr w:type="spellEnd"/>
      <w:r>
        <w:t xml:space="preserve"> S &amp; Sabharwal S. (2010). Assessing readability of patient education materials: current role in </w:t>
      </w:r>
      <w:proofErr w:type="spellStart"/>
      <w:r>
        <w:t>orthopaedics</w:t>
      </w:r>
      <w:proofErr w:type="spellEnd"/>
      <w:r>
        <w:t xml:space="preserve">. </w:t>
      </w:r>
      <w:r w:rsidRPr="59C3CF1A">
        <w:rPr>
          <w:i/>
          <w:iCs/>
        </w:rPr>
        <w:t xml:space="preserve">Clinical </w:t>
      </w:r>
      <w:proofErr w:type="spellStart"/>
      <w:r w:rsidRPr="59C3CF1A">
        <w:rPr>
          <w:i/>
          <w:iCs/>
        </w:rPr>
        <w:t>Orthopaedics</w:t>
      </w:r>
      <w:proofErr w:type="spellEnd"/>
      <w:r w:rsidRPr="59C3CF1A">
        <w:rPr>
          <w:i/>
          <w:iCs/>
        </w:rPr>
        <w:t xml:space="preserve"> and Related Research</w:t>
      </w:r>
      <w:r>
        <w:t xml:space="preserve">. </w:t>
      </w:r>
      <w:proofErr w:type="gramStart"/>
      <w:r>
        <w:t>468</w:t>
      </w:r>
      <w:proofErr w:type="gramEnd"/>
      <w:r>
        <w:t xml:space="preserve">(10): 2572-80. </w:t>
      </w:r>
    </w:p>
    <w:p w14:paraId="7D0D1F12" w14:textId="77777777" w:rsidR="00FB64E0" w:rsidRDefault="69CFA879" w:rsidP="00DA5BA8">
      <w:pPr>
        <w:pStyle w:val="BibliographyEntry"/>
      </w:pPr>
      <w:r>
        <w:t xml:space="preserve">Barker DJ, et al. (1991). Relation of birth weight and childhood respiratory infection to adult lung function and death from chronic obstructive airway disease. </w:t>
      </w:r>
      <w:r w:rsidRPr="69CFA879">
        <w:rPr>
          <w:i/>
          <w:iCs/>
        </w:rPr>
        <w:t>British Medical Journal</w:t>
      </w:r>
      <w:r>
        <w:t xml:space="preserve">. </w:t>
      </w:r>
      <w:proofErr w:type="gramStart"/>
      <w:r>
        <w:t>303</w:t>
      </w:r>
      <w:proofErr w:type="gramEnd"/>
      <w:r>
        <w:t xml:space="preserve">(6804): 671-5. </w:t>
      </w:r>
    </w:p>
    <w:p w14:paraId="79F3089B" w14:textId="77777777" w:rsidR="00FB64E0" w:rsidRDefault="69CFA879" w:rsidP="00DA5BA8">
      <w:pPr>
        <w:pStyle w:val="BibliographyEntry"/>
      </w:pPr>
      <w:r>
        <w:t xml:space="preserve">Berkman ND, et al. (2011). Low health literacy and health outcomes: an updated systematic review. </w:t>
      </w:r>
      <w:r w:rsidRPr="69CFA879">
        <w:rPr>
          <w:i/>
          <w:iCs/>
        </w:rPr>
        <w:t>Annals of Internal Medicine</w:t>
      </w:r>
      <w:r>
        <w:t>. 155(2): 97-107.</w:t>
      </w:r>
    </w:p>
    <w:p w14:paraId="3E65A40D" w14:textId="77777777" w:rsidR="00AE0608" w:rsidRDefault="69CFA879" w:rsidP="00DA5BA8">
      <w:pPr>
        <w:pStyle w:val="BibliographyEntry"/>
      </w:pPr>
      <w:r>
        <w:t xml:space="preserve">Bernhard JC, et al. (2016). Personalized 3D printed model of kidney and tumor anatomy: a useful tool for patient education. </w:t>
      </w:r>
      <w:r w:rsidRPr="69CFA879">
        <w:rPr>
          <w:i/>
          <w:iCs/>
        </w:rPr>
        <w:t>World Journal of Urology</w:t>
      </w:r>
      <w:r>
        <w:t xml:space="preserve">. 34(3): 337-45. </w:t>
      </w:r>
    </w:p>
    <w:p w14:paraId="15D1AF6F" w14:textId="77777777" w:rsidR="001B7066" w:rsidRDefault="59C3CF1A" w:rsidP="00DA5BA8">
      <w:pPr>
        <w:pStyle w:val="BibliographyEntry"/>
      </w:pPr>
      <w:proofErr w:type="spellStart"/>
      <w:r>
        <w:t>Bokhour</w:t>
      </w:r>
      <w:proofErr w:type="spellEnd"/>
      <w:r>
        <w:t xml:space="preserve"> BG, et al. (2012). The role of patients’ explanatory models and daily-lived experience in hypertension self-management. </w:t>
      </w:r>
      <w:r w:rsidRPr="59C3CF1A">
        <w:rPr>
          <w:i/>
          <w:iCs/>
        </w:rPr>
        <w:t>Journal of General Internal Medicine</w:t>
      </w:r>
      <w:r>
        <w:t xml:space="preserve">. </w:t>
      </w:r>
      <w:proofErr w:type="gramStart"/>
      <w:r>
        <w:t>27</w:t>
      </w:r>
      <w:proofErr w:type="gramEnd"/>
      <w:r>
        <w:t xml:space="preserve">(12): 1626-34. </w:t>
      </w:r>
    </w:p>
    <w:p w14:paraId="4FB57071" w14:textId="77777777" w:rsidR="0045125D" w:rsidRDefault="0045125D" w:rsidP="59C3CF1A">
      <w:pPr>
        <w:pStyle w:val="BibliographyEntry"/>
        <w:rPr>
          <w:color w:val="000000" w:themeColor="text1"/>
        </w:rPr>
      </w:pPr>
      <w:proofErr w:type="spellStart"/>
      <w:r>
        <w:t>Bokhour</w:t>
      </w:r>
      <w:proofErr w:type="spellEnd"/>
      <w:r>
        <w:t xml:space="preserve"> BG &amp; </w:t>
      </w:r>
      <w:proofErr w:type="spellStart"/>
      <w:r>
        <w:t>Kressin</w:t>
      </w:r>
      <w:proofErr w:type="spellEnd"/>
      <w:r>
        <w:t xml:space="preserve"> NR. (2015). </w:t>
      </w:r>
      <w:proofErr w:type="gramStart"/>
      <w:r>
        <w:t>What</w:t>
      </w:r>
      <w:proofErr w:type="gramEnd"/>
      <w:r>
        <w:t xml:space="preserve"> is in a name? How Biomedical Language May Derail Patient Understanding of </w:t>
      </w:r>
      <w:r w:rsidRPr="001B7066">
        <w:t xml:space="preserve">Hypertension. </w:t>
      </w:r>
      <w:r w:rsidRPr="59C3CF1A">
        <w:rPr>
          <w:i/>
          <w:iCs/>
        </w:rPr>
        <w:t>Circulation. Cardiovascular Quality and Outcomes</w:t>
      </w:r>
      <w:r w:rsidR="001B7066" w:rsidRPr="001B7066">
        <w:t xml:space="preserve">. 8(4): 452-4. </w:t>
      </w:r>
      <w:proofErr w:type="spellStart"/>
      <w:r w:rsidRPr="001B7066">
        <w:t>Epub</w:t>
      </w:r>
      <w:proofErr w:type="spellEnd"/>
      <w:r w:rsidRPr="001B7066">
        <w:t xml:space="preserve"> 2015 Jul 7. </w:t>
      </w:r>
      <w:proofErr w:type="spellStart"/>
      <w:proofErr w:type="gramStart"/>
      <w:r w:rsidR="001B7066" w:rsidRPr="001B7066">
        <w:rPr>
          <w:color w:val="000000"/>
          <w:shd w:val="clear" w:color="auto" w:fill="FFFFFF"/>
        </w:rPr>
        <w:t>doi</w:t>
      </w:r>
      <w:proofErr w:type="spellEnd"/>
      <w:proofErr w:type="gramEnd"/>
      <w:r w:rsidR="001B7066" w:rsidRPr="001B7066">
        <w:rPr>
          <w:color w:val="000000"/>
          <w:shd w:val="clear" w:color="auto" w:fill="FFFFFF"/>
        </w:rPr>
        <w:t>: 10.1161/CIRCOUTCOMES.114.001662</w:t>
      </w:r>
      <w:r w:rsidR="001B7066">
        <w:rPr>
          <w:color w:val="000000"/>
          <w:shd w:val="clear" w:color="auto" w:fill="FFFFFF"/>
        </w:rPr>
        <w:t>.</w:t>
      </w:r>
    </w:p>
    <w:p w14:paraId="7A9A7208" w14:textId="77777777" w:rsidR="00F95ACD" w:rsidRDefault="00F95ACD" w:rsidP="69CFA879">
      <w:pPr>
        <w:pStyle w:val="BibliographyEntry"/>
        <w:rPr>
          <w:color w:val="000000" w:themeColor="text1"/>
        </w:rPr>
      </w:pPr>
      <w:proofErr w:type="spellStart"/>
      <w:r>
        <w:rPr>
          <w:color w:val="000000"/>
          <w:shd w:val="clear" w:color="auto" w:fill="FFFFFF"/>
        </w:rPr>
        <w:t>Boutin</w:t>
      </w:r>
      <w:proofErr w:type="spellEnd"/>
      <w:r>
        <w:rPr>
          <w:color w:val="000000"/>
          <w:shd w:val="clear" w:color="auto" w:fill="FFFFFF"/>
        </w:rPr>
        <w:t xml:space="preserve">-Foster C, et al. (2007). Ascribing meaning to hypertension: a qualitative study among African Americans with uncontrolled hypertension. </w:t>
      </w:r>
      <w:r w:rsidRPr="69CFA879">
        <w:rPr>
          <w:i/>
          <w:iCs/>
          <w:color w:val="000000"/>
          <w:shd w:val="clear" w:color="auto" w:fill="FFFFFF"/>
        </w:rPr>
        <w:t>Ethnicity &amp; Disease</w:t>
      </w:r>
      <w:r>
        <w:rPr>
          <w:color w:val="000000"/>
          <w:shd w:val="clear" w:color="auto" w:fill="FFFFFF"/>
        </w:rPr>
        <w:t xml:space="preserve">. 17(1): 29-34. </w:t>
      </w:r>
    </w:p>
    <w:p w14:paraId="390B9390" w14:textId="77777777" w:rsidR="00FE101D" w:rsidRDefault="00FE101D" w:rsidP="69CFA879">
      <w:pPr>
        <w:pStyle w:val="BibliographyEntry"/>
        <w:rPr>
          <w:color w:val="000000" w:themeColor="text1"/>
        </w:rPr>
      </w:pPr>
      <w:r>
        <w:rPr>
          <w:color w:val="000000"/>
          <w:shd w:val="clear" w:color="auto" w:fill="FFFFFF"/>
        </w:rPr>
        <w:lastRenderedPageBreak/>
        <w:t xml:space="preserve">Bowers N, et al. (2017). Using a multimedia presentation to improve patient understanding and satisfaction with informed consent for minimally invasive vascular procedures. </w:t>
      </w:r>
      <w:r w:rsidRPr="69CFA879">
        <w:rPr>
          <w:i/>
          <w:iCs/>
          <w:color w:val="000000"/>
          <w:shd w:val="clear" w:color="auto" w:fill="FFFFFF"/>
        </w:rPr>
        <w:t>The Surgeon: Journal of the Royal Colleges of Surgeons of Edinburgh and Ireland</w:t>
      </w:r>
      <w:r>
        <w:rPr>
          <w:color w:val="000000"/>
          <w:shd w:val="clear" w:color="auto" w:fill="FFFFFF"/>
        </w:rPr>
        <w:t xml:space="preserve">. 15(1): 7-11. </w:t>
      </w:r>
    </w:p>
    <w:p w14:paraId="134822DE" w14:textId="77777777" w:rsidR="009B1D72" w:rsidRDefault="009B1D72" w:rsidP="59C3CF1A">
      <w:pPr>
        <w:pStyle w:val="BibliographyEntry"/>
        <w:rPr>
          <w:color w:val="000000" w:themeColor="text1"/>
        </w:rPr>
      </w:pPr>
      <w:proofErr w:type="spellStart"/>
      <w:r>
        <w:rPr>
          <w:color w:val="000000"/>
          <w:shd w:val="clear" w:color="auto" w:fill="FFFFFF"/>
        </w:rPr>
        <w:t>Braveman</w:t>
      </w:r>
      <w:proofErr w:type="spellEnd"/>
      <w:r>
        <w:rPr>
          <w:color w:val="000000"/>
          <w:shd w:val="clear" w:color="auto" w:fill="FFFFFF"/>
        </w:rPr>
        <w:t xml:space="preserve"> PA, et al. (2005). </w:t>
      </w:r>
      <w:r w:rsidR="004E3089">
        <w:rPr>
          <w:color w:val="000000"/>
          <w:shd w:val="clear" w:color="auto" w:fill="FFFFFF"/>
        </w:rPr>
        <w:t xml:space="preserve">Socioeconomic status in health research: one size does not fit all. </w:t>
      </w:r>
      <w:r w:rsidR="004E3089" w:rsidRPr="59C3CF1A">
        <w:rPr>
          <w:i/>
          <w:iCs/>
          <w:color w:val="000000"/>
          <w:shd w:val="clear" w:color="auto" w:fill="FFFFFF"/>
        </w:rPr>
        <w:t>JAMA</w:t>
      </w:r>
      <w:r w:rsidR="004E3089">
        <w:rPr>
          <w:color w:val="000000"/>
          <w:shd w:val="clear" w:color="auto" w:fill="FFFFFF"/>
        </w:rPr>
        <w:t xml:space="preserve">. </w:t>
      </w:r>
      <w:proofErr w:type="gramStart"/>
      <w:r w:rsidR="004E3089">
        <w:rPr>
          <w:color w:val="000000"/>
          <w:shd w:val="clear" w:color="auto" w:fill="FFFFFF"/>
        </w:rPr>
        <w:t>294</w:t>
      </w:r>
      <w:proofErr w:type="gramEnd"/>
      <w:r w:rsidR="004E3089">
        <w:rPr>
          <w:color w:val="000000"/>
          <w:shd w:val="clear" w:color="auto" w:fill="FFFFFF"/>
        </w:rPr>
        <w:t xml:space="preserve">(22): 2879-88. </w:t>
      </w:r>
    </w:p>
    <w:p w14:paraId="5E7CBD7D" w14:textId="77777777" w:rsidR="00D53551" w:rsidRDefault="00D53551" w:rsidP="59C3CF1A">
      <w:pPr>
        <w:pStyle w:val="BibliographyEntry"/>
        <w:rPr>
          <w:color w:val="000000" w:themeColor="text1"/>
        </w:rPr>
      </w:pPr>
      <w:proofErr w:type="spellStart"/>
      <w:r>
        <w:rPr>
          <w:color w:val="000000"/>
          <w:shd w:val="clear" w:color="auto" w:fill="FFFFFF"/>
        </w:rPr>
        <w:t>Brega</w:t>
      </w:r>
      <w:proofErr w:type="spellEnd"/>
      <w:r>
        <w:rPr>
          <w:color w:val="000000"/>
          <w:shd w:val="clear" w:color="auto" w:fill="FFFFFF"/>
        </w:rPr>
        <w:t xml:space="preserve"> AG, et al. (2015). </w:t>
      </w:r>
      <w:r w:rsidRPr="59C3CF1A">
        <w:rPr>
          <w:i/>
          <w:iCs/>
          <w:color w:val="000000"/>
          <w:shd w:val="clear" w:color="auto" w:fill="FFFFFF"/>
        </w:rPr>
        <w:t xml:space="preserve">Health Literacy Universal Precautions Toolkit, </w:t>
      </w:r>
      <w:proofErr w:type="gramStart"/>
      <w:r w:rsidRPr="59C3CF1A">
        <w:rPr>
          <w:i/>
          <w:iCs/>
          <w:color w:val="000000"/>
          <w:shd w:val="clear" w:color="auto" w:fill="FFFFFF"/>
        </w:rPr>
        <w:t>2</w:t>
      </w:r>
      <w:r w:rsidRPr="59C3CF1A">
        <w:rPr>
          <w:i/>
          <w:iCs/>
          <w:color w:val="000000"/>
          <w:shd w:val="clear" w:color="auto" w:fill="FFFFFF"/>
          <w:vertAlign w:val="superscript"/>
        </w:rPr>
        <w:t>nd</w:t>
      </w:r>
      <w:proofErr w:type="gramEnd"/>
      <w:r w:rsidRPr="59C3CF1A">
        <w:rPr>
          <w:i/>
          <w:iCs/>
          <w:color w:val="000000"/>
          <w:shd w:val="clear" w:color="auto" w:fill="FFFFFF"/>
        </w:rPr>
        <w:t xml:space="preserve"> Edition</w:t>
      </w:r>
      <w:r>
        <w:rPr>
          <w:color w:val="000000"/>
          <w:shd w:val="clear" w:color="auto" w:fill="FFFFFF"/>
        </w:rPr>
        <w:t xml:space="preserve">. Prepared for the Agency for Healthcare Research and Quality. Rockville, MD. Retrieved July </w:t>
      </w:r>
      <w:proofErr w:type="gramStart"/>
      <w:r>
        <w:rPr>
          <w:color w:val="000000"/>
          <w:shd w:val="clear" w:color="auto" w:fill="FFFFFF"/>
        </w:rPr>
        <w:t>7</w:t>
      </w:r>
      <w:r w:rsidRPr="00D53551">
        <w:rPr>
          <w:color w:val="000000"/>
          <w:shd w:val="clear" w:color="auto" w:fill="FFFFFF"/>
          <w:vertAlign w:val="superscript"/>
        </w:rPr>
        <w:t>th</w:t>
      </w:r>
      <w:proofErr w:type="gramEnd"/>
      <w:r>
        <w:rPr>
          <w:color w:val="000000"/>
          <w:shd w:val="clear" w:color="auto" w:fill="FFFFFF"/>
        </w:rPr>
        <w:t xml:space="preserve">, 2018 from </w:t>
      </w:r>
      <w:r w:rsidRPr="00D53551">
        <w:rPr>
          <w:color w:val="000000"/>
          <w:shd w:val="clear" w:color="auto" w:fill="FFFFFF"/>
        </w:rPr>
        <w:t>https://www.ahrq.gov/professionals/quality-patient-safety/quality-resources/tools/literacy-toolkit/healthlittoolkit2.html</w:t>
      </w:r>
      <w:r>
        <w:rPr>
          <w:color w:val="000000"/>
          <w:shd w:val="clear" w:color="auto" w:fill="FFFFFF"/>
        </w:rPr>
        <w:t>.</w:t>
      </w:r>
    </w:p>
    <w:p w14:paraId="63D820A9" w14:textId="77777777" w:rsidR="009F69A3" w:rsidRDefault="009F69A3" w:rsidP="69CFA879">
      <w:pPr>
        <w:pStyle w:val="BibliographyEntry"/>
        <w:rPr>
          <w:color w:val="000000" w:themeColor="text1"/>
        </w:rPr>
      </w:pPr>
      <w:proofErr w:type="spellStart"/>
      <w:r>
        <w:rPr>
          <w:color w:val="000000"/>
          <w:shd w:val="clear" w:color="auto" w:fill="FFFFFF"/>
        </w:rPr>
        <w:t>Brus</w:t>
      </w:r>
      <w:proofErr w:type="spellEnd"/>
      <w:r>
        <w:rPr>
          <w:color w:val="000000"/>
          <w:shd w:val="clear" w:color="auto" w:fill="FFFFFF"/>
        </w:rPr>
        <w:t xml:space="preserve"> HL, et al. (1998). Effects of patient education on compliance with basic treatment regimens and health in recent onset active rheumatoid arthritis. </w:t>
      </w:r>
      <w:r w:rsidRPr="69CFA879">
        <w:rPr>
          <w:i/>
          <w:iCs/>
          <w:color w:val="000000"/>
          <w:shd w:val="clear" w:color="auto" w:fill="FFFFFF"/>
        </w:rPr>
        <w:t>Annals of the Rheumatic Disease</w:t>
      </w:r>
      <w:r>
        <w:rPr>
          <w:color w:val="000000"/>
          <w:shd w:val="clear" w:color="auto" w:fill="FFFFFF"/>
        </w:rPr>
        <w:t xml:space="preserve">s. 57(3): 146-51. </w:t>
      </w:r>
    </w:p>
    <w:p w14:paraId="64941EF8" w14:textId="77777777" w:rsidR="009A7B75" w:rsidRPr="001B7066" w:rsidRDefault="009A7B75" w:rsidP="00DA5BA8">
      <w:pPr>
        <w:pStyle w:val="BibliographyEntry"/>
      </w:pPr>
      <w:r>
        <w:rPr>
          <w:color w:val="000000"/>
          <w:shd w:val="clear" w:color="auto" w:fill="FFFFFF"/>
        </w:rPr>
        <w:t xml:space="preserve">Calkins DR, et al. (1997). Patient-physician communication at hospital discharge and patients’ understanding of the </w:t>
      </w:r>
      <w:proofErr w:type="spellStart"/>
      <w:r>
        <w:rPr>
          <w:color w:val="000000"/>
          <w:shd w:val="clear" w:color="auto" w:fill="FFFFFF"/>
        </w:rPr>
        <w:t>postdischarge</w:t>
      </w:r>
      <w:proofErr w:type="spellEnd"/>
      <w:r>
        <w:rPr>
          <w:color w:val="000000"/>
          <w:shd w:val="clear" w:color="auto" w:fill="FFFFFF"/>
        </w:rPr>
        <w:t xml:space="preserve"> treatment plan. </w:t>
      </w:r>
      <w:r w:rsidRPr="59C3CF1A">
        <w:rPr>
          <w:i/>
          <w:iCs/>
          <w:color w:val="000000"/>
          <w:shd w:val="clear" w:color="auto" w:fill="FFFFFF"/>
        </w:rPr>
        <w:t>Archives of Internal Medicine</w:t>
      </w:r>
      <w:r>
        <w:rPr>
          <w:color w:val="000000"/>
          <w:shd w:val="clear" w:color="auto" w:fill="FFFFFF"/>
        </w:rPr>
        <w:t xml:space="preserve">. 157(9): 1026-30. </w:t>
      </w:r>
    </w:p>
    <w:p w14:paraId="30FA0BDE" w14:textId="77777777" w:rsidR="00D13DC0" w:rsidRDefault="69CFA879" w:rsidP="00DA5BA8">
      <w:pPr>
        <w:pStyle w:val="BibliographyEntry"/>
      </w:pPr>
      <w:r>
        <w:t xml:space="preserve">Castro CM, et al. (2007). Babel babble: physicians’ use of unclarified medical jargon with patients. </w:t>
      </w:r>
      <w:r w:rsidRPr="69CFA879">
        <w:rPr>
          <w:i/>
          <w:iCs/>
        </w:rPr>
        <w:t>American Journal of Health Behavior</w:t>
      </w:r>
      <w:r>
        <w:t xml:space="preserve">. </w:t>
      </w:r>
      <w:proofErr w:type="gramStart"/>
      <w:r>
        <w:t>31</w:t>
      </w:r>
      <w:proofErr w:type="gramEnd"/>
      <w:r>
        <w:t xml:space="preserve"> </w:t>
      </w:r>
      <w:proofErr w:type="spellStart"/>
      <w:r>
        <w:t>Suppl</w:t>
      </w:r>
      <w:proofErr w:type="spellEnd"/>
      <w:r>
        <w:t xml:space="preserve"> 1: S85-95.</w:t>
      </w:r>
    </w:p>
    <w:p w14:paraId="200D6D11" w14:textId="77777777" w:rsidR="008B77E0" w:rsidRDefault="69CFA879" w:rsidP="00DA5BA8">
      <w:pPr>
        <w:pStyle w:val="BibliographyEntry"/>
      </w:pPr>
      <w:r>
        <w:t xml:space="preserve">U.S. Department of Health and Human Services, Centers for Disease Control and Prevention (CDC). (1999). </w:t>
      </w:r>
      <w:r w:rsidRPr="69CFA879">
        <w:rPr>
          <w:i/>
          <w:iCs/>
        </w:rPr>
        <w:t>Simply Put: Tips for creating easy-to-read print materials your audience will want to read and use</w:t>
      </w:r>
      <w:r>
        <w:t xml:space="preserve">. Department of Health and Human Services of the United States of America. Retrieved July </w:t>
      </w:r>
      <w:proofErr w:type="gramStart"/>
      <w:r>
        <w:t>3</w:t>
      </w:r>
      <w:r w:rsidRPr="69CFA879">
        <w:rPr>
          <w:vertAlign w:val="superscript"/>
        </w:rPr>
        <w:t>rd</w:t>
      </w:r>
      <w:proofErr w:type="gramEnd"/>
      <w:r>
        <w:t xml:space="preserve">, 2018, from </w:t>
      </w:r>
      <w:hyperlink r:id="rId12">
        <w:r w:rsidRPr="69CFA879">
          <w:rPr>
            <w:rStyle w:val="Hyperlink"/>
          </w:rPr>
          <w:t xml:space="preserve">http://www.ashg.org/pdf/CDC%20-%20'Scientific%20&amp;%20Technical%20Information%20-%20Simply%20Put'%20%20(1999).pdf. </w:t>
        </w:r>
      </w:hyperlink>
    </w:p>
    <w:p w14:paraId="402DE6F2" w14:textId="77777777" w:rsidR="00132EEC" w:rsidRDefault="69CFA879" w:rsidP="00DA5BA8">
      <w:pPr>
        <w:pStyle w:val="BibliographyEntry"/>
      </w:pPr>
      <w:r>
        <w:t xml:space="preserve">U.S. Department of Health and Human Services, Centers for Disease Control and Prevention (CDC). (2009). </w:t>
      </w:r>
      <w:r w:rsidRPr="69CFA879">
        <w:rPr>
          <w:i/>
          <w:iCs/>
        </w:rPr>
        <w:t>Simply Put: A guide for creating easy-to-understand materials</w:t>
      </w:r>
      <w:r>
        <w:t xml:space="preserve">. Department of Health and Human Services of the United States of America. Retrieved July </w:t>
      </w:r>
      <w:proofErr w:type="gramStart"/>
      <w:r>
        <w:t>3</w:t>
      </w:r>
      <w:r w:rsidRPr="69CFA879">
        <w:rPr>
          <w:vertAlign w:val="superscript"/>
        </w:rPr>
        <w:t>rd</w:t>
      </w:r>
      <w:proofErr w:type="gramEnd"/>
      <w:r>
        <w:t xml:space="preserve">, 2018, from </w:t>
      </w:r>
      <w:hyperlink r:id="rId13">
        <w:r w:rsidRPr="69CFA879">
          <w:rPr>
            <w:rStyle w:val="Hyperlink"/>
          </w:rPr>
          <w:t>https://www.cdc.gov/healthliteracy/pdf/Simply_Put.pdf</w:t>
        </w:r>
      </w:hyperlink>
      <w:r>
        <w:t xml:space="preserve">. </w:t>
      </w:r>
    </w:p>
    <w:p w14:paraId="0D3933B8" w14:textId="77777777" w:rsidR="001002B9" w:rsidRDefault="00DB6D00" w:rsidP="00DA5BA8">
      <w:pPr>
        <w:pStyle w:val="BibliographyEntry"/>
      </w:pPr>
      <w:r>
        <w:t>U.S. Department of Health and Human Services, Centers for Disease Control and Prevention (CDC)</w:t>
      </w:r>
      <w:r w:rsidR="001002B9">
        <w:t>.</w:t>
      </w:r>
      <w:r>
        <w:t xml:space="preserve"> (2016</w:t>
      </w:r>
      <w:r w:rsidR="001002B9">
        <w:t xml:space="preserve">). Health Literacy – Guidance &amp; Tools. Retrieved July </w:t>
      </w:r>
      <w:proofErr w:type="gramStart"/>
      <w:r w:rsidR="001002B9">
        <w:t>7</w:t>
      </w:r>
      <w:r w:rsidR="001002B9" w:rsidRPr="001002B9">
        <w:rPr>
          <w:vertAlign w:val="superscript"/>
        </w:rPr>
        <w:t>th</w:t>
      </w:r>
      <w:proofErr w:type="gramEnd"/>
      <w:r w:rsidR="001002B9">
        <w:t xml:space="preserve">, 2018, </w:t>
      </w:r>
      <w:hyperlink r:id="rId14" w:history="1">
        <w:r w:rsidR="001002B9" w:rsidRPr="00B74A36">
          <w:rPr>
            <w:rStyle w:val="Hyperlink"/>
          </w:rPr>
          <w:t>https://www.cdc.gov/healthliteracy/developmaterials/guidancestandards.html</w:t>
        </w:r>
      </w:hyperlink>
      <w:r w:rsidR="001002B9">
        <w:t xml:space="preserve">. </w:t>
      </w:r>
    </w:p>
    <w:p w14:paraId="62AFB2CE" w14:textId="77777777" w:rsidR="00A319CC" w:rsidRDefault="59C3CF1A" w:rsidP="00DA5BA8">
      <w:pPr>
        <w:pStyle w:val="BibliographyEntry"/>
      </w:pPr>
      <w:r>
        <w:t xml:space="preserve">Cleveland Clinic Foundation. (2013). Allogenic Transplant Patient Education Binder. Retrieved on June </w:t>
      </w:r>
      <w:proofErr w:type="gramStart"/>
      <w:r>
        <w:t>30</w:t>
      </w:r>
      <w:r w:rsidRPr="59C3CF1A">
        <w:rPr>
          <w:vertAlign w:val="superscript"/>
        </w:rPr>
        <w:t>th</w:t>
      </w:r>
      <w:proofErr w:type="gramEnd"/>
      <w:r>
        <w:t>, 2018, from https:/my.clevelandclinic.org/ccf/media/files/Cancer/patient-binders/BMT/bmt-allo-patient-education-binder.pdf.</w:t>
      </w:r>
    </w:p>
    <w:p w14:paraId="3A609D14" w14:textId="77777777" w:rsidR="00B315F3" w:rsidRDefault="69CFA879" w:rsidP="00DA5BA8">
      <w:pPr>
        <w:pStyle w:val="BibliographyEntry"/>
      </w:pPr>
      <w:r>
        <w:t xml:space="preserve">Clift K &amp; </w:t>
      </w:r>
      <w:proofErr w:type="spellStart"/>
      <w:r>
        <w:t>Rizzolo</w:t>
      </w:r>
      <w:proofErr w:type="spellEnd"/>
      <w:r>
        <w:t xml:space="preserve"> D. (2014). Vaccine myths and misconceptions. </w:t>
      </w:r>
      <w:r w:rsidRPr="69CFA879">
        <w:rPr>
          <w:i/>
          <w:iCs/>
        </w:rPr>
        <w:t>JAAPA: Official Journal of the American Academy of Physician Assistants</w:t>
      </w:r>
      <w:r>
        <w:t xml:space="preserve">. 27(8): 21-5. </w:t>
      </w:r>
    </w:p>
    <w:p w14:paraId="056D474A" w14:textId="77777777" w:rsidR="00EA1E7B" w:rsidRDefault="59C3CF1A" w:rsidP="00DA5BA8">
      <w:pPr>
        <w:pStyle w:val="BibliographyEntry"/>
      </w:pPr>
      <w:proofErr w:type="spellStart"/>
      <w:r>
        <w:lastRenderedPageBreak/>
        <w:t>Cotugna</w:t>
      </w:r>
      <w:proofErr w:type="spellEnd"/>
      <w:r>
        <w:t xml:space="preserve"> N, et al. (2005). Evaluation of literacy level of patient education pages in health-related journals. </w:t>
      </w:r>
      <w:r w:rsidRPr="59C3CF1A">
        <w:rPr>
          <w:i/>
          <w:iCs/>
        </w:rPr>
        <w:t>Journal of Community Health</w:t>
      </w:r>
      <w:r>
        <w:t xml:space="preserve">. 30(3): 213-9. </w:t>
      </w:r>
    </w:p>
    <w:p w14:paraId="3D4B77FA" w14:textId="77777777" w:rsidR="00CB78CA" w:rsidRDefault="69CFA879" w:rsidP="00DA5BA8">
      <w:pPr>
        <w:pStyle w:val="BibliographyEntry"/>
      </w:pPr>
      <w:r>
        <w:t xml:space="preserve">Crane JA. (1997). Patient comprehension of doctor-patient communication on discharge from the emergency department. </w:t>
      </w:r>
      <w:r w:rsidRPr="69CFA879">
        <w:rPr>
          <w:i/>
          <w:iCs/>
        </w:rPr>
        <w:t>Journal of Emergency Medicine</w:t>
      </w:r>
      <w:r>
        <w:t xml:space="preserve">. 15(1): 1-7. </w:t>
      </w:r>
    </w:p>
    <w:p w14:paraId="2F922E29" w14:textId="77777777" w:rsidR="000256C1" w:rsidRDefault="69CFA879" w:rsidP="00DA5BA8">
      <w:pPr>
        <w:pStyle w:val="BibliographyEntry"/>
      </w:pPr>
      <w:r>
        <w:t xml:space="preserve">D’Alessandro DM, et al. (2001). The readability of pediatric patient education materials on the World Wide Web. </w:t>
      </w:r>
      <w:r w:rsidRPr="69CFA879">
        <w:rPr>
          <w:i/>
          <w:iCs/>
        </w:rPr>
        <w:t>Archives of Pediatrics &amp; Adolescent Medicine</w:t>
      </w:r>
      <w:r>
        <w:t xml:space="preserve">. 155(7): 807-12. </w:t>
      </w:r>
    </w:p>
    <w:p w14:paraId="1A58404C" w14:textId="77777777" w:rsidR="00D53E07" w:rsidRDefault="59C3CF1A" w:rsidP="00DA5BA8">
      <w:pPr>
        <w:pStyle w:val="BibliographyEntry"/>
      </w:pPr>
      <w:proofErr w:type="gramStart"/>
      <w:r>
        <w:t>de</w:t>
      </w:r>
      <w:proofErr w:type="gramEnd"/>
      <w:r>
        <w:t xml:space="preserve"> </w:t>
      </w:r>
      <w:proofErr w:type="spellStart"/>
      <w:r>
        <w:t>Thurah</w:t>
      </w:r>
      <w:proofErr w:type="spellEnd"/>
      <w:r>
        <w:t xml:space="preserve"> A, et al. (2010). Compliance with methotrexate treatment in patients with rheumatoid arthritis: influence of patients’ beliefs about the medicine. A prospective cohort study. </w:t>
      </w:r>
      <w:r w:rsidRPr="59C3CF1A">
        <w:rPr>
          <w:i/>
          <w:iCs/>
        </w:rPr>
        <w:t>Rheumatology International</w:t>
      </w:r>
      <w:r>
        <w:t xml:space="preserve">. </w:t>
      </w:r>
      <w:proofErr w:type="gramStart"/>
      <w:r>
        <w:t>30</w:t>
      </w:r>
      <w:proofErr w:type="gramEnd"/>
      <w:r>
        <w:t xml:space="preserve">(11): 1441-8. </w:t>
      </w:r>
    </w:p>
    <w:p w14:paraId="4706EBAD" w14:textId="77777777" w:rsidR="00E83D42" w:rsidRDefault="59C3CF1A" w:rsidP="00DA5BA8">
      <w:pPr>
        <w:pStyle w:val="BibliographyEntry"/>
      </w:pPr>
      <w:proofErr w:type="spellStart"/>
      <w:r>
        <w:t>Denberg</w:t>
      </w:r>
      <w:proofErr w:type="spellEnd"/>
      <w:r>
        <w:t xml:space="preserve"> TD, et al. (2006). Patient treatment preferences in localized prostate carcinoma: The influence of emotion, misconception, and anecdote. </w:t>
      </w:r>
      <w:r w:rsidRPr="59C3CF1A">
        <w:rPr>
          <w:i/>
          <w:iCs/>
        </w:rPr>
        <w:t>Cancer</w:t>
      </w:r>
      <w:r>
        <w:t xml:space="preserve">. 107(3): 620-30. </w:t>
      </w:r>
    </w:p>
    <w:p w14:paraId="1D52B436" w14:textId="77777777" w:rsidR="007E62E7" w:rsidRDefault="69CFA879" w:rsidP="00DA5BA8">
      <w:pPr>
        <w:pStyle w:val="BibliographyEntry"/>
      </w:pPr>
      <w:proofErr w:type="spellStart"/>
      <w:r>
        <w:t>DeWalt</w:t>
      </w:r>
      <w:proofErr w:type="spellEnd"/>
      <w:r>
        <w:t xml:space="preserve"> DA, et al. (2004). Literacy and health outcomes: a systematic review of the literature. </w:t>
      </w:r>
      <w:r w:rsidRPr="69CFA879">
        <w:rPr>
          <w:i/>
          <w:iCs/>
        </w:rPr>
        <w:t>Journal of General Internal Medicine</w:t>
      </w:r>
      <w:r>
        <w:t xml:space="preserve">. </w:t>
      </w:r>
      <w:proofErr w:type="gramStart"/>
      <w:r>
        <w:t>19</w:t>
      </w:r>
      <w:proofErr w:type="gramEnd"/>
      <w:r>
        <w:t xml:space="preserve">(12): 1228-39. </w:t>
      </w:r>
    </w:p>
    <w:p w14:paraId="0247D96D" w14:textId="77777777" w:rsidR="000810D1" w:rsidRDefault="69CFA879" w:rsidP="00DA5BA8">
      <w:pPr>
        <w:pStyle w:val="BibliographyEntry"/>
      </w:pPr>
      <w:proofErr w:type="spellStart"/>
      <w:r>
        <w:t>DeWalt</w:t>
      </w:r>
      <w:proofErr w:type="spellEnd"/>
      <w:r>
        <w:t xml:space="preserve"> DA &amp; </w:t>
      </w:r>
      <w:proofErr w:type="spellStart"/>
      <w:r>
        <w:t>Hink</w:t>
      </w:r>
      <w:proofErr w:type="spellEnd"/>
      <w:r>
        <w:t xml:space="preserve"> A. (2009). Health literacy and child health outcomes: a systematic review of the literature. </w:t>
      </w:r>
      <w:r w:rsidRPr="69CFA879">
        <w:rPr>
          <w:i/>
          <w:iCs/>
        </w:rPr>
        <w:t>Pediatrics</w:t>
      </w:r>
      <w:r>
        <w:t xml:space="preserve">. </w:t>
      </w:r>
      <w:proofErr w:type="gramStart"/>
      <w:r>
        <w:t>124</w:t>
      </w:r>
      <w:proofErr w:type="gramEnd"/>
      <w:r>
        <w:t xml:space="preserve"> </w:t>
      </w:r>
      <w:proofErr w:type="spellStart"/>
      <w:r>
        <w:t>Suppl</w:t>
      </w:r>
      <w:proofErr w:type="spellEnd"/>
      <w:r>
        <w:t xml:space="preserve"> 3: S265-74. </w:t>
      </w:r>
    </w:p>
    <w:p w14:paraId="13A42E86" w14:textId="77777777" w:rsidR="00A80752" w:rsidRDefault="59C3CF1A" w:rsidP="00DA5BA8">
      <w:pPr>
        <w:pStyle w:val="BibliographyEntry"/>
      </w:pPr>
      <w:proofErr w:type="spellStart"/>
      <w:r>
        <w:t>Doak</w:t>
      </w:r>
      <w:proofErr w:type="spellEnd"/>
      <w:r>
        <w:t xml:space="preserve"> C, et al. (1996). </w:t>
      </w:r>
      <w:r w:rsidRPr="59C3CF1A">
        <w:rPr>
          <w:i/>
          <w:iCs/>
        </w:rPr>
        <w:t>Teaching Patients with Low Literacy Skills</w:t>
      </w:r>
      <w:r>
        <w:t xml:space="preserve"> (</w:t>
      </w:r>
      <w:proofErr w:type="gramStart"/>
      <w:r>
        <w:t>2</w:t>
      </w:r>
      <w:r w:rsidRPr="59C3CF1A">
        <w:rPr>
          <w:vertAlign w:val="superscript"/>
        </w:rPr>
        <w:t>nd</w:t>
      </w:r>
      <w:proofErr w:type="gramEnd"/>
      <w:r>
        <w:t xml:space="preserve"> ed.). Philadelphia, PA: </w:t>
      </w:r>
      <w:proofErr w:type="spellStart"/>
      <w:r>
        <w:t>Lipincott</w:t>
      </w:r>
      <w:proofErr w:type="spellEnd"/>
      <w:r>
        <w:t xml:space="preserve">. </w:t>
      </w:r>
    </w:p>
    <w:p w14:paraId="5067EA17" w14:textId="77777777" w:rsidR="00E57A25" w:rsidRDefault="69CFA879" w:rsidP="00DA5BA8">
      <w:pPr>
        <w:pStyle w:val="BibliographyEntry"/>
      </w:pPr>
      <w:proofErr w:type="spellStart"/>
      <w:r>
        <w:t>Dua</w:t>
      </w:r>
      <w:proofErr w:type="spellEnd"/>
      <w:r>
        <w:t xml:space="preserve"> R, et al. (2015). Common maxillofacial terminology: do our patients understand what we say? </w:t>
      </w:r>
      <w:r w:rsidRPr="69CFA879">
        <w:rPr>
          <w:i/>
          <w:iCs/>
        </w:rPr>
        <w:t>The Surgeon: Journal of the Royal Colleges of Surgeons of Edinburgh and</w:t>
      </w:r>
      <w:r>
        <w:t xml:space="preserve"> </w:t>
      </w:r>
      <w:r w:rsidRPr="69CFA879">
        <w:rPr>
          <w:i/>
          <w:iCs/>
        </w:rPr>
        <w:t>Ireland</w:t>
      </w:r>
      <w:r>
        <w:t xml:space="preserve">. 13(1): 1-4. </w:t>
      </w:r>
    </w:p>
    <w:p w14:paraId="519F2CCB" w14:textId="77777777" w:rsidR="00FB64E0" w:rsidRDefault="69CFA879" w:rsidP="00DA5BA8">
      <w:pPr>
        <w:pStyle w:val="BibliographyEntry"/>
      </w:pPr>
      <w:r>
        <w:t xml:space="preserve">Dietz WH. (1998). Health consequences of obesity in youth: childhood predictors of adult disease. </w:t>
      </w:r>
      <w:r w:rsidRPr="69CFA879">
        <w:rPr>
          <w:i/>
          <w:iCs/>
        </w:rPr>
        <w:t>Pediatrics</w:t>
      </w:r>
      <w:r>
        <w:t xml:space="preserve">. </w:t>
      </w:r>
      <w:proofErr w:type="gramStart"/>
      <w:r>
        <w:t>101</w:t>
      </w:r>
      <w:proofErr w:type="gramEnd"/>
      <w:r>
        <w:t xml:space="preserve">(3 Pt 2): 518-25. </w:t>
      </w:r>
    </w:p>
    <w:p w14:paraId="5C35351B" w14:textId="77777777" w:rsidR="00E666F5" w:rsidRDefault="59C3CF1A" w:rsidP="00DA5BA8">
      <w:pPr>
        <w:pStyle w:val="BibliographyEntry"/>
      </w:pPr>
      <w:r>
        <w:t xml:space="preserve">El </w:t>
      </w:r>
      <w:proofErr w:type="spellStart"/>
      <w:r>
        <w:t>Miedany</w:t>
      </w:r>
      <w:proofErr w:type="spellEnd"/>
      <w:r>
        <w:t xml:space="preserve"> T, et al. (2012). Assessment of the utility of visual feedback in the treatment of early rheumatoid arthritis patients: a pilot study. </w:t>
      </w:r>
      <w:r w:rsidRPr="59C3CF1A">
        <w:rPr>
          <w:i/>
          <w:iCs/>
        </w:rPr>
        <w:t>Rheumatology International</w:t>
      </w:r>
      <w:r>
        <w:t xml:space="preserve">. </w:t>
      </w:r>
      <w:proofErr w:type="gramStart"/>
      <w:r>
        <w:t>32</w:t>
      </w:r>
      <w:proofErr w:type="gramEnd"/>
      <w:r>
        <w:t xml:space="preserve">(10): 3061-8. </w:t>
      </w:r>
    </w:p>
    <w:p w14:paraId="24E7FF83" w14:textId="77777777" w:rsidR="00702C60" w:rsidRDefault="69CFA879" w:rsidP="00DA5BA8">
      <w:pPr>
        <w:pStyle w:val="BibliographyEntry"/>
      </w:pPr>
      <w:r>
        <w:t xml:space="preserve">Elliott RA. (2008). Poor Adherence to Medication in Adults with Rheumatoid Arthritis. </w:t>
      </w:r>
      <w:r w:rsidRPr="69CFA879">
        <w:rPr>
          <w:i/>
          <w:iCs/>
        </w:rPr>
        <w:t>Disease Management &amp; Health Outcomes</w:t>
      </w:r>
      <w:r>
        <w:t xml:space="preserve">. 16(1): 13-29. </w:t>
      </w:r>
    </w:p>
    <w:p w14:paraId="7C45FEF1" w14:textId="77777777" w:rsidR="001328DD" w:rsidRDefault="69CFA879" w:rsidP="00DA5BA8">
      <w:pPr>
        <w:pStyle w:val="BibliographyEntry"/>
      </w:pPr>
      <w:r>
        <w:t xml:space="preserve">Engel KG, et al. (2009). Patient comprehension of emergency department are and instructions: are patients aware of when they do not understand? </w:t>
      </w:r>
      <w:r w:rsidRPr="69CFA879">
        <w:rPr>
          <w:i/>
          <w:iCs/>
        </w:rPr>
        <w:t>Annals of Emergency Medicine</w:t>
      </w:r>
      <w:r>
        <w:t xml:space="preserve">. 53(4): 454-61. </w:t>
      </w:r>
    </w:p>
    <w:p w14:paraId="04D89F29" w14:textId="77777777" w:rsidR="00DF5B26" w:rsidRDefault="69CFA879" w:rsidP="00DA5BA8">
      <w:pPr>
        <w:pStyle w:val="BibliographyEntry"/>
      </w:pPr>
      <w:r>
        <w:t xml:space="preserve">Engel KG, et al. (2012). Patient understanding of emergency department discharge instructions: where are knowledge deficits greatest? </w:t>
      </w:r>
      <w:r w:rsidRPr="69CFA879">
        <w:rPr>
          <w:i/>
          <w:iCs/>
        </w:rPr>
        <w:t>Academic Emergency Medicine</w:t>
      </w:r>
      <w:r>
        <w:t xml:space="preserve">. 19(9): E1035-44. </w:t>
      </w:r>
    </w:p>
    <w:p w14:paraId="10D5E016" w14:textId="77777777" w:rsidR="00F05E46" w:rsidRDefault="69CFA879" w:rsidP="00DA5BA8">
      <w:pPr>
        <w:pStyle w:val="BibliographyEntry"/>
      </w:pPr>
      <w:proofErr w:type="spellStart"/>
      <w:r>
        <w:t>Fallowfield</w:t>
      </w:r>
      <w:proofErr w:type="spellEnd"/>
      <w:r>
        <w:t xml:space="preserve"> L &amp; Jenkins V. (2004). Communicating sad, bad and difficult news in medicine. </w:t>
      </w:r>
      <w:r w:rsidRPr="69CFA879">
        <w:rPr>
          <w:i/>
          <w:iCs/>
        </w:rPr>
        <w:t>Lancet</w:t>
      </w:r>
      <w:r>
        <w:t xml:space="preserve">. </w:t>
      </w:r>
      <w:proofErr w:type="gramStart"/>
      <w:r>
        <w:t>363</w:t>
      </w:r>
      <w:proofErr w:type="gramEnd"/>
      <w:r>
        <w:t xml:space="preserve">(9405): 312-9. </w:t>
      </w:r>
    </w:p>
    <w:p w14:paraId="627A7849" w14:textId="77777777" w:rsidR="00B22404" w:rsidRDefault="69CFA879" w:rsidP="00DA5BA8">
      <w:pPr>
        <w:pStyle w:val="BibliographyEntry"/>
      </w:pPr>
      <w:r>
        <w:lastRenderedPageBreak/>
        <w:t xml:space="preserve">Firth MA. (1983). Diagnosis of </w:t>
      </w:r>
      <w:proofErr w:type="spellStart"/>
      <w:r>
        <w:t>Duchenne</w:t>
      </w:r>
      <w:proofErr w:type="spellEnd"/>
      <w:r>
        <w:t xml:space="preserve"> muscular dystrophy: experiences of parents of sufferers. </w:t>
      </w:r>
      <w:r w:rsidRPr="69CFA879">
        <w:rPr>
          <w:i/>
          <w:iCs/>
        </w:rPr>
        <w:t>British Medical Journal</w:t>
      </w:r>
      <w:r>
        <w:t xml:space="preserve">. </w:t>
      </w:r>
      <w:proofErr w:type="gramStart"/>
      <w:r>
        <w:t>286</w:t>
      </w:r>
      <w:proofErr w:type="gramEnd"/>
      <w:r>
        <w:t xml:space="preserve">(6366): 700-1. </w:t>
      </w:r>
    </w:p>
    <w:p w14:paraId="2BF5C627" w14:textId="77777777" w:rsidR="00B7535F" w:rsidRDefault="69CFA879" w:rsidP="00DA5BA8">
      <w:pPr>
        <w:pStyle w:val="BibliographyEntry"/>
      </w:pPr>
      <w:r>
        <w:t xml:space="preserve">Fitzsimmons PR, et al. (2010). A readability assessment of online Parkinson’s disease information. </w:t>
      </w:r>
      <w:r w:rsidRPr="69CFA879">
        <w:rPr>
          <w:i/>
          <w:iCs/>
        </w:rPr>
        <w:t>Journal of the Royal College of Physician of Edinburgh</w:t>
      </w:r>
      <w:r>
        <w:t xml:space="preserve">. 40(4): 292-6. </w:t>
      </w:r>
    </w:p>
    <w:p w14:paraId="3771C3D6" w14:textId="77777777" w:rsidR="00E264A1" w:rsidRDefault="69CFA879" w:rsidP="00DA5BA8">
      <w:pPr>
        <w:pStyle w:val="BibliographyEntry"/>
      </w:pPr>
      <w:r>
        <w:t xml:space="preserve">Freda MC. (2005). The readability of American Academy of Pediatrics patient education brochures. </w:t>
      </w:r>
      <w:r w:rsidRPr="69CFA879">
        <w:rPr>
          <w:i/>
          <w:iCs/>
        </w:rPr>
        <w:t>Journal of Pediatric Health Care</w:t>
      </w:r>
      <w:r>
        <w:t xml:space="preserve">. 19(3): 151-6. </w:t>
      </w:r>
    </w:p>
    <w:p w14:paraId="2744B3DE" w14:textId="77777777" w:rsidR="001E3172" w:rsidRDefault="59C3CF1A" w:rsidP="00DA5BA8">
      <w:pPr>
        <w:pStyle w:val="BibliographyEntry"/>
      </w:pPr>
      <w:proofErr w:type="spellStart"/>
      <w:r>
        <w:t>Gabrijel</w:t>
      </w:r>
      <w:proofErr w:type="spellEnd"/>
      <w:r>
        <w:t xml:space="preserve"> S, et al. (2008). Receiving the diagnosis of lung cancer: patient recall of information and satisfaction with physician communication. </w:t>
      </w:r>
      <w:r w:rsidRPr="59C3CF1A">
        <w:rPr>
          <w:i/>
          <w:iCs/>
        </w:rPr>
        <w:t>Journal of Clinical Oncology</w:t>
      </w:r>
      <w:r>
        <w:t xml:space="preserve">. 26(2): 297-302. </w:t>
      </w:r>
    </w:p>
    <w:p w14:paraId="44FAE882" w14:textId="77777777" w:rsidR="00A5664E" w:rsidRDefault="69CFA879" w:rsidP="00DA5BA8">
      <w:pPr>
        <w:pStyle w:val="BibliographyEntry"/>
      </w:pPr>
      <w:r>
        <w:t xml:space="preserve">Gillette C, et al. (2018). Children with asthma and their caregivers help improve written asthma action plans: A pilot mixed-method study. </w:t>
      </w:r>
      <w:r w:rsidRPr="69CFA879">
        <w:rPr>
          <w:i/>
          <w:iCs/>
        </w:rPr>
        <w:t>Journal of Asthma</w:t>
      </w:r>
      <w:r>
        <w:t xml:space="preserve">. 55(6): 609-14. </w:t>
      </w:r>
    </w:p>
    <w:p w14:paraId="0E9534E4" w14:textId="77777777" w:rsidR="0045125D" w:rsidRDefault="59C3CF1A" w:rsidP="00DA5BA8">
      <w:pPr>
        <w:pStyle w:val="BibliographyEntry"/>
      </w:pPr>
      <w:proofErr w:type="spellStart"/>
      <w:r>
        <w:t>Ghorbanhoseini</w:t>
      </w:r>
      <w:proofErr w:type="spellEnd"/>
      <w:r>
        <w:t xml:space="preserve"> M, et al. (2017). Is it “Fractured” or “Broken”? A patient survey study to assess injury comprehension after </w:t>
      </w:r>
      <w:proofErr w:type="spellStart"/>
      <w:r>
        <w:t>orthopaedic</w:t>
      </w:r>
      <w:proofErr w:type="spellEnd"/>
      <w:r>
        <w:t xml:space="preserve"> trauma. </w:t>
      </w:r>
      <w:r w:rsidRPr="59C3CF1A">
        <w:rPr>
          <w:i/>
          <w:iCs/>
        </w:rPr>
        <w:t>The Archives of Bone and Joint Surgery</w:t>
      </w:r>
      <w:r>
        <w:t xml:space="preserve">. 5(4): 235-42. </w:t>
      </w:r>
    </w:p>
    <w:p w14:paraId="13BDAD48" w14:textId="77777777" w:rsidR="004D7411" w:rsidRDefault="69CFA879" w:rsidP="00DA5BA8">
      <w:pPr>
        <w:pStyle w:val="BibliographyEntry"/>
      </w:pPr>
      <w:r>
        <w:t xml:space="preserve">Goldsworthy MA, et al. (2017). Patient understanding of liver cirrhosis and improvement using multimedia education. </w:t>
      </w:r>
      <w:r w:rsidRPr="69CFA879">
        <w:rPr>
          <w:i/>
          <w:iCs/>
        </w:rPr>
        <w:t>Frontline Gastroenterology</w:t>
      </w:r>
      <w:r>
        <w:t xml:space="preserve">. 8(3): 214-9. </w:t>
      </w:r>
    </w:p>
    <w:p w14:paraId="26B1015B" w14:textId="77777777" w:rsidR="004B358F" w:rsidRDefault="69CFA879" w:rsidP="00DA5BA8">
      <w:pPr>
        <w:pStyle w:val="BibliographyEntry"/>
      </w:pPr>
      <w:r>
        <w:t xml:space="preserve">Gray WN, et al. (2018). Medication adherence in pediatric asthma: A systematic review of the literature. </w:t>
      </w:r>
      <w:r w:rsidRPr="69CFA879">
        <w:rPr>
          <w:i/>
          <w:iCs/>
        </w:rPr>
        <w:t>Pediatric Pulmonology</w:t>
      </w:r>
      <w:r>
        <w:t xml:space="preserve">. 53(5): 668-84. </w:t>
      </w:r>
    </w:p>
    <w:p w14:paraId="38F0AB3D" w14:textId="77777777" w:rsidR="00C252F2" w:rsidRDefault="59C3CF1A" w:rsidP="00DA5BA8">
      <w:pPr>
        <w:pStyle w:val="BibliographyEntry"/>
      </w:pPr>
      <w:r>
        <w:t xml:space="preserve">Hassan K &amp; </w:t>
      </w:r>
      <w:proofErr w:type="spellStart"/>
      <w:r>
        <w:t>Heptulla</w:t>
      </w:r>
      <w:proofErr w:type="spellEnd"/>
      <w:r>
        <w:t xml:space="preserve"> RA. (2010). Glycemic control in pediatric type 1 diabetes: role of caregiver literacy. </w:t>
      </w:r>
      <w:r w:rsidRPr="59C3CF1A">
        <w:rPr>
          <w:i/>
          <w:iCs/>
        </w:rPr>
        <w:t>Pediatrics</w:t>
      </w:r>
      <w:r>
        <w:t xml:space="preserve">. 125(5): e1104-8. </w:t>
      </w:r>
    </w:p>
    <w:p w14:paraId="3447925F" w14:textId="77777777" w:rsidR="006B13C3" w:rsidRDefault="69CFA879" w:rsidP="00DA5BA8">
      <w:pPr>
        <w:pStyle w:val="BibliographyEntry"/>
      </w:pPr>
      <w:proofErr w:type="spellStart"/>
      <w:r>
        <w:t>Hedman</w:t>
      </w:r>
      <w:proofErr w:type="spellEnd"/>
      <w:r>
        <w:t xml:space="preserve"> AS. (2008). Using the SMOG formula to revise a health-related document. American Journal of Health Education. 39(1): 61-4. </w:t>
      </w:r>
    </w:p>
    <w:p w14:paraId="298B0AEC" w14:textId="77777777" w:rsidR="004B358F" w:rsidRDefault="69CFA879" w:rsidP="00DA5BA8">
      <w:pPr>
        <w:pStyle w:val="BibliographyEntry"/>
      </w:pPr>
      <w:proofErr w:type="spellStart"/>
      <w:r>
        <w:t>Heisler</w:t>
      </w:r>
      <w:proofErr w:type="spellEnd"/>
      <w:r>
        <w:t xml:space="preserve"> M, et al. (2002). The relative importance of physician communication, participatory </w:t>
      </w:r>
      <w:proofErr w:type="gramStart"/>
      <w:r>
        <w:t>decision making</w:t>
      </w:r>
      <w:proofErr w:type="gramEnd"/>
      <w:r>
        <w:t xml:space="preserve">, and patient understanding in diabetes self-management. </w:t>
      </w:r>
      <w:r w:rsidRPr="69CFA879">
        <w:rPr>
          <w:i/>
          <w:iCs/>
        </w:rPr>
        <w:t>Journal of General Internal Medicine</w:t>
      </w:r>
      <w:r>
        <w:t xml:space="preserve">. 17(4): 243-52. </w:t>
      </w:r>
    </w:p>
    <w:p w14:paraId="19EF60F1" w14:textId="77777777" w:rsidR="009D1AE2" w:rsidRDefault="59C3CF1A" w:rsidP="00DA5BA8">
      <w:pPr>
        <w:pStyle w:val="BibliographyEntry"/>
      </w:pPr>
      <w:proofErr w:type="spellStart"/>
      <w:r>
        <w:t>Helitzer</w:t>
      </w:r>
      <w:proofErr w:type="spellEnd"/>
      <w:r>
        <w:t xml:space="preserve"> D, et al. (2009). Health literacy demands of written health information materials: an assessment of cervical cancer prevention materials. </w:t>
      </w:r>
      <w:r w:rsidRPr="59C3CF1A">
        <w:rPr>
          <w:i/>
          <w:iCs/>
        </w:rPr>
        <w:t>Cancer Control: Journal of the Moffitt Cancer Center</w:t>
      </w:r>
      <w:r>
        <w:t>. 16(1): 70-8.</w:t>
      </w:r>
    </w:p>
    <w:p w14:paraId="5C303655" w14:textId="77777777" w:rsidR="0038112E" w:rsidRDefault="69CFA879" w:rsidP="00DA5BA8">
      <w:pPr>
        <w:pStyle w:val="BibliographyEntry"/>
      </w:pPr>
      <w:proofErr w:type="spellStart"/>
      <w:r>
        <w:t>Hersh</w:t>
      </w:r>
      <w:proofErr w:type="spellEnd"/>
      <w:r>
        <w:t xml:space="preserve"> L, et al. (2015). Health literacy in primary care practice. </w:t>
      </w:r>
      <w:r w:rsidRPr="69CFA879">
        <w:rPr>
          <w:i/>
          <w:iCs/>
        </w:rPr>
        <w:t>American Family Physician</w:t>
      </w:r>
      <w:r>
        <w:t xml:space="preserve">. 92(2): 118-24. </w:t>
      </w:r>
    </w:p>
    <w:p w14:paraId="4C1EE56A" w14:textId="77777777" w:rsidR="00E666F5" w:rsidRDefault="59C3CF1A" w:rsidP="00DA5BA8">
      <w:pPr>
        <w:pStyle w:val="BibliographyEntry"/>
      </w:pPr>
      <w:r>
        <w:t xml:space="preserve">Hill J, et al. (2001). Effect of patient education on adherence to drug treatment for rheumatoid arthritis: a </w:t>
      </w:r>
      <w:proofErr w:type="spellStart"/>
      <w:r>
        <w:t>randomised</w:t>
      </w:r>
      <w:proofErr w:type="spellEnd"/>
      <w:r>
        <w:t xml:space="preserve"> controlled trial. </w:t>
      </w:r>
      <w:r w:rsidRPr="59C3CF1A">
        <w:rPr>
          <w:i/>
          <w:iCs/>
        </w:rPr>
        <w:t>Annals of the Rheumatic Diseases</w:t>
      </w:r>
      <w:r>
        <w:t xml:space="preserve">. 60(9): 869-75. </w:t>
      </w:r>
    </w:p>
    <w:p w14:paraId="50F04D09" w14:textId="77777777" w:rsidR="001F2883" w:rsidRDefault="69CFA879" w:rsidP="00DA5BA8">
      <w:pPr>
        <w:pStyle w:val="BibliographyEntry"/>
      </w:pPr>
      <w:proofErr w:type="spellStart"/>
      <w:r>
        <w:t>Horwitz</w:t>
      </w:r>
      <w:proofErr w:type="spellEnd"/>
      <w:r>
        <w:t xml:space="preserve"> LI, et al. (2013). Quality of discharge practices and patient understanding at an academic medical center. </w:t>
      </w:r>
      <w:r w:rsidRPr="69CFA879">
        <w:rPr>
          <w:i/>
          <w:iCs/>
        </w:rPr>
        <w:t>JAMA Internal Medicine</w:t>
      </w:r>
      <w:r>
        <w:t xml:space="preserve">. </w:t>
      </w:r>
      <w:proofErr w:type="gramStart"/>
      <w:r>
        <w:t>173</w:t>
      </w:r>
      <w:proofErr w:type="gramEnd"/>
      <w:r>
        <w:t xml:space="preserve">(18): 1715-22. </w:t>
      </w:r>
    </w:p>
    <w:p w14:paraId="20AD7D48" w14:textId="77777777" w:rsidR="00E57A25" w:rsidRDefault="69CFA879" w:rsidP="00DA5BA8">
      <w:pPr>
        <w:pStyle w:val="BibliographyEntry"/>
      </w:pPr>
      <w:r>
        <w:lastRenderedPageBreak/>
        <w:t xml:space="preserve">Howard T, et al. (2013). Doctor talk: Physicians’ use of clear verbal communication. </w:t>
      </w:r>
      <w:r w:rsidRPr="69CFA879">
        <w:rPr>
          <w:i/>
          <w:iCs/>
        </w:rPr>
        <w:t>Journal of Health Communication</w:t>
      </w:r>
      <w:r>
        <w:t>. 18(8): 991-1001.</w:t>
      </w:r>
    </w:p>
    <w:p w14:paraId="2B36061C" w14:textId="77777777" w:rsidR="006E07F9" w:rsidRDefault="69CFA879" w:rsidP="00DA5BA8">
      <w:pPr>
        <w:pStyle w:val="BibliographyEntry"/>
      </w:pPr>
      <w:r>
        <w:t xml:space="preserve">Howell EM &amp; Kenney GM. (2012). The impact of the Medicaid/CHIP expansions on children: a synthesis of the evidence. </w:t>
      </w:r>
      <w:r w:rsidRPr="69CFA879">
        <w:rPr>
          <w:i/>
          <w:iCs/>
        </w:rPr>
        <w:t>Medical Care Research and Review</w:t>
      </w:r>
      <w:r>
        <w:t xml:space="preserve">. 69(4): 372-96. </w:t>
      </w:r>
    </w:p>
    <w:p w14:paraId="2173CD1F" w14:textId="77777777" w:rsidR="00695493" w:rsidRDefault="69CFA879" w:rsidP="00DA5BA8">
      <w:pPr>
        <w:pStyle w:val="BibliographyEntry"/>
      </w:pPr>
      <w:r>
        <w:t xml:space="preserve">Hummel J &amp; Evans P. (2012). Providing Clinical Summaries to Patients after Each Office Visit: A Technical Guide. Retrieved June </w:t>
      </w:r>
      <w:proofErr w:type="gramStart"/>
      <w:r>
        <w:t>29</w:t>
      </w:r>
      <w:r w:rsidRPr="69CFA879">
        <w:rPr>
          <w:vertAlign w:val="superscript"/>
        </w:rPr>
        <w:t>th</w:t>
      </w:r>
      <w:proofErr w:type="gramEnd"/>
      <w:r>
        <w:t>, 2018, from https://www.healthit.gov/sites/default/files/measure-tools/avs-tech-guide.pdf.</w:t>
      </w:r>
    </w:p>
    <w:p w14:paraId="00FBFAA1" w14:textId="77777777" w:rsidR="000E6D17" w:rsidRDefault="69CFA879" w:rsidP="00DA5BA8">
      <w:pPr>
        <w:pStyle w:val="BibliographyEntry"/>
      </w:pPr>
      <w:r>
        <w:t xml:space="preserve">IBD Standards Group. Royal College of Physicians Clinical Effectiveness Unit. (2013). Standards for the Healthcare of People who have Inflammatory Bowel Disease (IBD): 2013 Update. Retrieved June </w:t>
      </w:r>
      <w:proofErr w:type="gramStart"/>
      <w:r>
        <w:t>27</w:t>
      </w:r>
      <w:r w:rsidRPr="69CFA879">
        <w:rPr>
          <w:vertAlign w:val="superscript"/>
        </w:rPr>
        <w:t>th</w:t>
      </w:r>
      <w:proofErr w:type="gramEnd"/>
      <w:r>
        <w:t xml:space="preserve">, 2018, from </w:t>
      </w:r>
      <w:hyperlink r:id="rId15">
        <w:r w:rsidRPr="69CFA879">
          <w:rPr>
            <w:rStyle w:val="Hyperlink"/>
          </w:rPr>
          <w:t>http://s3-eu-west-1.amazonaws.com/files.crohnsandcolitis.org.uk/Publications/PPR/ibd-standards.pdf.</w:t>
        </w:r>
      </w:hyperlink>
    </w:p>
    <w:p w14:paraId="62F35027" w14:textId="77777777" w:rsidR="00D71EF0" w:rsidRPr="00A90A69" w:rsidRDefault="69CFA879" w:rsidP="00DA5BA8">
      <w:pPr>
        <w:pStyle w:val="BibliographyEntry"/>
      </w:pPr>
      <w:proofErr w:type="spellStart"/>
      <w:r>
        <w:t>Ishi</w:t>
      </w:r>
      <w:proofErr w:type="spellEnd"/>
      <w:r>
        <w:t xml:space="preserve"> H &amp; Yamauchi H. (1994). A study of cognitive loading in dual-coding theory. </w:t>
      </w:r>
      <w:r w:rsidRPr="69CFA879">
        <w:rPr>
          <w:i/>
          <w:iCs/>
        </w:rPr>
        <w:t>Perceptual and Motor Skills</w:t>
      </w:r>
      <w:r>
        <w:t xml:space="preserve">. </w:t>
      </w:r>
      <w:proofErr w:type="gramStart"/>
      <w:r>
        <w:t>79</w:t>
      </w:r>
      <w:proofErr w:type="gramEnd"/>
      <w:r>
        <w:t xml:space="preserve">(1 Pt 2): 458. </w:t>
      </w:r>
    </w:p>
    <w:p w14:paraId="6A37F959" w14:textId="77777777" w:rsidR="00A90A69" w:rsidRDefault="69CFA879" w:rsidP="69CFA879">
      <w:pPr>
        <w:pStyle w:val="BibliographyEntry"/>
        <w:rPr>
          <w:color w:val="000000" w:themeColor="text1"/>
        </w:rPr>
      </w:pPr>
      <w:proofErr w:type="spellStart"/>
      <w:r w:rsidRPr="69CFA879">
        <w:rPr>
          <w:color w:val="000000" w:themeColor="text1"/>
        </w:rPr>
        <w:t>Jedlicka-Köhler</w:t>
      </w:r>
      <w:proofErr w:type="spellEnd"/>
      <w:r w:rsidRPr="69CFA879">
        <w:rPr>
          <w:color w:val="000000" w:themeColor="text1"/>
        </w:rPr>
        <w:t xml:space="preserve"> I, et al. (1996). Parents’ recollection of the initial communication of the diagnosis of cystic fibrosis. </w:t>
      </w:r>
      <w:r w:rsidRPr="69CFA879">
        <w:rPr>
          <w:i/>
          <w:iCs/>
          <w:color w:val="000000" w:themeColor="text1"/>
        </w:rPr>
        <w:t>Pediatrics</w:t>
      </w:r>
      <w:r w:rsidRPr="69CFA879">
        <w:rPr>
          <w:color w:val="000000" w:themeColor="text1"/>
        </w:rPr>
        <w:t xml:space="preserve">. 97(2): 204-9. </w:t>
      </w:r>
    </w:p>
    <w:p w14:paraId="00B77AFD" w14:textId="77777777" w:rsidR="008036B6" w:rsidRPr="00A90A69" w:rsidRDefault="59C3CF1A" w:rsidP="00DA5BA8">
      <w:pPr>
        <w:pStyle w:val="BibliographyEntry"/>
      </w:pPr>
      <w:proofErr w:type="spellStart"/>
      <w:r w:rsidRPr="59C3CF1A">
        <w:rPr>
          <w:color w:val="000000" w:themeColor="text1"/>
        </w:rPr>
        <w:t>Kandula</w:t>
      </w:r>
      <w:proofErr w:type="spellEnd"/>
      <w:r w:rsidRPr="59C3CF1A">
        <w:rPr>
          <w:color w:val="000000" w:themeColor="text1"/>
        </w:rPr>
        <w:t xml:space="preserve"> S &amp; Zeng-</w:t>
      </w:r>
      <w:proofErr w:type="spellStart"/>
      <w:r w:rsidRPr="59C3CF1A">
        <w:rPr>
          <w:color w:val="000000" w:themeColor="text1"/>
        </w:rPr>
        <w:t>Treitler</w:t>
      </w:r>
      <w:proofErr w:type="spellEnd"/>
      <w:r w:rsidRPr="59C3CF1A">
        <w:rPr>
          <w:color w:val="000000" w:themeColor="text1"/>
        </w:rPr>
        <w:t xml:space="preserve"> Q. (2008) Creating a gold standard for the readability measurement of health texts. </w:t>
      </w:r>
      <w:r w:rsidRPr="59C3CF1A">
        <w:rPr>
          <w:i/>
          <w:iCs/>
          <w:color w:val="000000" w:themeColor="text1"/>
        </w:rPr>
        <w:t>AMIA Annual Symposium Proceedings</w:t>
      </w:r>
      <w:r w:rsidRPr="59C3CF1A">
        <w:rPr>
          <w:color w:val="000000" w:themeColor="text1"/>
        </w:rPr>
        <w:t xml:space="preserve">. </w:t>
      </w:r>
      <w:proofErr w:type="gramStart"/>
      <w:r w:rsidRPr="59C3CF1A">
        <w:rPr>
          <w:color w:val="000000" w:themeColor="text1"/>
        </w:rPr>
        <w:t>6</w:t>
      </w:r>
      <w:proofErr w:type="gramEnd"/>
      <w:r w:rsidRPr="59C3CF1A">
        <w:rPr>
          <w:color w:val="000000" w:themeColor="text1"/>
        </w:rPr>
        <w:t xml:space="preserve">: 353-7. </w:t>
      </w:r>
    </w:p>
    <w:p w14:paraId="16D71081" w14:textId="77777777" w:rsidR="007E7C61" w:rsidRDefault="59C3CF1A" w:rsidP="00DA5BA8">
      <w:pPr>
        <w:pStyle w:val="BibliographyEntry"/>
      </w:pPr>
      <w:r>
        <w:t xml:space="preserve">Kao CY, et al. (2017). Interventions to improve patient understanding of cancer clinical trial participation: a systematic review. </w:t>
      </w:r>
      <w:r w:rsidRPr="59C3CF1A">
        <w:rPr>
          <w:i/>
          <w:iCs/>
        </w:rPr>
        <w:t>European Journal of Cancer Care</w:t>
      </w:r>
      <w:r>
        <w:t xml:space="preserve">. 26(2): e12424. </w:t>
      </w:r>
      <w:proofErr w:type="spellStart"/>
      <w:r>
        <w:t>Epub</w:t>
      </w:r>
      <w:proofErr w:type="spellEnd"/>
      <w:r>
        <w:t xml:space="preserve"> 2016 Jan 20. </w:t>
      </w:r>
      <w:proofErr w:type="spellStart"/>
      <w:proofErr w:type="gramStart"/>
      <w:r>
        <w:t>doi</w:t>
      </w:r>
      <w:proofErr w:type="spellEnd"/>
      <w:proofErr w:type="gramEnd"/>
      <w:r>
        <w:t xml:space="preserve">: 10.1111/ecc.12424.  </w:t>
      </w:r>
    </w:p>
    <w:p w14:paraId="2F61798E" w14:textId="77777777" w:rsidR="00F55EDC" w:rsidRDefault="69CFA879" w:rsidP="00DA5BA8">
      <w:pPr>
        <w:pStyle w:val="BibliographyEntry"/>
      </w:pPr>
      <w:r>
        <w:t xml:space="preserve">Kaufman BG, et al. (2018). Disease understanding in patients newly diagnosed with atrial fibrillation. </w:t>
      </w:r>
      <w:r w:rsidRPr="69CFA879">
        <w:rPr>
          <w:i/>
          <w:iCs/>
        </w:rPr>
        <w:t>Heart</w:t>
      </w:r>
      <w:r>
        <w:t xml:space="preserve">. 104(6): 494-501. </w:t>
      </w:r>
    </w:p>
    <w:p w14:paraId="3809871A" w14:textId="77777777" w:rsidR="00142BCE" w:rsidRDefault="69CFA879" w:rsidP="00DA5BA8">
      <w:pPr>
        <w:pStyle w:val="BibliographyEntry"/>
      </w:pPr>
      <w:r>
        <w:t xml:space="preserve">Kincaid PJ, et al. (1975). Derivation of New Readability Formulas (Automated Readability Index, Fog Count and </w:t>
      </w:r>
      <w:proofErr w:type="spellStart"/>
      <w:r>
        <w:t>Flesch</w:t>
      </w:r>
      <w:proofErr w:type="spellEnd"/>
      <w:r>
        <w:t xml:space="preserve"> Reading Ease Formula) For Navy Enlisted Personnel. Chief of Naval Technical Training. Millington, Tennessee. Retrieved on June </w:t>
      </w:r>
      <w:proofErr w:type="gramStart"/>
      <w:r>
        <w:t>30</w:t>
      </w:r>
      <w:r w:rsidRPr="69CFA879">
        <w:rPr>
          <w:vertAlign w:val="superscript"/>
        </w:rPr>
        <w:t>th</w:t>
      </w:r>
      <w:proofErr w:type="gramEnd"/>
      <w:r>
        <w:t xml:space="preserve">, 2018, from </w:t>
      </w:r>
      <w:hyperlink r:id="rId16">
        <w:r w:rsidRPr="69CFA879">
          <w:rPr>
            <w:rStyle w:val="Hyperlink"/>
          </w:rPr>
          <w:t>http://stars.library.ucf.edu/cgi/viewcontent.cgi?article=1055&amp;context=istlibrary</w:t>
        </w:r>
      </w:hyperlink>
      <w:r>
        <w:t>.</w:t>
      </w:r>
    </w:p>
    <w:p w14:paraId="657884CB" w14:textId="77777777" w:rsidR="0031015C" w:rsidRDefault="69CFA879" w:rsidP="00DA5BA8">
      <w:pPr>
        <w:pStyle w:val="BibliographyEntry"/>
      </w:pPr>
      <w:r>
        <w:t xml:space="preserve">Kirk S. (2007). Methodological and ethical issues in conducting qualitative research with children and young people: a literature review. </w:t>
      </w:r>
      <w:r w:rsidRPr="69CFA879">
        <w:rPr>
          <w:i/>
          <w:iCs/>
        </w:rPr>
        <w:t>International Journal of Nursing Studies</w:t>
      </w:r>
      <w:r>
        <w:t>. 44(7): 1250-60.</w:t>
      </w:r>
    </w:p>
    <w:p w14:paraId="4574952C" w14:textId="77777777" w:rsidR="00461119" w:rsidRDefault="69CFA879" w:rsidP="00DA5BA8">
      <w:pPr>
        <w:pStyle w:val="BibliographyEntry"/>
      </w:pPr>
      <w:r>
        <w:t xml:space="preserve">Kirsch </w:t>
      </w:r>
      <w:proofErr w:type="gramStart"/>
      <w:r>
        <w:t>IS,</w:t>
      </w:r>
      <w:proofErr w:type="gramEnd"/>
      <w:r>
        <w:t xml:space="preserve"> et al. (2002). </w:t>
      </w:r>
      <w:r w:rsidRPr="69CFA879">
        <w:rPr>
          <w:i/>
          <w:iCs/>
        </w:rPr>
        <w:t>Adult Literacy in America: A First Look at the Findings of the National Adult Literacy Survey</w:t>
      </w:r>
      <w:r>
        <w:t xml:space="preserve"> (</w:t>
      </w:r>
      <w:proofErr w:type="gramStart"/>
      <w:r>
        <w:t>3</w:t>
      </w:r>
      <w:r w:rsidRPr="69CFA879">
        <w:rPr>
          <w:vertAlign w:val="superscript"/>
        </w:rPr>
        <w:t>rd</w:t>
      </w:r>
      <w:proofErr w:type="gramEnd"/>
      <w:r>
        <w:t xml:space="preserve"> Ed.). p. 3. United States Department of Education Office of Educational Research and Improvement. Retrieved June 26</w:t>
      </w:r>
      <w:r w:rsidRPr="69CFA879">
        <w:rPr>
          <w:vertAlign w:val="superscript"/>
        </w:rPr>
        <w:t>th</w:t>
      </w:r>
      <w:r>
        <w:t>, 2018, from https://nces.ed.gov/pubs93/93275.pdf</w:t>
      </w:r>
    </w:p>
    <w:p w14:paraId="681A6161" w14:textId="77777777" w:rsidR="00A23CF0" w:rsidRDefault="69CFA879" w:rsidP="00DA5BA8">
      <w:pPr>
        <w:pStyle w:val="BibliographyEntry"/>
      </w:pPr>
      <w:r>
        <w:t xml:space="preserve">LeBlanc TW, et al. (2014). Patient understanding of medical jargon: a survey study of U.S. medical students. </w:t>
      </w:r>
      <w:r w:rsidRPr="69CFA879">
        <w:rPr>
          <w:i/>
          <w:iCs/>
        </w:rPr>
        <w:t>Patient Education and Counseling</w:t>
      </w:r>
      <w:r>
        <w:t xml:space="preserve">. 95(2): 238-42. </w:t>
      </w:r>
    </w:p>
    <w:p w14:paraId="5FB75349" w14:textId="77777777" w:rsidR="00B949AE" w:rsidRDefault="69CFA879" w:rsidP="00DA5BA8">
      <w:pPr>
        <w:pStyle w:val="BibliographyEntry"/>
      </w:pPr>
      <w:r>
        <w:lastRenderedPageBreak/>
        <w:t xml:space="preserve">Lynch J &amp; Smith GD. (2005). A life course approach to chronic disease epidemiology. </w:t>
      </w:r>
      <w:r w:rsidRPr="69CFA879">
        <w:rPr>
          <w:i/>
          <w:iCs/>
        </w:rPr>
        <w:t>Annual Review of Public Health</w:t>
      </w:r>
      <w:r>
        <w:t xml:space="preserve">. </w:t>
      </w:r>
      <w:proofErr w:type="gramStart"/>
      <w:r>
        <w:t>26</w:t>
      </w:r>
      <w:proofErr w:type="gramEnd"/>
      <w:r>
        <w:t xml:space="preserve">: 1-35. </w:t>
      </w:r>
    </w:p>
    <w:p w14:paraId="7AC1F2CA" w14:textId="77777777" w:rsidR="008353BB" w:rsidRDefault="69CFA879" w:rsidP="00DA5BA8">
      <w:pPr>
        <w:pStyle w:val="BibliographyEntry"/>
      </w:pPr>
      <w:r>
        <w:t xml:space="preserve">Mahon A, et al. (1996). Researching Children: Methods and Ethics. </w:t>
      </w:r>
      <w:r w:rsidRPr="69CFA879">
        <w:rPr>
          <w:i/>
          <w:iCs/>
        </w:rPr>
        <w:t>Children &amp; Society</w:t>
      </w:r>
      <w:r>
        <w:t xml:space="preserve">. 10(2): 145-54. </w:t>
      </w:r>
    </w:p>
    <w:p w14:paraId="7468550F" w14:textId="77777777" w:rsidR="00F95ACD" w:rsidRDefault="59C3CF1A" w:rsidP="00DA5BA8">
      <w:pPr>
        <w:pStyle w:val="BibliographyEntry"/>
      </w:pPr>
      <w:r>
        <w:t xml:space="preserve">Marshall IJ, et al. (2012). Lay perspectives on hypertension and drug adherence: systematic review of qualitative research. </w:t>
      </w:r>
      <w:r w:rsidRPr="59C3CF1A">
        <w:rPr>
          <w:i/>
          <w:iCs/>
        </w:rPr>
        <w:t>British Medical Journal</w:t>
      </w:r>
      <w:r>
        <w:t xml:space="preserve">. </w:t>
      </w:r>
      <w:proofErr w:type="gramStart"/>
      <w:r>
        <w:t>345</w:t>
      </w:r>
      <w:proofErr w:type="gramEnd"/>
      <w:r>
        <w:t xml:space="preserve">: e3953. Published online 2012 Jul 9. </w:t>
      </w:r>
      <w:proofErr w:type="spellStart"/>
      <w:proofErr w:type="gramStart"/>
      <w:r>
        <w:t>doi</w:t>
      </w:r>
      <w:proofErr w:type="spellEnd"/>
      <w:proofErr w:type="gramEnd"/>
      <w:r>
        <w:t xml:space="preserve">: 10.1136/bmj.e3953. </w:t>
      </w:r>
    </w:p>
    <w:p w14:paraId="17B2153C" w14:textId="77777777" w:rsidR="00053117" w:rsidRDefault="59C3CF1A" w:rsidP="00DA5BA8">
      <w:pPr>
        <w:pStyle w:val="BibliographyEntry"/>
      </w:pPr>
      <w:r>
        <w:t xml:space="preserve">Mayer RE. (2005). Cognitive Theory of Multimedia Learning. In </w:t>
      </w:r>
      <w:r w:rsidRPr="59C3CF1A">
        <w:rPr>
          <w:i/>
          <w:iCs/>
        </w:rPr>
        <w:t>The Cambridge Handbook of Multimedia Learning</w:t>
      </w:r>
      <w:r>
        <w:t xml:space="preserve"> (pp. 31-48). New York, NY: Cambridge University Press. </w:t>
      </w:r>
    </w:p>
    <w:p w14:paraId="70840D7F" w14:textId="77777777" w:rsidR="00D86064" w:rsidRDefault="69CFA879" w:rsidP="00DA5BA8">
      <w:pPr>
        <w:pStyle w:val="BibliographyEntry"/>
      </w:pPr>
      <w:r>
        <w:t>McGee J. (2012). Part 7: Using readability formulas: A cautionary tale. In</w:t>
      </w:r>
      <w:r w:rsidRPr="69CFA879">
        <w:rPr>
          <w:i/>
          <w:iCs/>
        </w:rPr>
        <w:t xml:space="preserve"> Toolkit for Making Written Material Clear and Effective</w:t>
      </w:r>
      <w:r>
        <w:t>. Prepared for the Centers for Medicare &amp; Medicaid Services. Retrieved July 2</w:t>
      </w:r>
      <w:r w:rsidRPr="69CFA879">
        <w:rPr>
          <w:vertAlign w:val="superscript"/>
        </w:rPr>
        <w:t>nd</w:t>
      </w:r>
      <w:r>
        <w:t>, 2018, from https://www.cms.gov/Outreach-and-Education/Outreach/WrittenMaterialsToolkit/downloads/ToolkitPart07.pdf</w:t>
      </w:r>
    </w:p>
    <w:p w14:paraId="10CCED40" w14:textId="77777777" w:rsidR="00B7535F" w:rsidRDefault="69CFA879" w:rsidP="00DA5BA8">
      <w:pPr>
        <w:pStyle w:val="BibliographyEntry"/>
      </w:pPr>
      <w:r>
        <w:t xml:space="preserve">McLaughlin GH. (1969). SMOG Grading – a New Readability Formula. </w:t>
      </w:r>
      <w:r w:rsidRPr="69CFA879">
        <w:rPr>
          <w:i/>
          <w:iCs/>
        </w:rPr>
        <w:t>Journal of Reading</w:t>
      </w:r>
      <w:r>
        <w:t xml:space="preserve">. 12(8): 639-646. </w:t>
      </w:r>
    </w:p>
    <w:p w14:paraId="3DD15E72" w14:textId="77777777" w:rsidR="001002B9" w:rsidRPr="009977DA" w:rsidRDefault="69CFA879" w:rsidP="00DA5BA8">
      <w:pPr>
        <w:pStyle w:val="BibliographyEntry"/>
      </w:pPr>
      <w:r>
        <w:t xml:space="preserve">Minnesota Health Literacy Partnership. (2016). </w:t>
      </w:r>
      <w:r w:rsidRPr="69CFA879">
        <w:rPr>
          <w:i/>
          <w:iCs/>
        </w:rPr>
        <w:t>Health Literacy Toolkit: A companion to the Minnesota Action Plan to Improve Health Literacy</w:t>
      </w:r>
      <w:r>
        <w:t xml:space="preserve">. Retrieved July </w:t>
      </w:r>
      <w:proofErr w:type="gramStart"/>
      <w:r>
        <w:t>4</w:t>
      </w:r>
      <w:r w:rsidRPr="69CFA879">
        <w:rPr>
          <w:vertAlign w:val="superscript"/>
        </w:rPr>
        <w:t>th</w:t>
      </w:r>
      <w:proofErr w:type="gramEnd"/>
      <w:r>
        <w:t xml:space="preserve">, 2018 from </w:t>
      </w:r>
      <w:hyperlink r:id="rId17">
        <w:r w:rsidRPr="69CFA879">
          <w:rPr>
            <w:rStyle w:val="Hyperlink"/>
          </w:rPr>
          <w:t>https://healthliteracymn.org/sites/default/files/images/files/Health%20Literacy%20Toolkit.pdf</w:t>
        </w:r>
      </w:hyperlink>
      <w:r>
        <w:t xml:space="preserve">. </w:t>
      </w:r>
    </w:p>
    <w:p w14:paraId="73E05264" w14:textId="77777777" w:rsidR="009977DA" w:rsidRDefault="69CFA879" w:rsidP="69CFA879">
      <w:pPr>
        <w:pStyle w:val="BibliographyEntry"/>
        <w:rPr>
          <w:color w:val="000000" w:themeColor="text1"/>
        </w:rPr>
      </w:pPr>
      <w:r w:rsidRPr="69CFA879">
        <w:rPr>
          <w:color w:val="000000" w:themeColor="text1"/>
        </w:rPr>
        <w:t xml:space="preserve">Müller R, et al. (2012). Compliance with treatment of rheumatoid arthritis. </w:t>
      </w:r>
      <w:r w:rsidRPr="69CFA879">
        <w:rPr>
          <w:i/>
          <w:iCs/>
          <w:color w:val="000000" w:themeColor="text1"/>
        </w:rPr>
        <w:t>Rheumatology International</w:t>
      </w:r>
      <w:r w:rsidRPr="69CFA879">
        <w:rPr>
          <w:color w:val="000000" w:themeColor="text1"/>
        </w:rPr>
        <w:t xml:space="preserve">. </w:t>
      </w:r>
      <w:proofErr w:type="gramStart"/>
      <w:r w:rsidRPr="69CFA879">
        <w:rPr>
          <w:color w:val="000000" w:themeColor="text1"/>
        </w:rPr>
        <w:t>32</w:t>
      </w:r>
      <w:proofErr w:type="gramEnd"/>
      <w:r w:rsidRPr="69CFA879">
        <w:rPr>
          <w:color w:val="000000" w:themeColor="text1"/>
        </w:rPr>
        <w:t xml:space="preserve">(10): 3131-5. </w:t>
      </w:r>
    </w:p>
    <w:p w14:paraId="70909145" w14:textId="77777777" w:rsidR="009F019D" w:rsidRDefault="69CFA879" w:rsidP="69CFA879">
      <w:pPr>
        <w:pStyle w:val="BibliographyEntry"/>
        <w:rPr>
          <w:color w:val="000000" w:themeColor="text1"/>
        </w:rPr>
      </w:pPr>
      <w:r w:rsidRPr="69CFA879">
        <w:rPr>
          <w:color w:val="000000" w:themeColor="text1"/>
        </w:rPr>
        <w:t>National Center for Education Statistics. (</w:t>
      </w:r>
      <w:proofErr w:type="spellStart"/>
      <w:proofErr w:type="gramStart"/>
      <w:r w:rsidRPr="69CFA879">
        <w:rPr>
          <w:color w:val="000000" w:themeColor="text1"/>
        </w:rPr>
        <w:t>n.d</w:t>
      </w:r>
      <w:proofErr w:type="gramEnd"/>
      <w:r w:rsidRPr="69CFA879">
        <w:rPr>
          <w:color w:val="000000" w:themeColor="text1"/>
        </w:rPr>
        <w:t>.</w:t>
      </w:r>
      <w:proofErr w:type="spellEnd"/>
      <w:r w:rsidRPr="69CFA879">
        <w:rPr>
          <w:color w:val="000000" w:themeColor="text1"/>
        </w:rPr>
        <w:t xml:space="preserve"> a). What does IALS measure? </w:t>
      </w:r>
      <w:r w:rsidRPr="69CFA879">
        <w:rPr>
          <w:i/>
          <w:iCs/>
          <w:color w:val="000000" w:themeColor="text1"/>
        </w:rPr>
        <w:t>International Adult Literacy Survey (IALS)</w:t>
      </w:r>
      <w:r w:rsidRPr="69CFA879">
        <w:rPr>
          <w:color w:val="000000" w:themeColor="text1"/>
        </w:rPr>
        <w:t xml:space="preserve">. Retrieved June </w:t>
      </w:r>
      <w:proofErr w:type="gramStart"/>
      <w:r w:rsidRPr="69CFA879">
        <w:rPr>
          <w:color w:val="000000" w:themeColor="text1"/>
        </w:rPr>
        <w:t>30</w:t>
      </w:r>
      <w:r w:rsidRPr="69CFA879">
        <w:rPr>
          <w:color w:val="000000" w:themeColor="text1"/>
          <w:vertAlign w:val="superscript"/>
        </w:rPr>
        <w:t>th</w:t>
      </w:r>
      <w:proofErr w:type="gramEnd"/>
      <w:r w:rsidRPr="69CFA879">
        <w:rPr>
          <w:color w:val="000000" w:themeColor="text1"/>
        </w:rPr>
        <w:t xml:space="preserve">, 2018, from </w:t>
      </w:r>
      <w:hyperlink r:id="rId18">
        <w:r w:rsidRPr="69CFA879">
          <w:rPr>
            <w:rStyle w:val="Hyperlink"/>
          </w:rPr>
          <w:t>https://nces.ed.gov/surveys/ials/measure.asp</w:t>
        </w:r>
      </w:hyperlink>
      <w:r w:rsidRPr="69CFA879">
        <w:rPr>
          <w:color w:val="000000" w:themeColor="text1"/>
        </w:rPr>
        <w:t>.</w:t>
      </w:r>
    </w:p>
    <w:p w14:paraId="006B838E" w14:textId="77777777" w:rsidR="00F87294" w:rsidRDefault="69CFA879" w:rsidP="69CFA879">
      <w:pPr>
        <w:pStyle w:val="BibliographyEntry"/>
        <w:rPr>
          <w:color w:val="000000" w:themeColor="text1"/>
        </w:rPr>
      </w:pPr>
      <w:r w:rsidRPr="69CFA879">
        <w:rPr>
          <w:color w:val="000000" w:themeColor="text1"/>
        </w:rPr>
        <w:t>National Center for Education Statistics. (</w:t>
      </w:r>
      <w:proofErr w:type="spellStart"/>
      <w:proofErr w:type="gramStart"/>
      <w:r w:rsidRPr="69CFA879">
        <w:rPr>
          <w:color w:val="000000" w:themeColor="text1"/>
        </w:rPr>
        <w:t>n.d</w:t>
      </w:r>
      <w:proofErr w:type="gramEnd"/>
      <w:r w:rsidRPr="69CFA879">
        <w:rPr>
          <w:color w:val="000000" w:themeColor="text1"/>
        </w:rPr>
        <w:t>.</w:t>
      </w:r>
      <w:proofErr w:type="spellEnd"/>
      <w:r w:rsidRPr="69CFA879">
        <w:rPr>
          <w:color w:val="000000" w:themeColor="text1"/>
        </w:rPr>
        <w:t xml:space="preserve"> b). PIAAC Proficiency Levels for Literacy. Program for the International Assessment of Adult Competencies (PIAAC). Retrieved June </w:t>
      </w:r>
      <w:proofErr w:type="gramStart"/>
      <w:r w:rsidRPr="69CFA879">
        <w:rPr>
          <w:color w:val="000000" w:themeColor="text1"/>
        </w:rPr>
        <w:t>28</w:t>
      </w:r>
      <w:r w:rsidRPr="69CFA879">
        <w:rPr>
          <w:color w:val="000000" w:themeColor="text1"/>
          <w:vertAlign w:val="superscript"/>
        </w:rPr>
        <w:t>th</w:t>
      </w:r>
      <w:proofErr w:type="gramEnd"/>
      <w:r w:rsidRPr="69CFA879">
        <w:rPr>
          <w:color w:val="000000" w:themeColor="text1"/>
        </w:rPr>
        <w:t>, 2018, from https://nces.ed.gov/surveys/piaac/litproficiencylevel.asp.</w:t>
      </w:r>
    </w:p>
    <w:p w14:paraId="48B8E30E" w14:textId="77777777" w:rsidR="00847890" w:rsidRDefault="69CFA879" w:rsidP="69CFA879">
      <w:pPr>
        <w:pStyle w:val="BibliographyEntry"/>
        <w:rPr>
          <w:color w:val="000000" w:themeColor="text1"/>
        </w:rPr>
      </w:pPr>
      <w:r w:rsidRPr="69CFA879">
        <w:rPr>
          <w:color w:val="000000" w:themeColor="text1"/>
        </w:rPr>
        <w:t xml:space="preserve">National Center for Education Statistics. (2003). Adults with Below Basic Prose Literacy. </w:t>
      </w:r>
      <w:r w:rsidRPr="69CFA879">
        <w:rPr>
          <w:i/>
          <w:iCs/>
          <w:color w:val="000000" w:themeColor="text1"/>
        </w:rPr>
        <w:t>National Assessment of Adult Literacy (NAAL)</w:t>
      </w:r>
      <w:r w:rsidRPr="69CFA879">
        <w:rPr>
          <w:color w:val="000000" w:themeColor="text1"/>
        </w:rPr>
        <w:t xml:space="preserve">. Retrieved June </w:t>
      </w:r>
      <w:proofErr w:type="gramStart"/>
      <w:r w:rsidRPr="69CFA879">
        <w:rPr>
          <w:color w:val="000000" w:themeColor="text1"/>
        </w:rPr>
        <w:t>30</w:t>
      </w:r>
      <w:r w:rsidRPr="69CFA879">
        <w:rPr>
          <w:color w:val="000000" w:themeColor="text1"/>
          <w:vertAlign w:val="superscript"/>
        </w:rPr>
        <w:t>th</w:t>
      </w:r>
      <w:proofErr w:type="gramEnd"/>
      <w:r w:rsidRPr="69CFA879">
        <w:rPr>
          <w:color w:val="000000" w:themeColor="text1"/>
        </w:rPr>
        <w:t xml:space="preserve">, 2018, from </w:t>
      </w:r>
      <w:hyperlink r:id="rId19" w:anchor="3">
        <w:r w:rsidRPr="69CFA879">
          <w:rPr>
            <w:rStyle w:val="Hyperlink"/>
          </w:rPr>
          <w:t>https://nces.ed.gov/naal/kf_demographics.asp#3</w:t>
        </w:r>
      </w:hyperlink>
      <w:r w:rsidRPr="69CFA879">
        <w:rPr>
          <w:color w:val="000000" w:themeColor="text1"/>
        </w:rPr>
        <w:t>.</w:t>
      </w:r>
    </w:p>
    <w:p w14:paraId="4F13E36E" w14:textId="77777777" w:rsidR="00A06549" w:rsidRDefault="69CFA879" w:rsidP="69CFA879">
      <w:pPr>
        <w:pStyle w:val="BibliographyEntry"/>
        <w:rPr>
          <w:color w:val="000000" w:themeColor="text1"/>
        </w:rPr>
      </w:pPr>
      <w:r w:rsidRPr="69CFA879">
        <w:rPr>
          <w:color w:val="000000" w:themeColor="text1"/>
        </w:rPr>
        <w:t xml:space="preserve">National Center for Education Statistics. (2016). Table 604.20. Percentage distribution of 25- to 65-year-olds, by literacy proficiency level, numeracy proficiency level, selected levels of education attainment, and country or other education system: 2012. </w:t>
      </w:r>
      <w:r w:rsidRPr="69CFA879">
        <w:rPr>
          <w:i/>
          <w:iCs/>
          <w:color w:val="000000" w:themeColor="text1"/>
        </w:rPr>
        <w:t>Digest of Education Statistics</w:t>
      </w:r>
      <w:r w:rsidRPr="69CFA879">
        <w:rPr>
          <w:color w:val="000000" w:themeColor="text1"/>
        </w:rPr>
        <w:t xml:space="preserve">. Retrieved on June </w:t>
      </w:r>
      <w:proofErr w:type="gramStart"/>
      <w:r w:rsidRPr="69CFA879">
        <w:rPr>
          <w:color w:val="000000" w:themeColor="text1"/>
        </w:rPr>
        <w:t>28</w:t>
      </w:r>
      <w:r w:rsidRPr="69CFA879">
        <w:rPr>
          <w:color w:val="000000" w:themeColor="text1"/>
          <w:vertAlign w:val="superscript"/>
        </w:rPr>
        <w:t>th</w:t>
      </w:r>
      <w:proofErr w:type="gramEnd"/>
      <w:r w:rsidRPr="69CFA879">
        <w:rPr>
          <w:color w:val="000000" w:themeColor="text1"/>
        </w:rPr>
        <w:t>, 2018, from https://nces.ed.gov/programs/digest/d15/tables/dt15_604.20.asp?current=yes.</w:t>
      </w:r>
    </w:p>
    <w:p w14:paraId="470D6655" w14:textId="77777777" w:rsidR="00702C60" w:rsidRDefault="59C3CF1A" w:rsidP="59C3CF1A">
      <w:pPr>
        <w:pStyle w:val="BibliographyEntry"/>
        <w:rPr>
          <w:color w:val="000000" w:themeColor="text1"/>
        </w:rPr>
      </w:pPr>
      <w:proofErr w:type="spellStart"/>
      <w:r w:rsidRPr="59C3CF1A">
        <w:rPr>
          <w:color w:val="000000" w:themeColor="text1"/>
        </w:rPr>
        <w:lastRenderedPageBreak/>
        <w:t>Niedermann</w:t>
      </w:r>
      <w:proofErr w:type="spellEnd"/>
      <w:r w:rsidRPr="59C3CF1A">
        <w:rPr>
          <w:color w:val="000000" w:themeColor="text1"/>
        </w:rPr>
        <w:t xml:space="preserve"> K, et al. (2004). Gap between short- and long-term effects of patient education in rheumatoid arthritis patients: a systematic review. </w:t>
      </w:r>
      <w:r w:rsidRPr="59C3CF1A">
        <w:rPr>
          <w:i/>
          <w:iCs/>
          <w:color w:val="000000" w:themeColor="text1"/>
        </w:rPr>
        <w:t>Arthritis and Rheumatism.</w:t>
      </w:r>
      <w:r w:rsidRPr="59C3CF1A">
        <w:rPr>
          <w:color w:val="000000" w:themeColor="text1"/>
        </w:rPr>
        <w:t xml:space="preserve"> 51(3): 388-98. </w:t>
      </w:r>
    </w:p>
    <w:p w14:paraId="7C763E9A" w14:textId="77777777" w:rsidR="00933ABA" w:rsidRPr="009977DA" w:rsidRDefault="59C3CF1A" w:rsidP="00DA5BA8">
      <w:pPr>
        <w:pStyle w:val="BibliographyEntry"/>
      </w:pPr>
      <w:proofErr w:type="spellStart"/>
      <w:r w:rsidRPr="59C3CF1A">
        <w:rPr>
          <w:color w:val="000000" w:themeColor="text1"/>
        </w:rPr>
        <w:t>Paivio</w:t>
      </w:r>
      <w:proofErr w:type="spellEnd"/>
      <w:r w:rsidRPr="59C3CF1A">
        <w:rPr>
          <w:color w:val="000000" w:themeColor="text1"/>
        </w:rPr>
        <w:t xml:space="preserve"> A. (1991). Dual coding theory: Retrospect and </w:t>
      </w:r>
      <w:proofErr w:type="gramStart"/>
      <w:r w:rsidRPr="59C3CF1A">
        <w:rPr>
          <w:color w:val="000000" w:themeColor="text1"/>
        </w:rPr>
        <w:t>current status</w:t>
      </w:r>
      <w:proofErr w:type="gramEnd"/>
      <w:r w:rsidRPr="59C3CF1A">
        <w:rPr>
          <w:color w:val="000000" w:themeColor="text1"/>
        </w:rPr>
        <w:t xml:space="preserve">. </w:t>
      </w:r>
      <w:r w:rsidRPr="59C3CF1A">
        <w:rPr>
          <w:i/>
          <w:iCs/>
          <w:color w:val="000000" w:themeColor="text1"/>
        </w:rPr>
        <w:t>Canadian Journal of Psychology</w:t>
      </w:r>
      <w:r w:rsidRPr="59C3CF1A">
        <w:rPr>
          <w:color w:val="000000" w:themeColor="text1"/>
        </w:rPr>
        <w:t xml:space="preserve">. 45(3): 255-87. </w:t>
      </w:r>
    </w:p>
    <w:p w14:paraId="6F251E7E" w14:textId="77777777" w:rsidR="00F55EDC" w:rsidRDefault="59C3CF1A" w:rsidP="00DA5BA8">
      <w:pPr>
        <w:pStyle w:val="BibliographyEntry"/>
      </w:pPr>
      <w:proofErr w:type="spellStart"/>
      <w:r>
        <w:t>Pakhale</w:t>
      </w:r>
      <w:proofErr w:type="spellEnd"/>
      <w:r>
        <w:t xml:space="preserve"> S, et al. (2016). </w:t>
      </w:r>
      <w:proofErr w:type="gramStart"/>
      <w:r>
        <w:t>Lost in translation?</w:t>
      </w:r>
      <w:proofErr w:type="gramEnd"/>
      <w:r>
        <w:t xml:space="preserve"> How adults living with Cystic Fibrosis understand treatment recommendations from their healthcare providers, and the impact on adherence to therapy. </w:t>
      </w:r>
      <w:r w:rsidRPr="59C3CF1A">
        <w:rPr>
          <w:i/>
          <w:iCs/>
        </w:rPr>
        <w:t>Patient Education and Counseling</w:t>
      </w:r>
      <w:r>
        <w:t xml:space="preserve">. 99(8): 1319-24. </w:t>
      </w:r>
    </w:p>
    <w:p w14:paraId="277C2D7A" w14:textId="77777777" w:rsidR="00A319CC" w:rsidRDefault="69CFA879" w:rsidP="00DA5BA8">
      <w:pPr>
        <w:pStyle w:val="BibliographyEntry"/>
      </w:pPr>
      <w:proofErr w:type="spellStart"/>
      <w:r>
        <w:t>Pavlik</w:t>
      </w:r>
      <w:proofErr w:type="spellEnd"/>
      <w:r>
        <w:t xml:space="preserve"> V, et al. (2014). Association of patient recall, satisfaction, and adherence to content of an electronic health record (HER)-generated after visit summary: a randomized clinical trial. </w:t>
      </w:r>
      <w:r w:rsidRPr="69CFA879">
        <w:rPr>
          <w:i/>
          <w:iCs/>
        </w:rPr>
        <w:t>Journal of the American Board of Family Medicine</w:t>
      </w:r>
      <w:r>
        <w:t xml:space="preserve">. 27(2): 209-18. </w:t>
      </w:r>
    </w:p>
    <w:p w14:paraId="6580B24E" w14:textId="77777777" w:rsidR="000757EB" w:rsidRPr="009977DA" w:rsidRDefault="69CFA879" w:rsidP="00DA5BA8">
      <w:pPr>
        <w:pStyle w:val="BibliographyEntry"/>
      </w:pPr>
      <w:proofErr w:type="spellStart"/>
      <w:r>
        <w:t>Peckham</w:t>
      </w:r>
      <w:proofErr w:type="spellEnd"/>
      <w:r>
        <w:t xml:space="preserve"> C. (2016). Medscape Physician Compensation Report 2016. </w:t>
      </w:r>
      <w:proofErr w:type="spellStart"/>
      <w:r w:rsidRPr="69CFA879">
        <w:rPr>
          <w:i/>
          <w:iCs/>
        </w:rPr>
        <w:t>MedScape</w:t>
      </w:r>
      <w:proofErr w:type="spellEnd"/>
      <w:r>
        <w:t xml:space="preserve">. Retrieved June </w:t>
      </w:r>
      <w:proofErr w:type="gramStart"/>
      <w:r>
        <w:t>21</w:t>
      </w:r>
      <w:r w:rsidRPr="69CFA879">
        <w:rPr>
          <w:vertAlign w:val="superscript"/>
        </w:rPr>
        <w:t>st</w:t>
      </w:r>
      <w:proofErr w:type="gramEnd"/>
      <w:r>
        <w:t xml:space="preserve">, 2018, from </w:t>
      </w:r>
      <w:hyperlink r:id="rId20">
        <w:r w:rsidRPr="69CFA879">
          <w:rPr>
            <w:rStyle w:val="Hyperlink"/>
          </w:rPr>
          <w:t>https://www.medscape.com/features/slideshow/compensation/2016/public/overview</w:t>
        </w:r>
      </w:hyperlink>
      <w:r>
        <w:t xml:space="preserve">. </w:t>
      </w:r>
    </w:p>
    <w:p w14:paraId="41AC16EE" w14:textId="77777777" w:rsidR="00481A3A" w:rsidRDefault="59C3CF1A" w:rsidP="59C3CF1A">
      <w:pPr>
        <w:pStyle w:val="BibliographyEntry"/>
        <w:rPr>
          <w:color w:val="000000" w:themeColor="text1"/>
        </w:rPr>
      </w:pPr>
      <w:proofErr w:type="spellStart"/>
      <w:r>
        <w:t>Pentz</w:t>
      </w:r>
      <w:proofErr w:type="spellEnd"/>
      <w:r>
        <w:t xml:space="preserve"> RD, et al. (2017). Physician communication and patient understanding of molecular testing of tumors. </w:t>
      </w:r>
      <w:r w:rsidRPr="59C3CF1A">
        <w:rPr>
          <w:i/>
          <w:iCs/>
        </w:rPr>
        <w:t>Journal of Clinical Oncology</w:t>
      </w:r>
      <w:r>
        <w:t xml:space="preserve">. </w:t>
      </w:r>
      <w:proofErr w:type="gramStart"/>
      <w:r>
        <w:t>35</w:t>
      </w:r>
      <w:proofErr w:type="gramEnd"/>
      <w:r>
        <w:t xml:space="preserve">(15 </w:t>
      </w:r>
      <w:proofErr w:type="spellStart"/>
      <w:r>
        <w:t>Suppl</w:t>
      </w:r>
      <w:proofErr w:type="spellEnd"/>
      <w:r>
        <w:t>)</w:t>
      </w:r>
      <w:r w:rsidRPr="59C3CF1A">
        <w:rPr>
          <w:color w:val="000000" w:themeColor="text1"/>
        </w:rPr>
        <w:t xml:space="preserve">. </w:t>
      </w:r>
      <w:r>
        <w:t xml:space="preserve">Published online before print. </w:t>
      </w:r>
      <w:proofErr w:type="spellStart"/>
      <w:proofErr w:type="gramStart"/>
      <w:r w:rsidRPr="59C3CF1A">
        <w:rPr>
          <w:color w:val="000000" w:themeColor="text1"/>
        </w:rPr>
        <w:t>doi</w:t>
      </w:r>
      <w:proofErr w:type="spellEnd"/>
      <w:proofErr w:type="gramEnd"/>
      <w:r w:rsidRPr="59C3CF1A">
        <w:rPr>
          <w:color w:val="000000" w:themeColor="text1"/>
        </w:rPr>
        <w:t>: 10.1200/JCO.2017.35.15_suppl.e18217.</w:t>
      </w:r>
    </w:p>
    <w:p w14:paraId="5C590366" w14:textId="77777777" w:rsidR="00B86301" w:rsidRDefault="59C3CF1A" w:rsidP="59C3CF1A">
      <w:pPr>
        <w:pStyle w:val="BibliographyEntry"/>
        <w:rPr>
          <w:color w:val="000000" w:themeColor="text1"/>
        </w:rPr>
      </w:pPr>
      <w:proofErr w:type="spellStart"/>
      <w:r w:rsidRPr="59C3CF1A">
        <w:rPr>
          <w:color w:val="000000" w:themeColor="text1"/>
        </w:rPr>
        <w:t>Pusic</w:t>
      </w:r>
      <w:proofErr w:type="spellEnd"/>
      <w:r w:rsidRPr="59C3CF1A">
        <w:rPr>
          <w:color w:val="000000" w:themeColor="text1"/>
        </w:rPr>
        <w:t xml:space="preserve"> MV, et al. (2014). Seven practical principles for improving patient education: Evidence-based ideas from cognition science. </w:t>
      </w:r>
      <w:proofErr w:type="spellStart"/>
      <w:r w:rsidRPr="59C3CF1A">
        <w:rPr>
          <w:i/>
          <w:iCs/>
          <w:color w:val="000000" w:themeColor="text1"/>
        </w:rPr>
        <w:t>Paediatrics</w:t>
      </w:r>
      <w:proofErr w:type="spellEnd"/>
      <w:r w:rsidRPr="59C3CF1A">
        <w:rPr>
          <w:i/>
          <w:iCs/>
          <w:color w:val="000000" w:themeColor="text1"/>
        </w:rPr>
        <w:t xml:space="preserve"> &amp; Child Health</w:t>
      </w:r>
      <w:r w:rsidRPr="59C3CF1A">
        <w:rPr>
          <w:color w:val="000000" w:themeColor="text1"/>
        </w:rPr>
        <w:t xml:space="preserve">. 19(3): 119-22. </w:t>
      </w:r>
    </w:p>
    <w:p w14:paraId="11F2551C" w14:textId="77777777" w:rsidR="00E83D42" w:rsidRDefault="69CFA879" w:rsidP="69CFA879">
      <w:pPr>
        <w:pStyle w:val="BibliographyEntry"/>
        <w:rPr>
          <w:color w:val="000000" w:themeColor="text1"/>
        </w:rPr>
      </w:pPr>
      <w:r w:rsidRPr="69CFA879">
        <w:rPr>
          <w:color w:val="000000" w:themeColor="text1"/>
        </w:rPr>
        <w:t xml:space="preserve">Rauscher GH, et al. (2010). Misconceptions about breast lumps and delayed medical presentation in urban breast cancer patients. </w:t>
      </w:r>
      <w:r w:rsidRPr="69CFA879">
        <w:rPr>
          <w:i/>
          <w:iCs/>
          <w:color w:val="000000" w:themeColor="text1"/>
        </w:rPr>
        <w:t>Cancer Epidemiology, Biomarkers &amp; Prevention</w:t>
      </w:r>
      <w:r w:rsidRPr="69CFA879">
        <w:rPr>
          <w:color w:val="000000" w:themeColor="text1"/>
        </w:rPr>
        <w:t xml:space="preserve">. 19(3): 640-7. </w:t>
      </w:r>
    </w:p>
    <w:p w14:paraId="69718F22" w14:textId="77777777" w:rsidR="000C657B" w:rsidRDefault="69CFA879" w:rsidP="69CFA879">
      <w:pPr>
        <w:pStyle w:val="BibliographyEntry"/>
        <w:rPr>
          <w:color w:val="000000" w:themeColor="text1"/>
        </w:rPr>
      </w:pPr>
      <w:r w:rsidRPr="69CFA879">
        <w:rPr>
          <w:color w:val="000000" w:themeColor="text1"/>
        </w:rPr>
        <w:t xml:space="preserve">Rhee RL, et al. (2013). Readability and suitability assessment of patient education materials in rheumatic disease. </w:t>
      </w:r>
      <w:r w:rsidRPr="69CFA879">
        <w:rPr>
          <w:i/>
          <w:iCs/>
          <w:color w:val="000000" w:themeColor="text1"/>
        </w:rPr>
        <w:t>Arthritis Care &amp; Research</w:t>
      </w:r>
      <w:r w:rsidRPr="69CFA879">
        <w:rPr>
          <w:color w:val="000000" w:themeColor="text1"/>
        </w:rPr>
        <w:t xml:space="preserve">. </w:t>
      </w:r>
      <w:proofErr w:type="gramStart"/>
      <w:r w:rsidRPr="69CFA879">
        <w:rPr>
          <w:color w:val="000000" w:themeColor="text1"/>
        </w:rPr>
        <w:t>65</w:t>
      </w:r>
      <w:proofErr w:type="gramEnd"/>
      <w:r w:rsidRPr="69CFA879">
        <w:rPr>
          <w:color w:val="000000" w:themeColor="text1"/>
        </w:rPr>
        <w:t xml:space="preserve">(10): 1702-6. </w:t>
      </w:r>
    </w:p>
    <w:p w14:paraId="5EDB2437" w14:textId="77777777" w:rsidR="0073216B" w:rsidRDefault="69CFA879" w:rsidP="69CFA879">
      <w:pPr>
        <w:pStyle w:val="BibliographyEntry"/>
        <w:rPr>
          <w:color w:val="000000" w:themeColor="text1"/>
        </w:rPr>
      </w:pPr>
      <w:r w:rsidRPr="69CFA879">
        <w:rPr>
          <w:color w:val="000000" w:themeColor="text1"/>
        </w:rPr>
        <w:t xml:space="preserve">Ryan L, et al. (2014). Evaluation of printed health education materials for use by low-education families. </w:t>
      </w:r>
      <w:r w:rsidRPr="69CFA879">
        <w:rPr>
          <w:i/>
          <w:iCs/>
          <w:color w:val="000000" w:themeColor="text1"/>
        </w:rPr>
        <w:t>Journal of Nursing Scholarship</w:t>
      </w:r>
      <w:r w:rsidRPr="69CFA879">
        <w:rPr>
          <w:color w:val="000000" w:themeColor="text1"/>
        </w:rPr>
        <w:t xml:space="preserve">. 46(4): 218-28. </w:t>
      </w:r>
    </w:p>
    <w:p w14:paraId="589610B3" w14:textId="77777777" w:rsidR="00194E0D" w:rsidRDefault="69CFA879" w:rsidP="69CFA879">
      <w:pPr>
        <w:pStyle w:val="BibliographyEntry"/>
        <w:rPr>
          <w:color w:val="000000" w:themeColor="text1"/>
        </w:rPr>
      </w:pPr>
      <w:proofErr w:type="spellStart"/>
      <w:r w:rsidRPr="69CFA879">
        <w:rPr>
          <w:color w:val="000000" w:themeColor="text1"/>
        </w:rPr>
        <w:t>Safeer</w:t>
      </w:r>
      <w:proofErr w:type="spellEnd"/>
      <w:r w:rsidRPr="69CFA879">
        <w:rPr>
          <w:color w:val="000000" w:themeColor="text1"/>
        </w:rPr>
        <w:t xml:space="preserve"> RF &amp; Keenan J. (2005). Health literacy: the gap between physicians and patients. </w:t>
      </w:r>
      <w:r w:rsidRPr="69CFA879">
        <w:rPr>
          <w:i/>
          <w:iCs/>
          <w:color w:val="000000" w:themeColor="text1"/>
        </w:rPr>
        <w:t>American Family Physician</w:t>
      </w:r>
      <w:r w:rsidRPr="69CFA879">
        <w:rPr>
          <w:color w:val="000000" w:themeColor="text1"/>
        </w:rPr>
        <w:t xml:space="preserve">. 72(3): 463-8. </w:t>
      </w:r>
    </w:p>
    <w:p w14:paraId="6D82A6A0" w14:textId="77777777" w:rsidR="009C655B" w:rsidRDefault="69CFA879" w:rsidP="69CFA879">
      <w:pPr>
        <w:pStyle w:val="BibliographyEntry"/>
        <w:rPr>
          <w:color w:val="000000" w:themeColor="text1"/>
        </w:rPr>
      </w:pPr>
      <w:r w:rsidRPr="69CFA879">
        <w:rPr>
          <w:color w:val="000000" w:themeColor="text1"/>
        </w:rPr>
        <w:t xml:space="preserve">Sanders LM, et al. (2009). Health literacy and child health promotion: implications for research, clinical care, and public policy. </w:t>
      </w:r>
      <w:r w:rsidRPr="69CFA879">
        <w:rPr>
          <w:i/>
          <w:iCs/>
          <w:color w:val="000000" w:themeColor="text1"/>
        </w:rPr>
        <w:t>Pediatrics</w:t>
      </w:r>
      <w:r w:rsidRPr="69CFA879">
        <w:rPr>
          <w:color w:val="000000" w:themeColor="text1"/>
        </w:rPr>
        <w:t xml:space="preserve">. </w:t>
      </w:r>
      <w:proofErr w:type="gramStart"/>
      <w:r w:rsidRPr="69CFA879">
        <w:rPr>
          <w:color w:val="000000" w:themeColor="text1"/>
        </w:rPr>
        <w:t>124</w:t>
      </w:r>
      <w:proofErr w:type="gramEnd"/>
      <w:r w:rsidRPr="69CFA879">
        <w:rPr>
          <w:color w:val="000000" w:themeColor="text1"/>
        </w:rPr>
        <w:t xml:space="preserve"> </w:t>
      </w:r>
      <w:proofErr w:type="spellStart"/>
      <w:r w:rsidRPr="69CFA879">
        <w:rPr>
          <w:color w:val="000000" w:themeColor="text1"/>
        </w:rPr>
        <w:t>Suppl</w:t>
      </w:r>
      <w:proofErr w:type="spellEnd"/>
      <w:r w:rsidRPr="69CFA879">
        <w:rPr>
          <w:color w:val="000000" w:themeColor="text1"/>
        </w:rPr>
        <w:t xml:space="preserve"> 3: S306-14. </w:t>
      </w:r>
    </w:p>
    <w:p w14:paraId="6EF66BFE" w14:textId="77777777" w:rsidR="00EB044C" w:rsidRDefault="59C3CF1A" w:rsidP="59C3CF1A">
      <w:pPr>
        <w:pStyle w:val="BibliographyEntry"/>
        <w:rPr>
          <w:color w:val="000000" w:themeColor="text1"/>
        </w:rPr>
      </w:pPr>
      <w:proofErr w:type="spellStart"/>
      <w:r w:rsidRPr="59C3CF1A">
        <w:rPr>
          <w:color w:val="000000" w:themeColor="text1"/>
        </w:rPr>
        <w:t>Sarbharwal</w:t>
      </w:r>
      <w:proofErr w:type="spellEnd"/>
      <w:r w:rsidRPr="59C3CF1A">
        <w:rPr>
          <w:color w:val="000000" w:themeColor="text1"/>
        </w:rPr>
        <w:t xml:space="preserve"> S, et al. (2008). Readability of Online Patient Education Materials </w:t>
      </w:r>
      <w:proofErr w:type="gramStart"/>
      <w:r w:rsidRPr="59C3CF1A">
        <w:rPr>
          <w:color w:val="000000" w:themeColor="text1"/>
        </w:rPr>
        <w:t>From</w:t>
      </w:r>
      <w:proofErr w:type="gramEnd"/>
      <w:r w:rsidRPr="59C3CF1A">
        <w:rPr>
          <w:color w:val="000000" w:themeColor="text1"/>
        </w:rPr>
        <w:t xml:space="preserve"> the AAOS Web Site. Clinical </w:t>
      </w:r>
      <w:proofErr w:type="spellStart"/>
      <w:r w:rsidRPr="59C3CF1A">
        <w:rPr>
          <w:i/>
          <w:iCs/>
          <w:color w:val="000000" w:themeColor="text1"/>
        </w:rPr>
        <w:t>Orthopaedics</w:t>
      </w:r>
      <w:proofErr w:type="spellEnd"/>
      <w:r w:rsidRPr="59C3CF1A">
        <w:rPr>
          <w:i/>
          <w:iCs/>
          <w:color w:val="000000" w:themeColor="text1"/>
        </w:rPr>
        <w:t xml:space="preserve"> and Related Research</w:t>
      </w:r>
      <w:r w:rsidRPr="59C3CF1A">
        <w:rPr>
          <w:color w:val="000000" w:themeColor="text1"/>
        </w:rPr>
        <w:t>. 466(5): 1245-50.</w:t>
      </w:r>
    </w:p>
    <w:p w14:paraId="650735AD" w14:textId="77777777" w:rsidR="008875F1" w:rsidRDefault="69CFA879" w:rsidP="69CFA879">
      <w:pPr>
        <w:pStyle w:val="BibliographyEntry"/>
        <w:rPr>
          <w:color w:val="000000" w:themeColor="text1"/>
        </w:rPr>
      </w:pPr>
      <w:r w:rsidRPr="69CFA879">
        <w:rPr>
          <w:color w:val="000000" w:themeColor="text1"/>
        </w:rPr>
        <w:t xml:space="preserve">Schillinger D, et al. (2002). Association of health literacy with diabetes outcomes. </w:t>
      </w:r>
      <w:r w:rsidRPr="69CFA879">
        <w:rPr>
          <w:i/>
          <w:iCs/>
          <w:color w:val="000000" w:themeColor="text1"/>
        </w:rPr>
        <w:t>JAMA</w:t>
      </w:r>
      <w:r w:rsidRPr="69CFA879">
        <w:rPr>
          <w:color w:val="000000" w:themeColor="text1"/>
        </w:rPr>
        <w:t xml:space="preserve">. 288(4): 475-82. </w:t>
      </w:r>
    </w:p>
    <w:p w14:paraId="3EDC9411" w14:textId="77777777" w:rsidR="007F3B75" w:rsidRDefault="69CFA879" w:rsidP="69CFA879">
      <w:pPr>
        <w:pStyle w:val="BibliographyEntry"/>
        <w:rPr>
          <w:color w:val="000000" w:themeColor="text1"/>
        </w:rPr>
      </w:pPr>
      <w:proofErr w:type="spellStart"/>
      <w:r w:rsidRPr="69CFA879">
        <w:rPr>
          <w:color w:val="000000" w:themeColor="text1"/>
        </w:rPr>
        <w:lastRenderedPageBreak/>
        <w:t>Schwabe</w:t>
      </w:r>
      <w:proofErr w:type="spellEnd"/>
      <w:r w:rsidRPr="69CFA879">
        <w:rPr>
          <w:color w:val="000000" w:themeColor="text1"/>
        </w:rPr>
        <w:t xml:space="preserve"> L, et al. (2012). Stress effects on memory: an update an integration. </w:t>
      </w:r>
      <w:r w:rsidRPr="69CFA879">
        <w:rPr>
          <w:i/>
          <w:iCs/>
          <w:color w:val="000000" w:themeColor="text1"/>
        </w:rPr>
        <w:t>Neuroscience and Behavioral Reviews</w:t>
      </w:r>
      <w:r w:rsidRPr="69CFA879">
        <w:rPr>
          <w:color w:val="000000" w:themeColor="text1"/>
        </w:rPr>
        <w:t xml:space="preserve">. 36(7): 1740-9. </w:t>
      </w:r>
    </w:p>
    <w:p w14:paraId="4A1A2B5E" w14:textId="77777777" w:rsidR="00137E85" w:rsidRPr="00A23CF0" w:rsidRDefault="69CFA879" w:rsidP="00A23CF0">
      <w:pPr>
        <w:pStyle w:val="BibliographyEntry"/>
      </w:pPr>
      <w:r w:rsidRPr="69CFA879">
        <w:rPr>
          <w:color w:val="000000" w:themeColor="text1"/>
        </w:rPr>
        <w:t xml:space="preserve">Singh R, et al. (2017). Consent in Elective Hip Arthroplasty What Has Changed Over the Last 15 Years? </w:t>
      </w:r>
      <w:r w:rsidRPr="69CFA879">
        <w:rPr>
          <w:i/>
          <w:iCs/>
          <w:color w:val="000000" w:themeColor="text1"/>
        </w:rPr>
        <w:t>Bulletin of the Hospital for Joint Disease (2013)</w:t>
      </w:r>
      <w:r w:rsidRPr="69CFA879">
        <w:rPr>
          <w:color w:val="000000" w:themeColor="text1"/>
        </w:rPr>
        <w:t xml:space="preserve">. 75(4): 274-78. </w:t>
      </w:r>
    </w:p>
    <w:p w14:paraId="3D65A56C" w14:textId="77777777" w:rsidR="008808E8" w:rsidRDefault="59C3CF1A" w:rsidP="00DA5BA8">
      <w:pPr>
        <w:pStyle w:val="BibliographyEntry"/>
      </w:pPr>
      <w:r>
        <w:t xml:space="preserve">Skelton JR &amp; Hobbs FD. (1999). </w:t>
      </w:r>
      <w:proofErr w:type="spellStart"/>
      <w:r>
        <w:t>Concordancing</w:t>
      </w:r>
      <w:proofErr w:type="spellEnd"/>
      <w:r>
        <w:t xml:space="preserve">: use of language-based research in medical communication. </w:t>
      </w:r>
      <w:r w:rsidRPr="59C3CF1A">
        <w:rPr>
          <w:i/>
          <w:iCs/>
        </w:rPr>
        <w:t>Lancet</w:t>
      </w:r>
      <w:r>
        <w:t xml:space="preserve">. </w:t>
      </w:r>
      <w:proofErr w:type="gramStart"/>
      <w:r>
        <w:t>353</w:t>
      </w:r>
      <w:proofErr w:type="gramEnd"/>
      <w:r>
        <w:t xml:space="preserve">(9147): 108-11. </w:t>
      </w:r>
    </w:p>
    <w:p w14:paraId="35135866" w14:textId="77777777" w:rsidR="008808E8" w:rsidRPr="00863AD0" w:rsidRDefault="69CFA879" w:rsidP="00DA5BA8">
      <w:pPr>
        <w:pStyle w:val="BibliographyEntry"/>
      </w:pPr>
      <w:r>
        <w:t xml:space="preserve">Smith PT &amp; Cason CL. (1998). Suitability of patient education materials for cardiac catheterization. </w:t>
      </w:r>
      <w:r w:rsidRPr="69CFA879">
        <w:rPr>
          <w:i/>
          <w:iCs/>
        </w:rPr>
        <w:t>Clinical Nurse Specialist</w:t>
      </w:r>
      <w:r>
        <w:t xml:space="preserve">. 12(4): 140-4. </w:t>
      </w:r>
    </w:p>
    <w:p w14:paraId="0F2570F5" w14:textId="77777777" w:rsidR="00863AD0" w:rsidRPr="00863AD0" w:rsidRDefault="59C3CF1A" w:rsidP="00DA5BA8">
      <w:pPr>
        <w:pStyle w:val="BibliographyEntry"/>
      </w:pPr>
      <w:proofErr w:type="spellStart"/>
      <w:r w:rsidRPr="59C3CF1A">
        <w:rPr>
          <w:color w:val="000000" w:themeColor="text1"/>
        </w:rPr>
        <w:t>Sørensen</w:t>
      </w:r>
      <w:proofErr w:type="spellEnd"/>
      <w:r w:rsidRPr="59C3CF1A">
        <w:rPr>
          <w:color w:val="000000" w:themeColor="text1"/>
        </w:rPr>
        <w:t xml:space="preserve"> K, et al. (2012). Health literacy and public health: a systematic review and integration of definitions and models. </w:t>
      </w:r>
      <w:r w:rsidRPr="59C3CF1A">
        <w:rPr>
          <w:i/>
          <w:iCs/>
          <w:color w:val="000000" w:themeColor="text1"/>
        </w:rPr>
        <w:t>BMC Public Health</w:t>
      </w:r>
      <w:r w:rsidRPr="59C3CF1A">
        <w:rPr>
          <w:color w:val="000000" w:themeColor="text1"/>
        </w:rPr>
        <w:t xml:space="preserve">. 12:80. </w:t>
      </w:r>
    </w:p>
    <w:p w14:paraId="7575AD15" w14:textId="77777777" w:rsidR="004B358F" w:rsidRDefault="59C3CF1A" w:rsidP="00DA5BA8">
      <w:pPr>
        <w:pStyle w:val="BibliographyEntry"/>
      </w:pPr>
      <w:r>
        <w:t xml:space="preserve">Stone VE, et al. (2001). Antiretroviral regimen complexity, self-reported adherence, and HIV patients’ understanding of their regimens: survey of women in </w:t>
      </w:r>
      <w:proofErr w:type="gramStart"/>
      <w:r>
        <w:t>the her</w:t>
      </w:r>
      <w:proofErr w:type="gramEnd"/>
      <w:r>
        <w:t xml:space="preserve"> study. </w:t>
      </w:r>
      <w:r w:rsidRPr="59C3CF1A">
        <w:rPr>
          <w:i/>
          <w:iCs/>
        </w:rPr>
        <w:t>Journal of Acquired Immune Deficiency Syndromes</w:t>
      </w:r>
      <w:r>
        <w:t xml:space="preserve">. 28(2): 124-31. </w:t>
      </w:r>
    </w:p>
    <w:p w14:paraId="18E770F6" w14:textId="77777777" w:rsidR="00400E12" w:rsidRDefault="69CFA879" w:rsidP="00DA5BA8">
      <w:pPr>
        <w:pStyle w:val="BibliographyEntry"/>
      </w:pPr>
      <w:r>
        <w:t xml:space="preserve">Swartz T, et al. (2018). Prospective evaluation of low health literacy and its impact on outcomes in trauma patients. </w:t>
      </w:r>
      <w:r w:rsidRPr="69CFA879">
        <w:rPr>
          <w:i/>
          <w:iCs/>
        </w:rPr>
        <w:t>The Journal of Trauma and Acute Care Surgery</w:t>
      </w:r>
      <w:r>
        <w:t xml:space="preserve">. 85(1): 187-92. </w:t>
      </w:r>
    </w:p>
    <w:p w14:paraId="3FDA0633" w14:textId="77777777" w:rsidR="00520FD5" w:rsidRDefault="59C3CF1A" w:rsidP="00DA5BA8">
      <w:pPr>
        <w:pStyle w:val="BibliographyEntry"/>
      </w:pPr>
      <w:proofErr w:type="spellStart"/>
      <w:r>
        <w:t>Sweller</w:t>
      </w:r>
      <w:proofErr w:type="spellEnd"/>
      <w:r>
        <w:t xml:space="preserve"> J. (2011). Chapter </w:t>
      </w:r>
      <w:proofErr w:type="gramStart"/>
      <w:r>
        <w:t>Two</w:t>
      </w:r>
      <w:proofErr w:type="gramEnd"/>
      <w:r>
        <w:t xml:space="preserve"> – Cognitive Load Theory. </w:t>
      </w:r>
      <w:r w:rsidRPr="59C3CF1A">
        <w:rPr>
          <w:i/>
          <w:iCs/>
        </w:rPr>
        <w:t>Psychology of Learning and Motivation</w:t>
      </w:r>
      <w:r>
        <w:t xml:space="preserve">. </w:t>
      </w:r>
      <w:proofErr w:type="gramStart"/>
      <w:r>
        <w:t>55</w:t>
      </w:r>
      <w:proofErr w:type="gramEnd"/>
      <w:r>
        <w:t xml:space="preserve">: 37-76. </w:t>
      </w:r>
    </w:p>
    <w:p w14:paraId="787F2900" w14:textId="77777777" w:rsidR="003E47B7" w:rsidRDefault="69CFA879" w:rsidP="00DA5BA8">
      <w:pPr>
        <w:pStyle w:val="BibliographyEntry"/>
      </w:pPr>
      <w:r>
        <w:t xml:space="preserve">Tian C, et al. (2014). Readability, suitability, and health content assessment of web-based patient education materials on colorectal cancer screening. </w:t>
      </w:r>
      <w:r w:rsidRPr="69CFA879">
        <w:rPr>
          <w:i/>
          <w:iCs/>
        </w:rPr>
        <w:t>Gastrointestinal Endoscopy</w:t>
      </w:r>
      <w:r>
        <w:t xml:space="preserve">. 80(2): 284-90. </w:t>
      </w:r>
    </w:p>
    <w:p w14:paraId="1177A60C" w14:textId="77777777" w:rsidR="00A9701D" w:rsidRDefault="59C3CF1A" w:rsidP="00DA5BA8">
      <w:pPr>
        <w:pStyle w:val="BibliographyEntry"/>
      </w:pPr>
      <w:proofErr w:type="spellStart"/>
      <w:r>
        <w:t>Tuot</w:t>
      </w:r>
      <w:proofErr w:type="spellEnd"/>
      <w:r>
        <w:t xml:space="preserve"> DS, et al. (2013). Assessment or printed patient-educational materials for chronic kidney disease. </w:t>
      </w:r>
      <w:r w:rsidRPr="59C3CF1A">
        <w:rPr>
          <w:i/>
          <w:iCs/>
        </w:rPr>
        <w:t>American Journal of Nephrology</w:t>
      </w:r>
      <w:r>
        <w:t xml:space="preserve">. 38(3): 184-94. </w:t>
      </w:r>
    </w:p>
    <w:p w14:paraId="54E01B5C" w14:textId="77777777" w:rsidR="002B3E45" w:rsidRDefault="69CFA879" w:rsidP="00DA5BA8">
      <w:pPr>
        <w:pStyle w:val="BibliographyEntry"/>
      </w:pPr>
      <w:r>
        <w:t xml:space="preserve">United States Department of Health &amp; Human Services. (2016). </w:t>
      </w:r>
      <w:r w:rsidRPr="69CFA879">
        <w:rPr>
          <w:i/>
          <w:iCs/>
        </w:rPr>
        <w:t>Mandatory Reporters of Child Abuse and Neglect</w:t>
      </w:r>
      <w:r>
        <w:t xml:space="preserve">. Retrieved July </w:t>
      </w:r>
      <w:proofErr w:type="gramStart"/>
      <w:r>
        <w:t>5</w:t>
      </w:r>
      <w:r w:rsidRPr="69CFA879">
        <w:rPr>
          <w:vertAlign w:val="superscript"/>
        </w:rPr>
        <w:t>th</w:t>
      </w:r>
      <w:proofErr w:type="gramEnd"/>
      <w:r>
        <w:t>, 2018, from https://www.childwelfare.gov/topics/systemwide/laws-policies/statutes/manda/.</w:t>
      </w:r>
    </w:p>
    <w:p w14:paraId="28902E1C" w14:textId="77777777" w:rsidR="003B4621" w:rsidRDefault="69CFA879" w:rsidP="00DA5BA8">
      <w:pPr>
        <w:pStyle w:val="BibliographyEntry"/>
      </w:pPr>
      <w:proofErr w:type="spellStart"/>
      <w:r>
        <w:t>Vallance</w:t>
      </w:r>
      <w:proofErr w:type="spellEnd"/>
      <w:r>
        <w:t xml:space="preserve"> JK, et al. (2008). Suitability and readability assessment of education print resources related to physical activity: implications and recommendations for practice. </w:t>
      </w:r>
      <w:r w:rsidRPr="69CFA879">
        <w:rPr>
          <w:i/>
          <w:iCs/>
        </w:rPr>
        <w:t>Patient Education and Counseling</w:t>
      </w:r>
      <w:r>
        <w:t xml:space="preserve">. 72(2): 342-9. </w:t>
      </w:r>
    </w:p>
    <w:p w14:paraId="3E9D366C" w14:textId="77777777" w:rsidR="00C667BD" w:rsidRDefault="59C3CF1A" w:rsidP="00DA5BA8">
      <w:pPr>
        <w:pStyle w:val="BibliographyEntry"/>
      </w:pPr>
      <w:proofErr w:type="gramStart"/>
      <w:r>
        <w:t>van</w:t>
      </w:r>
      <w:proofErr w:type="gramEnd"/>
      <w:r>
        <w:t xml:space="preserve"> den </w:t>
      </w:r>
      <w:proofErr w:type="spellStart"/>
      <w:r>
        <w:t>Bemt</w:t>
      </w:r>
      <w:proofErr w:type="spellEnd"/>
      <w:r>
        <w:t xml:space="preserve"> BJ, et al. (2009). Adherence rates and associations with </w:t>
      </w:r>
      <w:proofErr w:type="spellStart"/>
      <w:r>
        <w:t>nonadherence</w:t>
      </w:r>
      <w:proofErr w:type="spellEnd"/>
      <w:r>
        <w:t xml:space="preserve"> in patients with rheumatoid arthritis using disease modifying </w:t>
      </w:r>
      <w:proofErr w:type="spellStart"/>
      <w:r>
        <w:t>antirheumatic</w:t>
      </w:r>
      <w:proofErr w:type="spellEnd"/>
      <w:r>
        <w:t xml:space="preserve"> drugs. </w:t>
      </w:r>
      <w:r w:rsidRPr="59C3CF1A">
        <w:rPr>
          <w:i/>
          <w:iCs/>
        </w:rPr>
        <w:t>The Journal of Rheumatology</w:t>
      </w:r>
      <w:r>
        <w:t xml:space="preserve">. </w:t>
      </w:r>
      <w:proofErr w:type="gramStart"/>
      <w:r>
        <w:t>36</w:t>
      </w:r>
      <w:proofErr w:type="gramEnd"/>
      <w:r>
        <w:t xml:space="preserve">(10): 2164-70. </w:t>
      </w:r>
    </w:p>
    <w:p w14:paraId="72D179EC" w14:textId="77777777" w:rsidR="00E83D42" w:rsidRDefault="59C3CF1A" w:rsidP="00DA5BA8">
      <w:pPr>
        <w:pStyle w:val="BibliographyEntry"/>
      </w:pPr>
      <w:proofErr w:type="spellStart"/>
      <w:r>
        <w:t>Vaz</w:t>
      </w:r>
      <w:proofErr w:type="spellEnd"/>
      <w:r>
        <w:t xml:space="preserve"> LE, et al. (2015). Prevalence of Parental Misconception </w:t>
      </w:r>
      <w:proofErr w:type="gramStart"/>
      <w:r>
        <w:t>About</w:t>
      </w:r>
      <w:proofErr w:type="gramEnd"/>
      <w:r>
        <w:t xml:space="preserve"> Antibiotic Use. </w:t>
      </w:r>
      <w:r w:rsidRPr="59C3CF1A">
        <w:rPr>
          <w:i/>
          <w:iCs/>
        </w:rPr>
        <w:t>Pediatrics</w:t>
      </w:r>
      <w:r>
        <w:t xml:space="preserve">. 136(2): 221-31. </w:t>
      </w:r>
    </w:p>
    <w:p w14:paraId="6A718A5E" w14:textId="77777777" w:rsidR="0073485F" w:rsidRDefault="69CFA879" w:rsidP="00DA5BA8">
      <w:pPr>
        <w:pStyle w:val="BibliographyEntry"/>
      </w:pPr>
      <w:r>
        <w:lastRenderedPageBreak/>
        <w:t xml:space="preserve">Walker RJ, et al. (2014). Independent effects of socioeconomic and psychological social determinants of health on self-care and outcomes in Type 2 diabetes. </w:t>
      </w:r>
      <w:r w:rsidRPr="69CFA879">
        <w:rPr>
          <w:i/>
          <w:iCs/>
        </w:rPr>
        <w:t>General Hospital Psychiatry</w:t>
      </w:r>
      <w:r>
        <w:t xml:space="preserve">. 36(6): 662-8. </w:t>
      </w:r>
    </w:p>
    <w:p w14:paraId="32F48AE6" w14:textId="77777777" w:rsidR="00106691" w:rsidRDefault="69CFA879" w:rsidP="00DA5BA8">
      <w:pPr>
        <w:pStyle w:val="BibliographyEntry"/>
      </w:pPr>
      <w:r>
        <w:t xml:space="preserve">Walker RJ, et al. (2015). Quantifying direct effects of social determinants of health on glycemic control in adults with type 2 diabetes. </w:t>
      </w:r>
      <w:r w:rsidRPr="69CFA879">
        <w:rPr>
          <w:i/>
          <w:iCs/>
        </w:rPr>
        <w:t>Diabetes Technology &amp; Therapeutics</w:t>
      </w:r>
      <w:r>
        <w:t xml:space="preserve">. 17(2): 80-7. </w:t>
      </w:r>
    </w:p>
    <w:p w14:paraId="55844D19" w14:textId="77777777" w:rsidR="003940AB" w:rsidRDefault="69CFA879" w:rsidP="00DA5BA8">
      <w:pPr>
        <w:pStyle w:val="BibliographyEntry"/>
      </w:pPr>
      <w:r>
        <w:t xml:space="preserve">Wallace LS &amp; Lennon ES. (2004). American Academy of Family Physicians patient education materials: can patients read them? </w:t>
      </w:r>
      <w:r w:rsidRPr="69CFA879">
        <w:rPr>
          <w:i/>
          <w:iCs/>
        </w:rPr>
        <w:t>Family Medicine</w:t>
      </w:r>
      <w:r>
        <w:t xml:space="preserve">. 36(8): 571-4. </w:t>
      </w:r>
    </w:p>
    <w:p w14:paraId="016E2A0E" w14:textId="77777777" w:rsidR="00875C8A" w:rsidRDefault="59C3CF1A" w:rsidP="00DA5BA8">
      <w:pPr>
        <w:pStyle w:val="BibliographyEntry"/>
      </w:pPr>
      <w:r>
        <w:t xml:space="preserve">Wardle RA &amp; Mayberry JF. (2015). </w:t>
      </w:r>
      <w:proofErr w:type="gramStart"/>
      <w:r>
        <w:t>Has</w:t>
      </w:r>
      <w:proofErr w:type="gramEnd"/>
      <w:r>
        <w:t xml:space="preserve"> patient knowledge of Inflammatory Bowel Disease improved since 1999? </w:t>
      </w:r>
      <w:proofErr w:type="spellStart"/>
      <w:r w:rsidRPr="59C3CF1A">
        <w:rPr>
          <w:i/>
          <w:iCs/>
        </w:rPr>
        <w:t>Acta</w:t>
      </w:r>
      <w:proofErr w:type="spellEnd"/>
      <w:r w:rsidRPr="59C3CF1A">
        <w:rPr>
          <w:i/>
          <w:iCs/>
        </w:rPr>
        <w:t xml:space="preserve"> Gastro-</w:t>
      </w:r>
      <w:proofErr w:type="spellStart"/>
      <w:r w:rsidRPr="59C3CF1A">
        <w:rPr>
          <w:i/>
          <w:iCs/>
        </w:rPr>
        <w:t>Enterologica</w:t>
      </w:r>
      <w:proofErr w:type="spellEnd"/>
      <w:r w:rsidRPr="59C3CF1A">
        <w:rPr>
          <w:i/>
          <w:iCs/>
        </w:rPr>
        <w:t xml:space="preserve"> </w:t>
      </w:r>
      <w:proofErr w:type="spellStart"/>
      <w:r w:rsidRPr="59C3CF1A">
        <w:rPr>
          <w:i/>
          <w:iCs/>
        </w:rPr>
        <w:t>Belgica</w:t>
      </w:r>
      <w:proofErr w:type="spellEnd"/>
      <w:r>
        <w:t xml:space="preserve">. 78(4): 381-5. </w:t>
      </w:r>
    </w:p>
    <w:p w14:paraId="1CED184A" w14:textId="77777777" w:rsidR="006C7DF5" w:rsidRDefault="69CFA879" w:rsidP="00DA5BA8">
      <w:pPr>
        <w:pStyle w:val="BibliographyEntry"/>
      </w:pPr>
      <w:r>
        <w:t xml:space="preserve">Wee CC, et al. (2006). Understanding patients’ value of weight loss and expectations for bariatric surgery. </w:t>
      </w:r>
      <w:r w:rsidRPr="69CFA879">
        <w:rPr>
          <w:i/>
          <w:iCs/>
        </w:rPr>
        <w:t>Obesity Surgery</w:t>
      </w:r>
      <w:r>
        <w:t>. 16(4): 496-500.</w:t>
      </w:r>
    </w:p>
    <w:p w14:paraId="5095B076" w14:textId="77777777" w:rsidR="00E83D42" w:rsidRDefault="69CFA879" w:rsidP="00DA5BA8">
      <w:pPr>
        <w:pStyle w:val="BibliographyEntry"/>
      </w:pPr>
      <w:r>
        <w:t xml:space="preserve">Weintraub D, et al. (2004). Suitability of prostate cancer education materials: applying a standardized assessment tool to currently available materials. </w:t>
      </w:r>
      <w:r w:rsidRPr="69CFA879">
        <w:rPr>
          <w:i/>
          <w:iCs/>
        </w:rPr>
        <w:t>Patient Education and Counseling</w:t>
      </w:r>
      <w:r>
        <w:t xml:space="preserve">. 55(2): 275-80.  </w:t>
      </w:r>
    </w:p>
    <w:p w14:paraId="201F0AF6" w14:textId="77777777" w:rsidR="0076790B" w:rsidRDefault="69CFA879" w:rsidP="00DA5BA8">
      <w:pPr>
        <w:pStyle w:val="BibliographyEntry"/>
      </w:pPr>
      <w:r>
        <w:t xml:space="preserve">Weiss BD, et al. (2007). </w:t>
      </w:r>
      <w:r w:rsidRPr="69CFA879">
        <w:rPr>
          <w:i/>
          <w:iCs/>
        </w:rPr>
        <w:t>Health literacy and patient safety: Help patients understand</w:t>
      </w:r>
      <w:r>
        <w:t xml:space="preserve"> (</w:t>
      </w:r>
      <w:proofErr w:type="gramStart"/>
      <w:r>
        <w:t>2</w:t>
      </w:r>
      <w:r w:rsidRPr="69CFA879">
        <w:rPr>
          <w:vertAlign w:val="superscript"/>
        </w:rPr>
        <w:t>nd</w:t>
      </w:r>
      <w:proofErr w:type="gramEnd"/>
      <w:r>
        <w:t xml:space="preserve"> Ed.). American Medical Association Foundation and American Medical Association. Retrieved June </w:t>
      </w:r>
      <w:proofErr w:type="gramStart"/>
      <w:r>
        <w:t>23</w:t>
      </w:r>
      <w:r w:rsidRPr="69CFA879">
        <w:rPr>
          <w:vertAlign w:val="superscript"/>
        </w:rPr>
        <w:t>rd</w:t>
      </w:r>
      <w:proofErr w:type="gramEnd"/>
      <w:r>
        <w:t>, 2018, from https://med.fsu.edu/userFiles/file/ahec_health_clinicians_manual.pdf.</w:t>
      </w:r>
    </w:p>
    <w:p w14:paraId="3CC5A138" w14:textId="77777777" w:rsidR="00520FD5" w:rsidRDefault="69CFA879" w:rsidP="00DA5BA8">
      <w:pPr>
        <w:pStyle w:val="BibliographyEntry"/>
      </w:pPr>
      <w:r>
        <w:t xml:space="preserve">Wilson EA &amp; Wolf MS. (2009). Working memory and the design of health materials: a cognitive factors perspective. </w:t>
      </w:r>
      <w:r w:rsidRPr="69CFA879">
        <w:rPr>
          <w:i/>
          <w:iCs/>
        </w:rPr>
        <w:t>Patient Education and Counseling</w:t>
      </w:r>
      <w:r>
        <w:t xml:space="preserve">. 74(3): 318-22. </w:t>
      </w:r>
    </w:p>
    <w:p w14:paraId="7B5554C5" w14:textId="77777777" w:rsidR="00C667BD" w:rsidRDefault="69CFA879" w:rsidP="00DA5BA8">
      <w:pPr>
        <w:pStyle w:val="BibliographyEntry"/>
      </w:pPr>
      <w:r>
        <w:t xml:space="preserve">Wong PK. (2016). Medication adherence in patients with rheumatoid arthritis: why do patients not take what we prescribe? </w:t>
      </w:r>
      <w:r w:rsidRPr="69CFA879">
        <w:rPr>
          <w:i/>
          <w:iCs/>
        </w:rPr>
        <w:t>Rheumatology International</w:t>
      </w:r>
      <w:r>
        <w:t xml:space="preserve">. </w:t>
      </w:r>
      <w:proofErr w:type="gramStart"/>
      <w:r>
        <w:t>36</w:t>
      </w:r>
      <w:proofErr w:type="gramEnd"/>
      <w:r>
        <w:t xml:space="preserve">(11): 1535-42. </w:t>
      </w:r>
    </w:p>
    <w:p w14:paraId="3D0987A6" w14:textId="77777777" w:rsidR="00D71EF0" w:rsidRDefault="59C3CF1A" w:rsidP="00D71EF0">
      <w:pPr>
        <w:pStyle w:val="BibliographyEntry"/>
      </w:pPr>
      <w:r>
        <w:t xml:space="preserve">Woolley H, et al. (1989). Imparting the diagnosis of life threatening illness in children. </w:t>
      </w:r>
      <w:r w:rsidRPr="59C3CF1A">
        <w:rPr>
          <w:i/>
          <w:iCs/>
        </w:rPr>
        <w:t>British Medical Journal</w:t>
      </w:r>
      <w:r>
        <w:t xml:space="preserve">. </w:t>
      </w:r>
      <w:proofErr w:type="gramStart"/>
      <w:r>
        <w:t>298</w:t>
      </w:r>
      <w:proofErr w:type="gramEnd"/>
      <w:r>
        <w:t xml:space="preserve">(6688): 1623-6. </w:t>
      </w:r>
    </w:p>
    <w:p w14:paraId="400637D6" w14:textId="77777777" w:rsidR="00305F9C" w:rsidRDefault="59C3CF1A" w:rsidP="00DA5BA8">
      <w:pPr>
        <w:pStyle w:val="BibliographyEntry"/>
      </w:pPr>
      <w:r>
        <w:t xml:space="preserve">Zheng J &amp; Yu H. (2017). Readability Formulas and User Perceptions of Electronic Health Records Difficulty: A Corpus Study. </w:t>
      </w:r>
      <w:r w:rsidRPr="59C3CF1A">
        <w:rPr>
          <w:i/>
          <w:iCs/>
        </w:rPr>
        <w:t>Journal of Medical Internet Research</w:t>
      </w:r>
      <w:r>
        <w:t xml:space="preserve">. 19(3): e59. </w:t>
      </w:r>
      <w:proofErr w:type="spellStart"/>
      <w:proofErr w:type="gramStart"/>
      <w:r>
        <w:t>doi</w:t>
      </w:r>
      <w:proofErr w:type="spellEnd"/>
      <w:proofErr w:type="gramEnd"/>
      <w:r>
        <w:t xml:space="preserve">: 10.2196/jmir.6962. </w:t>
      </w:r>
    </w:p>
    <w:p w14:paraId="300079F4" w14:textId="77777777" w:rsidR="00DA5BA8" w:rsidRDefault="00DA5BA8" w:rsidP="00DA5BA8">
      <w:pPr>
        <w:pStyle w:val="BibliographyEntry"/>
      </w:pPr>
    </w:p>
    <w:sectPr w:rsidR="00DA5BA8" w:rsidSect="006B1124">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D8616" w14:textId="77777777" w:rsidR="005927E7" w:rsidRDefault="005927E7">
      <w:r>
        <w:separator/>
      </w:r>
    </w:p>
  </w:endnote>
  <w:endnote w:type="continuationSeparator" w:id="0">
    <w:p w14:paraId="491D2769" w14:textId="77777777" w:rsidR="005927E7" w:rsidRDefault="0059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B07B3" w14:textId="373424FD" w:rsidR="005927E7" w:rsidRDefault="005927E7" w:rsidP="006B1124">
    <w:pPr>
      <w:tabs>
        <w:tab w:val="center" w:pos="4680"/>
      </w:tabs>
      <w:ind w:firstLine="0"/>
    </w:pPr>
    <w:r>
      <w:tab/>
    </w:r>
    <w:r>
      <w:fldChar w:fldCharType="begin"/>
    </w:r>
    <w:r>
      <w:instrText xml:space="preserve"> PAGE </w:instrText>
    </w:r>
    <w:r>
      <w:fldChar w:fldCharType="separate"/>
    </w:r>
    <w:r w:rsidR="00FB6957">
      <w:rPr>
        <w:noProof/>
      </w:rPr>
      <w:t>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AD3EE" w14:textId="73CE980E" w:rsidR="005927E7" w:rsidRDefault="005927E7" w:rsidP="006B1124">
    <w:pPr>
      <w:tabs>
        <w:tab w:val="center" w:pos="4680"/>
      </w:tabs>
      <w:ind w:firstLine="0"/>
    </w:pPr>
    <w:r>
      <w:tab/>
    </w:r>
    <w:r>
      <w:fldChar w:fldCharType="begin"/>
    </w:r>
    <w:r>
      <w:instrText xml:space="preserve"> PAGE </w:instrText>
    </w:r>
    <w:r>
      <w:fldChar w:fldCharType="separate"/>
    </w:r>
    <w:r w:rsidR="00FB6957">
      <w:rPr>
        <w:noProof/>
      </w:rPr>
      <w:t>44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CD9ED" w14:textId="77777777" w:rsidR="005927E7" w:rsidRDefault="005927E7">
      <w:r>
        <w:separator/>
      </w:r>
    </w:p>
  </w:footnote>
  <w:footnote w:type="continuationSeparator" w:id="0">
    <w:p w14:paraId="4EF7FBD7" w14:textId="77777777" w:rsidR="005927E7" w:rsidRDefault="00592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671F"/>
    <w:multiLevelType w:val="multilevel"/>
    <w:tmpl w:val="B9F8F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720"/>
        </w:tabs>
        <w:ind w:left="72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DD94DE3"/>
    <w:multiLevelType w:val="multilevel"/>
    <w:tmpl w:val="A5CAC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4620B6"/>
    <w:multiLevelType w:val="multilevel"/>
    <w:tmpl w:val="188E6F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859C0"/>
    <w:multiLevelType w:val="multilevel"/>
    <w:tmpl w:val="E402D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324BB5"/>
    <w:multiLevelType w:val="multilevel"/>
    <w:tmpl w:val="5C7A27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7" w15:restartNumberingAfterBreak="0">
    <w:nsid w:val="4C9F3553"/>
    <w:multiLevelType w:val="multilevel"/>
    <w:tmpl w:val="F104A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070B9F"/>
    <w:multiLevelType w:val="multilevel"/>
    <w:tmpl w:val="1E980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CA4208"/>
    <w:multiLevelType w:val="multilevel"/>
    <w:tmpl w:val="C686B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1"/>
  </w:num>
  <w:num w:numId="4">
    <w:abstractNumId w:val="5"/>
  </w:num>
  <w:num w:numId="5">
    <w:abstractNumId w:val="3"/>
  </w:num>
  <w:num w:numId="6">
    <w:abstractNumId w:val="7"/>
  </w:num>
  <w:num w:numId="7">
    <w:abstractNumId w:val="4"/>
  </w:num>
  <w:num w:numId="8">
    <w:abstractNumId w:val="2"/>
  </w:num>
  <w:num w:numId="9">
    <w:abstractNumId w:val="8"/>
  </w:num>
  <w:num w:numId="10">
    <w:abstractNumId w:val="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1"/>
    <w:rsid w:val="00003BBD"/>
    <w:rsid w:val="000053AE"/>
    <w:rsid w:val="000056D7"/>
    <w:rsid w:val="00005755"/>
    <w:rsid w:val="0001277E"/>
    <w:rsid w:val="00012EE8"/>
    <w:rsid w:val="0001344D"/>
    <w:rsid w:val="00014DA2"/>
    <w:rsid w:val="00016870"/>
    <w:rsid w:val="000228A3"/>
    <w:rsid w:val="000256C1"/>
    <w:rsid w:val="00026001"/>
    <w:rsid w:val="000261F9"/>
    <w:rsid w:val="00027A14"/>
    <w:rsid w:val="0003008B"/>
    <w:rsid w:val="00030D3B"/>
    <w:rsid w:val="0003449F"/>
    <w:rsid w:val="00034CB5"/>
    <w:rsid w:val="00035D1E"/>
    <w:rsid w:val="00035EA8"/>
    <w:rsid w:val="00037CEE"/>
    <w:rsid w:val="00045F8B"/>
    <w:rsid w:val="00053117"/>
    <w:rsid w:val="00053562"/>
    <w:rsid w:val="00062C5B"/>
    <w:rsid w:val="000702B3"/>
    <w:rsid w:val="0007496C"/>
    <w:rsid w:val="000757EB"/>
    <w:rsid w:val="00075887"/>
    <w:rsid w:val="000810D1"/>
    <w:rsid w:val="000910DC"/>
    <w:rsid w:val="00094661"/>
    <w:rsid w:val="000A48A1"/>
    <w:rsid w:val="000A4E76"/>
    <w:rsid w:val="000B1C26"/>
    <w:rsid w:val="000B510B"/>
    <w:rsid w:val="000C657B"/>
    <w:rsid w:val="000D09CC"/>
    <w:rsid w:val="000D226A"/>
    <w:rsid w:val="000E6D17"/>
    <w:rsid w:val="000F06B8"/>
    <w:rsid w:val="000F1184"/>
    <w:rsid w:val="001002B9"/>
    <w:rsid w:val="00101E4B"/>
    <w:rsid w:val="00106691"/>
    <w:rsid w:val="00110636"/>
    <w:rsid w:val="00110C60"/>
    <w:rsid w:val="00111941"/>
    <w:rsid w:val="00111E02"/>
    <w:rsid w:val="0012540E"/>
    <w:rsid w:val="001328DD"/>
    <w:rsid w:val="00132EEC"/>
    <w:rsid w:val="00136570"/>
    <w:rsid w:val="00137E85"/>
    <w:rsid w:val="00142BCE"/>
    <w:rsid w:val="0014312B"/>
    <w:rsid w:val="00150EF7"/>
    <w:rsid w:val="00152443"/>
    <w:rsid w:val="00154142"/>
    <w:rsid w:val="0015449B"/>
    <w:rsid w:val="00160FC5"/>
    <w:rsid w:val="00172E7E"/>
    <w:rsid w:val="0017387F"/>
    <w:rsid w:val="00176BC8"/>
    <w:rsid w:val="00181836"/>
    <w:rsid w:val="00181FDF"/>
    <w:rsid w:val="001900ED"/>
    <w:rsid w:val="001924C9"/>
    <w:rsid w:val="001933D1"/>
    <w:rsid w:val="00194E0D"/>
    <w:rsid w:val="001B1534"/>
    <w:rsid w:val="001B28B9"/>
    <w:rsid w:val="001B33DA"/>
    <w:rsid w:val="001B7066"/>
    <w:rsid w:val="001B7BC4"/>
    <w:rsid w:val="001C0025"/>
    <w:rsid w:val="001C0E68"/>
    <w:rsid w:val="001C376F"/>
    <w:rsid w:val="001C4F87"/>
    <w:rsid w:val="001C6188"/>
    <w:rsid w:val="001C7CDC"/>
    <w:rsid w:val="001D3EDA"/>
    <w:rsid w:val="001D4693"/>
    <w:rsid w:val="001E3172"/>
    <w:rsid w:val="001E625A"/>
    <w:rsid w:val="001F1877"/>
    <w:rsid w:val="001F2883"/>
    <w:rsid w:val="00200B2E"/>
    <w:rsid w:val="00202045"/>
    <w:rsid w:val="002102E6"/>
    <w:rsid w:val="002177E3"/>
    <w:rsid w:val="0022690E"/>
    <w:rsid w:val="0024046F"/>
    <w:rsid w:val="002706BA"/>
    <w:rsid w:val="002723FB"/>
    <w:rsid w:val="00272FAE"/>
    <w:rsid w:val="00273B47"/>
    <w:rsid w:val="002767FB"/>
    <w:rsid w:val="00276E7E"/>
    <w:rsid w:val="0028782F"/>
    <w:rsid w:val="00294F0C"/>
    <w:rsid w:val="00297150"/>
    <w:rsid w:val="002A1BC5"/>
    <w:rsid w:val="002B01A1"/>
    <w:rsid w:val="002B3E45"/>
    <w:rsid w:val="002B5514"/>
    <w:rsid w:val="002B6D09"/>
    <w:rsid w:val="002D01B1"/>
    <w:rsid w:val="002D11E0"/>
    <w:rsid w:val="002D765A"/>
    <w:rsid w:val="002E05E4"/>
    <w:rsid w:val="002F0376"/>
    <w:rsid w:val="002F118F"/>
    <w:rsid w:val="002F388A"/>
    <w:rsid w:val="0030012E"/>
    <w:rsid w:val="003027EC"/>
    <w:rsid w:val="00302883"/>
    <w:rsid w:val="00302A15"/>
    <w:rsid w:val="00304C13"/>
    <w:rsid w:val="00305F9C"/>
    <w:rsid w:val="0030636A"/>
    <w:rsid w:val="0031015C"/>
    <w:rsid w:val="00310440"/>
    <w:rsid w:val="0031334B"/>
    <w:rsid w:val="00331F91"/>
    <w:rsid w:val="00335D18"/>
    <w:rsid w:val="00337CC7"/>
    <w:rsid w:val="003529CF"/>
    <w:rsid w:val="003668E4"/>
    <w:rsid w:val="00367476"/>
    <w:rsid w:val="0038112E"/>
    <w:rsid w:val="00385559"/>
    <w:rsid w:val="003940AB"/>
    <w:rsid w:val="0039586B"/>
    <w:rsid w:val="003A1A13"/>
    <w:rsid w:val="003A559D"/>
    <w:rsid w:val="003B4621"/>
    <w:rsid w:val="003B58F4"/>
    <w:rsid w:val="003B5941"/>
    <w:rsid w:val="003B62B5"/>
    <w:rsid w:val="003B7592"/>
    <w:rsid w:val="003C235D"/>
    <w:rsid w:val="003D3AA8"/>
    <w:rsid w:val="003E2DA4"/>
    <w:rsid w:val="003E47B7"/>
    <w:rsid w:val="003E6D79"/>
    <w:rsid w:val="003F242C"/>
    <w:rsid w:val="003F4A8C"/>
    <w:rsid w:val="00400E12"/>
    <w:rsid w:val="00415000"/>
    <w:rsid w:val="0041536B"/>
    <w:rsid w:val="004175B6"/>
    <w:rsid w:val="004212AB"/>
    <w:rsid w:val="004257A0"/>
    <w:rsid w:val="00425DC7"/>
    <w:rsid w:val="004316B0"/>
    <w:rsid w:val="00432249"/>
    <w:rsid w:val="00440BAB"/>
    <w:rsid w:val="00443A3C"/>
    <w:rsid w:val="0045125D"/>
    <w:rsid w:val="00461119"/>
    <w:rsid w:val="00461514"/>
    <w:rsid w:val="00477474"/>
    <w:rsid w:val="00481966"/>
    <w:rsid w:val="00481A3A"/>
    <w:rsid w:val="0049796D"/>
    <w:rsid w:val="004A100A"/>
    <w:rsid w:val="004A31F6"/>
    <w:rsid w:val="004A4716"/>
    <w:rsid w:val="004A4757"/>
    <w:rsid w:val="004B358F"/>
    <w:rsid w:val="004B5CE4"/>
    <w:rsid w:val="004B7B28"/>
    <w:rsid w:val="004D249F"/>
    <w:rsid w:val="004D3126"/>
    <w:rsid w:val="004D4949"/>
    <w:rsid w:val="004D592C"/>
    <w:rsid w:val="004D7411"/>
    <w:rsid w:val="004D7AA4"/>
    <w:rsid w:val="004E2EF2"/>
    <w:rsid w:val="004E3089"/>
    <w:rsid w:val="004E319E"/>
    <w:rsid w:val="004E3B59"/>
    <w:rsid w:val="004F0ADC"/>
    <w:rsid w:val="004F44E5"/>
    <w:rsid w:val="00512C62"/>
    <w:rsid w:val="00513CE5"/>
    <w:rsid w:val="005157C4"/>
    <w:rsid w:val="005200E2"/>
    <w:rsid w:val="00520FD5"/>
    <w:rsid w:val="00523F17"/>
    <w:rsid w:val="00536110"/>
    <w:rsid w:val="00544485"/>
    <w:rsid w:val="00546B6E"/>
    <w:rsid w:val="00552B57"/>
    <w:rsid w:val="0055560B"/>
    <w:rsid w:val="00562247"/>
    <w:rsid w:val="00577602"/>
    <w:rsid w:val="005927E7"/>
    <w:rsid w:val="005943D4"/>
    <w:rsid w:val="00596371"/>
    <w:rsid w:val="005A4E6C"/>
    <w:rsid w:val="005A5D20"/>
    <w:rsid w:val="005D27D4"/>
    <w:rsid w:val="005E58DC"/>
    <w:rsid w:val="005F1BB6"/>
    <w:rsid w:val="005F411C"/>
    <w:rsid w:val="005F5118"/>
    <w:rsid w:val="006064D4"/>
    <w:rsid w:val="00620701"/>
    <w:rsid w:val="00623359"/>
    <w:rsid w:val="0062799E"/>
    <w:rsid w:val="006363BB"/>
    <w:rsid w:val="00636C11"/>
    <w:rsid w:val="006425BF"/>
    <w:rsid w:val="006510F0"/>
    <w:rsid w:val="00656EE6"/>
    <w:rsid w:val="00660B69"/>
    <w:rsid w:val="00675BB0"/>
    <w:rsid w:val="006864E1"/>
    <w:rsid w:val="00687F7A"/>
    <w:rsid w:val="00693282"/>
    <w:rsid w:val="00695493"/>
    <w:rsid w:val="006A5780"/>
    <w:rsid w:val="006B1124"/>
    <w:rsid w:val="006B13C3"/>
    <w:rsid w:val="006B2AC6"/>
    <w:rsid w:val="006B3A77"/>
    <w:rsid w:val="006B550D"/>
    <w:rsid w:val="006B7188"/>
    <w:rsid w:val="006B734E"/>
    <w:rsid w:val="006B73F2"/>
    <w:rsid w:val="006C7DF5"/>
    <w:rsid w:val="006D2366"/>
    <w:rsid w:val="006E07F9"/>
    <w:rsid w:val="006E2C4C"/>
    <w:rsid w:val="006E5910"/>
    <w:rsid w:val="006E5D78"/>
    <w:rsid w:val="006F2B85"/>
    <w:rsid w:val="006F6B3A"/>
    <w:rsid w:val="00702C60"/>
    <w:rsid w:val="00711BF0"/>
    <w:rsid w:val="007130AC"/>
    <w:rsid w:val="0073216B"/>
    <w:rsid w:val="0073485F"/>
    <w:rsid w:val="00750E9F"/>
    <w:rsid w:val="0076790B"/>
    <w:rsid w:val="00775294"/>
    <w:rsid w:val="007A20FF"/>
    <w:rsid w:val="007A5FEC"/>
    <w:rsid w:val="007A66E3"/>
    <w:rsid w:val="007A6866"/>
    <w:rsid w:val="007B031C"/>
    <w:rsid w:val="007B14EF"/>
    <w:rsid w:val="007B3848"/>
    <w:rsid w:val="007D344E"/>
    <w:rsid w:val="007D3C32"/>
    <w:rsid w:val="007D78B4"/>
    <w:rsid w:val="007E508C"/>
    <w:rsid w:val="007E62E7"/>
    <w:rsid w:val="007E7C61"/>
    <w:rsid w:val="007F159C"/>
    <w:rsid w:val="007F3B75"/>
    <w:rsid w:val="007F763B"/>
    <w:rsid w:val="008036B6"/>
    <w:rsid w:val="00815A1A"/>
    <w:rsid w:val="00821EFE"/>
    <w:rsid w:val="008263BF"/>
    <w:rsid w:val="00834193"/>
    <w:rsid w:val="008353BB"/>
    <w:rsid w:val="008466BA"/>
    <w:rsid w:val="00847890"/>
    <w:rsid w:val="00855A73"/>
    <w:rsid w:val="008632CE"/>
    <w:rsid w:val="00863AD0"/>
    <w:rsid w:val="00863D37"/>
    <w:rsid w:val="008650E7"/>
    <w:rsid w:val="00875C8A"/>
    <w:rsid w:val="008808E8"/>
    <w:rsid w:val="00884E1F"/>
    <w:rsid w:val="00887054"/>
    <w:rsid w:val="008875F1"/>
    <w:rsid w:val="008A110F"/>
    <w:rsid w:val="008A2010"/>
    <w:rsid w:val="008A3419"/>
    <w:rsid w:val="008A4541"/>
    <w:rsid w:val="008B77E0"/>
    <w:rsid w:val="008C40AA"/>
    <w:rsid w:val="008D35E2"/>
    <w:rsid w:val="008D4FBB"/>
    <w:rsid w:val="008D6F5C"/>
    <w:rsid w:val="00901CC9"/>
    <w:rsid w:val="009033F4"/>
    <w:rsid w:val="00905724"/>
    <w:rsid w:val="00912CB4"/>
    <w:rsid w:val="00923007"/>
    <w:rsid w:val="009256F3"/>
    <w:rsid w:val="00927EE4"/>
    <w:rsid w:val="009326A4"/>
    <w:rsid w:val="00933ABA"/>
    <w:rsid w:val="00936D40"/>
    <w:rsid w:val="00941138"/>
    <w:rsid w:val="00941666"/>
    <w:rsid w:val="00944ABC"/>
    <w:rsid w:val="0095368F"/>
    <w:rsid w:val="00953FE2"/>
    <w:rsid w:val="00961E66"/>
    <w:rsid w:val="009664C4"/>
    <w:rsid w:val="00970AD7"/>
    <w:rsid w:val="00976F03"/>
    <w:rsid w:val="009841EF"/>
    <w:rsid w:val="00985F47"/>
    <w:rsid w:val="0099539E"/>
    <w:rsid w:val="009977DA"/>
    <w:rsid w:val="009A4A78"/>
    <w:rsid w:val="009A7B75"/>
    <w:rsid w:val="009B1D72"/>
    <w:rsid w:val="009B3B67"/>
    <w:rsid w:val="009C0874"/>
    <w:rsid w:val="009C5730"/>
    <w:rsid w:val="009C655B"/>
    <w:rsid w:val="009D0C8F"/>
    <w:rsid w:val="009D1AE2"/>
    <w:rsid w:val="009D5D69"/>
    <w:rsid w:val="009E2630"/>
    <w:rsid w:val="009E497A"/>
    <w:rsid w:val="009E55E1"/>
    <w:rsid w:val="009E59B5"/>
    <w:rsid w:val="009F019D"/>
    <w:rsid w:val="009F2142"/>
    <w:rsid w:val="009F69A3"/>
    <w:rsid w:val="00A06549"/>
    <w:rsid w:val="00A06ED5"/>
    <w:rsid w:val="00A11AE9"/>
    <w:rsid w:val="00A11CCC"/>
    <w:rsid w:val="00A1674B"/>
    <w:rsid w:val="00A208D2"/>
    <w:rsid w:val="00A23CF0"/>
    <w:rsid w:val="00A2620E"/>
    <w:rsid w:val="00A30057"/>
    <w:rsid w:val="00A319CC"/>
    <w:rsid w:val="00A3281F"/>
    <w:rsid w:val="00A35269"/>
    <w:rsid w:val="00A404C1"/>
    <w:rsid w:val="00A421A0"/>
    <w:rsid w:val="00A4495A"/>
    <w:rsid w:val="00A45F73"/>
    <w:rsid w:val="00A47786"/>
    <w:rsid w:val="00A55C2A"/>
    <w:rsid w:val="00A5664E"/>
    <w:rsid w:val="00A57BD0"/>
    <w:rsid w:val="00A63703"/>
    <w:rsid w:val="00A64DE7"/>
    <w:rsid w:val="00A76221"/>
    <w:rsid w:val="00A80752"/>
    <w:rsid w:val="00A833F2"/>
    <w:rsid w:val="00A84F59"/>
    <w:rsid w:val="00A85703"/>
    <w:rsid w:val="00A90A69"/>
    <w:rsid w:val="00A92BA9"/>
    <w:rsid w:val="00A9701D"/>
    <w:rsid w:val="00AA2C6A"/>
    <w:rsid w:val="00AA3E52"/>
    <w:rsid w:val="00AA3FBD"/>
    <w:rsid w:val="00AB08F3"/>
    <w:rsid w:val="00AB383B"/>
    <w:rsid w:val="00AB399C"/>
    <w:rsid w:val="00AB443C"/>
    <w:rsid w:val="00AB5780"/>
    <w:rsid w:val="00AC4CF3"/>
    <w:rsid w:val="00AC685D"/>
    <w:rsid w:val="00AC6EDE"/>
    <w:rsid w:val="00AD33B0"/>
    <w:rsid w:val="00AE0608"/>
    <w:rsid w:val="00AF2009"/>
    <w:rsid w:val="00AF340B"/>
    <w:rsid w:val="00AF5427"/>
    <w:rsid w:val="00AF65B5"/>
    <w:rsid w:val="00B0010D"/>
    <w:rsid w:val="00B04F91"/>
    <w:rsid w:val="00B22404"/>
    <w:rsid w:val="00B26BC7"/>
    <w:rsid w:val="00B315F3"/>
    <w:rsid w:val="00B33801"/>
    <w:rsid w:val="00B424B6"/>
    <w:rsid w:val="00B42812"/>
    <w:rsid w:val="00B42ABF"/>
    <w:rsid w:val="00B42D08"/>
    <w:rsid w:val="00B56F3C"/>
    <w:rsid w:val="00B57E9B"/>
    <w:rsid w:val="00B614F2"/>
    <w:rsid w:val="00B61C43"/>
    <w:rsid w:val="00B630E4"/>
    <w:rsid w:val="00B7535F"/>
    <w:rsid w:val="00B80B2A"/>
    <w:rsid w:val="00B86301"/>
    <w:rsid w:val="00B917F0"/>
    <w:rsid w:val="00B949AE"/>
    <w:rsid w:val="00B972E3"/>
    <w:rsid w:val="00BA0C66"/>
    <w:rsid w:val="00BA2147"/>
    <w:rsid w:val="00BB22F9"/>
    <w:rsid w:val="00BB5356"/>
    <w:rsid w:val="00BB6405"/>
    <w:rsid w:val="00BC750C"/>
    <w:rsid w:val="00BE76F8"/>
    <w:rsid w:val="00BF0EC1"/>
    <w:rsid w:val="00BF2B29"/>
    <w:rsid w:val="00BF672E"/>
    <w:rsid w:val="00BF7674"/>
    <w:rsid w:val="00C0069E"/>
    <w:rsid w:val="00C15977"/>
    <w:rsid w:val="00C17C66"/>
    <w:rsid w:val="00C22D12"/>
    <w:rsid w:val="00C252F2"/>
    <w:rsid w:val="00C36D41"/>
    <w:rsid w:val="00C40D61"/>
    <w:rsid w:val="00C41642"/>
    <w:rsid w:val="00C43878"/>
    <w:rsid w:val="00C440EE"/>
    <w:rsid w:val="00C616AC"/>
    <w:rsid w:val="00C667BD"/>
    <w:rsid w:val="00C71659"/>
    <w:rsid w:val="00C84D96"/>
    <w:rsid w:val="00C9228E"/>
    <w:rsid w:val="00C93939"/>
    <w:rsid w:val="00CA50C0"/>
    <w:rsid w:val="00CB03F9"/>
    <w:rsid w:val="00CB5F2E"/>
    <w:rsid w:val="00CB78CA"/>
    <w:rsid w:val="00CC4978"/>
    <w:rsid w:val="00CD0772"/>
    <w:rsid w:val="00CE2791"/>
    <w:rsid w:val="00CE2FA5"/>
    <w:rsid w:val="00CE6B49"/>
    <w:rsid w:val="00CF6086"/>
    <w:rsid w:val="00CF7986"/>
    <w:rsid w:val="00D1081E"/>
    <w:rsid w:val="00D135B2"/>
    <w:rsid w:val="00D13DC0"/>
    <w:rsid w:val="00D13F96"/>
    <w:rsid w:val="00D1693B"/>
    <w:rsid w:val="00D23176"/>
    <w:rsid w:val="00D30413"/>
    <w:rsid w:val="00D32F55"/>
    <w:rsid w:val="00D365F9"/>
    <w:rsid w:val="00D36CFA"/>
    <w:rsid w:val="00D44A01"/>
    <w:rsid w:val="00D46B2C"/>
    <w:rsid w:val="00D46DE5"/>
    <w:rsid w:val="00D530BC"/>
    <w:rsid w:val="00D53551"/>
    <w:rsid w:val="00D53E07"/>
    <w:rsid w:val="00D54826"/>
    <w:rsid w:val="00D71EF0"/>
    <w:rsid w:val="00D770A7"/>
    <w:rsid w:val="00D86064"/>
    <w:rsid w:val="00D91081"/>
    <w:rsid w:val="00D91B56"/>
    <w:rsid w:val="00D9504B"/>
    <w:rsid w:val="00DA5BA8"/>
    <w:rsid w:val="00DA71F2"/>
    <w:rsid w:val="00DB6D00"/>
    <w:rsid w:val="00DB70B7"/>
    <w:rsid w:val="00DD1AB4"/>
    <w:rsid w:val="00DD47D0"/>
    <w:rsid w:val="00DD747E"/>
    <w:rsid w:val="00DE1759"/>
    <w:rsid w:val="00DE675A"/>
    <w:rsid w:val="00DF06DF"/>
    <w:rsid w:val="00DF285C"/>
    <w:rsid w:val="00DF5AA3"/>
    <w:rsid w:val="00DF5B26"/>
    <w:rsid w:val="00DF6CDC"/>
    <w:rsid w:val="00E0174B"/>
    <w:rsid w:val="00E047E4"/>
    <w:rsid w:val="00E11402"/>
    <w:rsid w:val="00E15B75"/>
    <w:rsid w:val="00E264A1"/>
    <w:rsid w:val="00E3458D"/>
    <w:rsid w:val="00E35361"/>
    <w:rsid w:val="00E353A7"/>
    <w:rsid w:val="00E36565"/>
    <w:rsid w:val="00E456F4"/>
    <w:rsid w:val="00E563F8"/>
    <w:rsid w:val="00E57A25"/>
    <w:rsid w:val="00E60472"/>
    <w:rsid w:val="00E666F5"/>
    <w:rsid w:val="00E83B33"/>
    <w:rsid w:val="00E83D42"/>
    <w:rsid w:val="00E91D23"/>
    <w:rsid w:val="00EA1E7B"/>
    <w:rsid w:val="00EA4611"/>
    <w:rsid w:val="00EB044C"/>
    <w:rsid w:val="00EB11BC"/>
    <w:rsid w:val="00EB33DA"/>
    <w:rsid w:val="00EB7878"/>
    <w:rsid w:val="00EC5820"/>
    <w:rsid w:val="00ED4869"/>
    <w:rsid w:val="00EF49E9"/>
    <w:rsid w:val="00F0330D"/>
    <w:rsid w:val="00F05E46"/>
    <w:rsid w:val="00F17454"/>
    <w:rsid w:val="00F34251"/>
    <w:rsid w:val="00F35BC4"/>
    <w:rsid w:val="00F41FB3"/>
    <w:rsid w:val="00F462C4"/>
    <w:rsid w:val="00F46A24"/>
    <w:rsid w:val="00F52B8D"/>
    <w:rsid w:val="00F554BB"/>
    <w:rsid w:val="00F557F3"/>
    <w:rsid w:val="00F55EDC"/>
    <w:rsid w:val="00F56B64"/>
    <w:rsid w:val="00F60005"/>
    <w:rsid w:val="00F6007A"/>
    <w:rsid w:val="00F73B0E"/>
    <w:rsid w:val="00F73C99"/>
    <w:rsid w:val="00F763B8"/>
    <w:rsid w:val="00F805CE"/>
    <w:rsid w:val="00F83E24"/>
    <w:rsid w:val="00F85BD5"/>
    <w:rsid w:val="00F85F23"/>
    <w:rsid w:val="00F87294"/>
    <w:rsid w:val="00F91BDB"/>
    <w:rsid w:val="00F95ACD"/>
    <w:rsid w:val="00F977DD"/>
    <w:rsid w:val="00FA6B95"/>
    <w:rsid w:val="00FB0391"/>
    <w:rsid w:val="00FB38ED"/>
    <w:rsid w:val="00FB4404"/>
    <w:rsid w:val="00FB5D8B"/>
    <w:rsid w:val="00FB64E0"/>
    <w:rsid w:val="00FB6957"/>
    <w:rsid w:val="00FD1150"/>
    <w:rsid w:val="00FD3892"/>
    <w:rsid w:val="00FD5D8F"/>
    <w:rsid w:val="00FE101D"/>
    <w:rsid w:val="00FF7CDB"/>
    <w:rsid w:val="3EEF55E6"/>
    <w:rsid w:val="59C3CF1A"/>
    <w:rsid w:val="69CFA8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8F7B0"/>
  <w15:chartTrackingRefBased/>
  <w15:docId w15:val="{7DB3B3D4-6E1B-4649-A43C-FC204D8C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lang w:eastAsia="en-US"/>
    </w:rPr>
  </w:style>
  <w:style w:type="paragraph" w:styleId="Heading1">
    <w:name w:val="heading 1"/>
    <w:basedOn w:val="Normal"/>
    <w:next w:val="Noindent"/>
    <w:qFormat/>
    <w:rsid w:val="008A110F"/>
    <w:pPr>
      <w:keepNext/>
      <w:pageBreakBefore/>
      <w:numPr>
        <w:numId w:val="3"/>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spacing w:before="960" w:after="480"/>
      <w:contextualSpacing/>
      <w:outlineLvl w:val="1"/>
    </w:pPr>
    <w:rPr>
      <w:bCs w:val="0"/>
      <w:iCs/>
    </w:rPr>
  </w:style>
  <w:style w:type="paragraph" w:styleId="Heading3">
    <w:name w:val="heading 3"/>
    <w:basedOn w:val="Heading2"/>
    <w:next w:val="Noindent"/>
    <w:link w:val="Heading3Char"/>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character" w:customStyle="1" w:styleId="UnresolvedMention">
    <w:name w:val="Unresolved Mention"/>
    <w:uiPriority w:val="99"/>
    <w:semiHidden/>
    <w:unhideWhenUsed/>
    <w:rsid w:val="00DB70B7"/>
    <w:rPr>
      <w:color w:val="605E5C"/>
      <w:shd w:val="clear" w:color="auto" w:fill="E1DFDD"/>
    </w:rPr>
  </w:style>
  <w:style w:type="paragraph" w:styleId="NormalWeb">
    <w:name w:val="Normal (Web)"/>
    <w:basedOn w:val="Normal"/>
    <w:uiPriority w:val="99"/>
    <w:unhideWhenUsed/>
    <w:rsid w:val="00E563F8"/>
    <w:pPr>
      <w:spacing w:before="100" w:beforeAutospacing="1" w:after="100" w:afterAutospacing="1" w:line="240" w:lineRule="auto"/>
      <w:ind w:firstLine="0"/>
      <w:jc w:val="left"/>
    </w:pPr>
    <w:rPr>
      <w:lang w:eastAsia="ja-JP"/>
    </w:rPr>
  </w:style>
  <w:style w:type="character" w:customStyle="1" w:styleId="apple-tab-span">
    <w:name w:val="apple-tab-span"/>
    <w:rsid w:val="00E563F8"/>
  </w:style>
  <w:style w:type="paragraph" w:styleId="Subtitle">
    <w:name w:val="Subtitle"/>
    <w:basedOn w:val="Normal"/>
    <w:next w:val="Normal"/>
    <w:link w:val="SubtitleChar"/>
    <w:rsid w:val="006864E1"/>
    <w:pPr>
      <w:keepNext/>
      <w:keepLines/>
      <w:spacing w:after="320" w:line="276" w:lineRule="auto"/>
      <w:ind w:firstLine="0"/>
      <w:jc w:val="left"/>
    </w:pPr>
    <w:rPr>
      <w:rFonts w:ascii="Arial" w:eastAsia="Arial" w:hAnsi="Arial" w:cs="Arial"/>
      <w:color w:val="666666"/>
      <w:sz w:val="30"/>
      <w:szCs w:val="30"/>
      <w:lang w:val="en"/>
    </w:rPr>
  </w:style>
  <w:style w:type="character" w:customStyle="1" w:styleId="SubtitleChar">
    <w:name w:val="Subtitle Char"/>
    <w:link w:val="Subtitle"/>
    <w:rsid w:val="006864E1"/>
    <w:rPr>
      <w:rFonts w:ascii="Arial" w:eastAsia="Arial" w:hAnsi="Arial" w:cs="Arial"/>
      <w:color w:val="666666"/>
      <w:sz w:val="30"/>
      <w:szCs w:val="30"/>
      <w:lang w:val="en"/>
    </w:rPr>
  </w:style>
  <w:style w:type="character" w:customStyle="1" w:styleId="Heading3Char">
    <w:name w:val="Heading 3 Char"/>
    <w:link w:val="Heading3"/>
    <w:rsid w:val="000B1C26"/>
    <w:rPr>
      <w:rFonts w:cs="Arial"/>
      <w:b/>
      <w:bCs/>
      <w:iCs/>
      <w:sz w:val="24"/>
      <w:szCs w:val="24"/>
    </w:rPr>
  </w:style>
  <w:style w:type="character" w:styleId="Strong">
    <w:name w:val="Strong"/>
    <w:uiPriority w:val="22"/>
    <w:qFormat/>
    <w:rsid w:val="000A48A1"/>
    <w:rPr>
      <w:b/>
      <w:bCs/>
    </w:rPr>
  </w:style>
  <w:style w:type="character" w:styleId="FollowedHyperlink">
    <w:name w:val="FollowedHyperlink"/>
    <w:rsid w:val="005A4E6C"/>
    <w:rPr>
      <w:color w:val="954F72"/>
      <w:u w:val="single"/>
    </w:rPr>
  </w:style>
  <w:style w:type="paragraph" w:styleId="BalloonText">
    <w:name w:val="Balloon Text"/>
    <w:basedOn w:val="Normal"/>
    <w:link w:val="BalloonTextChar"/>
    <w:rsid w:val="00A55C2A"/>
    <w:pPr>
      <w:spacing w:line="240" w:lineRule="auto"/>
    </w:pPr>
    <w:rPr>
      <w:rFonts w:ascii="Segoe UI" w:hAnsi="Segoe UI" w:cs="Segoe UI"/>
      <w:sz w:val="18"/>
      <w:szCs w:val="18"/>
    </w:rPr>
  </w:style>
  <w:style w:type="character" w:customStyle="1" w:styleId="BalloonTextChar">
    <w:name w:val="Balloon Text Char"/>
    <w:link w:val="BalloonText"/>
    <w:rsid w:val="00A55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2778">
      <w:bodyDiv w:val="1"/>
      <w:marLeft w:val="0"/>
      <w:marRight w:val="0"/>
      <w:marTop w:val="0"/>
      <w:marBottom w:val="0"/>
      <w:divBdr>
        <w:top w:val="none" w:sz="0" w:space="0" w:color="auto"/>
        <w:left w:val="none" w:sz="0" w:space="0" w:color="auto"/>
        <w:bottom w:val="none" w:sz="0" w:space="0" w:color="auto"/>
        <w:right w:val="none" w:sz="0" w:space="0" w:color="auto"/>
      </w:divBdr>
    </w:div>
    <w:div w:id="232010604">
      <w:bodyDiv w:val="1"/>
      <w:marLeft w:val="0"/>
      <w:marRight w:val="0"/>
      <w:marTop w:val="0"/>
      <w:marBottom w:val="0"/>
      <w:divBdr>
        <w:top w:val="none" w:sz="0" w:space="0" w:color="auto"/>
        <w:left w:val="none" w:sz="0" w:space="0" w:color="auto"/>
        <w:bottom w:val="none" w:sz="0" w:space="0" w:color="auto"/>
        <w:right w:val="none" w:sz="0" w:space="0" w:color="auto"/>
      </w:divBdr>
    </w:div>
    <w:div w:id="808135135">
      <w:bodyDiv w:val="1"/>
      <w:marLeft w:val="0"/>
      <w:marRight w:val="0"/>
      <w:marTop w:val="0"/>
      <w:marBottom w:val="0"/>
      <w:divBdr>
        <w:top w:val="none" w:sz="0" w:space="0" w:color="auto"/>
        <w:left w:val="none" w:sz="0" w:space="0" w:color="auto"/>
        <w:bottom w:val="none" w:sz="0" w:space="0" w:color="auto"/>
        <w:right w:val="none" w:sz="0" w:space="0" w:color="auto"/>
      </w:divBdr>
    </w:div>
    <w:div w:id="15648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c.gov/healthliteracy/pdf/Simply_Put.pdf" TargetMode="External"/><Relationship Id="rId18" Type="http://schemas.openxmlformats.org/officeDocument/2006/relationships/hyperlink" Target="https://nces.ed.gov/surveys/ials/measure.as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shg.org/pdf/CDC%20-%20'Scientific%20&amp;%20Technical%20Information%20-%20Simply%20Put'%20%20(1999).pdf" TargetMode="External"/><Relationship Id="rId17" Type="http://schemas.openxmlformats.org/officeDocument/2006/relationships/hyperlink" Target="https://healthliteracymn.org/sites/default/files/images/files/Health%20Literacy%20Toolkit.pdf" TargetMode="External"/><Relationship Id="rId2" Type="http://schemas.openxmlformats.org/officeDocument/2006/relationships/numbering" Target="numbering.xml"/><Relationship Id="rId16" Type="http://schemas.openxmlformats.org/officeDocument/2006/relationships/hyperlink" Target="http://stars.library.ucf.edu/cgi/viewcontent.cgi?article=1055&amp;context=istlibrary" TargetMode="External"/><Relationship Id="rId20" Type="http://schemas.openxmlformats.org/officeDocument/2006/relationships/hyperlink" Target="https://www.medscape.com/features/slideshow/compensation/2016/public/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hs.tas.gov.au/publichealth/health_literacy/health_literacy_toolkit/suitability_assessment_of_material_score_sheet" TargetMode="External"/><Relationship Id="rId5" Type="http://schemas.openxmlformats.org/officeDocument/2006/relationships/webSettings" Target="webSettings.xml"/><Relationship Id="rId15" Type="http://schemas.openxmlformats.org/officeDocument/2006/relationships/hyperlink" Target="http://s3-eu-west-1.amazonaws.com/files.crohnsandcolitis.org.uk/Publications/PPR/ibd-standards.pd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nces.ed.gov/naal/kf_demographics.as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dc.gov/healthliteracy/developmaterials/guidancestandards.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5827C-A7F7-498B-AEB6-0AE3FF8B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66</TotalTime>
  <Pages>82</Pages>
  <Words>20874</Words>
  <Characters>118986</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Methodist Le Bonheur Healthcare</Company>
  <LinksUpToDate>false</LinksUpToDate>
  <CharactersWithSpaces>139581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cp:lastModifiedBy>Pegher, Joanne</cp:lastModifiedBy>
  <cp:revision>13</cp:revision>
  <cp:lastPrinted>2018-08-28T10:12:00Z</cp:lastPrinted>
  <dcterms:created xsi:type="dcterms:W3CDTF">2018-09-25T18:45:00Z</dcterms:created>
  <dcterms:modified xsi:type="dcterms:W3CDTF">2018-09-27T13:52:00Z</dcterms:modified>
</cp:coreProperties>
</file>