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700" w:rsidRPr="007E203D" w:rsidRDefault="007E203D">
      <w:pPr>
        <w:jc w:val="center"/>
        <w:rPr>
          <w:rFonts w:eastAsia="Helvetica Neue"/>
          <w:b/>
          <w:sz w:val="40"/>
          <w:szCs w:val="28"/>
        </w:rPr>
      </w:pPr>
      <w:r>
        <w:rPr>
          <w:rFonts w:eastAsia="Helvetica Neue"/>
          <w:b/>
          <w:sz w:val="40"/>
          <w:szCs w:val="28"/>
        </w:rPr>
        <w:t>ALTERNATIVE ASPECTS</w:t>
      </w:r>
    </w:p>
    <w:p w:rsidR="004A51E4" w:rsidRPr="00586B81" w:rsidRDefault="004A51E4" w:rsidP="00586B81">
      <w:pPr>
        <w:jc w:val="center"/>
        <w:rPr>
          <w:rFonts w:eastAsia="Helvetica Neue"/>
          <w:b/>
          <w:sz w:val="28"/>
          <w:szCs w:val="28"/>
        </w:rPr>
      </w:pPr>
      <w:r w:rsidRPr="007E203D">
        <w:rPr>
          <w:rFonts w:eastAsia="Helvetica Neue"/>
          <w:b/>
          <w:sz w:val="28"/>
          <w:szCs w:val="28"/>
        </w:rPr>
        <w:t xml:space="preserve">Personality Studies – </w:t>
      </w:r>
      <w:r w:rsidR="007E203D">
        <w:rPr>
          <w:rFonts w:eastAsia="Helvetica Neue"/>
          <w:b/>
          <w:sz w:val="28"/>
          <w:szCs w:val="28"/>
        </w:rPr>
        <w:t>EIFB</w:t>
      </w:r>
    </w:p>
    <w:p w:rsidR="007E203D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Measurement Label: </w:t>
      </w:r>
      <w:r w:rsidR="007E203D" w:rsidRPr="00586B81">
        <w:rPr>
          <w:sz w:val="20"/>
          <w:szCs w:val="20"/>
        </w:rPr>
        <w:t>AA</w:t>
      </w:r>
    </w:p>
    <w:p w:rsidR="004A51E4" w:rsidRPr="00586B81" w:rsidRDefault="007E203D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>Measurement ID: 1</w:t>
      </w:r>
    </w:p>
    <w:p w:rsidR="00C8416F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Filename: </w:t>
      </w:r>
      <w:proofErr w:type="spellStart"/>
      <w:r w:rsidR="003E4119">
        <w:rPr>
          <w:sz w:val="20"/>
          <w:szCs w:val="20"/>
        </w:rPr>
        <w:t>EIFB_AA_f</w:t>
      </w:r>
      <w:r w:rsidR="007E203D" w:rsidRPr="00586B81">
        <w:rPr>
          <w:sz w:val="20"/>
          <w:szCs w:val="20"/>
        </w:rPr>
        <w:t>inal.sav</w:t>
      </w:r>
      <w:proofErr w:type="spellEnd"/>
    </w:p>
    <w:p w:rsidR="007E203D" w:rsidRPr="004A51E4" w:rsidRDefault="007E203D" w:rsidP="004A51E4">
      <w:pPr>
        <w:rPr>
          <w:rFonts w:ascii="Georgia" w:hAnsi="Georgia" w:cs="Times New Roman"/>
          <w:sz w:val="24"/>
        </w:rPr>
      </w:pPr>
    </w:p>
    <w:p w:rsidR="007E203D" w:rsidRPr="008E242B" w:rsidRDefault="007E203D" w:rsidP="007E203D">
      <w:pPr>
        <w:rPr>
          <w:b/>
          <w:sz w:val="18"/>
        </w:rPr>
      </w:pPr>
      <w:r w:rsidRPr="008E242B">
        <w:rPr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1"/>
        <w:gridCol w:w="2773"/>
        <w:gridCol w:w="2355"/>
        <w:gridCol w:w="2351"/>
      </w:tblGrid>
      <w:tr w:rsidR="007E203D" w:rsidRPr="00F80AE9" w:rsidTr="007E203D">
        <w:trPr>
          <w:trHeight w:val="288"/>
        </w:trPr>
        <w:tc>
          <w:tcPr>
            <w:tcW w:w="1100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12mo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12mo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</w:tbl>
    <w:p w:rsidR="003056D6" w:rsidRDefault="003056D6" w:rsidP="003056D6">
      <w:pPr>
        <w:rPr>
          <w:b/>
        </w:rPr>
      </w:pPr>
    </w:p>
    <w:p w:rsidR="003056D6" w:rsidRPr="008E242B" w:rsidRDefault="003056D6" w:rsidP="003056D6">
      <w:r w:rsidRPr="008E242B">
        <w:rPr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3056D6" w:rsidRPr="00F80AE9" w:rsidTr="00AB51CE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10000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a lack of character, that is, a lack of </w:t>
            </w:r>
            <w:r w:rsidR="003E4119" w:rsidRPr="00C02DC4">
              <w:rPr>
                <w:rFonts w:eastAsia="Times New Roman"/>
                <w:sz w:val="20"/>
              </w:rPr>
              <w:t>perseverance</w:t>
            </w:r>
            <w:r w:rsidRPr="00C02DC4">
              <w:rPr>
                <w:rFonts w:eastAsia="Times New Roman"/>
                <w:sz w:val="20"/>
              </w:rPr>
              <w:t>, poor tolerance for frustration, excessive difficulty in the face of minor stresses, difficulty in the delaying gratification, poorly articulated or constantly changing values and beliefs, and similar characteristics?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Little or none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2 = Mild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3 = Moderate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4 = Marked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5 = Severe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10001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bad character, that is, attributes such as cruelty, </w:t>
            </w:r>
            <w:proofErr w:type="spellStart"/>
            <w:r w:rsidRPr="00C02DC4">
              <w:rPr>
                <w:rFonts w:eastAsia="Times New Roman"/>
                <w:sz w:val="20"/>
              </w:rPr>
              <w:t>exploitativeness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manipulativeness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sociopathy, </w:t>
            </w:r>
            <w:r w:rsidR="003E4119" w:rsidRPr="00C02DC4">
              <w:rPr>
                <w:rFonts w:eastAsia="Times New Roman"/>
                <w:sz w:val="20"/>
              </w:rPr>
              <w:t>provocativeness</w:t>
            </w:r>
            <w:bookmarkStart w:id="0" w:name="_GoBack"/>
            <w:bookmarkEnd w:id="0"/>
            <w:r w:rsidRPr="00C02DC4">
              <w:rPr>
                <w:rFonts w:eastAsia="Times New Roman"/>
                <w:sz w:val="20"/>
              </w:rPr>
              <w:t>, lack of trustworthiness, and similar characteristics?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10002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To what extent does the patient exhibit a chronic, maladaptive personality style, resulting in impairment in interpersonal relationships, difficulties in role performance, or subjective distress? Such a style is characterized by a lack of flexibility and heightened affect or defensiveness in the areas where it operates. It also tends to be resistant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10003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patient's subjective distress (The patient's contribution to their internal distress)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Range</w:t>
            </w:r>
            <w:r>
              <w:rPr>
                <w:rFonts w:eastAsia="Times New Roman"/>
                <w:sz w:val="20"/>
              </w:rPr>
              <w:t>: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Exceptionally positive functioning</w:t>
            </w:r>
          </w:p>
          <w:p w:rsidR="003056D6" w:rsidRPr="008E242B" w:rsidRDefault="003056D6" w:rsidP="00AB51CE">
            <w:pPr>
              <w:rPr>
                <w:sz w:val="20"/>
              </w:rPr>
            </w:pPr>
            <w:r w:rsidRPr="008E242B">
              <w:rPr>
                <w:rFonts w:eastAsia="Times New Roman"/>
                <w:sz w:val="20"/>
              </w:rPr>
              <w:t>9 = Difficulties are persistent and pervasive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10004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marital/intimate relationships (difficulties in establishing or maintaining romantic relationships)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lastRenderedPageBreak/>
              <w:t>10005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parental role (apathetic, enmeshed, or damaging)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10006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occupational functioning (consistent work history and working to one's potential)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10007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other social relations (apathetic or conflicted relationships)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rPr>
          <w:trHeight w:val="54"/>
        </w:trPr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10008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distress imposed on significant others (complaining, crying, burdensome, inability to contain oneself)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10009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overall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</w:tbl>
    <w:p w:rsidR="003056D6" w:rsidRPr="00F80AE9" w:rsidRDefault="003056D6" w:rsidP="003056D6">
      <w:pPr>
        <w:rPr>
          <w:sz w:val="24"/>
        </w:rPr>
      </w:pPr>
    </w:p>
    <w:p w:rsidR="003056D6" w:rsidRPr="004A51E4" w:rsidRDefault="003056D6" w:rsidP="00774979">
      <w:pPr>
        <w:rPr>
          <w:rFonts w:ascii="Georgia" w:hAnsi="Georgia" w:cs="Times New Roman"/>
          <w:sz w:val="24"/>
        </w:rPr>
      </w:pPr>
    </w:p>
    <w:sectPr w:rsidR="003056D6" w:rsidRPr="004A51E4" w:rsidSect="000D5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700"/>
    <w:rsid w:val="000D5157"/>
    <w:rsid w:val="003056D6"/>
    <w:rsid w:val="0033633D"/>
    <w:rsid w:val="003E4119"/>
    <w:rsid w:val="0044480E"/>
    <w:rsid w:val="004A51E4"/>
    <w:rsid w:val="004B259A"/>
    <w:rsid w:val="004C316B"/>
    <w:rsid w:val="00586B81"/>
    <w:rsid w:val="005D0F1B"/>
    <w:rsid w:val="007035EE"/>
    <w:rsid w:val="00774979"/>
    <w:rsid w:val="007E203D"/>
    <w:rsid w:val="007F535B"/>
    <w:rsid w:val="0081423D"/>
    <w:rsid w:val="008E7700"/>
    <w:rsid w:val="00AA41CC"/>
    <w:rsid w:val="00B1215B"/>
    <w:rsid w:val="00C8416F"/>
    <w:rsid w:val="00E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7A88A-1AEB-427E-A14A-FD73E747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157"/>
  </w:style>
  <w:style w:type="paragraph" w:styleId="Heading1">
    <w:name w:val="heading 1"/>
    <w:basedOn w:val="Normal"/>
    <w:next w:val="Normal"/>
    <w:rsid w:val="000D515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D515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D515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D515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D515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D515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515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D515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D5157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3915-766D-4B80-BCDD-1E702D61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4</cp:revision>
  <dcterms:created xsi:type="dcterms:W3CDTF">2017-02-20T14:37:00Z</dcterms:created>
  <dcterms:modified xsi:type="dcterms:W3CDTF">2018-05-15T20:43:00Z</dcterms:modified>
</cp:coreProperties>
</file>