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00" w:rsidRDefault="00045B01" w:rsidP="00F80AE9">
      <w:pPr>
        <w:jc w:val="center"/>
        <w:rPr>
          <w:rFonts w:ascii="Arial" w:hAnsi="Arial" w:cs="Arial"/>
          <w:sz w:val="40"/>
        </w:rPr>
      </w:pPr>
      <w:r>
        <w:rPr>
          <w:rFonts w:ascii="Arial" w:hAnsi="Arial" w:cs="Arial"/>
          <w:b/>
          <w:sz w:val="40"/>
        </w:rPr>
        <w:t>PERSONALITY ASSESSMENT FORM</w:t>
      </w:r>
    </w:p>
    <w:p w:rsidR="00F80AE9" w:rsidRDefault="00F80AE9" w:rsidP="00F80AE9">
      <w:pPr>
        <w:jc w:val="center"/>
        <w:rPr>
          <w:rFonts w:ascii="Arial" w:hAnsi="Arial" w:cs="Arial"/>
          <w:sz w:val="28"/>
        </w:rPr>
      </w:pPr>
      <w:r w:rsidRPr="00F80AE9">
        <w:rPr>
          <w:rFonts w:ascii="Arial" w:hAnsi="Arial" w:cs="Arial"/>
          <w:sz w:val="28"/>
        </w:rPr>
        <w:t>PERSONALITY STUDIES – STUDY:</w:t>
      </w:r>
      <w:r w:rsidR="00C06CAF">
        <w:rPr>
          <w:rFonts w:ascii="Arial" w:hAnsi="Arial" w:cs="Arial"/>
          <w:sz w:val="28"/>
        </w:rPr>
        <w:t xml:space="preserve"> Screening</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045B01">
        <w:rPr>
          <w:rFonts w:ascii="Arial" w:hAnsi="Arial" w:cs="Arial"/>
        </w:rPr>
        <w:t>PAF</w:t>
      </w:r>
    </w:p>
    <w:p w:rsidR="00F80AE9" w:rsidRPr="008E242B" w:rsidRDefault="00F80AE9" w:rsidP="00F80AE9">
      <w:pPr>
        <w:rPr>
          <w:rFonts w:ascii="Arial" w:hAnsi="Arial" w:cs="Arial"/>
        </w:rPr>
      </w:pPr>
      <w:r w:rsidRPr="008E242B">
        <w:rPr>
          <w:rFonts w:ascii="Arial" w:hAnsi="Arial" w:cs="Arial"/>
          <w:b/>
        </w:rPr>
        <w:t>Measurement ID:</w:t>
      </w:r>
      <w:r w:rsidR="0056426E">
        <w:rPr>
          <w:rFonts w:ascii="Arial" w:hAnsi="Arial" w:cs="Arial"/>
        </w:rPr>
        <w:t xml:space="preserve"> </w:t>
      </w:r>
      <w:r w:rsidR="00045B01">
        <w:rPr>
          <w:rFonts w:ascii="Arial" w:hAnsi="Arial" w:cs="Arial"/>
        </w:rPr>
        <w:t>34</w:t>
      </w:r>
    </w:p>
    <w:p w:rsidR="00F80AE9" w:rsidRPr="008E242B"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bookmarkStart w:id="0" w:name="_GoBack"/>
      <w:bookmarkEnd w:id="0"/>
      <w:r w:rsidR="00E1025F">
        <w:rPr>
          <w:rFonts w:ascii="Arial" w:hAnsi="Arial" w:cs="Arial"/>
        </w:rPr>
        <w:t>Screening_PAF_final.sav</w:t>
      </w:r>
    </w:p>
    <w:p w:rsidR="00F80AE9" w:rsidRDefault="00F80AE9"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tblPr>
      <w:tblGrid>
        <w:gridCol w:w="2112"/>
        <w:gridCol w:w="2773"/>
        <w:gridCol w:w="2355"/>
        <w:gridCol w:w="2350"/>
      </w:tblGrid>
      <w:tr w:rsidR="00A15390" w:rsidRPr="00F80AE9" w:rsidTr="002B1200">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5"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2B1200">
        <w:tc>
          <w:tcPr>
            <w:tcW w:w="1101" w:type="pct"/>
          </w:tcPr>
          <w:p w:rsidR="00A15390" w:rsidRPr="00C02DC4" w:rsidRDefault="00E27A7B" w:rsidP="00E72E3C">
            <w:pPr>
              <w:rPr>
                <w:sz w:val="20"/>
              </w:rPr>
            </w:pPr>
            <w:r>
              <w:rPr>
                <w:sz w:val="20"/>
              </w:rPr>
              <w:t>Intake</w:t>
            </w:r>
          </w:p>
        </w:tc>
        <w:tc>
          <w:tcPr>
            <w:tcW w:w="1446" w:type="pct"/>
          </w:tcPr>
          <w:p w:rsidR="00A15390" w:rsidRPr="00C02DC4" w:rsidRDefault="00E27A7B" w:rsidP="00C02DC4">
            <w:pPr>
              <w:rPr>
                <w:sz w:val="20"/>
              </w:rPr>
            </w:pPr>
            <w:r>
              <w:rPr>
                <w:sz w:val="20"/>
              </w:rPr>
              <w:t xml:space="preserve">Clinical Evaluator </w:t>
            </w:r>
          </w:p>
        </w:tc>
        <w:tc>
          <w:tcPr>
            <w:tcW w:w="1228" w:type="pct"/>
          </w:tcPr>
          <w:p w:rsidR="00A15390" w:rsidRDefault="00E27A7B" w:rsidP="00F80AE9">
            <w:pPr>
              <w:rPr>
                <w:sz w:val="20"/>
              </w:rPr>
            </w:pPr>
            <w:r>
              <w:rPr>
                <w:sz w:val="20"/>
              </w:rPr>
              <w:t>MA</w:t>
            </w:r>
          </w:p>
        </w:tc>
        <w:tc>
          <w:tcPr>
            <w:tcW w:w="1225" w:type="pct"/>
            <w:vAlign w:val="center"/>
          </w:tcPr>
          <w:p w:rsidR="00A15390" w:rsidRPr="00C02DC4" w:rsidRDefault="00E27A7B" w:rsidP="00A15390">
            <w:pPr>
              <w:jc w:val="center"/>
              <w:rPr>
                <w:sz w:val="20"/>
              </w:rPr>
            </w:pPr>
            <w:r>
              <w:rPr>
                <w:sz w:val="20"/>
              </w:rPr>
              <w:t>153</w:t>
            </w:r>
          </w:p>
        </w:tc>
      </w:tr>
      <w:tr w:rsidR="00CD792E" w:rsidTr="002B1200">
        <w:tc>
          <w:tcPr>
            <w:tcW w:w="1101" w:type="pct"/>
          </w:tcPr>
          <w:p w:rsidR="00CD792E" w:rsidRPr="00C02DC4" w:rsidRDefault="00E27A7B" w:rsidP="00E72E3C">
            <w:pPr>
              <w:rPr>
                <w:sz w:val="20"/>
              </w:rPr>
            </w:pPr>
            <w:r>
              <w:rPr>
                <w:sz w:val="20"/>
              </w:rPr>
              <w:t>Intake</w:t>
            </w:r>
          </w:p>
        </w:tc>
        <w:tc>
          <w:tcPr>
            <w:tcW w:w="1446" w:type="pct"/>
          </w:tcPr>
          <w:p w:rsidR="00CD792E" w:rsidRPr="00C02DC4" w:rsidRDefault="00E27A7B" w:rsidP="00C02DC4">
            <w:pPr>
              <w:rPr>
                <w:sz w:val="20"/>
              </w:rPr>
            </w:pPr>
            <w:r>
              <w:rPr>
                <w:sz w:val="20"/>
              </w:rPr>
              <w:t xml:space="preserve">Consensus </w:t>
            </w:r>
          </w:p>
        </w:tc>
        <w:tc>
          <w:tcPr>
            <w:tcW w:w="1228" w:type="pct"/>
          </w:tcPr>
          <w:p w:rsidR="00CD792E" w:rsidRDefault="00E27A7B" w:rsidP="00F80AE9">
            <w:pPr>
              <w:rPr>
                <w:sz w:val="20"/>
              </w:rPr>
            </w:pPr>
            <w:r>
              <w:rPr>
                <w:sz w:val="20"/>
              </w:rPr>
              <w:t>NA</w:t>
            </w:r>
          </w:p>
        </w:tc>
        <w:tc>
          <w:tcPr>
            <w:tcW w:w="1225" w:type="pct"/>
            <w:vAlign w:val="center"/>
          </w:tcPr>
          <w:p w:rsidR="00CD792E" w:rsidRPr="00C02DC4" w:rsidRDefault="00E27A7B" w:rsidP="00A15390">
            <w:pPr>
              <w:jc w:val="center"/>
              <w:rPr>
                <w:sz w:val="20"/>
              </w:rPr>
            </w:pPr>
            <w:r>
              <w:rPr>
                <w:sz w:val="20"/>
              </w:rPr>
              <w:t>157</w:t>
            </w:r>
          </w:p>
        </w:tc>
      </w:tr>
      <w:tr w:rsidR="00E27A7B" w:rsidTr="002B1200">
        <w:tc>
          <w:tcPr>
            <w:tcW w:w="1101" w:type="pct"/>
          </w:tcPr>
          <w:p w:rsidR="00E27A7B" w:rsidRPr="00C02DC4" w:rsidRDefault="00E27A7B" w:rsidP="00E72E3C">
            <w:pPr>
              <w:rPr>
                <w:sz w:val="20"/>
              </w:rPr>
            </w:pPr>
            <w:r>
              <w:rPr>
                <w:sz w:val="20"/>
              </w:rPr>
              <w:t>6mth</w:t>
            </w:r>
          </w:p>
        </w:tc>
        <w:tc>
          <w:tcPr>
            <w:tcW w:w="1446" w:type="pct"/>
          </w:tcPr>
          <w:p w:rsidR="00E27A7B" w:rsidRPr="00C02DC4" w:rsidRDefault="00E27A7B" w:rsidP="00272713">
            <w:pPr>
              <w:rPr>
                <w:sz w:val="20"/>
              </w:rPr>
            </w:pPr>
            <w:r>
              <w:rPr>
                <w:sz w:val="20"/>
              </w:rPr>
              <w:t xml:space="preserve">Clinical Evaluator </w:t>
            </w:r>
          </w:p>
        </w:tc>
        <w:tc>
          <w:tcPr>
            <w:tcW w:w="1228" w:type="pct"/>
          </w:tcPr>
          <w:p w:rsidR="00E27A7B" w:rsidRDefault="00E27A7B" w:rsidP="00F80AE9">
            <w:pPr>
              <w:rPr>
                <w:sz w:val="20"/>
              </w:rPr>
            </w:pPr>
            <w:r>
              <w:rPr>
                <w:sz w:val="20"/>
              </w:rPr>
              <w:t>MC</w:t>
            </w:r>
          </w:p>
        </w:tc>
        <w:tc>
          <w:tcPr>
            <w:tcW w:w="1225" w:type="pct"/>
            <w:vAlign w:val="center"/>
          </w:tcPr>
          <w:p w:rsidR="00E27A7B" w:rsidRPr="00C02DC4" w:rsidRDefault="00E27A7B" w:rsidP="00A15390">
            <w:pPr>
              <w:jc w:val="center"/>
              <w:rPr>
                <w:sz w:val="20"/>
              </w:rPr>
            </w:pPr>
            <w:r>
              <w:rPr>
                <w:sz w:val="20"/>
              </w:rPr>
              <w:t>126</w:t>
            </w:r>
          </w:p>
        </w:tc>
      </w:tr>
      <w:tr w:rsidR="00E27A7B" w:rsidTr="002B1200">
        <w:tc>
          <w:tcPr>
            <w:tcW w:w="1101" w:type="pct"/>
          </w:tcPr>
          <w:p w:rsidR="00E27A7B" w:rsidRPr="00C02DC4" w:rsidRDefault="00E27A7B" w:rsidP="00E72E3C">
            <w:pPr>
              <w:rPr>
                <w:sz w:val="20"/>
              </w:rPr>
            </w:pPr>
            <w:r>
              <w:rPr>
                <w:sz w:val="20"/>
              </w:rPr>
              <w:t>6mth</w:t>
            </w:r>
          </w:p>
        </w:tc>
        <w:tc>
          <w:tcPr>
            <w:tcW w:w="1446" w:type="pct"/>
          </w:tcPr>
          <w:p w:rsidR="00E27A7B" w:rsidRPr="00C02DC4" w:rsidRDefault="00E27A7B" w:rsidP="00272713">
            <w:pPr>
              <w:rPr>
                <w:sz w:val="20"/>
              </w:rPr>
            </w:pPr>
            <w:r>
              <w:rPr>
                <w:sz w:val="20"/>
              </w:rPr>
              <w:t xml:space="preserve">Consensus </w:t>
            </w:r>
          </w:p>
        </w:tc>
        <w:tc>
          <w:tcPr>
            <w:tcW w:w="1228" w:type="pct"/>
          </w:tcPr>
          <w:p w:rsidR="00E27A7B" w:rsidRDefault="00E27A7B" w:rsidP="00F80AE9">
            <w:pPr>
              <w:rPr>
                <w:sz w:val="20"/>
              </w:rPr>
            </w:pPr>
            <w:r>
              <w:rPr>
                <w:sz w:val="20"/>
              </w:rPr>
              <w:t>NC</w:t>
            </w:r>
          </w:p>
        </w:tc>
        <w:tc>
          <w:tcPr>
            <w:tcW w:w="1225" w:type="pct"/>
            <w:vAlign w:val="center"/>
          </w:tcPr>
          <w:p w:rsidR="00E27A7B" w:rsidRPr="00C02DC4" w:rsidRDefault="00E27A7B" w:rsidP="00A15390">
            <w:pPr>
              <w:jc w:val="center"/>
              <w:rPr>
                <w:sz w:val="20"/>
              </w:rPr>
            </w:pPr>
            <w:r>
              <w:rPr>
                <w:sz w:val="20"/>
              </w:rPr>
              <w:t>133</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CellMar>
          <w:top w:w="115" w:type="dxa"/>
          <w:left w:w="115" w:type="dxa"/>
          <w:bottom w:w="115" w:type="dxa"/>
          <w:right w:w="115" w:type="dxa"/>
        </w:tblCellMar>
        <w:tblLook w:val="04A0"/>
      </w:tblPr>
      <w:tblGrid>
        <w:gridCol w:w="1285"/>
        <w:gridCol w:w="4860"/>
        <w:gridCol w:w="3445"/>
      </w:tblGrid>
      <w:tr w:rsidR="00A8163F" w:rsidRPr="00F80AE9" w:rsidTr="00C9004B">
        <w:trPr>
          <w:trHeight w:val="288"/>
        </w:trPr>
        <w:tc>
          <w:tcPr>
            <w:tcW w:w="670"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2534"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1796"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C9004B" w:rsidTr="00C9004B">
        <w:trPr>
          <w:trHeight w:val="442"/>
        </w:trPr>
        <w:tc>
          <w:tcPr>
            <w:tcW w:w="670" w:type="pct"/>
            <w:vAlign w:val="center"/>
          </w:tcPr>
          <w:p w:rsidR="00C9004B" w:rsidRPr="00BF39A1" w:rsidRDefault="00C9004B" w:rsidP="0047322E">
            <w:pPr>
              <w:jc w:val="right"/>
              <w:rPr>
                <w:sz w:val="20"/>
                <w:szCs w:val="20"/>
              </w:rPr>
            </w:pPr>
            <w:r>
              <w:rPr>
                <w:sz w:val="20"/>
                <w:szCs w:val="20"/>
              </w:rPr>
              <w:t xml:space="preserve">11009             </w:t>
            </w:r>
          </w:p>
        </w:tc>
        <w:tc>
          <w:tcPr>
            <w:tcW w:w="2534" w:type="pct"/>
          </w:tcPr>
          <w:p w:rsidR="00C9004B" w:rsidRPr="00BF39A1" w:rsidRDefault="00C9004B" w:rsidP="002B1200">
            <w:pPr>
              <w:rPr>
                <w:sz w:val="20"/>
                <w:szCs w:val="20"/>
              </w:rPr>
            </w:pPr>
            <w:r>
              <w:rPr>
                <w:sz w:val="20"/>
                <w:szCs w:val="20"/>
              </w:rPr>
              <w:t>Extent to which the individual’s long-term personality can be described as distrustful, hypersensitive, suspicious, jealous, envious, with a tendency to blame others and ascribe evil motives to them</w:t>
            </w:r>
          </w:p>
        </w:tc>
        <w:tc>
          <w:tcPr>
            <w:tcW w:w="1796" w:type="pct"/>
            <w:vMerge w:val="restart"/>
          </w:tcPr>
          <w:p w:rsidR="00C9004B" w:rsidRDefault="00AC1762" w:rsidP="0047322E">
            <w:pPr>
              <w:rPr>
                <w:rFonts w:eastAsia="Times New Roman"/>
                <w:sz w:val="20"/>
                <w:szCs w:val="20"/>
              </w:rPr>
            </w:pPr>
            <w:r>
              <w:rPr>
                <w:rFonts w:eastAsia="Times New Roman"/>
                <w:sz w:val="20"/>
                <w:szCs w:val="20"/>
              </w:rPr>
              <w:t>0 = No information or insufficient data</w:t>
            </w:r>
          </w:p>
          <w:p w:rsidR="00AC1762" w:rsidRDefault="00AC1762" w:rsidP="0047322E">
            <w:pPr>
              <w:rPr>
                <w:rFonts w:eastAsia="Times New Roman"/>
                <w:sz w:val="20"/>
                <w:szCs w:val="20"/>
              </w:rPr>
            </w:pPr>
            <w:r>
              <w:rPr>
                <w:rFonts w:eastAsia="Times New Roman"/>
                <w:sz w:val="20"/>
                <w:szCs w:val="20"/>
              </w:rPr>
              <w:t>1 = Not at all to very little</w:t>
            </w:r>
          </w:p>
          <w:p w:rsidR="00AC1762" w:rsidRDefault="00AC1762" w:rsidP="0047322E">
            <w:pPr>
              <w:rPr>
                <w:rFonts w:eastAsia="Times New Roman"/>
                <w:sz w:val="20"/>
                <w:szCs w:val="20"/>
              </w:rPr>
            </w:pPr>
            <w:r>
              <w:rPr>
                <w:rFonts w:eastAsia="Times New Roman"/>
                <w:sz w:val="20"/>
                <w:szCs w:val="20"/>
              </w:rPr>
              <w:t>2 = To a small extent</w:t>
            </w:r>
          </w:p>
          <w:p w:rsidR="00AC1762" w:rsidRDefault="00AC1762" w:rsidP="0047322E">
            <w:pPr>
              <w:rPr>
                <w:rFonts w:eastAsia="Times New Roman"/>
                <w:sz w:val="20"/>
                <w:szCs w:val="20"/>
              </w:rPr>
            </w:pPr>
            <w:r>
              <w:rPr>
                <w:rFonts w:eastAsia="Times New Roman"/>
                <w:sz w:val="20"/>
                <w:szCs w:val="20"/>
              </w:rPr>
              <w:t>3 = To some extent</w:t>
            </w:r>
          </w:p>
          <w:p w:rsidR="00AC1762" w:rsidRDefault="00AC1762" w:rsidP="0047322E">
            <w:pPr>
              <w:rPr>
                <w:rFonts w:eastAsia="Times New Roman"/>
                <w:sz w:val="20"/>
                <w:szCs w:val="20"/>
              </w:rPr>
            </w:pPr>
            <w:r>
              <w:rPr>
                <w:rFonts w:eastAsia="Times New Roman"/>
                <w:sz w:val="20"/>
                <w:szCs w:val="20"/>
              </w:rPr>
              <w:t>4 = To a considerable extent</w:t>
            </w:r>
          </w:p>
          <w:p w:rsidR="00AC1762" w:rsidRPr="0076692B" w:rsidRDefault="00AC1762" w:rsidP="0047322E">
            <w:pPr>
              <w:rPr>
                <w:rFonts w:eastAsia="Times New Roman"/>
                <w:sz w:val="20"/>
                <w:szCs w:val="20"/>
              </w:rPr>
            </w:pPr>
            <w:r>
              <w:rPr>
                <w:rFonts w:eastAsia="Times New Roman"/>
                <w:sz w:val="20"/>
                <w:szCs w:val="20"/>
              </w:rPr>
              <w:t xml:space="preserve">5 = To a marked extent </w:t>
            </w:r>
          </w:p>
        </w:tc>
      </w:tr>
      <w:tr w:rsidR="00C9004B" w:rsidTr="00C9004B">
        <w:tc>
          <w:tcPr>
            <w:tcW w:w="670" w:type="pct"/>
            <w:vAlign w:val="center"/>
          </w:tcPr>
          <w:p w:rsidR="00C9004B" w:rsidRPr="00BF39A1" w:rsidRDefault="00C9004B" w:rsidP="0001778B">
            <w:pPr>
              <w:jc w:val="right"/>
              <w:rPr>
                <w:sz w:val="20"/>
                <w:szCs w:val="20"/>
              </w:rPr>
            </w:pPr>
            <w:r>
              <w:rPr>
                <w:sz w:val="20"/>
                <w:szCs w:val="20"/>
              </w:rPr>
              <w:t>11010</w:t>
            </w:r>
          </w:p>
        </w:tc>
        <w:tc>
          <w:tcPr>
            <w:tcW w:w="2534" w:type="pct"/>
          </w:tcPr>
          <w:p w:rsidR="00C9004B" w:rsidRPr="00BF39A1" w:rsidRDefault="00C9004B" w:rsidP="002B1200">
            <w:pPr>
              <w:rPr>
                <w:sz w:val="20"/>
                <w:szCs w:val="20"/>
              </w:rPr>
            </w:pPr>
            <w:r>
              <w:rPr>
                <w:sz w:val="20"/>
                <w:szCs w:val="20"/>
              </w:rPr>
              <w:t>Extent to which the individual’s long-term personality can be described as cold, aloof, lacking warm feelings for other and little desire for close friendships. Characterized by the absence of concern for feelings of others, indifference to praise or criticism</w:t>
            </w:r>
          </w:p>
        </w:tc>
        <w:tc>
          <w:tcPr>
            <w:tcW w:w="1796" w:type="pct"/>
            <w:vMerge/>
          </w:tcPr>
          <w:p w:rsidR="00C9004B" w:rsidRPr="0076692B" w:rsidRDefault="00C9004B" w:rsidP="004818FA">
            <w:pPr>
              <w:rPr>
                <w:sz w:val="20"/>
                <w:szCs w:val="20"/>
              </w:rPr>
            </w:pPr>
          </w:p>
        </w:tc>
      </w:tr>
      <w:tr w:rsidR="00C9004B" w:rsidTr="00C9004B">
        <w:tc>
          <w:tcPr>
            <w:tcW w:w="670" w:type="pct"/>
            <w:vAlign w:val="center"/>
          </w:tcPr>
          <w:p w:rsidR="00C9004B" w:rsidRPr="00BF39A1" w:rsidRDefault="00C9004B" w:rsidP="0001778B">
            <w:pPr>
              <w:jc w:val="right"/>
              <w:rPr>
                <w:sz w:val="20"/>
                <w:szCs w:val="20"/>
              </w:rPr>
            </w:pPr>
            <w:r>
              <w:rPr>
                <w:sz w:val="20"/>
                <w:szCs w:val="20"/>
              </w:rPr>
              <w:t>11011</w:t>
            </w:r>
          </w:p>
        </w:tc>
        <w:tc>
          <w:tcPr>
            <w:tcW w:w="2534" w:type="pct"/>
          </w:tcPr>
          <w:p w:rsidR="00C9004B" w:rsidRPr="00BF39A1" w:rsidRDefault="00C9004B" w:rsidP="002B1200">
            <w:pPr>
              <w:rPr>
                <w:sz w:val="20"/>
                <w:szCs w:val="20"/>
              </w:rPr>
            </w:pPr>
            <w:r>
              <w:rPr>
                <w:sz w:val="20"/>
                <w:szCs w:val="20"/>
              </w:rPr>
              <w:t>Extent to which the individual’s long-term personality can be described as “odd” or eccentric, characterized by odd or bizarre thinking, recurrent peculiar speech. Tendency toward social isolation, constricted or inappropriate affect, suspiciousness or paranoid ideation, hypersensitivity to real or imagined criticism</w:t>
            </w:r>
          </w:p>
        </w:tc>
        <w:tc>
          <w:tcPr>
            <w:tcW w:w="1796" w:type="pct"/>
            <w:vMerge/>
          </w:tcPr>
          <w:p w:rsidR="00C9004B" w:rsidRPr="0076692B" w:rsidRDefault="00C9004B" w:rsidP="004818FA">
            <w:pPr>
              <w:rPr>
                <w:sz w:val="20"/>
                <w:szCs w:val="20"/>
              </w:rPr>
            </w:pPr>
          </w:p>
        </w:tc>
      </w:tr>
      <w:tr w:rsidR="00C9004B" w:rsidTr="00C9004B">
        <w:tc>
          <w:tcPr>
            <w:tcW w:w="670" w:type="pct"/>
            <w:vAlign w:val="center"/>
          </w:tcPr>
          <w:p w:rsidR="00C9004B" w:rsidRPr="00BF39A1" w:rsidRDefault="00C9004B" w:rsidP="0001778B">
            <w:pPr>
              <w:jc w:val="right"/>
              <w:rPr>
                <w:sz w:val="20"/>
                <w:szCs w:val="20"/>
              </w:rPr>
            </w:pPr>
            <w:r>
              <w:rPr>
                <w:sz w:val="20"/>
                <w:szCs w:val="20"/>
              </w:rPr>
              <w:t>11012</w:t>
            </w:r>
          </w:p>
        </w:tc>
        <w:tc>
          <w:tcPr>
            <w:tcW w:w="2534" w:type="pct"/>
          </w:tcPr>
          <w:p w:rsidR="00C9004B" w:rsidRPr="00BF39A1" w:rsidRDefault="00C9004B" w:rsidP="002B1200">
            <w:pPr>
              <w:rPr>
                <w:sz w:val="20"/>
                <w:szCs w:val="20"/>
              </w:rPr>
            </w:pPr>
            <w:r>
              <w:rPr>
                <w:sz w:val="20"/>
                <w:szCs w:val="20"/>
              </w:rPr>
              <w:t xml:space="preserve">Extent to which the individual’s long-term personality can be described as overly dramatic, prone to irrational outburst and tantrums,  characterized by a strong need for attention, activity, and excitement, Seen by others as shallow, egocentric, and inconsiderate. Demanding of others, needs much help and reassurance. </w:t>
            </w:r>
          </w:p>
        </w:tc>
        <w:tc>
          <w:tcPr>
            <w:tcW w:w="1796" w:type="pct"/>
            <w:vMerge/>
          </w:tcPr>
          <w:p w:rsidR="00C9004B" w:rsidRPr="0076692B" w:rsidRDefault="00C9004B" w:rsidP="004818FA">
            <w:pPr>
              <w:rPr>
                <w:sz w:val="20"/>
                <w:szCs w:val="20"/>
              </w:rPr>
            </w:pPr>
          </w:p>
        </w:tc>
      </w:tr>
      <w:tr w:rsidR="00C9004B" w:rsidTr="00C9004B">
        <w:tc>
          <w:tcPr>
            <w:tcW w:w="670" w:type="pct"/>
            <w:vAlign w:val="center"/>
          </w:tcPr>
          <w:p w:rsidR="00C9004B" w:rsidRPr="00BF39A1" w:rsidRDefault="00C9004B" w:rsidP="0001778B">
            <w:pPr>
              <w:jc w:val="right"/>
              <w:rPr>
                <w:sz w:val="20"/>
                <w:szCs w:val="20"/>
              </w:rPr>
            </w:pPr>
            <w:r>
              <w:rPr>
                <w:sz w:val="20"/>
                <w:szCs w:val="20"/>
              </w:rPr>
              <w:lastRenderedPageBreak/>
              <w:t>11013</w:t>
            </w:r>
          </w:p>
        </w:tc>
        <w:tc>
          <w:tcPr>
            <w:tcW w:w="2534" w:type="pct"/>
          </w:tcPr>
          <w:p w:rsidR="00C9004B" w:rsidRPr="00BF39A1" w:rsidRDefault="00C9004B" w:rsidP="002B1200">
            <w:pPr>
              <w:rPr>
                <w:sz w:val="20"/>
                <w:szCs w:val="20"/>
              </w:rPr>
            </w:pPr>
            <w:r>
              <w:rPr>
                <w:sz w:val="20"/>
                <w:szCs w:val="20"/>
              </w:rPr>
              <w:t xml:space="preserve">Extent to which the individual’s long-term personality can be described as grandiose, with </w:t>
            </w:r>
            <w:proofErr w:type="gramStart"/>
            <w:r>
              <w:rPr>
                <w:sz w:val="20"/>
                <w:szCs w:val="20"/>
              </w:rPr>
              <w:t>an inflates</w:t>
            </w:r>
            <w:proofErr w:type="gramEnd"/>
            <w:r>
              <w:rPr>
                <w:sz w:val="20"/>
                <w:szCs w:val="20"/>
              </w:rPr>
              <w:t xml:space="preserve"> sense of self-importance, abilities, and achievements. Requires constant attention and admiration. Preoccupation with fantasies of power, wealth, success, etc. Extreme reactions to criticism or defeat. Interpersonal relationships characterized by </w:t>
            </w:r>
            <w:proofErr w:type="spellStart"/>
            <w:r>
              <w:rPr>
                <w:sz w:val="20"/>
                <w:szCs w:val="20"/>
              </w:rPr>
              <w:t>exploitativeness</w:t>
            </w:r>
            <w:proofErr w:type="spellEnd"/>
            <w:r>
              <w:rPr>
                <w:sz w:val="20"/>
                <w:szCs w:val="20"/>
              </w:rPr>
              <w:t xml:space="preserve">, lack of empathy, demanding behavior. Alternates between idealizing and devaluing others, </w:t>
            </w:r>
          </w:p>
        </w:tc>
        <w:tc>
          <w:tcPr>
            <w:tcW w:w="1796" w:type="pct"/>
            <w:vMerge/>
          </w:tcPr>
          <w:p w:rsidR="00C9004B" w:rsidRPr="0076692B" w:rsidRDefault="00C9004B" w:rsidP="004818FA">
            <w:pPr>
              <w:rPr>
                <w:sz w:val="20"/>
                <w:szCs w:val="20"/>
              </w:rPr>
            </w:pPr>
          </w:p>
        </w:tc>
      </w:tr>
      <w:tr w:rsidR="00C9004B" w:rsidTr="00C9004B">
        <w:tc>
          <w:tcPr>
            <w:tcW w:w="670" w:type="pct"/>
            <w:vAlign w:val="center"/>
          </w:tcPr>
          <w:p w:rsidR="00C9004B" w:rsidRPr="00BF39A1" w:rsidRDefault="00C9004B" w:rsidP="0001778B">
            <w:pPr>
              <w:jc w:val="right"/>
              <w:rPr>
                <w:sz w:val="20"/>
                <w:szCs w:val="20"/>
              </w:rPr>
            </w:pPr>
            <w:r>
              <w:rPr>
                <w:sz w:val="20"/>
                <w:szCs w:val="20"/>
              </w:rPr>
              <w:t>11014</w:t>
            </w:r>
          </w:p>
        </w:tc>
        <w:tc>
          <w:tcPr>
            <w:tcW w:w="2534" w:type="pct"/>
          </w:tcPr>
          <w:p w:rsidR="00C9004B" w:rsidRPr="00BF39A1" w:rsidRDefault="00C9004B" w:rsidP="00446854">
            <w:pPr>
              <w:rPr>
                <w:sz w:val="20"/>
                <w:szCs w:val="20"/>
              </w:rPr>
            </w:pPr>
            <w:r>
              <w:rPr>
                <w:sz w:val="20"/>
                <w:szCs w:val="20"/>
              </w:rPr>
              <w:t xml:space="preserve">Extent to which the individual’s long-term personality is characterized by a continuous failure to conform to social norms in many areas. Instability in performance of important social functions (e.g., occupational, financial, parental obligations), promiscuity, repeated physical fights or assaults, vandalism, impulsivity, and lack of planning, lying, exploitation of others, recklessness.  </w:t>
            </w:r>
          </w:p>
        </w:tc>
        <w:tc>
          <w:tcPr>
            <w:tcW w:w="1796" w:type="pct"/>
            <w:vMerge/>
          </w:tcPr>
          <w:p w:rsidR="00C9004B" w:rsidRPr="0076692B" w:rsidRDefault="00C9004B" w:rsidP="004818FA">
            <w:pPr>
              <w:rPr>
                <w:sz w:val="20"/>
                <w:szCs w:val="20"/>
              </w:rPr>
            </w:pPr>
          </w:p>
        </w:tc>
      </w:tr>
      <w:tr w:rsidR="00C9004B" w:rsidTr="00C9004B">
        <w:tc>
          <w:tcPr>
            <w:tcW w:w="670" w:type="pct"/>
            <w:vAlign w:val="center"/>
          </w:tcPr>
          <w:p w:rsidR="00C9004B" w:rsidRPr="00BF39A1" w:rsidRDefault="00C9004B" w:rsidP="0001778B">
            <w:pPr>
              <w:jc w:val="right"/>
              <w:rPr>
                <w:sz w:val="20"/>
                <w:szCs w:val="20"/>
              </w:rPr>
            </w:pPr>
            <w:r>
              <w:rPr>
                <w:sz w:val="20"/>
                <w:szCs w:val="20"/>
              </w:rPr>
              <w:t>11015</w:t>
            </w:r>
          </w:p>
        </w:tc>
        <w:tc>
          <w:tcPr>
            <w:tcW w:w="2534" w:type="pct"/>
          </w:tcPr>
          <w:p w:rsidR="00C9004B" w:rsidRPr="00BF39A1" w:rsidRDefault="00C9004B" w:rsidP="00446854">
            <w:pPr>
              <w:rPr>
                <w:sz w:val="20"/>
                <w:szCs w:val="20"/>
              </w:rPr>
            </w:pPr>
            <w:r>
              <w:rPr>
                <w:sz w:val="20"/>
                <w:szCs w:val="20"/>
              </w:rPr>
              <w:t>Extent to which the individual’s long-term personality can be described as impulsive or unpredictable, with a tendency toward self-destructive behavior. Interpersonal relationships have been unstable and intense, characterized by shifts between idealization and devaluation, and by manipulation. Tends to be affectively unstable with marked shifts in mood; often volatile with uncontrollable anger. Identity has been confused and uncertain. Feelings of chronic boredom or emptiness, difficulty being alone.</w:t>
            </w:r>
          </w:p>
        </w:tc>
        <w:tc>
          <w:tcPr>
            <w:tcW w:w="1796" w:type="pct"/>
            <w:vMerge/>
          </w:tcPr>
          <w:p w:rsidR="00C9004B" w:rsidRPr="0076692B" w:rsidRDefault="00C9004B" w:rsidP="004818FA">
            <w:pPr>
              <w:rPr>
                <w:sz w:val="20"/>
                <w:szCs w:val="20"/>
              </w:rPr>
            </w:pPr>
          </w:p>
        </w:tc>
      </w:tr>
      <w:tr w:rsidR="00C9004B" w:rsidTr="00C9004B">
        <w:tc>
          <w:tcPr>
            <w:tcW w:w="670" w:type="pct"/>
            <w:vAlign w:val="center"/>
          </w:tcPr>
          <w:p w:rsidR="00C9004B" w:rsidRPr="00BF39A1" w:rsidRDefault="00C9004B" w:rsidP="0001778B">
            <w:pPr>
              <w:jc w:val="right"/>
              <w:rPr>
                <w:sz w:val="20"/>
                <w:szCs w:val="20"/>
              </w:rPr>
            </w:pPr>
            <w:r>
              <w:rPr>
                <w:sz w:val="20"/>
                <w:szCs w:val="20"/>
              </w:rPr>
              <w:t>11016</w:t>
            </w:r>
          </w:p>
        </w:tc>
        <w:tc>
          <w:tcPr>
            <w:tcW w:w="2534" w:type="pct"/>
          </w:tcPr>
          <w:p w:rsidR="00C9004B" w:rsidRPr="00BF39A1" w:rsidRDefault="00C9004B" w:rsidP="002B1200">
            <w:pPr>
              <w:rPr>
                <w:sz w:val="20"/>
                <w:szCs w:val="20"/>
              </w:rPr>
            </w:pPr>
            <w:r>
              <w:rPr>
                <w:sz w:val="20"/>
                <w:szCs w:val="20"/>
              </w:rPr>
              <w:t>Extent to which the individual’s long-term personality can be described as overly sensitive to rejection and disapproval. Fearful of entering relationships, low self-esteem. Strong need for affection and acceptance, but avoids social contact.</w:t>
            </w:r>
          </w:p>
        </w:tc>
        <w:tc>
          <w:tcPr>
            <w:tcW w:w="1796" w:type="pct"/>
            <w:vMerge/>
          </w:tcPr>
          <w:p w:rsidR="00C9004B" w:rsidRPr="0076692B" w:rsidRDefault="00C9004B" w:rsidP="004818FA">
            <w:pPr>
              <w:rPr>
                <w:sz w:val="20"/>
                <w:szCs w:val="20"/>
              </w:rPr>
            </w:pPr>
          </w:p>
        </w:tc>
      </w:tr>
      <w:tr w:rsidR="00C9004B" w:rsidTr="00C9004B">
        <w:trPr>
          <w:trHeight w:val="54"/>
        </w:trPr>
        <w:tc>
          <w:tcPr>
            <w:tcW w:w="670" w:type="pct"/>
            <w:vAlign w:val="center"/>
          </w:tcPr>
          <w:p w:rsidR="00C9004B" w:rsidRPr="00BF39A1" w:rsidRDefault="00C9004B" w:rsidP="0001778B">
            <w:pPr>
              <w:jc w:val="right"/>
              <w:rPr>
                <w:sz w:val="20"/>
                <w:szCs w:val="20"/>
              </w:rPr>
            </w:pPr>
            <w:r>
              <w:rPr>
                <w:sz w:val="20"/>
                <w:szCs w:val="20"/>
              </w:rPr>
              <w:t>11017</w:t>
            </w:r>
          </w:p>
        </w:tc>
        <w:tc>
          <w:tcPr>
            <w:tcW w:w="2534" w:type="pct"/>
          </w:tcPr>
          <w:p w:rsidR="00C9004B" w:rsidRPr="00BF39A1" w:rsidRDefault="00C9004B" w:rsidP="002B1200">
            <w:pPr>
              <w:rPr>
                <w:sz w:val="20"/>
                <w:szCs w:val="20"/>
              </w:rPr>
            </w:pPr>
            <w:r>
              <w:rPr>
                <w:sz w:val="20"/>
                <w:szCs w:val="20"/>
              </w:rPr>
              <w:t xml:space="preserve">Extent to which the individual’s long-term personality can be described as passive, lacking in self-confidence, characterized by an inability to function independently. Lets others assume responsibility for major decisions, is unable to make demands on others, subordinates own needs to those of others. </w:t>
            </w:r>
          </w:p>
        </w:tc>
        <w:tc>
          <w:tcPr>
            <w:tcW w:w="1796" w:type="pct"/>
            <w:vMerge/>
          </w:tcPr>
          <w:p w:rsidR="00C9004B" w:rsidRPr="0076692B" w:rsidRDefault="00C9004B" w:rsidP="005E3913">
            <w:pPr>
              <w:rPr>
                <w:sz w:val="20"/>
                <w:szCs w:val="20"/>
              </w:rPr>
            </w:pPr>
          </w:p>
        </w:tc>
      </w:tr>
      <w:tr w:rsidR="00C9004B" w:rsidTr="00C9004B">
        <w:tc>
          <w:tcPr>
            <w:tcW w:w="670" w:type="pct"/>
            <w:vAlign w:val="center"/>
          </w:tcPr>
          <w:p w:rsidR="00C9004B" w:rsidRPr="00BF39A1" w:rsidRDefault="00C9004B" w:rsidP="0001778B">
            <w:pPr>
              <w:jc w:val="right"/>
              <w:rPr>
                <w:sz w:val="20"/>
                <w:szCs w:val="20"/>
              </w:rPr>
            </w:pPr>
            <w:r>
              <w:rPr>
                <w:sz w:val="20"/>
                <w:szCs w:val="20"/>
              </w:rPr>
              <w:t>11018</w:t>
            </w:r>
          </w:p>
        </w:tc>
        <w:tc>
          <w:tcPr>
            <w:tcW w:w="2534" w:type="pct"/>
          </w:tcPr>
          <w:p w:rsidR="00C9004B" w:rsidRPr="00BF39A1" w:rsidRDefault="00C9004B" w:rsidP="002B1200">
            <w:pPr>
              <w:rPr>
                <w:sz w:val="20"/>
                <w:szCs w:val="20"/>
              </w:rPr>
            </w:pPr>
            <w:r>
              <w:rPr>
                <w:sz w:val="20"/>
                <w:szCs w:val="20"/>
              </w:rPr>
              <w:t xml:space="preserve">Extent to which the individual’s long-term personality can be described as inhibited, tending to be quiet, serious, chronically worrisome, intolerant, sensitive, scrupulously honest, frugal, stubborn, of stern unbending moral code, lacking humor, and conscientious. Interests have been narrow, habits have been stereotyped, has cared little for diversion, has little pleasure. </w:t>
            </w:r>
          </w:p>
        </w:tc>
        <w:tc>
          <w:tcPr>
            <w:tcW w:w="1796" w:type="pct"/>
            <w:vMerge/>
          </w:tcPr>
          <w:p w:rsidR="00C9004B" w:rsidRPr="0076692B" w:rsidRDefault="00C9004B" w:rsidP="004818FA">
            <w:pPr>
              <w:rPr>
                <w:sz w:val="20"/>
                <w:szCs w:val="20"/>
              </w:rPr>
            </w:pPr>
          </w:p>
        </w:tc>
      </w:tr>
      <w:tr w:rsidR="00C9004B" w:rsidTr="00C9004B">
        <w:tc>
          <w:tcPr>
            <w:tcW w:w="670" w:type="pct"/>
            <w:vAlign w:val="center"/>
          </w:tcPr>
          <w:p w:rsidR="00C9004B" w:rsidRPr="00BF39A1" w:rsidRDefault="00C9004B" w:rsidP="0001778B">
            <w:pPr>
              <w:jc w:val="right"/>
              <w:rPr>
                <w:sz w:val="20"/>
                <w:szCs w:val="20"/>
              </w:rPr>
            </w:pPr>
            <w:r>
              <w:rPr>
                <w:sz w:val="20"/>
                <w:szCs w:val="20"/>
              </w:rPr>
              <w:lastRenderedPageBreak/>
              <w:t>11019</w:t>
            </w:r>
          </w:p>
        </w:tc>
        <w:tc>
          <w:tcPr>
            <w:tcW w:w="2534" w:type="pct"/>
          </w:tcPr>
          <w:p w:rsidR="00C9004B" w:rsidRPr="00BF39A1" w:rsidRDefault="00C9004B" w:rsidP="002B1200">
            <w:pPr>
              <w:rPr>
                <w:sz w:val="20"/>
                <w:szCs w:val="20"/>
              </w:rPr>
            </w:pPr>
            <w:r>
              <w:rPr>
                <w:sz w:val="20"/>
                <w:szCs w:val="20"/>
              </w:rPr>
              <w:t xml:space="preserve">Extent to which the individual’s long-term personality is characterized by frequent expression of resistance to occupational and social demands through procrastination, dawdling, stubbornness, intentional inefficiency, “forgetfulness” </w:t>
            </w:r>
          </w:p>
        </w:tc>
        <w:tc>
          <w:tcPr>
            <w:tcW w:w="1796" w:type="pct"/>
            <w:vMerge/>
          </w:tcPr>
          <w:p w:rsidR="00C9004B" w:rsidRPr="0076692B" w:rsidRDefault="00C9004B" w:rsidP="004818FA">
            <w:pPr>
              <w:rPr>
                <w:sz w:val="20"/>
                <w:szCs w:val="20"/>
              </w:rPr>
            </w:pPr>
          </w:p>
        </w:tc>
      </w:tr>
      <w:tr w:rsidR="00C9004B" w:rsidTr="00C9004B">
        <w:tc>
          <w:tcPr>
            <w:tcW w:w="670" w:type="pct"/>
            <w:vAlign w:val="center"/>
          </w:tcPr>
          <w:p w:rsidR="00C9004B" w:rsidRPr="00BF39A1" w:rsidRDefault="00C9004B" w:rsidP="0001778B">
            <w:pPr>
              <w:jc w:val="right"/>
              <w:rPr>
                <w:sz w:val="20"/>
                <w:szCs w:val="20"/>
              </w:rPr>
            </w:pPr>
            <w:r>
              <w:rPr>
                <w:sz w:val="20"/>
                <w:szCs w:val="20"/>
              </w:rPr>
              <w:t>11020</w:t>
            </w:r>
          </w:p>
        </w:tc>
        <w:tc>
          <w:tcPr>
            <w:tcW w:w="2534" w:type="pct"/>
          </w:tcPr>
          <w:p w:rsidR="00C9004B" w:rsidRPr="00BF39A1" w:rsidRDefault="00C9004B" w:rsidP="002B1200">
            <w:pPr>
              <w:rPr>
                <w:sz w:val="20"/>
                <w:szCs w:val="20"/>
              </w:rPr>
            </w:pPr>
            <w:r>
              <w:rPr>
                <w:sz w:val="20"/>
                <w:szCs w:val="20"/>
              </w:rPr>
              <w:t xml:space="preserve">Extent to which the individual’s long-term personality can be described as “depressive.” Depression has chronically been a constant mode of feeling lurking in the background during everyday life. Depressed mood is easily precipitated-occurs after seemingly insignificant frustration. Chronic feelings of boredom, sees no possibility of joyful excitement in his or her life. </w:t>
            </w:r>
          </w:p>
        </w:tc>
        <w:tc>
          <w:tcPr>
            <w:tcW w:w="1796" w:type="pct"/>
            <w:vMerge/>
          </w:tcPr>
          <w:p w:rsidR="00C9004B" w:rsidRPr="0076692B" w:rsidRDefault="00C9004B" w:rsidP="00737FCD">
            <w:pPr>
              <w:rPr>
                <w:sz w:val="20"/>
                <w:szCs w:val="20"/>
              </w:rPr>
            </w:pPr>
          </w:p>
        </w:tc>
      </w:tr>
      <w:tr w:rsidR="00C9004B" w:rsidTr="00C9004B">
        <w:tc>
          <w:tcPr>
            <w:tcW w:w="670" w:type="pct"/>
            <w:vAlign w:val="center"/>
          </w:tcPr>
          <w:p w:rsidR="00C9004B" w:rsidRPr="00BF39A1" w:rsidRDefault="00C9004B" w:rsidP="0001778B">
            <w:pPr>
              <w:jc w:val="right"/>
              <w:rPr>
                <w:sz w:val="20"/>
                <w:szCs w:val="20"/>
              </w:rPr>
            </w:pPr>
            <w:r>
              <w:rPr>
                <w:sz w:val="20"/>
                <w:szCs w:val="20"/>
              </w:rPr>
              <w:t>11021</w:t>
            </w:r>
          </w:p>
        </w:tc>
        <w:tc>
          <w:tcPr>
            <w:tcW w:w="2534" w:type="pct"/>
          </w:tcPr>
          <w:p w:rsidR="00C9004B" w:rsidRPr="00BF39A1" w:rsidRDefault="00C9004B" w:rsidP="002B1200">
            <w:pPr>
              <w:rPr>
                <w:sz w:val="20"/>
                <w:szCs w:val="20"/>
              </w:rPr>
            </w:pPr>
            <w:r>
              <w:rPr>
                <w:sz w:val="20"/>
                <w:szCs w:val="20"/>
              </w:rPr>
              <w:t xml:space="preserve">Extent to which the individual’s long-term personality can be described as self-defeating or self-sacrificing, with a tendency to be drawn to situations or relationships that lead to disappointment, failure, or mistreatment. Avoids or undermines pleasurable experiences, responds to positive events with negative feelings. Prevents other from helping him or her. </w:t>
            </w:r>
          </w:p>
        </w:tc>
        <w:tc>
          <w:tcPr>
            <w:tcW w:w="1796" w:type="pct"/>
            <w:vMerge/>
          </w:tcPr>
          <w:p w:rsidR="00C9004B" w:rsidRPr="0076692B" w:rsidRDefault="00C9004B" w:rsidP="004818FA">
            <w:pPr>
              <w:rPr>
                <w:sz w:val="20"/>
                <w:szCs w:val="20"/>
              </w:rPr>
            </w:pPr>
          </w:p>
        </w:tc>
      </w:tr>
      <w:tr w:rsidR="00C9004B" w:rsidTr="00C9004B">
        <w:tc>
          <w:tcPr>
            <w:tcW w:w="670" w:type="pct"/>
            <w:vAlign w:val="center"/>
          </w:tcPr>
          <w:p w:rsidR="00C9004B" w:rsidRPr="00BF39A1" w:rsidRDefault="00C9004B" w:rsidP="0047322E">
            <w:pPr>
              <w:jc w:val="right"/>
              <w:rPr>
                <w:sz w:val="20"/>
                <w:szCs w:val="20"/>
              </w:rPr>
            </w:pPr>
            <w:r>
              <w:rPr>
                <w:sz w:val="20"/>
                <w:szCs w:val="20"/>
              </w:rPr>
              <w:t>11022</w:t>
            </w:r>
          </w:p>
        </w:tc>
        <w:tc>
          <w:tcPr>
            <w:tcW w:w="2534" w:type="pct"/>
          </w:tcPr>
          <w:p w:rsidR="00C9004B" w:rsidRPr="00BF39A1" w:rsidRDefault="00C9004B" w:rsidP="002B1200">
            <w:pPr>
              <w:rPr>
                <w:sz w:val="20"/>
                <w:szCs w:val="20"/>
              </w:rPr>
            </w:pPr>
            <w:r>
              <w:rPr>
                <w:sz w:val="20"/>
                <w:szCs w:val="20"/>
              </w:rPr>
              <w:t xml:space="preserve">Extent to which the individual’s long-term personality can be described as cruel, demeaning and aggressive. Inflicts pain on others, either physical or emotional (e.g., humiliation, unusually harsh disciplines, restriction of others’ autonomy, physical abuse). Enjoys intimidating others, seems to derive some pleasure from their suffering, </w:t>
            </w:r>
            <w:proofErr w:type="gramStart"/>
            <w:r>
              <w:rPr>
                <w:sz w:val="20"/>
                <w:szCs w:val="20"/>
              </w:rPr>
              <w:t>is</w:t>
            </w:r>
            <w:proofErr w:type="gramEnd"/>
            <w:r>
              <w:rPr>
                <w:sz w:val="20"/>
                <w:szCs w:val="20"/>
              </w:rPr>
              <w:t xml:space="preserve"> fascinated by violence in general. </w:t>
            </w:r>
          </w:p>
        </w:tc>
        <w:tc>
          <w:tcPr>
            <w:tcW w:w="1796" w:type="pct"/>
            <w:vMerge/>
          </w:tcPr>
          <w:p w:rsidR="00C9004B" w:rsidRPr="0076692B" w:rsidRDefault="00C9004B" w:rsidP="005E3913">
            <w:pPr>
              <w:rPr>
                <w:sz w:val="20"/>
                <w:szCs w:val="20"/>
              </w:rPr>
            </w:pPr>
          </w:p>
        </w:tc>
      </w:tr>
      <w:tr w:rsidR="00C87A6B" w:rsidTr="00C9004B">
        <w:tc>
          <w:tcPr>
            <w:tcW w:w="670" w:type="pct"/>
            <w:vAlign w:val="center"/>
          </w:tcPr>
          <w:p w:rsidR="00C87A6B" w:rsidRPr="00BF39A1" w:rsidRDefault="00C957FD" w:rsidP="0001778B">
            <w:pPr>
              <w:jc w:val="right"/>
              <w:rPr>
                <w:sz w:val="20"/>
                <w:szCs w:val="20"/>
              </w:rPr>
            </w:pPr>
            <w:r>
              <w:rPr>
                <w:sz w:val="20"/>
                <w:szCs w:val="20"/>
              </w:rPr>
              <w:t>24700</w:t>
            </w:r>
          </w:p>
        </w:tc>
        <w:tc>
          <w:tcPr>
            <w:tcW w:w="2534" w:type="pct"/>
          </w:tcPr>
          <w:p w:rsidR="00C87A6B" w:rsidRPr="00BF39A1" w:rsidRDefault="00C957FD" w:rsidP="002B1200">
            <w:pPr>
              <w:rPr>
                <w:sz w:val="20"/>
                <w:szCs w:val="20"/>
              </w:rPr>
            </w:pPr>
            <w:r>
              <w:rPr>
                <w:sz w:val="20"/>
                <w:szCs w:val="20"/>
              </w:rPr>
              <w:t>Scoring: PAF total</w:t>
            </w:r>
          </w:p>
        </w:tc>
        <w:tc>
          <w:tcPr>
            <w:tcW w:w="1796" w:type="pct"/>
          </w:tcPr>
          <w:p w:rsidR="00B67FC5" w:rsidRPr="0076692B" w:rsidRDefault="00C957FD" w:rsidP="004818FA">
            <w:pPr>
              <w:rPr>
                <w:sz w:val="20"/>
                <w:szCs w:val="20"/>
              </w:rPr>
            </w:pPr>
            <w:r>
              <w:rPr>
                <w:sz w:val="20"/>
                <w:szCs w:val="20"/>
              </w:rPr>
              <w:t xml:space="preserve">Sum: 11009, 11010, </w:t>
            </w:r>
            <w:r w:rsidRPr="00C957FD">
              <w:rPr>
                <w:sz w:val="20"/>
                <w:szCs w:val="20"/>
              </w:rPr>
              <w:t>11011</w:t>
            </w:r>
            <w:r>
              <w:rPr>
                <w:sz w:val="20"/>
                <w:szCs w:val="20"/>
              </w:rPr>
              <w:t xml:space="preserve">, 11012, 11013, 11014, </w:t>
            </w:r>
            <w:r w:rsidRPr="00C957FD">
              <w:rPr>
                <w:sz w:val="20"/>
                <w:szCs w:val="20"/>
              </w:rPr>
              <w:t>11015</w:t>
            </w:r>
            <w:r>
              <w:rPr>
                <w:sz w:val="20"/>
                <w:szCs w:val="20"/>
              </w:rPr>
              <w:t xml:space="preserve">, 11016, 11017, 11018, </w:t>
            </w:r>
            <w:r w:rsidRPr="00C957FD">
              <w:rPr>
                <w:sz w:val="20"/>
                <w:szCs w:val="20"/>
              </w:rPr>
              <w:t>11019</w:t>
            </w:r>
          </w:p>
        </w:tc>
      </w:tr>
      <w:tr w:rsidR="00C87A6B" w:rsidTr="00C9004B">
        <w:tc>
          <w:tcPr>
            <w:tcW w:w="670" w:type="pct"/>
            <w:vAlign w:val="center"/>
          </w:tcPr>
          <w:p w:rsidR="00C87A6B" w:rsidRPr="00BF39A1" w:rsidRDefault="00C957FD" w:rsidP="0001778B">
            <w:pPr>
              <w:jc w:val="right"/>
              <w:rPr>
                <w:sz w:val="20"/>
                <w:szCs w:val="20"/>
              </w:rPr>
            </w:pPr>
            <w:r>
              <w:rPr>
                <w:sz w:val="20"/>
                <w:szCs w:val="20"/>
              </w:rPr>
              <w:t>24701</w:t>
            </w:r>
          </w:p>
        </w:tc>
        <w:tc>
          <w:tcPr>
            <w:tcW w:w="2534" w:type="pct"/>
          </w:tcPr>
          <w:p w:rsidR="00C87A6B" w:rsidRPr="00BF39A1" w:rsidRDefault="00C957FD" w:rsidP="002B1200">
            <w:pPr>
              <w:rPr>
                <w:sz w:val="20"/>
                <w:szCs w:val="20"/>
              </w:rPr>
            </w:pPr>
            <w:r>
              <w:rPr>
                <w:sz w:val="20"/>
                <w:szCs w:val="20"/>
              </w:rPr>
              <w:t>Scoring: Cluster A sum</w:t>
            </w:r>
          </w:p>
        </w:tc>
        <w:tc>
          <w:tcPr>
            <w:tcW w:w="1796" w:type="pct"/>
          </w:tcPr>
          <w:p w:rsidR="00B67FC5" w:rsidRPr="0076692B" w:rsidRDefault="00C957FD" w:rsidP="004818FA">
            <w:pPr>
              <w:rPr>
                <w:sz w:val="20"/>
                <w:szCs w:val="20"/>
              </w:rPr>
            </w:pPr>
            <w:r>
              <w:rPr>
                <w:sz w:val="20"/>
                <w:szCs w:val="20"/>
              </w:rPr>
              <w:t xml:space="preserve">Sum: 11009, 11010, </w:t>
            </w:r>
            <w:r w:rsidRPr="00C957FD">
              <w:rPr>
                <w:sz w:val="20"/>
                <w:szCs w:val="20"/>
              </w:rPr>
              <w:t>11011</w:t>
            </w:r>
          </w:p>
        </w:tc>
      </w:tr>
      <w:tr w:rsidR="00C87A6B" w:rsidTr="00C9004B">
        <w:tc>
          <w:tcPr>
            <w:tcW w:w="670" w:type="pct"/>
            <w:vAlign w:val="center"/>
          </w:tcPr>
          <w:p w:rsidR="00C87A6B" w:rsidRPr="00BF39A1" w:rsidRDefault="00C957FD" w:rsidP="0001778B">
            <w:pPr>
              <w:jc w:val="right"/>
              <w:rPr>
                <w:sz w:val="20"/>
                <w:szCs w:val="20"/>
              </w:rPr>
            </w:pPr>
            <w:r>
              <w:rPr>
                <w:sz w:val="20"/>
                <w:szCs w:val="20"/>
              </w:rPr>
              <w:t>24702</w:t>
            </w:r>
          </w:p>
        </w:tc>
        <w:tc>
          <w:tcPr>
            <w:tcW w:w="2534" w:type="pct"/>
          </w:tcPr>
          <w:p w:rsidR="00C87A6B" w:rsidRPr="00BF39A1" w:rsidRDefault="00C957FD" w:rsidP="0047322E">
            <w:pPr>
              <w:rPr>
                <w:sz w:val="20"/>
                <w:szCs w:val="20"/>
              </w:rPr>
            </w:pPr>
            <w:r>
              <w:rPr>
                <w:sz w:val="20"/>
                <w:szCs w:val="20"/>
              </w:rPr>
              <w:t>Scoring: Cluster B</w:t>
            </w:r>
            <w:r w:rsidR="00B67FC5">
              <w:rPr>
                <w:sz w:val="20"/>
                <w:szCs w:val="20"/>
              </w:rPr>
              <w:t xml:space="preserve"> </w:t>
            </w:r>
            <w:r>
              <w:rPr>
                <w:sz w:val="20"/>
                <w:szCs w:val="20"/>
              </w:rPr>
              <w:t>sum</w:t>
            </w:r>
          </w:p>
        </w:tc>
        <w:tc>
          <w:tcPr>
            <w:tcW w:w="1796" w:type="pct"/>
          </w:tcPr>
          <w:p w:rsidR="00B67FC5" w:rsidRPr="0076692B" w:rsidRDefault="00C957FD" w:rsidP="00C957FD">
            <w:pPr>
              <w:rPr>
                <w:sz w:val="20"/>
                <w:szCs w:val="20"/>
              </w:rPr>
            </w:pPr>
            <w:r>
              <w:rPr>
                <w:sz w:val="20"/>
                <w:szCs w:val="20"/>
              </w:rPr>
              <w:t xml:space="preserve">Sum: 11012, 11013, 11014, </w:t>
            </w:r>
            <w:r w:rsidRPr="00C957FD">
              <w:rPr>
                <w:sz w:val="20"/>
                <w:szCs w:val="20"/>
              </w:rPr>
              <w:t>11015</w:t>
            </w:r>
          </w:p>
        </w:tc>
      </w:tr>
      <w:tr w:rsidR="00C87A6B" w:rsidTr="00C9004B">
        <w:tc>
          <w:tcPr>
            <w:tcW w:w="670" w:type="pct"/>
            <w:vAlign w:val="center"/>
          </w:tcPr>
          <w:p w:rsidR="00C87A6B" w:rsidRPr="00BF39A1" w:rsidRDefault="00C957FD" w:rsidP="0001778B">
            <w:pPr>
              <w:jc w:val="right"/>
              <w:rPr>
                <w:sz w:val="20"/>
                <w:szCs w:val="20"/>
              </w:rPr>
            </w:pPr>
            <w:r>
              <w:rPr>
                <w:sz w:val="20"/>
                <w:szCs w:val="20"/>
              </w:rPr>
              <w:t>24703</w:t>
            </w:r>
          </w:p>
        </w:tc>
        <w:tc>
          <w:tcPr>
            <w:tcW w:w="2534" w:type="pct"/>
          </w:tcPr>
          <w:p w:rsidR="00C87A6B" w:rsidRPr="00BF39A1" w:rsidRDefault="00C957FD" w:rsidP="002B1200">
            <w:pPr>
              <w:rPr>
                <w:sz w:val="20"/>
                <w:szCs w:val="20"/>
              </w:rPr>
            </w:pPr>
            <w:r>
              <w:rPr>
                <w:sz w:val="20"/>
                <w:szCs w:val="20"/>
              </w:rPr>
              <w:t>Scoring: Cluster C sum</w:t>
            </w:r>
          </w:p>
        </w:tc>
        <w:tc>
          <w:tcPr>
            <w:tcW w:w="1796" w:type="pct"/>
          </w:tcPr>
          <w:p w:rsidR="00B67FC5" w:rsidRPr="0076692B" w:rsidRDefault="00C957FD" w:rsidP="00C957FD">
            <w:pPr>
              <w:rPr>
                <w:sz w:val="20"/>
                <w:szCs w:val="20"/>
              </w:rPr>
            </w:pPr>
            <w:r>
              <w:rPr>
                <w:sz w:val="20"/>
                <w:szCs w:val="20"/>
              </w:rPr>
              <w:t xml:space="preserve">Sum: 11016, 11017, 11018, </w:t>
            </w:r>
            <w:r w:rsidRPr="00C957FD">
              <w:rPr>
                <w:sz w:val="20"/>
                <w:szCs w:val="20"/>
              </w:rPr>
              <w:t>11019</w:t>
            </w:r>
          </w:p>
        </w:tc>
      </w:tr>
    </w:tbl>
    <w:p w:rsidR="00F80AE9" w:rsidRPr="00F80AE9" w:rsidRDefault="00F80AE9" w:rsidP="00F80AE9">
      <w:pPr>
        <w:rPr>
          <w:rFonts w:ascii="Arial" w:hAnsi="Arial" w:cs="Arial"/>
          <w:sz w:val="24"/>
        </w:rPr>
      </w:pPr>
    </w:p>
    <w:sectPr w:rsidR="00F80AE9" w:rsidRPr="00F80AE9" w:rsidSect="003E52D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04B" w:rsidRDefault="00C9004B" w:rsidP="002247AC">
      <w:r>
        <w:separator/>
      </w:r>
    </w:p>
  </w:endnote>
  <w:endnote w:type="continuationSeparator" w:id="0">
    <w:p w:rsidR="00C9004B" w:rsidRDefault="00C9004B" w:rsidP="00224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04B" w:rsidRDefault="00C9004B" w:rsidP="002247AC">
      <w:r>
        <w:separator/>
      </w:r>
    </w:p>
  </w:footnote>
  <w:footnote w:type="continuationSeparator" w:id="0">
    <w:p w:rsidR="00C9004B" w:rsidRDefault="00C9004B" w:rsidP="00224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08117"/>
      <w:docPartObj>
        <w:docPartGallery w:val="Page Numbers (Top of Page)"/>
        <w:docPartUnique/>
      </w:docPartObj>
    </w:sdtPr>
    <w:sdtEndPr>
      <w:rPr>
        <w:noProof/>
      </w:rPr>
    </w:sdtEndPr>
    <w:sdtContent>
      <w:p w:rsidR="00C9004B" w:rsidRDefault="00C9004B">
        <w:pPr>
          <w:pStyle w:val="Header"/>
          <w:jc w:val="right"/>
        </w:pPr>
        <w:fldSimple w:instr=" PAGE   \* MERGEFORMAT ">
          <w:r w:rsidR="00E1025F">
            <w:rPr>
              <w:noProof/>
            </w:rPr>
            <w:t>1</w:t>
          </w:r>
        </w:fldSimple>
      </w:p>
    </w:sdtContent>
  </w:sdt>
  <w:p w:rsidR="00C9004B" w:rsidRDefault="00C900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0AE9"/>
    <w:rsid w:val="0001778B"/>
    <w:rsid w:val="00045B01"/>
    <w:rsid w:val="00136CE3"/>
    <w:rsid w:val="001C073E"/>
    <w:rsid w:val="002247AC"/>
    <w:rsid w:val="002B1200"/>
    <w:rsid w:val="002C555D"/>
    <w:rsid w:val="002E3D21"/>
    <w:rsid w:val="002E7F47"/>
    <w:rsid w:val="003624A1"/>
    <w:rsid w:val="003A798B"/>
    <w:rsid w:val="003E2ABE"/>
    <w:rsid w:val="003E4FED"/>
    <w:rsid w:val="003E52D0"/>
    <w:rsid w:val="0040507A"/>
    <w:rsid w:val="00446854"/>
    <w:rsid w:val="00456025"/>
    <w:rsid w:val="0047322E"/>
    <w:rsid w:val="004818FA"/>
    <w:rsid w:val="00487F09"/>
    <w:rsid w:val="004B4A7E"/>
    <w:rsid w:val="005138C6"/>
    <w:rsid w:val="00547B2A"/>
    <w:rsid w:val="0056426E"/>
    <w:rsid w:val="005E2A61"/>
    <w:rsid w:val="005E3913"/>
    <w:rsid w:val="00614354"/>
    <w:rsid w:val="00635E81"/>
    <w:rsid w:val="006E386B"/>
    <w:rsid w:val="006E7B20"/>
    <w:rsid w:val="00726ACE"/>
    <w:rsid w:val="0072737D"/>
    <w:rsid w:val="00737FCD"/>
    <w:rsid w:val="0076692B"/>
    <w:rsid w:val="0079348B"/>
    <w:rsid w:val="00804678"/>
    <w:rsid w:val="00810767"/>
    <w:rsid w:val="00833EFF"/>
    <w:rsid w:val="008B5CCD"/>
    <w:rsid w:val="008E242B"/>
    <w:rsid w:val="009054E7"/>
    <w:rsid w:val="009360D3"/>
    <w:rsid w:val="00A15390"/>
    <w:rsid w:val="00A75DD5"/>
    <w:rsid w:val="00A8163F"/>
    <w:rsid w:val="00A92C38"/>
    <w:rsid w:val="00AC1762"/>
    <w:rsid w:val="00B1019B"/>
    <w:rsid w:val="00B67FC5"/>
    <w:rsid w:val="00BF39A1"/>
    <w:rsid w:val="00C02DC4"/>
    <w:rsid w:val="00C06CAF"/>
    <w:rsid w:val="00C87A6B"/>
    <w:rsid w:val="00C9004B"/>
    <w:rsid w:val="00C957FD"/>
    <w:rsid w:val="00CB4F08"/>
    <w:rsid w:val="00CD792E"/>
    <w:rsid w:val="00D1414D"/>
    <w:rsid w:val="00D85A41"/>
    <w:rsid w:val="00DB4102"/>
    <w:rsid w:val="00DF3D84"/>
    <w:rsid w:val="00E1025F"/>
    <w:rsid w:val="00E27A7B"/>
    <w:rsid w:val="00E72E3C"/>
    <w:rsid w:val="00ED15E4"/>
    <w:rsid w:val="00F80AE9"/>
    <w:rsid w:val="00FA3F03"/>
    <w:rsid w:val="00FC0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80A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webSettings.xml><?xml version="1.0" encoding="utf-8"?>
<w:webSettings xmlns:r="http://schemas.openxmlformats.org/officeDocument/2006/relationships" xmlns:w="http://schemas.openxmlformats.org/wordprocessingml/2006/main">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ayarshe</cp:lastModifiedBy>
  <cp:revision>10</cp:revision>
  <cp:lastPrinted>2016-05-10T17:49:00Z</cp:lastPrinted>
  <dcterms:created xsi:type="dcterms:W3CDTF">2017-07-07T16:09:00Z</dcterms:created>
  <dcterms:modified xsi:type="dcterms:W3CDTF">2017-07-07T17:15:00Z</dcterms:modified>
</cp:coreProperties>
</file>