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E02" w:rsidRPr="00BB0E02" w:rsidRDefault="00BB0E02" w:rsidP="00BB0E02">
      <w:pPr>
        <w:rPr>
          <w:rFonts w:ascii="Calibri" w:hAnsi="Calibri" w:cs="Calibri"/>
        </w:rPr>
      </w:pPr>
      <w:r>
        <w:rPr>
          <w:rFonts w:ascii="Calibri" w:hAnsi="Calibri" w:cs="Calibri"/>
          <w:b/>
        </w:rPr>
        <w:t>Published version available at:</w:t>
      </w:r>
      <w:r w:rsidRPr="00BB0E02">
        <w:t xml:space="preserve"> </w:t>
      </w:r>
      <w:r w:rsidRPr="00BB0E02">
        <w:rPr>
          <w:rFonts w:ascii="Calibri" w:hAnsi="Calibri" w:cs="Calibri"/>
        </w:rPr>
        <w:t xml:space="preserve">Primack BA, Shensa A, Escobar-Viera CG, Barrett EL, Sidani JE, Colditz JB, James AE. Use of multiple social media platforms and symptoms of depression and anxiety: A nationally-representative study among U.S. young adults. </w:t>
      </w:r>
      <w:r w:rsidRPr="00BB0E02">
        <w:rPr>
          <w:rFonts w:ascii="Calibri" w:hAnsi="Calibri" w:cs="Calibri"/>
          <w:i/>
        </w:rPr>
        <w:t>Computers in Human Behavior</w:t>
      </w:r>
      <w:r w:rsidRPr="00BB0E02">
        <w:rPr>
          <w:rFonts w:ascii="Calibri" w:hAnsi="Calibri" w:cs="Calibri"/>
        </w:rPr>
        <w:t>. 2017;69:1-9. DOI: 10.1016/j.chb.2016.11.013</w:t>
      </w:r>
    </w:p>
    <w:p w:rsidR="00BB0E02" w:rsidRDefault="00BB0E02" w:rsidP="00B85066">
      <w:pPr>
        <w:jc w:val="center"/>
        <w:rPr>
          <w:rFonts w:ascii="Calibri" w:hAnsi="Calibri" w:cs="Calibri"/>
          <w:b/>
        </w:rPr>
      </w:pPr>
    </w:p>
    <w:p w:rsidR="00BB0E02" w:rsidRDefault="00BB0E02" w:rsidP="00B85066">
      <w:pPr>
        <w:jc w:val="center"/>
        <w:rPr>
          <w:rFonts w:ascii="Calibri" w:hAnsi="Calibri" w:cs="Calibri"/>
          <w:b/>
        </w:rPr>
      </w:pPr>
    </w:p>
    <w:p w:rsidR="001F2834" w:rsidRDefault="005C1FDF" w:rsidP="00B85066">
      <w:pPr>
        <w:jc w:val="center"/>
        <w:rPr>
          <w:rFonts w:ascii="Calibri" w:hAnsi="Calibri" w:cs="Calibri"/>
          <w:b/>
        </w:rPr>
      </w:pPr>
      <w:r>
        <w:rPr>
          <w:rFonts w:ascii="Calibri" w:hAnsi="Calibri" w:cs="Calibri"/>
          <w:b/>
        </w:rPr>
        <w:t>Use of Multiple</w:t>
      </w:r>
      <w:r w:rsidR="00DF27D4">
        <w:rPr>
          <w:rFonts w:ascii="Calibri" w:hAnsi="Calibri" w:cs="Calibri"/>
          <w:b/>
        </w:rPr>
        <w:t xml:space="preserve"> Social Media</w:t>
      </w:r>
      <w:r>
        <w:rPr>
          <w:rFonts w:ascii="Calibri" w:hAnsi="Calibri" w:cs="Calibri"/>
          <w:b/>
        </w:rPr>
        <w:t xml:space="preserve"> Platforms</w:t>
      </w:r>
      <w:r w:rsidR="000727CB" w:rsidRPr="008C45AB">
        <w:rPr>
          <w:rFonts w:ascii="Calibri" w:hAnsi="Calibri" w:cs="Calibri"/>
          <w:b/>
        </w:rPr>
        <w:t xml:space="preserve"> and </w:t>
      </w:r>
      <w:r w:rsidR="00476A2E">
        <w:rPr>
          <w:rFonts w:ascii="Calibri" w:hAnsi="Calibri" w:cs="Calibri"/>
          <w:b/>
        </w:rPr>
        <w:t xml:space="preserve">Symptoms of </w:t>
      </w:r>
      <w:r w:rsidR="000727CB" w:rsidRPr="008C45AB">
        <w:rPr>
          <w:rFonts w:ascii="Calibri" w:hAnsi="Calibri" w:cs="Calibri"/>
          <w:b/>
        </w:rPr>
        <w:t>Depression and Anxiety:</w:t>
      </w:r>
    </w:p>
    <w:p w:rsidR="000727CB" w:rsidRPr="008C45AB" w:rsidRDefault="000727CB" w:rsidP="00B85066">
      <w:pPr>
        <w:jc w:val="center"/>
        <w:rPr>
          <w:rFonts w:ascii="Calibri" w:hAnsi="Calibri" w:cs="Calibri"/>
          <w:b/>
        </w:rPr>
      </w:pPr>
      <w:r w:rsidRPr="008C45AB">
        <w:rPr>
          <w:rFonts w:ascii="Calibri" w:hAnsi="Calibri" w:cs="Calibri"/>
          <w:b/>
        </w:rPr>
        <w:t>A Nationally-Representative Study among U.S. Young Adults</w:t>
      </w:r>
    </w:p>
    <w:p w:rsidR="000727CB" w:rsidRPr="008C45AB" w:rsidRDefault="000727CB" w:rsidP="000727CB">
      <w:pPr>
        <w:jc w:val="center"/>
        <w:rPr>
          <w:rFonts w:ascii="Calibri" w:hAnsi="Calibri" w:cs="Calibri"/>
        </w:rPr>
      </w:pPr>
    </w:p>
    <w:p w:rsidR="008D6519" w:rsidRDefault="008D6519" w:rsidP="0069662F">
      <w:pPr>
        <w:rPr>
          <w:rFonts w:ascii="Calibri" w:hAnsi="Calibri" w:cs="Arial"/>
        </w:rPr>
      </w:pPr>
    </w:p>
    <w:p w:rsidR="00076EA1" w:rsidRDefault="00076EA1" w:rsidP="0069662F">
      <w:pPr>
        <w:rPr>
          <w:rFonts w:ascii="Calibri" w:hAnsi="Calibri" w:cs="Arial"/>
        </w:rPr>
      </w:pPr>
    </w:p>
    <w:p w:rsidR="00B741E7" w:rsidRDefault="00B741E7" w:rsidP="00B741E7">
      <w:pPr>
        <w:jc w:val="center"/>
        <w:rPr>
          <w:rFonts w:ascii="Calibri" w:hAnsi="Calibri" w:cs="Calibri"/>
        </w:rPr>
      </w:pPr>
      <w:r>
        <w:rPr>
          <w:rFonts w:ascii="Calibri" w:hAnsi="Calibri" w:cs="Calibri"/>
        </w:rPr>
        <w:t xml:space="preserve">Brian A. Primack, M.D., Ph.D. </w:t>
      </w:r>
      <w:r>
        <w:rPr>
          <w:rFonts w:ascii="Calibri" w:hAnsi="Calibri" w:cs="Calibri"/>
          <w:vertAlign w:val="superscript"/>
        </w:rPr>
        <w:t>a,b,c</w:t>
      </w:r>
    </w:p>
    <w:p w:rsidR="00B741E7" w:rsidRDefault="00B741E7" w:rsidP="00B741E7">
      <w:pPr>
        <w:jc w:val="center"/>
        <w:rPr>
          <w:rFonts w:ascii="Calibri" w:hAnsi="Calibri" w:cs="Calibri"/>
          <w:lang w:val="es-PY"/>
        </w:rPr>
      </w:pPr>
      <w:r>
        <w:rPr>
          <w:rFonts w:ascii="Calibri" w:hAnsi="Calibri" w:cs="Calibri"/>
          <w:lang w:val="es-PY"/>
        </w:rPr>
        <w:t>Ariel Shensa, M.A.</w:t>
      </w:r>
      <w:r>
        <w:rPr>
          <w:rFonts w:ascii="Calibri" w:hAnsi="Calibri" w:cs="Calibri"/>
          <w:vertAlign w:val="superscript"/>
          <w:lang w:val="es-PY"/>
        </w:rPr>
        <w:t xml:space="preserve"> a,b</w:t>
      </w:r>
    </w:p>
    <w:p w:rsidR="00B741E7" w:rsidRDefault="00B741E7" w:rsidP="00B741E7">
      <w:pPr>
        <w:jc w:val="center"/>
        <w:rPr>
          <w:rFonts w:ascii="Calibri" w:hAnsi="Calibri" w:cs="Calibri"/>
          <w:lang w:val="es-PY"/>
        </w:rPr>
      </w:pPr>
      <w:r>
        <w:rPr>
          <w:rFonts w:ascii="Calibri" w:hAnsi="Calibri" w:cs="Calibri"/>
          <w:lang w:val="es-PY"/>
        </w:rPr>
        <w:t xml:space="preserve">César G. Escobar-Viera, M.D., Ph.D. </w:t>
      </w:r>
      <w:r>
        <w:rPr>
          <w:rFonts w:ascii="Calibri" w:hAnsi="Calibri" w:cs="Calibri"/>
          <w:vertAlign w:val="superscript"/>
          <w:lang w:val="es-PY"/>
        </w:rPr>
        <w:t>a,d</w:t>
      </w:r>
    </w:p>
    <w:p w:rsidR="00B741E7" w:rsidRDefault="00B741E7" w:rsidP="00B741E7">
      <w:pPr>
        <w:jc w:val="center"/>
        <w:rPr>
          <w:rFonts w:ascii="Calibri" w:hAnsi="Calibri" w:cs="Calibri"/>
        </w:rPr>
      </w:pPr>
      <w:r>
        <w:rPr>
          <w:rFonts w:ascii="Calibri" w:hAnsi="Calibri" w:cs="Calibri"/>
        </w:rPr>
        <w:t>Erica Barrett</w:t>
      </w:r>
      <w:r>
        <w:rPr>
          <w:rFonts w:ascii="Calibri" w:hAnsi="Calibri" w:cs="Calibri"/>
          <w:vertAlign w:val="superscript"/>
        </w:rPr>
        <w:t>a,b</w:t>
      </w:r>
    </w:p>
    <w:p w:rsidR="00B741E7" w:rsidRDefault="00B741E7" w:rsidP="00B741E7">
      <w:pPr>
        <w:jc w:val="center"/>
        <w:rPr>
          <w:rFonts w:ascii="Calibri" w:hAnsi="Calibri" w:cs="Calibri"/>
        </w:rPr>
      </w:pPr>
      <w:r>
        <w:rPr>
          <w:rFonts w:ascii="Calibri" w:hAnsi="Calibri" w:cs="Calibri"/>
        </w:rPr>
        <w:t>Jaime E. Sidani, Ph.D., M.P.H.</w:t>
      </w:r>
      <w:r>
        <w:rPr>
          <w:rFonts w:ascii="Calibri" w:hAnsi="Calibri" w:cs="Calibri"/>
          <w:vertAlign w:val="superscript"/>
        </w:rPr>
        <w:t xml:space="preserve"> a,b</w:t>
      </w:r>
    </w:p>
    <w:p w:rsidR="00B741E7" w:rsidRDefault="00B741E7" w:rsidP="00B741E7">
      <w:pPr>
        <w:jc w:val="center"/>
        <w:rPr>
          <w:rFonts w:ascii="Calibri" w:hAnsi="Calibri" w:cs="Calibri"/>
        </w:rPr>
      </w:pPr>
      <w:r>
        <w:rPr>
          <w:rFonts w:ascii="Calibri" w:hAnsi="Calibri" w:cs="Calibri"/>
        </w:rPr>
        <w:t xml:space="preserve">Jason Colditz, M.Ed. </w:t>
      </w:r>
      <w:r>
        <w:rPr>
          <w:rFonts w:ascii="Calibri" w:hAnsi="Calibri" w:cs="Calibri"/>
          <w:vertAlign w:val="superscript"/>
        </w:rPr>
        <w:t>a,b</w:t>
      </w:r>
    </w:p>
    <w:p w:rsidR="00B741E7" w:rsidRDefault="00B741E7" w:rsidP="00B741E7">
      <w:pPr>
        <w:jc w:val="center"/>
        <w:rPr>
          <w:rFonts w:ascii="Calibri" w:hAnsi="Calibri" w:cs="Calibri"/>
        </w:rPr>
      </w:pPr>
      <w:r>
        <w:rPr>
          <w:rFonts w:ascii="Calibri" w:hAnsi="Calibri" w:cs="Calibri"/>
        </w:rPr>
        <w:t xml:space="preserve">A. Everette James, J.D., M.B.A. </w:t>
      </w:r>
      <w:r>
        <w:rPr>
          <w:rFonts w:ascii="Calibri" w:hAnsi="Calibri" w:cs="Calibri"/>
          <w:vertAlign w:val="superscript"/>
        </w:rPr>
        <w:t>d</w:t>
      </w:r>
    </w:p>
    <w:p w:rsidR="00B741E7" w:rsidRDefault="00B741E7" w:rsidP="00B741E7">
      <w:pPr>
        <w:jc w:val="center"/>
        <w:rPr>
          <w:rFonts w:ascii="Calibri" w:hAnsi="Calibri" w:cs="Calibri"/>
        </w:rPr>
      </w:pPr>
    </w:p>
    <w:p w:rsidR="00B741E7" w:rsidRDefault="00B741E7" w:rsidP="00B741E7">
      <w:pPr>
        <w:tabs>
          <w:tab w:val="left" w:pos="720"/>
        </w:tabs>
        <w:rPr>
          <w:rFonts w:ascii="Calibri" w:hAnsi="Calibri" w:cs="Calibri"/>
        </w:rPr>
      </w:pPr>
      <w:r>
        <w:rPr>
          <w:rFonts w:ascii="Calibri" w:hAnsi="Calibri" w:cs="Calibri"/>
          <w:vertAlign w:val="superscript"/>
        </w:rPr>
        <w:t xml:space="preserve">a </w:t>
      </w:r>
      <w:r>
        <w:rPr>
          <w:rFonts w:ascii="Calibri" w:hAnsi="Calibri" w:cs="Calibri"/>
        </w:rPr>
        <w:t>Center for Research on Media, Technology, and Health, University of Pittsburgh, Pittsburgh, PA</w:t>
      </w:r>
    </w:p>
    <w:p w:rsidR="00B741E7" w:rsidRDefault="00B741E7" w:rsidP="00B741E7">
      <w:pPr>
        <w:tabs>
          <w:tab w:val="left" w:pos="720"/>
        </w:tabs>
        <w:rPr>
          <w:rFonts w:ascii="Calibri" w:hAnsi="Calibri" w:cs="Calibri"/>
        </w:rPr>
      </w:pPr>
      <w:r>
        <w:rPr>
          <w:rFonts w:ascii="Calibri" w:hAnsi="Calibri" w:cs="Calibri"/>
          <w:vertAlign w:val="superscript"/>
        </w:rPr>
        <w:t xml:space="preserve">b </w:t>
      </w:r>
      <w:r>
        <w:rPr>
          <w:rFonts w:ascii="Calibri" w:hAnsi="Calibri" w:cs="Calibri"/>
        </w:rPr>
        <w:t>Division of General Internal Medicine, Department of Medicine, University of Pittsburgh School of Medicine, Pittsburgh, PA</w:t>
      </w:r>
    </w:p>
    <w:p w:rsidR="00B741E7" w:rsidRDefault="00B741E7" w:rsidP="00B741E7">
      <w:pPr>
        <w:tabs>
          <w:tab w:val="left" w:pos="720"/>
        </w:tabs>
        <w:rPr>
          <w:rFonts w:ascii="Calibri" w:hAnsi="Calibri" w:cs="Calibri"/>
        </w:rPr>
      </w:pPr>
      <w:r>
        <w:rPr>
          <w:rFonts w:ascii="Calibri" w:hAnsi="Calibri" w:cs="Calibri"/>
          <w:vertAlign w:val="superscript"/>
        </w:rPr>
        <w:t xml:space="preserve">c </w:t>
      </w:r>
      <w:r>
        <w:rPr>
          <w:rFonts w:ascii="Calibri" w:hAnsi="Calibri" w:cs="Calibri"/>
        </w:rPr>
        <w:t>Division of Adolescent Medicine, Department of Pediatrics, University of Pittsburgh School of Medicine, Pittsburgh, PA</w:t>
      </w:r>
    </w:p>
    <w:p w:rsidR="00B741E7" w:rsidRDefault="00B741E7" w:rsidP="00B741E7">
      <w:pPr>
        <w:tabs>
          <w:tab w:val="left" w:pos="720"/>
        </w:tabs>
        <w:rPr>
          <w:rFonts w:ascii="Calibri" w:hAnsi="Calibri" w:cs="Calibri"/>
        </w:rPr>
      </w:pPr>
      <w:r>
        <w:rPr>
          <w:rFonts w:ascii="Calibri" w:hAnsi="Calibri" w:cs="Calibri"/>
          <w:vertAlign w:val="superscript"/>
        </w:rPr>
        <w:t>d</w:t>
      </w:r>
      <w:r>
        <w:rPr>
          <w:rFonts w:ascii="Calibri" w:hAnsi="Calibri" w:cs="Calibri"/>
        </w:rPr>
        <w:t xml:space="preserve"> Health Policy Institute, University of Pittsburgh, Pittsburgh, PA</w:t>
      </w:r>
    </w:p>
    <w:p w:rsidR="00B741E7" w:rsidRDefault="00B741E7" w:rsidP="00B741E7">
      <w:pPr>
        <w:rPr>
          <w:rFonts w:ascii="Calibri" w:hAnsi="Calibri" w:cs="Arial"/>
        </w:rPr>
      </w:pPr>
    </w:p>
    <w:p w:rsidR="00B741E7" w:rsidRDefault="00B741E7" w:rsidP="00B741E7">
      <w:pPr>
        <w:rPr>
          <w:rFonts w:ascii="Calibri" w:hAnsi="Calibri" w:cs="Arial"/>
        </w:rPr>
      </w:pPr>
      <w:r>
        <w:rPr>
          <w:rFonts w:ascii="Calibri" w:hAnsi="Calibri" w:cs="Arial"/>
        </w:rPr>
        <w:t>Corresponding Author:</w:t>
      </w:r>
    </w:p>
    <w:p w:rsidR="00B741E7" w:rsidRDefault="00B741E7" w:rsidP="00B741E7">
      <w:pPr>
        <w:rPr>
          <w:rFonts w:ascii="Calibri" w:hAnsi="Calibri" w:cs="Arial"/>
        </w:rPr>
      </w:pPr>
      <w:r>
        <w:rPr>
          <w:rFonts w:ascii="Calibri" w:hAnsi="Calibri" w:cs="Arial"/>
        </w:rPr>
        <w:t>Brian A. Primack, M.D., Ph.D.</w:t>
      </w:r>
    </w:p>
    <w:p w:rsidR="00B741E7" w:rsidRDefault="00B741E7" w:rsidP="00B741E7">
      <w:pPr>
        <w:rPr>
          <w:rFonts w:ascii="Calibri" w:hAnsi="Calibri" w:cs="Arial"/>
        </w:rPr>
      </w:pPr>
      <w:r>
        <w:rPr>
          <w:rFonts w:ascii="Calibri" w:hAnsi="Calibri" w:cs="Arial"/>
        </w:rPr>
        <w:t>230 McKee Place Suite 600</w:t>
      </w:r>
    </w:p>
    <w:p w:rsidR="00B741E7" w:rsidRDefault="00B741E7" w:rsidP="00B741E7">
      <w:pPr>
        <w:rPr>
          <w:rFonts w:ascii="Calibri" w:hAnsi="Calibri" w:cs="Arial"/>
        </w:rPr>
      </w:pPr>
      <w:r>
        <w:rPr>
          <w:rFonts w:ascii="Calibri" w:hAnsi="Calibri" w:cs="Arial"/>
        </w:rPr>
        <w:t>Pittsburgh, PA 15213</w:t>
      </w:r>
    </w:p>
    <w:p w:rsidR="00B741E7" w:rsidRDefault="003C6DB1" w:rsidP="00B741E7">
      <w:pPr>
        <w:rPr>
          <w:rFonts w:ascii="Calibri" w:hAnsi="Calibri" w:cs="Arial"/>
        </w:rPr>
      </w:pPr>
      <w:hyperlink r:id="rId8" w:history="1">
        <w:r w:rsidR="00B741E7">
          <w:rPr>
            <w:rStyle w:val="Hyperlink"/>
            <w:rFonts w:ascii="Calibri" w:hAnsi="Calibri" w:cs="Arial"/>
          </w:rPr>
          <w:t>bprimack@pitt.edu</w:t>
        </w:r>
      </w:hyperlink>
      <w:bookmarkStart w:id="0" w:name="_GoBack"/>
      <w:bookmarkEnd w:id="0"/>
    </w:p>
    <w:p w:rsidR="00B741E7" w:rsidRDefault="00B741E7" w:rsidP="00B741E7">
      <w:pPr>
        <w:rPr>
          <w:rFonts w:ascii="Calibri" w:hAnsi="Calibri" w:cs="Arial"/>
        </w:rPr>
      </w:pPr>
      <w:r>
        <w:rPr>
          <w:rFonts w:ascii="Calibri" w:hAnsi="Calibri" w:cs="Arial"/>
        </w:rPr>
        <w:t>412-586-9789 (phone); 412-692-4838 (fax)</w:t>
      </w:r>
    </w:p>
    <w:p w:rsidR="00076EA1" w:rsidRDefault="00076EA1" w:rsidP="0069662F">
      <w:pPr>
        <w:rPr>
          <w:rFonts w:ascii="Calibri" w:hAnsi="Calibri" w:cs="Arial"/>
        </w:rPr>
      </w:pPr>
    </w:p>
    <w:p w:rsidR="00076EA1" w:rsidRPr="008C45AB" w:rsidRDefault="00076EA1" w:rsidP="0069662F">
      <w:pPr>
        <w:rPr>
          <w:rFonts w:ascii="Calibri" w:hAnsi="Calibri" w:cs="Arial"/>
        </w:rPr>
      </w:pPr>
    </w:p>
    <w:p w:rsidR="0069662F" w:rsidRPr="008C45AB" w:rsidRDefault="0069662F" w:rsidP="0069662F">
      <w:pPr>
        <w:rPr>
          <w:rFonts w:ascii="Calibri" w:hAnsi="Calibri" w:cs="Arial"/>
        </w:rPr>
      </w:pPr>
      <w:r w:rsidRPr="008C45AB">
        <w:rPr>
          <w:rFonts w:ascii="Calibri" w:hAnsi="Calibri" w:cs="Arial"/>
        </w:rPr>
        <w:t xml:space="preserve">Short Title: </w:t>
      </w:r>
      <w:r w:rsidR="00D810A6">
        <w:rPr>
          <w:rFonts w:ascii="Calibri" w:hAnsi="Calibri" w:cs="Arial"/>
        </w:rPr>
        <w:t>Multiple Platforms</w:t>
      </w:r>
      <w:r w:rsidR="00D90FC8" w:rsidRPr="008C45AB">
        <w:rPr>
          <w:rFonts w:ascii="Calibri" w:hAnsi="Calibri" w:cs="Arial"/>
        </w:rPr>
        <w:t xml:space="preserve"> and Depression and Anxiety</w:t>
      </w:r>
    </w:p>
    <w:p w:rsidR="0069662F" w:rsidRPr="008C45AB" w:rsidRDefault="0069662F" w:rsidP="0069662F">
      <w:pPr>
        <w:tabs>
          <w:tab w:val="left" w:pos="720"/>
        </w:tabs>
        <w:rPr>
          <w:rFonts w:ascii="Calibri" w:hAnsi="Calibri" w:cs="Arial"/>
        </w:rPr>
      </w:pPr>
    </w:p>
    <w:p w:rsidR="0069662F" w:rsidRPr="008C45AB" w:rsidRDefault="000727CB" w:rsidP="0069662F">
      <w:pPr>
        <w:rPr>
          <w:rFonts w:ascii="Calibri" w:hAnsi="Calibri" w:cs="Arial"/>
        </w:rPr>
      </w:pPr>
      <w:r w:rsidRPr="008C45AB">
        <w:rPr>
          <w:rFonts w:ascii="Calibri" w:hAnsi="Calibri" w:cs="Arial"/>
        </w:rPr>
        <w:t xml:space="preserve">Words in abstract: </w:t>
      </w:r>
      <w:r w:rsidR="00C16A24">
        <w:rPr>
          <w:rFonts w:ascii="Calibri" w:hAnsi="Calibri" w:cs="Arial"/>
        </w:rPr>
        <w:t>200</w:t>
      </w:r>
    </w:p>
    <w:p w:rsidR="0069662F" w:rsidRPr="008C45AB" w:rsidRDefault="0069662F" w:rsidP="0069662F">
      <w:pPr>
        <w:rPr>
          <w:rFonts w:ascii="Calibri" w:hAnsi="Calibri" w:cs="Arial"/>
        </w:rPr>
      </w:pPr>
      <w:r w:rsidRPr="008C45AB">
        <w:rPr>
          <w:rFonts w:ascii="Calibri" w:hAnsi="Calibri" w:cs="Arial"/>
        </w:rPr>
        <w:t xml:space="preserve">Words in text: </w:t>
      </w:r>
      <w:r w:rsidR="001F44D6">
        <w:rPr>
          <w:rFonts w:ascii="Calibri" w:hAnsi="Calibri" w:cs="Arial"/>
        </w:rPr>
        <w:t>4536</w:t>
      </w:r>
    </w:p>
    <w:p w:rsidR="0069662F" w:rsidRPr="008C45AB" w:rsidRDefault="0069662F" w:rsidP="0069662F">
      <w:pPr>
        <w:rPr>
          <w:rFonts w:ascii="Calibri" w:hAnsi="Calibri" w:cs="Arial"/>
        </w:rPr>
      </w:pPr>
      <w:r w:rsidRPr="008C45AB">
        <w:rPr>
          <w:rFonts w:ascii="Calibri" w:hAnsi="Calibri" w:cs="Arial"/>
        </w:rPr>
        <w:t xml:space="preserve">References: </w:t>
      </w:r>
      <w:r w:rsidR="001F44D6">
        <w:rPr>
          <w:rFonts w:ascii="Calibri" w:hAnsi="Calibri" w:cs="Arial"/>
        </w:rPr>
        <w:t>47</w:t>
      </w:r>
    </w:p>
    <w:p w:rsidR="0069662F" w:rsidRPr="008C45AB" w:rsidRDefault="0069662F" w:rsidP="0069662F">
      <w:pPr>
        <w:rPr>
          <w:rFonts w:ascii="Calibri" w:hAnsi="Calibri" w:cs="Arial"/>
        </w:rPr>
      </w:pPr>
      <w:r w:rsidRPr="008C45AB">
        <w:rPr>
          <w:rFonts w:ascii="Calibri" w:hAnsi="Calibri" w:cs="Arial"/>
        </w:rPr>
        <w:t xml:space="preserve">Figures: </w:t>
      </w:r>
      <w:r w:rsidR="009F7A37">
        <w:rPr>
          <w:rFonts w:ascii="Calibri" w:hAnsi="Calibri" w:cs="Arial"/>
        </w:rPr>
        <w:t>0</w:t>
      </w:r>
    </w:p>
    <w:p w:rsidR="0069662F" w:rsidRPr="008C45AB" w:rsidRDefault="0069662F" w:rsidP="00CF6FCF">
      <w:pPr>
        <w:rPr>
          <w:rFonts w:ascii="Calibri" w:hAnsi="Calibri" w:cs="Arial"/>
        </w:rPr>
      </w:pPr>
      <w:r w:rsidRPr="008C45AB">
        <w:rPr>
          <w:rFonts w:ascii="Calibri" w:hAnsi="Calibri" w:cs="Arial"/>
        </w:rPr>
        <w:t xml:space="preserve">Tables: </w:t>
      </w:r>
      <w:r w:rsidR="00775879" w:rsidRPr="008C45AB">
        <w:rPr>
          <w:rFonts w:ascii="Calibri" w:hAnsi="Calibri" w:cs="Arial"/>
        </w:rPr>
        <w:t>4</w:t>
      </w:r>
    </w:p>
    <w:p w:rsidR="0069662F" w:rsidRPr="008C45AB" w:rsidRDefault="0069662F" w:rsidP="0069662F">
      <w:pPr>
        <w:spacing w:line="480" w:lineRule="auto"/>
        <w:rPr>
          <w:rFonts w:ascii="Calibri" w:hAnsi="Calibri" w:cs="Arial"/>
        </w:rPr>
      </w:pPr>
      <w:r w:rsidRPr="008C45AB">
        <w:rPr>
          <w:rFonts w:ascii="Calibri" w:hAnsi="Calibri" w:cs="Arial"/>
          <w:b/>
        </w:rPr>
        <w:br w:type="page"/>
      </w:r>
      <w:r w:rsidRPr="008C45AB">
        <w:rPr>
          <w:rFonts w:ascii="Calibri" w:hAnsi="Calibri" w:cs="Arial"/>
          <w:b/>
          <w:bCs/>
        </w:rPr>
        <w:lastRenderedPageBreak/>
        <w:t>ABSTRACT</w:t>
      </w:r>
    </w:p>
    <w:p w:rsidR="0069662F" w:rsidRPr="008C45AB" w:rsidRDefault="0069662F" w:rsidP="0069662F">
      <w:pPr>
        <w:spacing w:line="480" w:lineRule="auto"/>
        <w:rPr>
          <w:rFonts w:ascii="Calibri" w:hAnsi="Calibri" w:cs="Arial"/>
          <w:b/>
          <w:bCs/>
        </w:rPr>
      </w:pPr>
    </w:p>
    <w:p w:rsidR="000727CB" w:rsidRPr="008C45AB" w:rsidRDefault="00961D74" w:rsidP="000727CB">
      <w:pPr>
        <w:spacing w:line="480" w:lineRule="auto"/>
        <w:rPr>
          <w:rFonts w:ascii="Calibri" w:hAnsi="Calibri" w:cs="Calibri"/>
        </w:rPr>
      </w:pPr>
      <w:r>
        <w:rPr>
          <w:rFonts w:ascii="Calibri" w:hAnsi="Calibri" w:cs="Calibri"/>
          <w:b/>
        </w:rPr>
        <w:t>Introduction.</w:t>
      </w:r>
      <w:r w:rsidR="000727CB" w:rsidRPr="008C45AB">
        <w:rPr>
          <w:rFonts w:ascii="Calibri" w:hAnsi="Calibri" w:cs="Calibri"/>
        </w:rPr>
        <w:t xml:space="preserve"> While increased social media use (SMU) has been associated with depression and anxiety, the </w:t>
      </w:r>
      <w:r w:rsidR="00D35352">
        <w:rPr>
          <w:rFonts w:ascii="Calibri" w:hAnsi="Calibri" w:cs="Calibri"/>
        </w:rPr>
        <w:t xml:space="preserve">independent </w:t>
      </w:r>
      <w:r w:rsidR="00DF27D4">
        <w:rPr>
          <w:rFonts w:ascii="Calibri" w:hAnsi="Calibri" w:cs="Calibri"/>
        </w:rPr>
        <w:t>role of using</w:t>
      </w:r>
      <w:r w:rsidR="000727CB" w:rsidRPr="008C45AB">
        <w:rPr>
          <w:rFonts w:ascii="Calibri" w:hAnsi="Calibri" w:cs="Calibri"/>
        </w:rPr>
        <w:t xml:space="preserve"> multiple </w:t>
      </w:r>
      <w:r w:rsidR="00DF27D4">
        <w:rPr>
          <w:rFonts w:ascii="Calibri" w:hAnsi="Calibri" w:cs="Calibri"/>
        </w:rPr>
        <w:t>social media</w:t>
      </w:r>
      <w:r w:rsidR="000727CB" w:rsidRPr="008C45AB">
        <w:rPr>
          <w:rFonts w:ascii="Calibri" w:hAnsi="Calibri" w:cs="Calibri"/>
        </w:rPr>
        <w:t xml:space="preserve"> platforms is unclear.</w:t>
      </w:r>
    </w:p>
    <w:p w:rsidR="000727CB" w:rsidRPr="008C45AB" w:rsidRDefault="000727CB" w:rsidP="000727CB">
      <w:pPr>
        <w:spacing w:line="480" w:lineRule="auto"/>
        <w:rPr>
          <w:rFonts w:ascii="Calibri" w:hAnsi="Calibri" w:cs="Calibri"/>
        </w:rPr>
      </w:pPr>
    </w:p>
    <w:p w:rsidR="000727CB" w:rsidRPr="008C45AB" w:rsidRDefault="000727CB" w:rsidP="000727CB">
      <w:pPr>
        <w:spacing w:line="480" w:lineRule="auto"/>
        <w:rPr>
          <w:rFonts w:ascii="Calibri" w:hAnsi="Calibri" w:cs="Calibri"/>
        </w:rPr>
      </w:pPr>
      <w:r w:rsidRPr="008C45AB">
        <w:rPr>
          <w:rFonts w:ascii="Calibri" w:hAnsi="Calibri" w:cs="Calibri"/>
          <w:b/>
        </w:rPr>
        <w:t>Methods.</w:t>
      </w:r>
      <w:r w:rsidRPr="008C45AB">
        <w:rPr>
          <w:rFonts w:ascii="Calibri" w:hAnsi="Calibri" w:cs="Calibri"/>
        </w:rPr>
        <w:t xml:space="preserve"> We surveyed a nationally-representative sample of 1787 U.S. young adults ages 19-32. </w:t>
      </w:r>
      <w:r w:rsidR="00961D74">
        <w:rPr>
          <w:rFonts w:ascii="Calibri" w:hAnsi="Calibri" w:cs="Calibri"/>
        </w:rPr>
        <w:t>D</w:t>
      </w:r>
      <w:r w:rsidRPr="008C45AB">
        <w:rPr>
          <w:rFonts w:ascii="Calibri" w:hAnsi="Calibri" w:cs="Calibri"/>
        </w:rPr>
        <w:t xml:space="preserve">ependent variables were </w:t>
      </w:r>
      <w:r w:rsidR="00673FD2">
        <w:rPr>
          <w:rFonts w:ascii="Calibri" w:hAnsi="Calibri" w:cs="Calibri"/>
        </w:rPr>
        <w:t xml:space="preserve">both </w:t>
      </w:r>
      <w:r w:rsidRPr="008C45AB">
        <w:rPr>
          <w:rFonts w:ascii="Calibri" w:hAnsi="Calibri" w:cs="Calibri"/>
        </w:rPr>
        <w:t>depression and anxiety</w:t>
      </w:r>
      <w:r w:rsidR="00443426">
        <w:rPr>
          <w:rFonts w:ascii="Calibri" w:hAnsi="Calibri" w:cs="Calibri"/>
        </w:rPr>
        <w:t xml:space="preserve"> symptoms</w:t>
      </w:r>
      <w:r w:rsidRPr="008C45AB">
        <w:rPr>
          <w:rFonts w:ascii="Calibri" w:hAnsi="Calibri" w:cs="Calibri"/>
        </w:rPr>
        <w:t xml:space="preserve"> measured using the Patient-Reported Outcomes Measureme</w:t>
      </w:r>
      <w:r w:rsidR="00673FD2">
        <w:rPr>
          <w:rFonts w:ascii="Calibri" w:hAnsi="Calibri" w:cs="Calibri"/>
        </w:rPr>
        <w:t>nt Information System (PROMIS).</w:t>
      </w:r>
      <w:r w:rsidR="00961D74">
        <w:rPr>
          <w:rFonts w:ascii="Calibri" w:hAnsi="Calibri" w:cs="Calibri"/>
        </w:rPr>
        <w:t xml:space="preserve"> </w:t>
      </w:r>
      <w:r w:rsidR="00673FD2">
        <w:rPr>
          <w:rFonts w:ascii="Calibri" w:hAnsi="Calibri" w:cs="Calibri"/>
        </w:rPr>
        <w:t xml:space="preserve">We assessed </w:t>
      </w:r>
      <w:r w:rsidR="00DF27D4">
        <w:rPr>
          <w:rFonts w:ascii="Calibri" w:hAnsi="Calibri" w:cs="Calibri"/>
        </w:rPr>
        <w:t xml:space="preserve">use of </w:t>
      </w:r>
      <w:r w:rsidR="00673FD2">
        <w:rPr>
          <w:rFonts w:ascii="Calibri" w:hAnsi="Calibri" w:cs="Calibri"/>
        </w:rPr>
        <w:t xml:space="preserve">multiple </w:t>
      </w:r>
      <w:r w:rsidR="00DF27D4">
        <w:rPr>
          <w:rFonts w:ascii="Calibri" w:hAnsi="Calibri" w:cs="Calibri"/>
        </w:rPr>
        <w:t xml:space="preserve">social media platform </w:t>
      </w:r>
      <w:r w:rsidR="00673FD2">
        <w:rPr>
          <w:rFonts w:ascii="Calibri" w:hAnsi="Calibri" w:cs="Calibri"/>
        </w:rPr>
        <w:t>with</w:t>
      </w:r>
      <w:r w:rsidRPr="008C45AB">
        <w:rPr>
          <w:rFonts w:ascii="Calibri" w:hAnsi="Calibri" w:cs="Calibri"/>
        </w:rPr>
        <w:t xml:space="preserve"> an adapted Pew Internet Research scale. We used </w:t>
      </w:r>
      <w:r w:rsidR="00673FD2">
        <w:rPr>
          <w:rFonts w:ascii="Calibri" w:hAnsi="Calibri" w:cs="Calibri"/>
        </w:rPr>
        <w:t xml:space="preserve">ordered </w:t>
      </w:r>
      <w:r w:rsidRPr="008C45AB">
        <w:rPr>
          <w:rFonts w:ascii="Calibri" w:hAnsi="Calibri" w:cs="Calibri"/>
        </w:rPr>
        <w:t xml:space="preserve">logistic </w:t>
      </w:r>
      <w:r w:rsidR="00673FD2">
        <w:rPr>
          <w:rFonts w:ascii="Calibri" w:hAnsi="Calibri" w:cs="Calibri"/>
        </w:rPr>
        <w:t xml:space="preserve">regression </w:t>
      </w:r>
      <w:r w:rsidR="004A1481">
        <w:rPr>
          <w:rFonts w:ascii="Calibri" w:hAnsi="Calibri" w:cs="Calibri"/>
        </w:rPr>
        <w:t xml:space="preserve">models </w:t>
      </w:r>
      <w:r w:rsidRPr="008C45AB">
        <w:rPr>
          <w:rFonts w:ascii="Calibri" w:hAnsi="Calibri" w:cs="Calibri"/>
        </w:rPr>
        <w:t xml:space="preserve">to assess associations between </w:t>
      </w:r>
      <w:r w:rsidR="00673FD2">
        <w:rPr>
          <w:rFonts w:ascii="Calibri" w:hAnsi="Calibri" w:cs="Calibri"/>
        </w:rPr>
        <w:t>multiple platform use</w:t>
      </w:r>
      <w:r w:rsidRPr="008C45AB">
        <w:rPr>
          <w:rFonts w:ascii="Calibri" w:hAnsi="Calibri" w:cs="Calibri"/>
        </w:rPr>
        <w:t xml:space="preserve"> and </w:t>
      </w:r>
      <w:r w:rsidR="00673FD2">
        <w:rPr>
          <w:rFonts w:ascii="Calibri" w:hAnsi="Calibri" w:cs="Calibri"/>
        </w:rPr>
        <w:t>mental health outcomes</w:t>
      </w:r>
      <w:r w:rsidR="00443426">
        <w:rPr>
          <w:rFonts w:ascii="Calibri" w:hAnsi="Calibri" w:cs="Calibri"/>
        </w:rPr>
        <w:t xml:space="preserve"> </w:t>
      </w:r>
      <w:r w:rsidRPr="008C45AB">
        <w:rPr>
          <w:rFonts w:ascii="Calibri" w:hAnsi="Calibri" w:cs="Calibri"/>
        </w:rPr>
        <w:t>while controlling for eight covariates, including overall SMU.</w:t>
      </w:r>
    </w:p>
    <w:p w:rsidR="000727CB" w:rsidRPr="008C45AB" w:rsidRDefault="000727CB" w:rsidP="000727CB">
      <w:pPr>
        <w:spacing w:line="480" w:lineRule="auto"/>
        <w:rPr>
          <w:rFonts w:ascii="Calibri" w:hAnsi="Calibri" w:cs="Calibri"/>
        </w:rPr>
      </w:pPr>
    </w:p>
    <w:p w:rsidR="000727CB" w:rsidRPr="008C45AB" w:rsidRDefault="000727CB" w:rsidP="000727CB">
      <w:pPr>
        <w:spacing w:line="480" w:lineRule="auto"/>
        <w:rPr>
          <w:rFonts w:ascii="Calibri" w:hAnsi="Calibri" w:cs="Calibri"/>
        </w:rPr>
      </w:pPr>
      <w:r w:rsidRPr="008C45AB">
        <w:rPr>
          <w:rFonts w:ascii="Calibri" w:hAnsi="Calibri" w:cs="Calibri"/>
          <w:b/>
        </w:rPr>
        <w:t>Results.</w:t>
      </w:r>
      <w:r w:rsidRPr="008C45AB">
        <w:rPr>
          <w:rFonts w:ascii="Calibri" w:hAnsi="Calibri" w:cs="Calibri"/>
        </w:rPr>
        <w:t xml:space="preserve"> </w:t>
      </w:r>
      <w:r w:rsidR="004A1481">
        <w:rPr>
          <w:rFonts w:ascii="Calibri" w:hAnsi="Calibri" w:cs="Calibri"/>
        </w:rPr>
        <w:t>C</w:t>
      </w:r>
      <w:r w:rsidRPr="008C45AB">
        <w:rPr>
          <w:rFonts w:ascii="Calibri" w:hAnsi="Calibri" w:cs="Calibri"/>
        </w:rPr>
        <w:t xml:space="preserve">ompared to those who used 0-2 social media sites, participants who used 7-11 social media sites had substantially higher odds of having </w:t>
      </w:r>
      <w:r w:rsidR="004A1481">
        <w:rPr>
          <w:rFonts w:ascii="Calibri" w:hAnsi="Calibri" w:cs="Calibri"/>
        </w:rPr>
        <w:t xml:space="preserve">increased </w:t>
      </w:r>
      <w:r w:rsidR="001C15F5">
        <w:rPr>
          <w:rFonts w:ascii="Calibri" w:hAnsi="Calibri" w:cs="Calibri"/>
        </w:rPr>
        <w:t xml:space="preserve">levels </w:t>
      </w:r>
      <w:r w:rsidR="00443426">
        <w:rPr>
          <w:rFonts w:ascii="Calibri" w:hAnsi="Calibri" w:cs="Calibri"/>
        </w:rPr>
        <w:t xml:space="preserve">of both </w:t>
      </w:r>
      <w:r w:rsidRPr="008C45AB">
        <w:rPr>
          <w:rFonts w:ascii="Calibri" w:hAnsi="Calibri" w:cs="Calibri"/>
        </w:rPr>
        <w:t>depression (Adjusted Odds Ratio [AOR]=3.0, 95% CI=1.9-4.8) and anxiety</w:t>
      </w:r>
      <w:r w:rsidR="00443426">
        <w:rPr>
          <w:rFonts w:ascii="Calibri" w:hAnsi="Calibri" w:cs="Calibri"/>
        </w:rPr>
        <w:t xml:space="preserve"> symptoms</w:t>
      </w:r>
      <w:r w:rsidRPr="008C45AB">
        <w:rPr>
          <w:rFonts w:ascii="Calibri" w:hAnsi="Calibri" w:cs="Calibri"/>
        </w:rPr>
        <w:t xml:space="preserve"> (AOR=3.2, 95% CI=2.0-5.1). Associations were linear (</w:t>
      </w:r>
      <w:r w:rsidR="00C14DF6">
        <w:rPr>
          <w:rFonts w:ascii="Calibri" w:hAnsi="Calibri" w:cs="Calibri"/>
        </w:rPr>
        <w:t>p</w:t>
      </w:r>
      <w:r w:rsidRPr="008C45AB">
        <w:rPr>
          <w:rFonts w:ascii="Calibri" w:hAnsi="Calibri" w:cs="Calibri"/>
        </w:rPr>
        <w:t>&lt;.001</w:t>
      </w:r>
      <w:r w:rsidR="00326D3A" w:rsidRPr="008C45AB">
        <w:rPr>
          <w:rFonts w:ascii="Calibri" w:hAnsi="Calibri" w:cs="Calibri"/>
        </w:rPr>
        <w:t xml:space="preserve"> for all</w:t>
      </w:r>
      <w:r w:rsidRPr="008C45AB">
        <w:rPr>
          <w:rFonts w:ascii="Calibri" w:hAnsi="Calibri" w:cs="Calibri"/>
        </w:rPr>
        <w:t>)</w:t>
      </w:r>
      <w:r w:rsidR="00326D3A" w:rsidRPr="008C45AB">
        <w:rPr>
          <w:rFonts w:ascii="Calibri" w:hAnsi="Calibri" w:cs="Calibri"/>
        </w:rPr>
        <w:t xml:space="preserve"> and </w:t>
      </w:r>
      <w:r w:rsidRPr="008C45AB">
        <w:rPr>
          <w:rFonts w:ascii="Calibri" w:hAnsi="Calibri" w:cs="Calibri"/>
        </w:rPr>
        <w:t>robust to all sensitivity analyses.</w:t>
      </w:r>
    </w:p>
    <w:p w:rsidR="000727CB" w:rsidRPr="008C45AB" w:rsidRDefault="000727CB" w:rsidP="000727CB">
      <w:pPr>
        <w:spacing w:line="480" w:lineRule="auto"/>
        <w:rPr>
          <w:rFonts w:ascii="Calibri" w:hAnsi="Calibri" w:cs="Calibri"/>
        </w:rPr>
      </w:pPr>
    </w:p>
    <w:p w:rsidR="00113959" w:rsidRDefault="000727CB" w:rsidP="000727CB">
      <w:pPr>
        <w:spacing w:line="480" w:lineRule="auto"/>
        <w:rPr>
          <w:rFonts w:ascii="Calibri" w:hAnsi="Calibri" w:cs="Calibri"/>
        </w:rPr>
      </w:pPr>
      <w:r w:rsidRPr="008C45AB">
        <w:rPr>
          <w:rFonts w:ascii="Calibri" w:hAnsi="Calibri" w:cs="Calibri"/>
          <w:b/>
        </w:rPr>
        <w:t>Conclusions.</w:t>
      </w:r>
      <w:r w:rsidRPr="008C45AB">
        <w:rPr>
          <w:rFonts w:ascii="Calibri" w:hAnsi="Calibri" w:cs="Calibri"/>
        </w:rPr>
        <w:t xml:space="preserve"> </w:t>
      </w:r>
      <w:r w:rsidR="004A1481">
        <w:rPr>
          <w:rFonts w:ascii="Calibri" w:hAnsi="Calibri" w:cs="Calibri"/>
        </w:rPr>
        <w:t xml:space="preserve"> Use of multiple social media platforms </w:t>
      </w:r>
      <w:r w:rsidRPr="008C45AB">
        <w:rPr>
          <w:rFonts w:ascii="Calibri" w:hAnsi="Calibri" w:cs="Calibri"/>
        </w:rPr>
        <w:t xml:space="preserve">is strongly and independently associated with </w:t>
      </w:r>
      <w:r w:rsidR="00443426">
        <w:rPr>
          <w:rFonts w:ascii="Calibri" w:hAnsi="Calibri" w:cs="Calibri"/>
        </w:rPr>
        <w:t xml:space="preserve">symptoms of </w:t>
      </w:r>
      <w:r w:rsidRPr="008C45AB">
        <w:rPr>
          <w:rFonts w:ascii="Calibri" w:hAnsi="Calibri" w:cs="Calibri"/>
        </w:rPr>
        <w:t>depression and anxiety, ev</w:t>
      </w:r>
      <w:r w:rsidR="00673FD2">
        <w:rPr>
          <w:rFonts w:ascii="Calibri" w:hAnsi="Calibri" w:cs="Calibri"/>
        </w:rPr>
        <w:t>en when controlling for overall</w:t>
      </w:r>
      <w:r w:rsidR="00DF27D4">
        <w:rPr>
          <w:rFonts w:ascii="Calibri" w:hAnsi="Calibri" w:cs="Calibri"/>
        </w:rPr>
        <w:t xml:space="preserve"> </w:t>
      </w:r>
      <w:r w:rsidRPr="008C45AB">
        <w:rPr>
          <w:rFonts w:ascii="Calibri" w:hAnsi="Calibri" w:cs="Calibri"/>
        </w:rPr>
        <w:t>SMU. Future research should determin</w:t>
      </w:r>
      <w:r w:rsidR="00D32550">
        <w:rPr>
          <w:rFonts w:ascii="Calibri" w:hAnsi="Calibri" w:cs="Calibri"/>
        </w:rPr>
        <w:t>e</w:t>
      </w:r>
      <w:r w:rsidRPr="008C45AB">
        <w:rPr>
          <w:rFonts w:ascii="Calibri" w:hAnsi="Calibri" w:cs="Calibri"/>
        </w:rPr>
        <w:t xml:space="preserve"> directionality and reasons for these associations. In the meantime, associations are strong enough to caution people with depression and anxiety about this potential contributing factor.</w:t>
      </w:r>
    </w:p>
    <w:p w:rsidR="00113959" w:rsidRDefault="00113959" w:rsidP="000727CB">
      <w:pPr>
        <w:spacing w:line="480" w:lineRule="auto"/>
        <w:rPr>
          <w:rFonts w:ascii="Calibri" w:hAnsi="Calibri" w:cs="Calibri"/>
        </w:rPr>
      </w:pPr>
    </w:p>
    <w:p w:rsidR="003128C0" w:rsidRDefault="00113959" w:rsidP="009F7A37">
      <w:pPr>
        <w:spacing w:line="480" w:lineRule="auto"/>
        <w:rPr>
          <w:rFonts w:ascii="Calibri" w:hAnsi="Calibri" w:cs="Calibri"/>
        </w:rPr>
      </w:pPr>
      <w:r w:rsidRPr="00113959">
        <w:rPr>
          <w:rFonts w:ascii="Calibri" w:hAnsi="Calibri" w:cs="Calibri"/>
          <w:b/>
        </w:rPr>
        <w:t>Key Words.</w:t>
      </w:r>
      <w:r>
        <w:rPr>
          <w:rFonts w:ascii="Calibri" w:hAnsi="Calibri" w:cs="Calibri"/>
        </w:rPr>
        <w:t xml:space="preserve"> Depression, anxiety, social media, Facebook, Twitter, multitasking</w:t>
      </w:r>
    </w:p>
    <w:p w:rsidR="003128C0" w:rsidRDefault="003128C0" w:rsidP="009F7A37">
      <w:pPr>
        <w:spacing w:line="480" w:lineRule="auto"/>
        <w:rPr>
          <w:rFonts w:ascii="Calibri" w:hAnsi="Calibri" w:cs="Calibri"/>
        </w:rPr>
      </w:pPr>
    </w:p>
    <w:p w:rsidR="00A068E9" w:rsidRDefault="003128C0" w:rsidP="009F7A37">
      <w:pPr>
        <w:spacing w:line="480" w:lineRule="auto"/>
        <w:rPr>
          <w:rFonts w:asciiTheme="minorHAnsi" w:hAnsiTheme="minorHAnsi" w:cstheme="minorHAnsi"/>
        </w:rPr>
      </w:pPr>
      <w:r w:rsidRPr="003128C0">
        <w:rPr>
          <w:rFonts w:asciiTheme="minorHAnsi" w:hAnsiTheme="minorHAnsi" w:cstheme="minorHAnsi"/>
          <w:b/>
        </w:rPr>
        <w:t>Funding</w:t>
      </w:r>
      <w:r>
        <w:rPr>
          <w:rFonts w:asciiTheme="minorHAnsi" w:hAnsiTheme="minorHAnsi" w:cstheme="minorHAnsi"/>
        </w:rPr>
        <w:t>.</w:t>
      </w:r>
      <w:r w:rsidRPr="003128C0">
        <w:rPr>
          <w:rFonts w:asciiTheme="minorHAnsi" w:hAnsiTheme="minorHAnsi" w:cstheme="minorHAnsi"/>
        </w:rPr>
        <w:t xml:space="preserve"> This work was supported by the National Institutes of Health </w:t>
      </w:r>
      <w:r>
        <w:rPr>
          <w:rFonts w:asciiTheme="minorHAnsi" w:hAnsiTheme="minorHAnsi" w:cstheme="minorHAnsi"/>
        </w:rPr>
        <w:t>[grant number R01-CA140150].</w:t>
      </w:r>
    </w:p>
    <w:p w:rsidR="00A068E9" w:rsidRDefault="00A068E9" w:rsidP="009F7A37">
      <w:pPr>
        <w:spacing w:line="480" w:lineRule="auto"/>
        <w:rPr>
          <w:rFonts w:asciiTheme="minorHAnsi" w:hAnsiTheme="minorHAnsi" w:cstheme="minorHAnsi"/>
        </w:rPr>
      </w:pPr>
    </w:p>
    <w:p w:rsidR="0069662F" w:rsidRPr="009F7A37" w:rsidRDefault="0069662F" w:rsidP="009F7A37">
      <w:pPr>
        <w:spacing w:line="480" w:lineRule="auto"/>
        <w:rPr>
          <w:rFonts w:ascii="Calibri" w:hAnsi="Calibri" w:cs="Calibri"/>
        </w:rPr>
      </w:pPr>
      <w:r w:rsidRPr="008C45AB">
        <w:rPr>
          <w:rFonts w:ascii="Calibri" w:hAnsi="Calibri" w:cs="Arial"/>
        </w:rPr>
        <w:br w:type="page"/>
      </w:r>
      <w:r w:rsidR="001F44D6" w:rsidRPr="001F44D6">
        <w:rPr>
          <w:rFonts w:ascii="Calibri" w:hAnsi="Calibri" w:cs="Arial"/>
          <w:b/>
        </w:rPr>
        <w:lastRenderedPageBreak/>
        <w:t xml:space="preserve">1. </w:t>
      </w:r>
      <w:r w:rsidRPr="001F44D6">
        <w:rPr>
          <w:rFonts w:ascii="Calibri" w:hAnsi="Calibri" w:cs="Arial"/>
          <w:b/>
          <w:bCs/>
        </w:rPr>
        <w:t>INTRODUCTION</w:t>
      </w:r>
    </w:p>
    <w:p w:rsidR="0069662F" w:rsidRPr="008C45AB" w:rsidRDefault="0069662F" w:rsidP="0069662F">
      <w:pPr>
        <w:spacing w:line="480" w:lineRule="auto"/>
        <w:rPr>
          <w:rFonts w:ascii="Calibri" w:hAnsi="Calibri" w:cs="Arial"/>
        </w:rPr>
      </w:pPr>
    </w:p>
    <w:p w:rsidR="00D90FC8" w:rsidRPr="008C45AB" w:rsidRDefault="00D90FC8" w:rsidP="0069662F">
      <w:pPr>
        <w:spacing w:line="480" w:lineRule="auto"/>
        <w:rPr>
          <w:rFonts w:ascii="Calibri" w:hAnsi="Calibri" w:cs="Arial"/>
        </w:rPr>
      </w:pPr>
      <w:r w:rsidRPr="008C45AB">
        <w:rPr>
          <w:rFonts w:ascii="Calibri" w:hAnsi="Calibri" w:cs="Arial"/>
        </w:rPr>
        <w:t>Depression and anxiety are</w:t>
      </w:r>
      <w:r w:rsidR="0069662F" w:rsidRPr="008C45AB">
        <w:rPr>
          <w:rFonts w:ascii="Calibri" w:hAnsi="Calibri" w:cs="Arial"/>
        </w:rPr>
        <w:t xml:space="preserve"> associated with </w:t>
      </w:r>
      <w:r w:rsidRPr="008C45AB">
        <w:rPr>
          <w:rFonts w:ascii="Calibri" w:hAnsi="Calibri" w:cs="Arial"/>
        </w:rPr>
        <w:t xml:space="preserve">substantially </w:t>
      </w:r>
      <w:r w:rsidR="0069662F" w:rsidRPr="008C45AB">
        <w:rPr>
          <w:rFonts w:ascii="Calibri" w:hAnsi="Calibri" w:cs="Arial"/>
        </w:rPr>
        <w:t>increased morbidity and mortality</w:t>
      </w:r>
      <w:r w:rsidR="0012290A">
        <w:rPr>
          <w:rFonts w:ascii="Calibri" w:hAnsi="Calibri" w:cs="Arial"/>
        </w:rPr>
        <w:t xml:space="preserve"> </w:t>
      </w:r>
      <w:r w:rsidR="009E3AD7">
        <w:rPr>
          <w:rFonts w:ascii="Calibri" w:hAnsi="Calibri" w:cs="Arial"/>
        </w:rPr>
        <w:t xml:space="preserve"> </w:t>
      </w:r>
      <w:r w:rsidR="0053656A" w:rsidRPr="008C45AB">
        <w:rPr>
          <w:rFonts w:ascii="Calibri" w:hAnsi="Calibri" w:cs="Arial"/>
        </w:rPr>
        <w:fldChar w:fldCharType="begin" w:fldLock="1"/>
      </w:r>
      <w:r w:rsidR="001F2834">
        <w:rPr>
          <w:rFonts w:ascii="Calibri" w:hAnsi="Calibri" w:cs="Arial"/>
        </w:rPr>
        <w:instrText>ADDIN CSL_CITATION { "citationItems" : [ { "id" : "ITEM-1", "itemData" : { "DOI" : "10.1371/journal.pmed.0030442", "ISSN" : "1549-1676", "PMID" : "17132052", "abstract" : "BACKGROUND: Global and regional projections of mortality and burden of disease by cause for the years 2000, 2010, and 2030 were published by Murray and Lopez in 1996 as part of the Global Burden of Disease project. These projections, which are based on 1990 data, continue to be widely quoted, although they are substantially outdated; in particular, they substantially underestimated the spread of HIV/AIDS. To address the widespread demand for information on likely future trends in global health, and thereby to support international health policy and priority setting, we have prepared new projections of mortality and burden of disease to 2030 starting from World Health Organization estimates of mortality and burden of disease for 2002. This paper describes the methods, assumptions, input data, and results. METHODS AND FINDINGS: Relatively simple models were used to project future health trends under three scenarios-baseline, optimistic, and pessimistic-based largely on projections of economic and social development, and using the historically observed relationships of these with cause-specific mortality rates. Data inputs have been updated to take account of the greater availability of death registration data and the latest available projections for HIV/AIDS, income, human capital, tobacco smoking, body mass index, and other inputs. In all three scenarios there is a dramatic shift in the distribution of deaths from younger to older ages and from communicable, maternal, perinatal, and nutritional causes to noncommunicable disease causes. The risk of death for children younger than 5 y is projected to fall by nearly 50% in the baseline scenario between 2002 and 2030. The proportion of deaths due to noncommunicable disease is projected to rise from 59% in 2002 to 69% in 2030. Global HIV/AIDS deaths are projected to rise from 2.8 million in 2002 to 6.5 million in 2030 under the baseline scenario, which assumes coverage with antiretroviral drugs reaches 80% by 2012. Under the optimistic scenario, which also assumes increased prevention activity, HIV/AIDS deaths are projected to drop to 3.7 million in 2030. Total tobacco-attributable deaths are projected to rise from 5.4 million in 2005 to 6.4 million in 2015 and 8.3 million in 2030 under our baseline scenario. Tobacco is projected to kill 50% more people in 2015 than HIV/AIDS, and to be responsible for 10% of all deaths globally. The three leading causes of burden of disease in 2030 are projected to include HI\u2026", "author" : [ { "dropping-particle" : "", "family" : "Mathers", "given" : "C D", "non-dropping-particle" : "", "parse-names" : false, "suffix" : "" }, { "dropping-particle" : "", "family" : "Loncar", "given" : "D", "non-dropping-particle" : "", "parse-names" : false, "suffix" : "" } ], "container-title" : "PLoS medicine", "id" : "ITEM-1", "issue" : "11", "issued" : { "date-parts" : [ [ "2006", "11" ] ] }, "page" : "e442", "title" : "Projections of global mortality and burden of disease from 2002 to 2030", "type" : "article-journal", "volume" : "3" }, "uris" : [ "http://www.mendeley.com/documents/?uuid=d8a82a86-fc39-44cc-a53c-ae270646b241" ] }, { "id" : "ITEM-2", "itemData" : { "DOI" : "10.1002/da.20634", "ISSN" : "1520-6394", "PMID" : "20037917", "abstract" : "BACKGROUND: Although depression appears to decrease in late life, this could be due to misattribution of depressive symptoms to physical disorders that increase in late life. METHODS: We investigated this issue by studying age differences in co-morbidity of DSM-IV major depressive episodes (MDE) with chronic physical conditions in the WHO World Mental Health (WMH) surveys, a series of community epidemiological surveys of respondents in 10 developed countries (n=52,485) and 8 developing countries (n=37,265). MDE and other mental disorders were assessed with the Composite International Diagnostic Interview (CIDI). Organic exclusion rules were not used to avoid inappropriate exclusion of cases with physical co-morbidity. Physical conditions were assessed with a standard chronic conditions checklist. RESULTS: Twelve-month DSM-IV/CIDI MDE was significantly less prevalent among respondents ages 65+ than younger respondents in developed but not developing countries. Prevalence of co-morbid mental disorders generally either decreased or remained stable with age, while co-morbidity of MDE with mental disorders generally increased with age. Prevalence of physical conditions, in comparison, generally increased with age, while co-morbidity of MDE with physical conditions generally decreased with age. Depression treatment was lowest among the elderly in developed and developing countries. CONCLUSIONS: The weakening associations between MDE and physical conditions with increasing age argue against the suggestion that the low estimated prevalence of MDE among the elderly is due to increased confounding with physical disorders. Future study is needed to investigate processes that might lead to a decreasing impact of physical illness on depression among the elderly.", "author" : [ { "dropping-particle" : "", "family" : "Kessler", "given" : "R C", "non-dropping-particle" : "", "parse-names" : false, "suffix" : "" }, { "dropping-particle" : "", "family" : "Birnbaum", "given" : "H G", "non-dropping-particle" : "", "parse-names" : false, "suffix" : "" }, { "dropping-particle" : "", "family" : "Shahly", "given" : "V", "non-dropping-particle" : "", "parse-names" : false, "suffix" : "" }, { "dropping-particle" : "", "family" : "Bromet", "given" : "E", "non-dropping-particle" : "", "parse-names" : false, "suffix" : "" }, { "dropping-particle" : "", "family" : "Hwang", "given" : "I", "non-dropping-particle" : "", "parse-names" : false, "suffix" : "" }, { "dropping-particle" : "", "family" : "McLaughlin", "given" : "K A", "non-dropping-particle" : "", "parse-names" : false, "suffix" : "" }, { "dropping-particle" : "", "family" : "Sampson", "given" : "N", "non-dropping-particle" : "", "parse-names" : false, "suffix" : "" }, { "dropping-particle" : "", "family" : "Andrade", "given" : "L H", "non-dropping-particle" : "", "parse-names" : false, "suffix" : "" }, { "dropping-particle" : "", "family" : "Girolamo", "given" : "G", "non-dropping-particle" : "de", "parse-names" : false, "suffix" : "" }, { "dropping-particle" : "", "family" : "Demyttenaere", "given" : "K", "non-dropping-particle" : "", "parse-names" : false, "suffix" : "" }, { "dropping-particle" : "", "family" : "Haro", "given" : "J M", "non-dropping-particle" : "", "parse-names" : false, "suffix" : "" }, { "dropping-particle" : "", "family" : "Karam", "given" : "A N", "non-dropping-particle" : "", "parse-names" : false, "suffix" : "" }, { "dropping-particle" : "", "family" : "Kostyuchenko", "given" : "S", "non-dropping-particle" : "", "parse-names" : false, "suffix" : "" }, { "dropping-particle" : "", "family" : "Kovess", "given" : "V", "non-dropping-particle" : "", "parse-names" : false, "suffix" : "" }, { "dropping-particle" : "", "family" : "Lara", "given" : "C", "non-dropping-particle" : "", "parse-names" : false, "suffix" : "" }, { "dropping-particle" : "", "family" : "Levinson", "given" : "D", "non-dropping-particle" : "", "parse-names" : false, "suffix" : "" }, { "dropping-particle" : "", "family" : "Matschinger", "given" : "H", "non-dropping-particle" : "", "parse-names" : false, "suffix" : "" }, { "dropping-particle" : "", "family" : "Nakane", "given" : "Y", "non-dropping-particle" : "", "parse-names" : false, "suffix" : "" }, { "dropping-particle" : "", "family" : "Browne", "given" : "M O", "non-dropping-particle" : "", "parse-names" : false, "suffix" : "" }, { "dropping-particle" : "", "family" : "Ormel", "given" : "J", "non-dropping-particle" : "", "parse-names" : false, "suffix" : "" }, { "dropping-particle" : "", "family" : "Posada-Villa", "given" : "J", "non-dropping-particle" : "", "parse-names" : false, "suffix" : "" }, { "dropping-particle" : "", "family" : "Sagar", "given" : "R", "non-dropping-particle" : "", "parse-names" : false, "suffix" : "" }, { "dropping-particle" : "", "family" : "Stein", "given" : "D J", "non-dropping-particle" : "", "parse-names" : false, "suffix" : "" } ], "container-title" : "Depression and anxiety", "id" : "ITEM-2", "issue" : "4", "issued" : { "date-parts" : [ [ "2010", "4" ] ] }, "page" : "351-64", "title" : "Age differences in the prevalence and co-morbidity of DSM-IV major depressive episodes: Results from the WHO World Mental Health Survey Initiative.", "type" : "article-journal", "volume" : "27" }, "uris" : [ "http://www.mendeley.com/documents/?uuid=f8935aaf-31cf-42ef-8bb8-4c1b9d3fd591" ] } ], "mendeley" : { "formattedCitation" : "(Kessler et al., 2010; Mathers &amp; Loncar, 2006)", "plainTextFormattedCitation" : "(Kessler et al., 2010; Mathers &amp; Loncar, 2006)", "previouslyFormattedCitation" : "&lt;sup&gt;1,2&lt;/sup&gt;" }, "properties" : { "noteIndex" : 0 }, "schema" : "https://github.com/citation-style-language/schema/raw/master/csl-citation.json" }</w:instrText>
      </w:r>
      <w:r w:rsidR="0053656A" w:rsidRPr="008C45AB">
        <w:rPr>
          <w:rFonts w:ascii="Calibri" w:hAnsi="Calibri" w:cs="Arial"/>
        </w:rPr>
        <w:fldChar w:fldCharType="separate"/>
      </w:r>
      <w:r w:rsidR="001F2834" w:rsidRPr="001F2834">
        <w:rPr>
          <w:rFonts w:ascii="Calibri" w:hAnsi="Calibri" w:cs="Arial"/>
          <w:noProof/>
        </w:rPr>
        <w:t>(Kessler et al., 2010; Mathers &amp; Loncar, 2006)</w:t>
      </w:r>
      <w:r w:rsidR="0053656A" w:rsidRPr="008C45AB">
        <w:rPr>
          <w:rFonts w:ascii="Calibri" w:hAnsi="Calibri" w:cs="Arial"/>
        </w:rPr>
        <w:fldChar w:fldCharType="end"/>
      </w:r>
      <w:r w:rsidR="0012290A">
        <w:rPr>
          <w:rFonts w:ascii="Calibri" w:hAnsi="Calibri" w:cs="Arial"/>
        </w:rPr>
        <w:t>.</w:t>
      </w:r>
      <w:r w:rsidRPr="008C45AB">
        <w:rPr>
          <w:rFonts w:ascii="Calibri" w:hAnsi="Calibri" w:cs="Arial"/>
        </w:rPr>
        <w:t xml:space="preserve"> Additionally, </w:t>
      </w:r>
      <w:r w:rsidR="007B60F0" w:rsidRPr="008C45AB">
        <w:rPr>
          <w:rFonts w:ascii="Calibri" w:hAnsi="Calibri" w:cs="Arial"/>
        </w:rPr>
        <w:t xml:space="preserve">poor </w:t>
      </w:r>
      <w:r w:rsidR="00D07B13">
        <w:rPr>
          <w:rFonts w:ascii="Calibri" w:hAnsi="Calibri" w:cs="Arial"/>
        </w:rPr>
        <w:t xml:space="preserve">health </w:t>
      </w:r>
      <w:r w:rsidR="007B60F0" w:rsidRPr="008C45AB">
        <w:rPr>
          <w:rFonts w:ascii="Calibri" w:hAnsi="Calibri" w:cs="Arial"/>
        </w:rPr>
        <w:t xml:space="preserve">outcomes related to </w:t>
      </w:r>
      <w:r w:rsidRPr="008C45AB">
        <w:rPr>
          <w:rFonts w:ascii="Calibri" w:hAnsi="Calibri" w:cs="Arial"/>
        </w:rPr>
        <w:t xml:space="preserve">these </w:t>
      </w:r>
      <w:r w:rsidR="00391B61">
        <w:rPr>
          <w:rFonts w:ascii="Calibri" w:hAnsi="Calibri" w:cs="Arial"/>
        </w:rPr>
        <w:t xml:space="preserve">psychiatric </w:t>
      </w:r>
      <w:r w:rsidR="00D65302">
        <w:rPr>
          <w:rFonts w:ascii="Calibri" w:hAnsi="Calibri" w:cs="Arial"/>
        </w:rPr>
        <w:t>disorders</w:t>
      </w:r>
      <w:r w:rsidR="009E150B">
        <w:rPr>
          <w:rFonts w:ascii="Calibri" w:hAnsi="Calibri" w:cs="Arial"/>
        </w:rPr>
        <w:t xml:space="preserve"> </w:t>
      </w:r>
      <w:r w:rsidR="007B60F0" w:rsidRPr="008C45AB">
        <w:rPr>
          <w:rFonts w:ascii="Calibri" w:hAnsi="Calibri" w:cs="Arial"/>
        </w:rPr>
        <w:t>are</w:t>
      </w:r>
      <w:r w:rsidRPr="008C45AB">
        <w:rPr>
          <w:rFonts w:ascii="Calibri" w:hAnsi="Calibri" w:cs="Arial"/>
        </w:rPr>
        <w:t xml:space="preserve"> increasing. For example, suicide in the U.S. is now a</w:t>
      </w:r>
      <w:r w:rsidR="007B60F0" w:rsidRPr="008C45AB">
        <w:rPr>
          <w:rFonts w:ascii="Calibri" w:hAnsi="Calibri" w:cs="Arial"/>
        </w:rPr>
        <w:t>t its highest level in 30 years</w:t>
      </w:r>
      <w:r w:rsidR="0012290A">
        <w:rPr>
          <w:rFonts w:ascii="Calibri" w:hAnsi="Calibri" w:cs="Arial"/>
        </w:rPr>
        <w:t xml:space="preserve"> </w:t>
      </w:r>
      <w:r w:rsidR="0053656A" w:rsidRPr="008C45AB">
        <w:rPr>
          <w:rFonts w:ascii="Calibri" w:hAnsi="Calibri" w:cs="Arial"/>
        </w:rPr>
        <w:fldChar w:fldCharType="begin" w:fldLock="1"/>
      </w:r>
      <w:r w:rsidR="001F2834">
        <w:rPr>
          <w:rFonts w:ascii="Calibri" w:hAnsi="Calibri" w:cs="Arial"/>
        </w:rPr>
        <w:instrText>ADDIN CSL_CITATION { "citationItems" : [ { "id" : "ITEM-1", "itemData" : { "author" : [ { "dropping-particle" : "", "family" : "Curtin", "given" : "S. C.", "non-dropping-particle" : "", "parse-names" : false, "suffix" : "" }, { "dropping-particle" : "", "family" : "Warner", "given" : "M.", "non-dropping-particle" : "", "parse-names" : false, "suffix" : "" }, { "dropping-particle" : "", "family" : "Hedegaard", "given" : "H.", "non-dropping-particle" : "", "parse-names" : false, "suffix" : "" } ], "id" : "ITEM-1", "issued" : { "date-parts" : [ [ "2016" ] ] }, "publisher-place" : "Atlanta, GA", "title" : "Increase in Suicide in the United States, 1999\u20132014", "type" : "report" }, "uris" : [ "http://www.mendeley.com/documents/?uuid=fbcf2ee4-f6c9-4f87-857d-76020b1e0ae9", "http://www.mendeley.com/documents/?uuid=29816bd7-0f1e-4087-9eb4-c54b6a14f357" ] } ], "mendeley" : { "formattedCitation" : "(Curtin, Warner, &amp; Hedegaard, 2016)", "plainTextFormattedCitation" : "(Curtin, Warner, &amp; Hedegaard, 2016)", "previouslyFormattedCitation" : "&lt;sup&gt;3&lt;/sup&gt;" }, "properties" : { "noteIndex" : 0 }, "schema" : "https://github.com/citation-style-language/schema/raw/master/csl-citation.json" }</w:instrText>
      </w:r>
      <w:r w:rsidR="0053656A" w:rsidRPr="008C45AB">
        <w:rPr>
          <w:rFonts w:ascii="Calibri" w:hAnsi="Calibri" w:cs="Arial"/>
        </w:rPr>
        <w:fldChar w:fldCharType="separate"/>
      </w:r>
      <w:r w:rsidR="001F2834" w:rsidRPr="001F2834">
        <w:rPr>
          <w:rFonts w:ascii="Calibri" w:hAnsi="Calibri" w:cs="Arial"/>
          <w:noProof/>
        </w:rPr>
        <w:t>(Curtin, Warner, &amp; Hedegaard, 2016)</w:t>
      </w:r>
      <w:r w:rsidR="0053656A" w:rsidRPr="008C45AB">
        <w:rPr>
          <w:rFonts w:ascii="Calibri" w:hAnsi="Calibri" w:cs="Arial"/>
        </w:rPr>
        <w:fldChar w:fldCharType="end"/>
      </w:r>
      <w:r w:rsidR="0012290A">
        <w:rPr>
          <w:rFonts w:ascii="Calibri" w:hAnsi="Calibri" w:cs="Arial"/>
        </w:rPr>
        <w:t>.</w:t>
      </w:r>
      <w:r w:rsidR="007B60F0" w:rsidRPr="008C45AB">
        <w:rPr>
          <w:rFonts w:ascii="Calibri" w:hAnsi="Calibri" w:cs="Arial"/>
        </w:rPr>
        <w:t xml:space="preserve"> Furthermore, t</w:t>
      </w:r>
      <w:r w:rsidRPr="008C45AB">
        <w:rPr>
          <w:rFonts w:ascii="Calibri" w:hAnsi="Calibri" w:cs="Arial"/>
        </w:rPr>
        <w:t xml:space="preserve">he World Health Organization estimates that depression is </w:t>
      </w:r>
      <w:r w:rsidR="00EE5ACA" w:rsidRPr="008C45AB">
        <w:rPr>
          <w:rFonts w:ascii="Calibri" w:hAnsi="Calibri" w:cs="Arial"/>
        </w:rPr>
        <w:t>now the second leading cause of worldwide disability adjusted life years</w:t>
      </w:r>
      <w:r w:rsidR="0012290A">
        <w:rPr>
          <w:rFonts w:ascii="Calibri" w:hAnsi="Calibri" w:cs="Arial"/>
        </w:rPr>
        <w:t xml:space="preserve"> </w:t>
      </w:r>
      <w:r w:rsidR="0053656A" w:rsidRPr="008C45AB">
        <w:rPr>
          <w:rFonts w:ascii="Calibri" w:hAnsi="Calibri" w:cs="Arial"/>
        </w:rPr>
        <w:fldChar w:fldCharType="begin" w:fldLock="1"/>
      </w:r>
      <w:r w:rsidR="001F2834">
        <w:rPr>
          <w:rFonts w:ascii="Calibri" w:hAnsi="Calibri" w:cs="Arial"/>
        </w:rPr>
        <w:instrText>ADDIN CSL_CITATION { "citationItems" : [ { "id" : "ITEM-1", "itemData" : { "author" : [ { "dropping-particle" : "", "family" : "World Health Organization", "given" : "", "non-dropping-particle" : "", "parse-names" : false, "suffix" : "" } ], "id" : "ITEM-1", "issued" : { "date-parts" : [ [ "2016" ] ] }, "publisher-place" : "Geneva, Switzerland", "title" : "Depression Fact Sheet", "type" : "report" }, "uris" : [ "http://www.mendeley.com/documents/?uuid=759961a9-1a88-4be5-bdb6-9544b91f7c0f", "http://www.mendeley.com/documents/?uuid=ce22bd26-9bfc-4abc-b4c5-c3e720586495" ] } ], "mendeley" : { "formattedCitation" : "(World Health Organization, 2016)", "plainTextFormattedCitation" : "(World Health Organization, 2016)", "previouslyFormattedCitation" : "&lt;sup&gt;4&lt;/sup&gt;" }, "properties" : { "noteIndex" : 0 }, "schema" : "https://github.com/citation-style-language/schema/raw/master/csl-citation.json" }</w:instrText>
      </w:r>
      <w:r w:rsidR="0053656A" w:rsidRPr="008C45AB">
        <w:rPr>
          <w:rFonts w:ascii="Calibri" w:hAnsi="Calibri" w:cs="Arial"/>
        </w:rPr>
        <w:fldChar w:fldCharType="separate"/>
      </w:r>
      <w:r w:rsidR="001F2834" w:rsidRPr="001F2834">
        <w:rPr>
          <w:rFonts w:ascii="Calibri" w:hAnsi="Calibri" w:cs="Arial"/>
          <w:noProof/>
        </w:rPr>
        <w:t>(World Health Organization, 2016)</w:t>
      </w:r>
      <w:r w:rsidR="0053656A" w:rsidRPr="008C45AB">
        <w:rPr>
          <w:rFonts w:ascii="Calibri" w:hAnsi="Calibri" w:cs="Arial"/>
        </w:rPr>
        <w:fldChar w:fldCharType="end"/>
      </w:r>
      <w:r w:rsidR="0012290A">
        <w:rPr>
          <w:rFonts w:ascii="Calibri" w:hAnsi="Calibri" w:cs="Arial"/>
        </w:rPr>
        <w:t>.</w:t>
      </w:r>
      <w:r w:rsidR="00EE5ACA" w:rsidRPr="008C45AB">
        <w:rPr>
          <w:rFonts w:ascii="Calibri" w:hAnsi="Calibri" w:cs="Arial"/>
        </w:rPr>
        <w:t xml:space="preserve"> One reason for being associated with such substantial overall morbidity is that depression and anxiety affect many people in young adulthood,</w:t>
      </w:r>
      <w:r w:rsidR="004A4002" w:rsidRPr="008C45AB">
        <w:rPr>
          <w:rFonts w:ascii="Calibri" w:hAnsi="Calibri" w:cs="Arial"/>
        </w:rPr>
        <w:t xml:space="preserve"> at a</w:t>
      </w:r>
      <w:r w:rsidR="00EE5ACA" w:rsidRPr="008C45AB">
        <w:rPr>
          <w:rFonts w:ascii="Calibri" w:hAnsi="Calibri" w:cs="Arial"/>
        </w:rPr>
        <w:t xml:space="preserve"> prime </w:t>
      </w:r>
      <w:r w:rsidR="004A4002" w:rsidRPr="008C45AB">
        <w:rPr>
          <w:rFonts w:ascii="Calibri" w:hAnsi="Calibri" w:cs="Arial"/>
        </w:rPr>
        <w:t>stage regarding productivity</w:t>
      </w:r>
      <w:r w:rsidR="0012290A">
        <w:rPr>
          <w:rFonts w:ascii="Calibri" w:hAnsi="Calibri" w:cs="Arial"/>
        </w:rPr>
        <w:t xml:space="preserve"> </w:t>
      </w:r>
      <w:r w:rsidR="0053656A" w:rsidRPr="008C45AB">
        <w:rPr>
          <w:rFonts w:ascii="Calibri" w:hAnsi="Calibri" w:cs="Arial"/>
        </w:rPr>
        <w:fldChar w:fldCharType="begin" w:fldLock="1"/>
      </w:r>
      <w:r w:rsidR="001F2834">
        <w:rPr>
          <w:rFonts w:ascii="Calibri" w:hAnsi="Calibri" w:cs="Arial"/>
        </w:rPr>
        <w:instrText>ADDIN CSL_CITATION { "citationItems" : [ { "id" : "ITEM-1", "itemData" : { "author" : [ { "dropping-particle" : "", "family" : "World Health Organization", "given" : "", "non-dropping-particle" : "", "parse-names" : false, "suffix" : "" } ], "id" : "ITEM-1", "issued" : { "date-parts" : [ [ "2016" ] ] }, "publisher-place" : "Geneva, Switzerland", "title" : "Depression Fact Sheet", "type" : "report" }, "uris" : [ "http://www.mendeley.com/documents/?uuid=759961a9-1a88-4be5-bdb6-9544b91f7c0f" ] } ], "mendeley" : { "formattedCitation" : "(World Health Organization, 2016)", "plainTextFormattedCitation" : "(World Health Organization, 2016)", "previouslyFormattedCitation" : "&lt;sup&gt;4&lt;/sup&gt;" }, "properties" : { "noteIndex" : 0 }, "schema" : "https://github.com/citation-style-language/schema/raw/master/csl-citation.json" }</w:instrText>
      </w:r>
      <w:r w:rsidR="0053656A" w:rsidRPr="008C45AB">
        <w:rPr>
          <w:rFonts w:ascii="Calibri" w:hAnsi="Calibri" w:cs="Arial"/>
        </w:rPr>
        <w:fldChar w:fldCharType="separate"/>
      </w:r>
      <w:r w:rsidR="001F2834" w:rsidRPr="001F2834">
        <w:rPr>
          <w:rFonts w:ascii="Calibri" w:hAnsi="Calibri" w:cs="Arial"/>
          <w:noProof/>
        </w:rPr>
        <w:t>(World Health Organization, 2016)</w:t>
      </w:r>
      <w:r w:rsidR="0053656A" w:rsidRPr="008C45AB">
        <w:rPr>
          <w:rFonts w:ascii="Calibri" w:hAnsi="Calibri" w:cs="Arial"/>
        </w:rPr>
        <w:fldChar w:fldCharType="end"/>
      </w:r>
      <w:r w:rsidR="0012290A">
        <w:rPr>
          <w:rFonts w:ascii="Calibri" w:hAnsi="Calibri" w:cs="Arial"/>
        </w:rPr>
        <w:t>.</w:t>
      </w:r>
    </w:p>
    <w:p w:rsidR="00D90FC8" w:rsidRPr="008C45AB" w:rsidRDefault="00D90FC8" w:rsidP="0069662F">
      <w:pPr>
        <w:spacing w:line="480" w:lineRule="auto"/>
        <w:rPr>
          <w:rFonts w:ascii="Calibri" w:hAnsi="Calibri" w:cs="Arial"/>
        </w:rPr>
      </w:pPr>
    </w:p>
    <w:p w:rsidR="0069662F" w:rsidRPr="008C45AB" w:rsidRDefault="004A4002" w:rsidP="004A4002">
      <w:pPr>
        <w:spacing w:line="480" w:lineRule="auto"/>
        <w:rPr>
          <w:rFonts w:ascii="Calibri" w:hAnsi="Calibri" w:cs="Calibri"/>
        </w:rPr>
      </w:pPr>
      <w:r w:rsidRPr="008C45AB">
        <w:rPr>
          <w:rFonts w:ascii="Calibri" w:eastAsia="Calibri" w:hAnsi="Calibri" w:cs="Arial"/>
          <w:bCs/>
          <w:color w:val="000000"/>
        </w:rPr>
        <w:t>Young adults are also increasingly engaged with social media</w:t>
      </w:r>
      <w:r w:rsidRPr="008C45AB">
        <w:rPr>
          <w:rFonts w:ascii="Calibri" w:hAnsi="Calibri" w:cs="Calibri"/>
        </w:rPr>
        <w:t>. About</w:t>
      </w:r>
      <w:r w:rsidR="00EE5ACA" w:rsidRPr="008C45AB">
        <w:rPr>
          <w:rFonts w:ascii="Calibri" w:hAnsi="Calibri" w:cs="Calibri"/>
        </w:rPr>
        <w:t xml:space="preserve"> 90% of young adults in the U.S. use social media, and the majority of users visit these sites at least</w:t>
      </w:r>
      <w:r w:rsidR="00073F49">
        <w:rPr>
          <w:rFonts w:ascii="Calibri" w:hAnsi="Calibri" w:cs="Calibri"/>
        </w:rPr>
        <w:t xml:space="preserve"> once a day </w:t>
      </w:r>
      <w:r w:rsidR="0053656A" w:rsidRPr="008C45AB">
        <w:rPr>
          <w:rFonts w:ascii="Calibri" w:hAnsi="Calibri" w:cs="Calibri"/>
        </w:rPr>
        <w:fldChar w:fldCharType="begin" w:fldLock="1"/>
      </w:r>
      <w:r w:rsidR="001F2834">
        <w:rPr>
          <w:rFonts w:ascii="Calibri" w:hAnsi="Calibri" w:cs="Calibri"/>
        </w:rPr>
        <w:instrText>ADDIN CSL_CITATION { "citationItems" : [ { "id" : "ITEM-1", "itemData" : { "URL" : "http://www.webcitation.org/6ajEhvS11", "accessed" : { "date-parts" : [ [ "2016", "6", "8" ] ] }, "author" : [ { "dropping-particle" : "", "family" : "Pew Research Center", "given" : "", "non-dropping-particle" : "", "parse-names" : false, "suffix" : "" } ], "id" : "ITEM-1", "issued" : { "date-parts" : [ [ "2015" ] ] }, "publisher-place" : "Washington DC", "title" : "Social media update 2015", "type" : "webpage" }, "uris" : [ "http://www.mendeley.com/documents/?uuid=df0f6d13-93d3-4769-83ea-683475cc9ef4" ] } ], "mendeley" : { "formattedCitation" : "(Pew Research Center, 2015)", "plainTextFormattedCitation" : "(Pew Research Center, 2015)", "previouslyFormattedCitation" : "&lt;sup&gt;5&lt;/sup&gt;" }, "properties" : { "noteIndex" : 0 }, "schema" : "https://github.com/citation-style-language/schema/raw/master/csl-citation.json" }</w:instrText>
      </w:r>
      <w:r w:rsidR="0053656A" w:rsidRPr="008C45AB">
        <w:rPr>
          <w:rFonts w:ascii="Calibri" w:hAnsi="Calibri" w:cs="Calibri"/>
        </w:rPr>
        <w:fldChar w:fldCharType="separate"/>
      </w:r>
      <w:r w:rsidR="001F2834" w:rsidRPr="001F2834">
        <w:rPr>
          <w:rFonts w:ascii="Calibri" w:hAnsi="Calibri" w:cs="Calibri"/>
          <w:noProof/>
        </w:rPr>
        <w:t>(Pew Research Center, 2015)</w:t>
      </w:r>
      <w:r w:rsidR="0053656A" w:rsidRPr="008C45AB">
        <w:rPr>
          <w:rFonts w:ascii="Calibri" w:hAnsi="Calibri" w:cs="Calibri"/>
        </w:rPr>
        <w:fldChar w:fldCharType="end"/>
      </w:r>
      <w:r w:rsidR="00073F49">
        <w:rPr>
          <w:rFonts w:ascii="Calibri" w:hAnsi="Calibri" w:cs="Calibri"/>
        </w:rPr>
        <w:t xml:space="preserve">. </w:t>
      </w:r>
      <w:r w:rsidRPr="008C45AB">
        <w:rPr>
          <w:rFonts w:ascii="Calibri" w:hAnsi="Calibri" w:cs="Calibri"/>
        </w:rPr>
        <w:t>There is some controversy as to whether social media use (SMU) may exacerbate or alleviate conditions such as depression and anxiety.</w:t>
      </w:r>
      <w:r w:rsidRPr="008C45AB">
        <w:rPr>
          <w:rFonts w:ascii="Calibri" w:eastAsia="Calibri" w:hAnsi="Calibri" w:cs="Arial"/>
          <w:bCs/>
          <w:color w:val="000000"/>
        </w:rPr>
        <w:t xml:space="preserve"> Engagement</w:t>
      </w:r>
      <w:r w:rsidR="0069662F" w:rsidRPr="008C45AB">
        <w:rPr>
          <w:rFonts w:ascii="Calibri" w:eastAsia="Calibri" w:hAnsi="Calibri" w:cs="Arial"/>
          <w:bCs/>
          <w:color w:val="000000"/>
        </w:rPr>
        <w:t xml:space="preserve"> via </w:t>
      </w:r>
      <w:r w:rsidR="00B22935" w:rsidRPr="008C45AB">
        <w:rPr>
          <w:rFonts w:ascii="Calibri" w:eastAsia="Calibri" w:hAnsi="Calibri" w:cs="Arial"/>
          <w:bCs/>
          <w:color w:val="000000"/>
        </w:rPr>
        <w:t>platforms</w:t>
      </w:r>
      <w:r w:rsidR="0069662F" w:rsidRPr="008C45AB">
        <w:rPr>
          <w:rFonts w:ascii="Calibri" w:eastAsia="Calibri" w:hAnsi="Calibri" w:cs="Arial"/>
          <w:bCs/>
          <w:color w:val="000000"/>
        </w:rPr>
        <w:t xml:space="preserve"> such as Facebook, </w:t>
      </w:r>
      <w:r w:rsidR="007B60F0" w:rsidRPr="008C45AB">
        <w:rPr>
          <w:rFonts w:ascii="Calibri" w:eastAsia="Calibri" w:hAnsi="Calibri" w:cs="Arial"/>
          <w:bCs/>
          <w:color w:val="000000"/>
        </w:rPr>
        <w:t xml:space="preserve">Twitter, </w:t>
      </w:r>
      <w:r w:rsidR="0069662F" w:rsidRPr="008C45AB">
        <w:rPr>
          <w:rFonts w:ascii="Calibri" w:eastAsia="Calibri" w:hAnsi="Calibri" w:cs="Arial"/>
          <w:bCs/>
          <w:color w:val="000000"/>
        </w:rPr>
        <w:t>Reddit,</w:t>
      </w:r>
      <w:r w:rsidR="007B60F0" w:rsidRPr="008C45AB">
        <w:rPr>
          <w:rFonts w:ascii="Calibri" w:eastAsia="Calibri" w:hAnsi="Calibri" w:cs="Arial"/>
          <w:bCs/>
          <w:color w:val="000000"/>
        </w:rPr>
        <w:t xml:space="preserve"> Instagram, Snapchat,</w:t>
      </w:r>
      <w:r w:rsidR="0069662F" w:rsidRPr="008C45AB">
        <w:rPr>
          <w:rFonts w:ascii="Calibri" w:eastAsia="Calibri" w:hAnsi="Calibri" w:cs="Arial"/>
          <w:bCs/>
          <w:color w:val="000000"/>
        </w:rPr>
        <w:t xml:space="preserve"> and Tumblr may provide opportunities for </w:t>
      </w:r>
      <w:r w:rsidR="00204A2F">
        <w:rPr>
          <w:rFonts w:ascii="Calibri" w:eastAsia="Calibri" w:hAnsi="Calibri" w:cs="Arial"/>
          <w:bCs/>
          <w:color w:val="000000"/>
        </w:rPr>
        <w:t xml:space="preserve">keeping in touch with family and friends as well as other </w:t>
      </w:r>
      <w:r w:rsidRPr="008C45AB">
        <w:rPr>
          <w:rFonts w:ascii="Calibri" w:eastAsia="Calibri" w:hAnsi="Calibri" w:cs="Arial"/>
          <w:bCs/>
          <w:color w:val="000000"/>
        </w:rPr>
        <w:t>social interaction</w:t>
      </w:r>
      <w:r w:rsidR="00204A2F">
        <w:rPr>
          <w:rFonts w:ascii="Calibri" w:eastAsia="Calibri" w:hAnsi="Calibri" w:cs="Arial"/>
          <w:bCs/>
          <w:color w:val="000000"/>
        </w:rPr>
        <w:t>s</w:t>
      </w:r>
      <w:r w:rsidRPr="008C45AB">
        <w:rPr>
          <w:rFonts w:ascii="Calibri" w:eastAsia="Calibri" w:hAnsi="Calibri" w:cs="Arial"/>
          <w:bCs/>
          <w:color w:val="000000"/>
        </w:rPr>
        <w:t xml:space="preserve"> that may increase social capital and </w:t>
      </w:r>
      <w:r w:rsidR="0069662F" w:rsidRPr="008C45AB">
        <w:rPr>
          <w:rFonts w:ascii="Calibri" w:eastAsia="Calibri" w:hAnsi="Calibri" w:cs="Arial"/>
          <w:bCs/>
          <w:color w:val="000000"/>
        </w:rPr>
        <w:t>a</w:t>
      </w:r>
      <w:r w:rsidRPr="008C45AB">
        <w:rPr>
          <w:rFonts w:ascii="Calibri" w:eastAsia="Calibri" w:hAnsi="Calibri" w:cs="Arial"/>
          <w:bCs/>
          <w:color w:val="000000"/>
        </w:rPr>
        <w:t>lleviate</w:t>
      </w:r>
      <w:r w:rsidR="0069662F" w:rsidRPr="008C45AB">
        <w:rPr>
          <w:rFonts w:ascii="Calibri" w:eastAsia="Calibri" w:hAnsi="Calibri" w:cs="Arial"/>
          <w:bCs/>
          <w:color w:val="000000"/>
        </w:rPr>
        <w:t xml:space="preserve"> </w:t>
      </w:r>
      <w:r w:rsidRPr="008C45AB">
        <w:rPr>
          <w:rFonts w:ascii="Calibri" w:eastAsia="Calibri" w:hAnsi="Calibri" w:cs="Arial"/>
          <w:bCs/>
          <w:color w:val="000000"/>
        </w:rPr>
        <w:t>depression</w:t>
      </w:r>
      <w:r w:rsidR="007B60F0" w:rsidRPr="008C45AB">
        <w:rPr>
          <w:rFonts w:ascii="Calibri" w:eastAsia="Calibri" w:hAnsi="Calibri" w:cs="Arial"/>
          <w:bCs/>
          <w:color w:val="000000"/>
        </w:rPr>
        <w:t xml:space="preserve"> and anxiety</w:t>
      </w:r>
      <w:r w:rsidR="00073F49">
        <w:rPr>
          <w:rFonts w:ascii="Calibri" w:eastAsia="Calibri" w:hAnsi="Calibri" w:cs="Arial"/>
          <w:bCs/>
          <w:color w:val="000000"/>
        </w:rPr>
        <w:t xml:space="preserve"> </w:t>
      </w:r>
      <w:r w:rsidR="0053656A" w:rsidRPr="008C45AB">
        <w:rPr>
          <w:rFonts w:ascii="Calibri" w:eastAsia="Calibri" w:hAnsi="Calibri" w:cs="Arial"/>
          <w:bCs/>
          <w:color w:val="000000"/>
        </w:rPr>
        <w:fldChar w:fldCharType="begin" w:fldLock="1"/>
      </w:r>
      <w:r w:rsidR="001F2834">
        <w:rPr>
          <w:rFonts w:ascii="Calibri" w:eastAsia="Calibri" w:hAnsi="Calibri" w:cs="Arial"/>
          <w:bCs/>
          <w:color w:val="000000"/>
        </w:rPr>
        <w:instrText>ADDIN CSL_CITATION { "citationItems" : [ { "id" : "ITEM-1", "itemData" : { "DOI" : "10.1111/j.1083-6101.2007.00367.x", "ISSN" : "10836101", "abstract" : "This study examines the relationship between use of Facebook, a popular online social network site, and the formation and maintenance of social capital. In addition to assessing bonding and bridging social capital, we explore a dimension of social capital that assesses one\u2019s ability to stay connected with members of a previously inhabited community, which we call maintained social capital. Regression analyses conducted on results from a survey of undergraduate students (N = 286) suggest a strong association between use of Facebook and the three types of social capital, with the strongest relationship being to bridging social capital. In addition, Facebook usage was found to interact with measures of psychological well-being, suggesting that it might provide greater", "author" : [ { "dropping-particle" : "", "family" : "Ellison", "given" : "N. B.", "non-dropping-particle" : "", "parse-names" : false, "suffix" : "" }, { "dropping-particle" : "", "family" : "Steinfield", "given" : "C", "non-dropping-particle" : "", "parse-names" : false, "suffix" : "" }, { "dropping-particle" : "", "family" : "Lampe", "given" : "C", "non-dropping-particle" : "", "parse-names" : false, "suffix" : "" } ], "container-title" : "Journal of Computer-Mediated Communication", "id" : "ITEM-1", "issue" : "4", "issued" : { "date-parts" : [ [ "2007", "7" ] ] }, "page" : "1143-1168", "title" : "The benefits of Facebook \u201cfriends:\u201d Social capital and college students\u2019 use of online social network sites", "type" : "article-journal", "volume" : "12" }, "uris" : [ "http://www.mendeley.com/documents/?uuid=02a954d4-6cee-416a-923b-9a5c0764d1d0" ] }, { "id" : "ITEM-2", "itemData" : { "ISBN" : "1470-6423", "abstract" : "Individuals set health goals all the time, but sometimes their intentions are not translated into actions. Even when authors like posit that individuals have the resources and skills needed to achieve the desired behavior, there are occasions when the individual seeks for support among from friends and relatives. Such support can come from several sources, one of them being specific self-help groups, which are known to be part of a social movement that seeks to promote a social change by allowing individuals to improve their lifestyles and achieve physical and emotional well-being. The purpose of this study is to shed light on the role social networking sites (SNS) play in providing individuals with a virtual community where they can meet with others in a non-judgmental environment to share goals and challenges and together find tools and support to translate good intentions into specific actions and as well as accomplish health-related goals. A Netnography of four SNS was conducted to understand how individuals get motivation and are motivated by SNS peers to consume a healthy diet and engage in physical activity in order to achieve their healthy goals. The Findings reveal that SNS offer individuals a virtual community where they can find encouragement, get answers to specific health-related questions, and a place to share their success stories, which in turn can motivate others to achieve similar goals. Thus, the quest for health and well-being can be easily embraced with the aid of digital media to reach millions of people who share similar goals and seek answers to their health-related concerns. (PsycINFO Database Record (c) 2015 APA, all rights reserved) (journal abstract)", "author" : [ { "dropping-particle" : "", "family" : "la Pena", "given" : "A", "non-dropping-particle" : "de", "parse-names" : false, "suffix" : "" }, { "dropping-particle" : "", "family" : "Quintanilla", "given" : "C", "non-dropping-particle" : "", "parse-names" : false, "suffix" : "" } ], "container-title" : "International Journal of Consumer Studies", "id" : "ITEM-2", "issue" : "5", "issued" : { "date-parts" : [ [ "2015" ] ] }, "page" : "495-505", "publisher" : "Wiley-Blackwell Publishing Ltd.", "publisher-place" : "de la Pena, Alicia: Consumer Behavior Research Group, EGADE Business School, Tecnologico de Monterrey, Nuevo Leon, Monterrey, Mexico, mktgheraldo@yahoo.com.mx", "title" : "Share, like and achieve: The power of Facebook to reach health-related goals", "type" : "article-journal", "volume" : "39" }, "uris" : [ "http://www.mendeley.com/documents/?uuid=b3ddc287-ca42-4483-83ef-0cf46c7531a7" ] }, { "id" : "ITEM-3", "itemData" : { "DOI" : "10.2196/jmir.1149", "ISSN" : "1438-8871", "PMID" : "20228047", "abstract" : "BACKGROUND: The rapid expansion of the Internet has increased the ease with which the public can obtain medical information. Most research on the utility of the Internet for health purposes has evaluated the quality of the information itself or examined its impact on clinical populations. Little is known about the consequences of its use by the general population. OBJECTIVE: Is use of the Internet by the general population for health purposes associated with a subsequent change in psychological well-being and health? Are the effects different for healthy versus ill individuals? Does the impact of using the Internet for health purposes differ from the impact of other types of Internet use? METHODS: Data come from a national US panel survey of 740 individuals conducted from 2000 to 2002. Across three surveys, respondents described their use of the Internet for different purposes, indicated whether they had any of 13 serious illnesses (or were taking care of someone with a serious illness), and reported their depression. In the initial and final surveys they also reported on their physical health. Lagged dependent variable regression analysis was used to predict changes in depression and general health reported on a later survey from frequency of different types of Internet use at an earlier period, holding constant prior depression and general health, respectively. Statistical interactions tested whether uses of the Internet predicted depression and general health differently for people who initially differed on their general health, chronic illness, and caregiver status. RESULTS: Health-related Internet use was associated with small but reliable increases in depression (ie, increasing use of the Internet for health purposes from 3 to 5 days per week to once a day was associated with .11 standard deviations more symptoms of depression, P = .002). In contrast, using the Internet for communication with friends and family was associated with small but reliable decreases in depression (ie, increasing use of the Internet for communication with friends and family purposes from 3 to 5 days per week to once a day was associated with .07 standard deviations fewer symptoms of depression, P = .007). There were no significant effects of respondents' initial health status (P = .234) or role as a caregiver (P = .911) on the association between health-related Internet use and depression. Neither type of use was associated with changes in general health (P = .705 for soc\u2026", "author" : [ { "dropping-particle" : "", "family" : "Bessi\u00e8re", "given" : "K", "non-dropping-particle" : "", "parse-names" : false, "suffix" : "" }, { "dropping-particle" : "", "family" : "Pressman", "given" : "S", "non-dropping-particle" : "", "parse-names" : false, "suffix" : "" }, { "dropping-particle" : "", "family" : "Kiesler", "given" : "S", "non-dropping-particle" : "", "parse-names" : false, "suffix" : "" }, { "dropping-particle" : "", "family" : "Kraut", "given" : "R", "non-dropping-particle" : "", "parse-names" : false, "suffix" : "" } ], "container-title" : "Journal of Medical Internet Research", "id" : "ITEM-3", "issue" : "1", "issued" : { "date-parts" : [ [ "2010", "1" ] ] }, "title" : "Effects of internet use on health and depression: A longitudinal study", "type" : "article-journal", "volume" : "12" }, "uris" : [ "http://www.mendeley.com/documents/?uuid=92c10f99-1c88-4197-b149-807032aaada0" ] } ], "mendeley" : { "formattedCitation" : "(Bessi\u00e8re, Pressman, Kiesler, &amp; Kraut, 2010; de la Pena &amp; Quintanilla, 2015; Ellison, Steinfield, &amp; Lampe, 2007)", "plainTextFormattedCitation" : "(Bessi\u00e8re, Pressman, Kiesler, &amp; Kraut, 2010; de la Pena &amp; Quintanilla, 2015; Ellison, Steinfield, &amp; Lampe, 2007)", "previouslyFormattedCitation" : "&lt;sup&gt;6\u20138&lt;/sup&gt;" }, "properties" : { "noteIndex" : 0 }, "schema" : "https://github.com/citation-style-language/schema/raw/master/csl-citation.json" }</w:instrText>
      </w:r>
      <w:r w:rsidR="0053656A" w:rsidRPr="008C45AB">
        <w:rPr>
          <w:rFonts w:ascii="Calibri" w:eastAsia="Calibri" w:hAnsi="Calibri" w:cs="Arial"/>
          <w:bCs/>
          <w:color w:val="000000"/>
        </w:rPr>
        <w:fldChar w:fldCharType="separate"/>
      </w:r>
      <w:r w:rsidR="001F2834" w:rsidRPr="001F2834">
        <w:rPr>
          <w:rFonts w:ascii="Calibri" w:eastAsia="Calibri" w:hAnsi="Calibri" w:cs="Arial"/>
          <w:bCs/>
          <w:noProof/>
          <w:color w:val="000000"/>
        </w:rPr>
        <w:t>(Bessière, Pressman, Kiesler, &amp; Kraut, 2010; de la Pena &amp; Quintanilla, 2015; Ellison, Steinfield, &amp; Lampe, 2007)</w:t>
      </w:r>
      <w:r w:rsidR="0053656A" w:rsidRPr="008C45AB">
        <w:rPr>
          <w:rFonts w:ascii="Calibri" w:eastAsia="Calibri" w:hAnsi="Calibri" w:cs="Arial"/>
          <w:bCs/>
          <w:color w:val="000000"/>
        </w:rPr>
        <w:fldChar w:fldCharType="end"/>
      </w:r>
      <w:r w:rsidR="00073F49">
        <w:rPr>
          <w:rFonts w:ascii="Calibri" w:eastAsia="Calibri" w:hAnsi="Calibri" w:cs="Arial"/>
          <w:bCs/>
          <w:color w:val="000000"/>
        </w:rPr>
        <w:t>.</w:t>
      </w:r>
      <w:r w:rsidR="00D64434" w:rsidRPr="008C45AB">
        <w:rPr>
          <w:rFonts w:ascii="Calibri" w:eastAsia="Calibri" w:hAnsi="Calibri" w:cs="Arial"/>
          <w:bCs/>
          <w:color w:val="000000"/>
        </w:rPr>
        <w:t xml:space="preserve"> </w:t>
      </w:r>
      <w:r w:rsidR="0069662F" w:rsidRPr="008C45AB">
        <w:rPr>
          <w:rFonts w:ascii="Calibri" w:eastAsia="Calibri" w:hAnsi="Calibri" w:cs="Arial"/>
          <w:bCs/>
          <w:color w:val="000000"/>
        </w:rPr>
        <w:t xml:space="preserve">Similarly, SMU may facilitate forming connections among </w:t>
      </w:r>
      <w:r w:rsidRPr="008C45AB">
        <w:rPr>
          <w:rFonts w:ascii="Calibri" w:eastAsia="Calibri" w:hAnsi="Calibri" w:cs="Arial"/>
          <w:bCs/>
          <w:color w:val="000000"/>
        </w:rPr>
        <w:t>people with potentia</w:t>
      </w:r>
      <w:r w:rsidR="00CB7FDF">
        <w:rPr>
          <w:rFonts w:ascii="Calibri" w:eastAsia="Calibri" w:hAnsi="Calibri" w:cs="Arial"/>
          <w:bCs/>
          <w:color w:val="000000"/>
        </w:rPr>
        <w:t>lly stigmatizing health conditions</w:t>
      </w:r>
      <w:r w:rsidRPr="008C45AB">
        <w:rPr>
          <w:rFonts w:ascii="Calibri" w:eastAsia="Calibri" w:hAnsi="Calibri" w:cs="Arial"/>
          <w:bCs/>
          <w:color w:val="000000"/>
        </w:rPr>
        <w:t>, i</w:t>
      </w:r>
      <w:r w:rsidR="00073F49">
        <w:rPr>
          <w:rFonts w:ascii="Calibri" w:eastAsia="Calibri" w:hAnsi="Calibri" w:cs="Arial"/>
          <w:bCs/>
          <w:color w:val="000000"/>
        </w:rPr>
        <w:t xml:space="preserve">ncluding depression and anxiety </w:t>
      </w:r>
      <w:r w:rsidR="0053656A" w:rsidRPr="008C45AB">
        <w:rPr>
          <w:rFonts w:ascii="Calibri" w:eastAsia="Calibri" w:hAnsi="Calibri" w:cs="Arial"/>
          <w:bCs/>
          <w:color w:val="000000"/>
        </w:rPr>
        <w:fldChar w:fldCharType="begin" w:fldLock="1"/>
      </w:r>
      <w:r w:rsidR="001F2834">
        <w:rPr>
          <w:rFonts w:ascii="Calibri" w:eastAsia="Calibri" w:hAnsi="Calibri" w:cs="Arial"/>
          <w:bCs/>
          <w:color w:val="000000"/>
        </w:rPr>
        <w:instrText>ADDIN CSL_CITATION { "citationItems" : [ { "id" : "ITEM-1", "itemData" : { "DOI" : "10.2196/jmir.3494", "ISSN" : "1438-8871", "PMID" : "25533453", "abstract" : "BACKGROUND: Research continues to present tenuous suggestions that social media is well suited to enhance management of chronic disease and improve health outcomes. Various studies have presented qualitative reports of health outcomes from social media use and have examined discourse and communication themes occurring through different social media. However, there is an absence of published studies examining and unpacking the underlying therapeutic mechanisms driving social media's effects., OBJECTIVE: This paper presents a qualitative analysis thoroughly describing what social media therapeutically affords people living with chronic pain who are self-managing their condition. From this therapeutic affordance perspective, we aim to formulate a preliminary conceptual model aimed at better understanding \"how\" social media can influence patient outcomes., METHODS: In total, 218 people with chronic pain (PWCP) completed an online survey, investigating patient-reported outcomes (PROs) from social media use. Supplementary to quantitative data collected, participants were also given the opportunity to provide further open commentary regarding their use of social media as part of chronic pain management; 68/218 unique users (31.2%) chose to provide these free-text responses. Through thematic content analysis, 117 free-text responses regarding 10 types of social media were coded. Quotes were extracted and tabulated based on therapeutic affordances that we had previously identified. Inductive analysis was then performed to code defining language and emergent themes central to describing each affordance. Three investigators examined the responses, developed the coding scheme, and applied the coding to the data., RESULTS: We extracted 155 quotes from 117 free-text responses. The largest source of quotes came from social network site users (78/155, 50.3%). Analysis of component language used to describe the aforementioned affordances and emergent themes resulted in a final revision and renaming of therapeutic affordances: \"exploration\" (52/155, 33.5% of quotes), \"connection\" (50/155, 32.3% of quotes), \"narration\" (33/155, 21.3% of quotes), \"adaptation\" (13/155, 8.4% of quotes), and \"self-presentation\" (7/155, 4.5% of quotes). Of the most described affordances, \"exploration\" was based on a propensity for participants to explain their social media use for information seeking purposes. \"Connection\" placed greater emphasis on interaction, highlighting themes of \"exchang\u2026", "author" : [ { "dropping-particle" : "", "family" : "Merolli", "given" : "M", "non-dropping-particle" : "", "parse-names" : false, "suffix" : "" }, { "dropping-particle" : "", "family" : "Gray", "given" : "K", "non-dropping-particle" : "", "parse-names" : false, "suffix" : "" }, { "dropping-particle" : "", "family" : "Martin-Sanchez", "given" : "F", "non-dropping-particle" : "", "parse-names" : false, "suffix" : "" } ], "container-title" : "Journal of medical Internet research", "id" : "ITEM-1", "issue" : "12", "issued" : { "date-parts" : [ [ "2014" ] ] }, "page" : "e284", "publisher-place" : "Canada", "title" : "Therapeutic affordances of social media: Emergent themes from a global online survey of people with chronic pain", "type" : "article-journal", "volume" : "16" }, "uris" : [ "http://www.mendeley.com/documents/?uuid=bd492585-57c0-4ace-ae31-61246c3ce678" ] }, { "id" : "ITEM-2", "itemData" : { "PMID" : "21338010", "abstract" : "Media-related commercial marketing aimed at promoting the purchase of products and services by children, and by adults for children, is ubiquitous and has been associated with negative health consequences such as poor nutrition and physical inactivity. But, as Douglas Evans points out, not all marketing in the electronic media is confined to the sale of products. Increasingly savvy social marketers have begun to make extensive use of the same techniques and strategies used by commercial marketers to promote healthful behaviors and to counter some of the negative effects of conventional media marketing to children and adolescents. Evans points out that social marketing campaigns have been effective in helping to prevent and control tobacco use, increase physical activity, improve nutrition, and promote condom use, as well as other positive health behaviors. He reviews the evidence from a number of major recent campaigns and programming in the United States and overseas and describes the evaluation and research methods used to determine their effectiveness. He begins his review of the field of social marketing by describing how it uses many of the strategies practiced so successfully in commercial marketing. He notes the recent development of public health brands and the use of branding as a health promotion strategy. He then goes on to show how social marketing can promote healthful behavior, how it can counter media messages about unhealthful behavior, and how it can encourage discussions between parents and children. Evans concludes by noting some potential future applications to promote healthful media use by children and adolescents and to mitigate the effects of exposure to commercial marketing. These include adapting lessons learned from previous successful campaigns, such as delivering branded messages that promote healthful alternative behaviors. Evans also outlines a message strategy to promote \"smart media use\" to parents, children, and adolescents and suggests a brand based on personal interaction as a desirable alternative to \"virtual interaction\".", "author" : [ { "dropping-particle" : "", "family" : "Evans", "given" : "W D", "non-dropping-particle" : "", "parse-names" : false, "suffix" : "" } ], "container-title" : "Future Child", "id" : "ITEM-2", "issue" : "1", "issued" : { "date-parts" : [ [ "2008" ] ] }, "page" : "181-203", "title" : "Social marketing campaigns and children's media use", "type" : "article-journal", "volume" : "18" }, "uris" : [ "http://www.mendeley.com/documents/?uuid=cf8e14f1-5ede-4c0f-84c0-4fb3b1613d4d", "http://www.mendeley.com/documents/?uuid=1e80ceff-4c5d-4ec5-a832-dc58d85faaf4" ] } ], "mendeley" : { "formattedCitation" : "(Evans, 2008; Merolli, Gray, &amp; Martin-Sanchez, 2014)", "plainTextFormattedCitation" : "(Evans, 2008; Merolli, Gray, &amp; Martin-Sanchez, 2014)", "previouslyFormattedCitation" : "&lt;sup&gt;9,10&lt;/sup&gt;" }, "properties" : { "noteIndex" : 0 }, "schema" : "https://github.com/citation-style-language/schema/raw/master/csl-citation.json" }</w:instrText>
      </w:r>
      <w:r w:rsidR="0053656A" w:rsidRPr="008C45AB">
        <w:rPr>
          <w:rFonts w:ascii="Calibri" w:eastAsia="Calibri" w:hAnsi="Calibri" w:cs="Arial"/>
          <w:bCs/>
          <w:color w:val="000000"/>
        </w:rPr>
        <w:fldChar w:fldCharType="separate"/>
      </w:r>
      <w:r w:rsidR="001F2834" w:rsidRPr="001F2834">
        <w:rPr>
          <w:rFonts w:ascii="Calibri" w:eastAsia="Calibri" w:hAnsi="Calibri" w:cs="Arial"/>
          <w:bCs/>
          <w:noProof/>
          <w:color w:val="000000"/>
        </w:rPr>
        <w:t>(Evans, 2008; Merolli, Gray, &amp; Martin-Sanchez, 2014)</w:t>
      </w:r>
      <w:r w:rsidR="0053656A" w:rsidRPr="008C45AB">
        <w:rPr>
          <w:rFonts w:ascii="Calibri" w:eastAsia="Calibri" w:hAnsi="Calibri" w:cs="Arial"/>
          <w:bCs/>
          <w:color w:val="000000"/>
        </w:rPr>
        <w:fldChar w:fldCharType="end"/>
      </w:r>
      <w:r w:rsidR="00073F49">
        <w:rPr>
          <w:rFonts w:ascii="Calibri" w:eastAsia="Calibri" w:hAnsi="Calibri" w:cs="Arial"/>
          <w:bCs/>
          <w:color w:val="000000"/>
        </w:rPr>
        <w:t>.</w:t>
      </w:r>
      <w:r w:rsidR="00EA0BF6">
        <w:rPr>
          <w:rFonts w:ascii="Calibri" w:eastAsia="Calibri" w:hAnsi="Calibri" w:cs="Arial"/>
          <w:bCs/>
          <w:color w:val="000000"/>
        </w:rPr>
        <w:t xml:space="preserve"> Moreover, against prevailing assumptions that in-person interaction is strictly needed </w:t>
      </w:r>
      <w:r w:rsidR="00EA0BF6">
        <w:rPr>
          <w:rFonts w:ascii="Calibri" w:eastAsia="Calibri" w:hAnsi="Calibri" w:cs="Arial"/>
          <w:bCs/>
          <w:color w:val="000000"/>
        </w:rPr>
        <w:lastRenderedPageBreak/>
        <w:t xml:space="preserve">for emotional contagion, it appears that emotional states can be transferred </w:t>
      </w:r>
      <w:r w:rsidR="009170A0">
        <w:rPr>
          <w:rFonts w:ascii="Calibri" w:eastAsia="Calibri" w:hAnsi="Calibri" w:cs="Arial"/>
          <w:bCs/>
          <w:color w:val="000000"/>
        </w:rPr>
        <w:t>among</w:t>
      </w:r>
      <w:r w:rsidR="00EA0BF6">
        <w:rPr>
          <w:rFonts w:ascii="Calibri" w:eastAsia="Calibri" w:hAnsi="Calibri" w:cs="Arial"/>
          <w:bCs/>
          <w:color w:val="000000"/>
        </w:rPr>
        <w:t xml:space="preserve"> participants of social media via observation of others</w:t>
      </w:r>
      <w:r w:rsidR="009170A0">
        <w:rPr>
          <w:rFonts w:ascii="Calibri" w:eastAsia="Calibri" w:hAnsi="Calibri" w:cs="Arial"/>
          <w:bCs/>
          <w:color w:val="000000"/>
        </w:rPr>
        <w:t>’</w:t>
      </w:r>
      <w:r w:rsidR="00EA0BF6">
        <w:rPr>
          <w:rFonts w:ascii="Calibri" w:eastAsia="Calibri" w:hAnsi="Calibri" w:cs="Arial"/>
          <w:bCs/>
          <w:color w:val="000000"/>
        </w:rPr>
        <w:t xml:space="preserve"> positive experiences</w:t>
      </w:r>
      <w:r w:rsidR="009E3AD7">
        <w:rPr>
          <w:rFonts w:ascii="Calibri" w:eastAsia="Calibri" w:hAnsi="Calibri" w:cs="Arial"/>
          <w:bCs/>
          <w:color w:val="000000"/>
        </w:rPr>
        <w:t xml:space="preserve"> </w:t>
      </w:r>
      <w:r w:rsidR="0053656A">
        <w:rPr>
          <w:rFonts w:ascii="Calibri" w:eastAsia="Calibri" w:hAnsi="Calibri" w:cs="Arial"/>
          <w:bCs/>
          <w:color w:val="000000"/>
        </w:rPr>
        <w:fldChar w:fldCharType="begin" w:fldLock="1"/>
      </w:r>
      <w:r w:rsidR="001F2834">
        <w:rPr>
          <w:rFonts w:ascii="Calibri" w:eastAsia="Calibri" w:hAnsi="Calibri" w:cs="Arial"/>
          <w:bCs/>
          <w:color w:val="000000"/>
        </w:rPr>
        <w:instrText>ADDIN CSL_CITATION { "citationItems" : [ { "id" : "ITEM-1", "itemData" : { "DOI" : "10.1073/pnas.1320040111", "ISSN" : "1091-6490", "PMID" : "24889601", "abstract" : "Emotional states can be transferred to others via emotional contagion, leading people to experience the same emotions without their awareness. Emotional contagion is well established in laboratory experiments, with people transferring positive and negative emotions to others. Data from a large real-world social network, collected over a 20-y period suggests that longer-lasting moods (e.g., depression, happiness) can be transferred through networks [Fowler JH, Christakis NA (2008) BMJ 337:a2338], although the results are controversial. In an experiment with people who use Facebook, we test whether emotional contagion occurs outside of in-person interaction between individuals by reducing the amount of emotional content in the News Feed. When positive expressions were reduced, people produced fewer positive posts and more negative posts; when negative expressions were reduced, the opposite pattern occurred. These results indicate that emotions expressed by others on Facebook influence our own emotions, constituting experimental evidence for massive-scale contagion via social networks. This work also suggests that, in contrast to prevailing assumptions, in-person interaction and nonverbal cues are not strictly necessary for emotional contagion, and that the observation of others' positive experiences constitutes a positive experience for people.", "author" : [ { "dropping-particle" : "", "family" : "Kramer", "given" : "A D I", "non-dropping-particle" : "", "parse-names" : false, "suffix" : "" }, { "dropping-particle" : "", "family" : "Guillory", "given" : "J E", "non-dropping-particle" : "", "parse-names" : false, "suffix" : "" }, { "dropping-particle" : "", "family" : "Hancock", "given" : "J T", "non-dropping-particle" : "", "parse-names" : false, "suffix" : "" } ], "container-title" : "Proceedings of the National Academy of Sciences of the United States of America", "id" : "ITEM-1", "issue" : "24", "issued" : { "date-parts" : [ [ "2014", "6", "17" ] ] }, "page" : "8788-8790", "title" : "Experimental evidence of massive-scale emotional contagion through social networks", "type" : "article-journal", "volume" : "111" }, "uris" : [ "http://www.mendeley.com/documents/?uuid=247323ed-fa2f-4db0-988b-f69594762121" ] } ], "mendeley" : { "formattedCitation" : "(Kramer, Guillory, &amp; Hancock, 2014)", "plainTextFormattedCitation" : "(Kramer, Guillory, &amp; Hancock, 2014)", "previouslyFormattedCitation" : "&lt;sup&gt;11&lt;/sup&gt;" }, "properties" : { "noteIndex" : 0 }, "schema" : "https://github.com/citation-style-language/schema/raw/master/csl-citation.json" }</w:instrText>
      </w:r>
      <w:r w:rsidR="0053656A">
        <w:rPr>
          <w:rFonts w:ascii="Calibri" w:eastAsia="Calibri" w:hAnsi="Calibri" w:cs="Arial"/>
          <w:bCs/>
          <w:color w:val="000000"/>
        </w:rPr>
        <w:fldChar w:fldCharType="separate"/>
      </w:r>
      <w:r w:rsidR="001F2834" w:rsidRPr="001F2834">
        <w:rPr>
          <w:rFonts w:ascii="Calibri" w:eastAsia="Calibri" w:hAnsi="Calibri" w:cs="Arial"/>
          <w:bCs/>
          <w:noProof/>
          <w:color w:val="000000"/>
        </w:rPr>
        <w:t>(Kramer, Guillory, &amp; Hancock, 2014)</w:t>
      </w:r>
      <w:r w:rsidR="0053656A">
        <w:rPr>
          <w:rFonts w:ascii="Calibri" w:eastAsia="Calibri" w:hAnsi="Calibri" w:cs="Arial"/>
          <w:bCs/>
          <w:color w:val="000000"/>
        </w:rPr>
        <w:fldChar w:fldCharType="end"/>
      </w:r>
      <w:r w:rsidR="009E3AD7">
        <w:rPr>
          <w:rFonts w:ascii="Calibri" w:eastAsia="Calibri" w:hAnsi="Calibri" w:cs="Arial"/>
          <w:bCs/>
          <w:color w:val="000000"/>
        </w:rPr>
        <w:t>.</w:t>
      </w:r>
    </w:p>
    <w:p w:rsidR="00241EEB" w:rsidRPr="008C45AB" w:rsidRDefault="00241EEB" w:rsidP="0069662F">
      <w:pPr>
        <w:spacing w:line="480" w:lineRule="auto"/>
        <w:rPr>
          <w:rFonts w:ascii="Calibri" w:eastAsia="Calibri" w:hAnsi="Calibri" w:cs="Arial"/>
          <w:bCs/>
          <w:color w:val="000000"/>
        </w:rPr>
      </w:pPr>
    </w:p>
    <w:p w:rsidR="0069662F" w:rsidRPr="008C45AB" w:rsidRDefault="0069662F" w:rsidP="0069662F">
      <w:pPr>
        <w:spacing w:line="480" w:lineRule="auto"/>
        <w:rPr>
          <w:rFonts w:ascii="Calibri" w:eastAsia="Calibri" w:hAnsi="Calibri" w:cs="Arial"/>
          <w:bCs/>
          <w:color w:val="000000"/>
        </w:rPr>
      </w:pPr>
      <w:r w:rsidRPr="008C45AB">
        <w:rPr>
          <w:rFonts w:ascii="Calibri" w:eastAsia="Calibri" w:hAnsi="Calibri" w:cs="Arial"/>
          <w:bCs/>
          <w:color w:val="000000"/>
        </w:rPr>
        <w:t xml:space="preserve">However, </w:t>
      </w:r>
      <w:r w:rsidR="004A4002" w:rsidRPr="008C45AB">
        <w:rPr>
          <w:rFonts w:ascii="Calibri" w:eastAsia="Calibri" w:hAnsi="Calibri" w:cs="Arial"/>
          <w:bCs/>
          <w:color w:val="000000"/>
        </w:rPr>
        <w:t xml:space="preserve">most large-scale empiric </w:t>
      </w:r>
      <w:r w:rsidR="003B7956" w:rsidRPr="008C45AB">
        <w:rPr>
          <w:rFonts w:ascii="Calibri" w:eastAsia="Calibri" w:hAnsi="Calibri" w:cs="Arial"/>
          <w:bCs/>
          <w:color w:val="000000"/>
        </w:rPr>
        <w:t>work</w:t>
      </w:r>
      <w:r w:rsidR="004A4002" w:rsidRPr="008C45AB">
        <w:rPr>
          <w:rFonts w:ascii="Calibri" w:eastAsia="Calibri" w:hAnsi="Calibri" w:cs="Arial"/>
          <w:bCs/>
          <w:color w:val="000000"/>
        </w:rPr>
        <w:t xml:space="preserve"> in this area suggests associations </w:t>
      </w:r>
      <w:r w:rsidR="003B7956" w:rsidRPr="008C45AB">
        <w:rPr>
          <w:rFonts w:ascii="Calibri" w:eastAsia="Calibri" w:hAnsi="Calibri" w:cs="Arial"/>
          <w:bCs/>
          <w:color w:val="000000"/>
        </w:rPr>
        <w:t>between SMU and increased</w:t>
      </w:r>
      <w:r w:rsidR="00136FE5">
        <w:rPr>
          <w:rFonts w:ascii="Calibri" w:eastAsia="Calibri" w:hAnsi="Calibri" w:cs="Arial"/>
          <w:bCs/>
          <w:color w:val="000000"/>
        </w:rPr>
        <w:t xml:space="preserve"> symptoms of</w:t>
      </w:r>
      <w:r w:rsidR="003B7956" w:rsidRPr="008C45AB">
        <w:rPr>
          <w:rFonts w:ascii="Calibri" w:eastAsia="Calibri" w:hAnsi="Calibri" w:cs="Arial"/>
          <w:bCs/>
          <w:color w:val="000000"/>
        </w:rPr>
        <w:t xml:space="preserve"> </w:t>
      </w:r>
      <w:r w:rsidR="004A4002" w:rsidRPr="008C45AB">
        <w:rPr>
          <w:rFonts w:ascii="Calibri" w:eastAsia="Calibri" w:hAnsi="Calibri" w:cs="Arial"/>
          <w:bCs/>
          <w:color w:val="000000"/>
        </w:rPr>
        <w:t xml:space="preserve">depression </w:t>
      </w:r>
      <w:r w:rsidR="00073F49">
        <w:rPr>
          <w:rFonts w:ascii="Calibri" w:eastAsia="Calibri" w:hAnsi="Calibri" w:cs="Arial"/>
          <w:bCs/>
          <w:color w:val="000000"/>
        </w:rPr>
        <w:t>and anxiety</w:t>
      </w:r>
      <w:r w:rsidR="00DC2051">
        <w:rPr>
          <w:rStyle w:val="CommentReference"/>
        </w:rPr>
        <w:t xml:space="preserve"> </w:t>
      </w:r>
      <w:r w:rsidR="00DC2051" w:rsidRPr="00302FFF">
        <w:rPr>
          <w:rStyle w:val="CommentReference"/>
          <w:rFonts w:ascii="Calibri" w:hAnsi="Calibri"/>
          <w:sz w:val="24"/>
          <w:szCs w:val="24"/>
        </w:rPr>
        <w:t>an</w:t>
      </w:r>
      <w:r w:rsidR="00204A2F">
        <w:rPr>
          <w:rFonts w:ascii="Calibri" w:eastAsia="Calibri" w:hAnsi="Calibri" w:cs="Arial"/>
          <w:bCs/>
          <w:color w:val="000000"/>
        </w:rPr>
        <w:t xml:space="preserve">d </w:t>
      </w:r>
      <w:r w:rsidR="000B5AB7">
        <w:rPr>
          <w:rFonts w:ascii="Calibri" w:eastAsia="Calibri" w:hAnsi="Calibri" w:cs="Arial"/>
          <w:bCs/>
          <w:color w:val="000000"/>
        </w:rPr>
        <w:t>d</w:t>
      </w:r>
      <w:r w:rsidR="006A2F76">
        <w:rPr>
          <w:rFonts w:ascii="Calibri" w:eastAsia="Calibri" w:hAnsi="Calibri" w:cs="Arial"/>
          <w:bCs/>
          <w:color w:val="000000"/>
        </w:rPr>
        <w:t>ecline in subjective well-being</w:t>
      </w:r>
      <w:r w:rsidR="009E3AD7">
        <w:rPr>
          <w:rFonts w:ascii="Calibri" w:eastAsia="Calibri" w:hAnsi="Calibri" w:cs="Arial"/>
          <w:bCs/>
          <w:color w:val="000000"/>
        </w:rPr>
        <w:t xml:space="preserve"> </w:t>
      </w:r>
      <w:r w:rsidR="0053656A">
        <w:rPr>
          <w:rFonts w:ascii="Calibri" w:eastAsia="Calibri" w:hAnsi="Calibri" w:cs="Arial"/>
          <w:bCs/>
          <w:color w:val="000000"/>
        </w:rPr>
        <w:fldChar w:fldCharType="begin" w:fldLock="1"/>
      </w:r>
      <w:r w:rsidR="001F2834">
        <w:rPr>
          <w:rFonts w:ascii="Calibri" w:eastAsia="Calibri" w:hAnsi="Calibri" w:cs="Arial"/>
          <w:bCs/>
          <w:color w:val="000000"/>
        </w:rPr>
        <w:instrText>ADDIN CSL_CITATION { "citationItems" : [ { "id" : "ITEM-1", "itemData" : { "DOI" : "10.1002/da.22466", "ISSN" : "10914269", "abstract" : "Background Social media (SM) use is increasing among U.S. young adults, and its association with mental well-being remains unclear. This study assessed the association between SM use and depression in a nationally representative sample of young adults. Methods We surveyed 1,787 adults ages 19 to 32 about SM use and depression. Participants were recruited via random digit dialing and address-based sampling. SM use was assessed by self-reported total time per day spent on SM, visits per week, and a global frequency score based on the Pew Internet Research Questionnaire. Depression was assessed using the Patient-Reported Outcomes Measurement Information System (PROMIS) Depression Scale Short Form. Chi-squared tests and ordered logistic regressions were performed with sample weights. Results The weighted sample was 50.3% female and 57.5% White. Compared to those in the lowest quartile of total time per day spent on SM, participants in the highest quartile had significantly increased odds of depression (AOR = 1.66, 95% CI = 1.14\u20132.42) after controlling for all covariates. Compared with those in the lowest quartile, individuals in the highest quartile of SM site visits per week and those with a higher global frequency score had significantly increased odds of depression (AOR = 2.74, 95% CI = 1.86\u20134.04; AOR = 3.05, 95% CI = 2.03\u20134.59, respectively). All associations between independent variables and depression had strong, linear, dose\u2013response trends. Results were robust to all sensitivity analyses. Conclusions SM use was significantly associated with increased depression. Given the proliferation of SM, identifying the mechanisms and direction of this association is critical for informing interventions that address SM use and depression.", "author" : [ { "dropping-particle" : "", "family" : "Lin", "given" : "L Y", "non-dropping-particle" : "", "parse-names" : false, "suffix" : "" }, { "dropping-particle" : "", "family" : "Sidani", "given" : "J E", "non-dropping-particle" : "", "parse-names" : false, "suffix" : "" }, { "dropping-particle" : "", "family" : "Shensa", "given" : "A", "non-dropping-particle" : "", "parse-names" : false, "suffix" : "" }, { "dropping-particle" : "", "family" : "Radovic", "given" : "A", "non-dropping-particle" : "", "parse-names" : false, "suffix" : "" }, { "dropping-particle" : "", "family" : "Miller", "given" : "E", "non-dropping-particle" : "", "parse-names" : false, "suffix" : "" }, { "dropping-particle" : "", "family" : "Colditz", "given" : "J B", "non-dropping-particle" : "", "parse-names" : false, "suffix" : "" }, { "dropping-particle" : "", "family" : "Hoffman", "given" : "B H", "non-dropping-particle" : "", "parse-names" : false, "suffix" : "" }, { "dropping-particle" : "", "family" : "Giles", "given" : "L", "non-dropping-particle" : "", "parse-names" : false, "suffix" : "" }, { "dropping-particle" : "", "family" : "Primack", "given" : "B A", "non-dropping-particle" : "", "parse-names" : false, "suffix" : "" } ], "container-title" : "Depression and Anxiety", "id" : "ITEM-1", "issue" : "4", "issued" : { "date-parts" : [ [ "2016", "1" ] ] }, "page" : "323\u2013331", "title" : "Association between social media use and depression among U.S. young adults", "type" : "article-journal", "volume" : "33" }, "uris" : [ "http://www.mendeley.com/documents/?uuid=7a3bfbe4-9ba6-4699-a631-8c6c80a4f4aa" ] }, { "id" : "ITEM-2", "itemData" : { "DOI" : "10.1037/adb0000160", "ISSN" : "1939-1501", "abstract" : "Over the last decade, research into \u201caddictive technological behaviors\u201d has substantially increased. Research has also demonstrated strong associations between addictive use of technology and comorbid psychiatric disorders. In the present study, 23,533 adults (mean age 35.8 years, ranging from 16 to 88 years) participated in an online cross-sectional survey examining whether demographic variables, symptoms of attention-deficit/hyperactivity disorder (ADHD), obsessive-compulsive disorder (OCD), anxiety, and depression could explain variance in addictive use (i.e., compulsive and excessive use associated with negative outcomes) of two types of modern online technologies: social media and video games. Correlations between symptoms of addictive technology use and mental disorder symptoms were all positive and significant, including the weak interrelationship between the two addictive technological behaviors. Age appeared to be inversely related to the addictive use of these technologies. Being male was significantly associated with addictive use of video games, whereas being female was significantly associated with addictive use of social media. Being single was positively related to both addictive social networking and video gaming. Hierarchical regression analyses showed that demographic factors explained between 11 and 12% of the variance in addictive technology use. The mental health variables explained between 7 and 15% of the variance. The study significantly adds to our understanding of mental health symptoms and their role in addictive use of modern technology, and suggests that the concept of Internet use disorder (i.e., \u201cInternet addiction\u201d) as a unified construct is not warranted.", "author" : [ { "dropping-particle" : "", "family" : "Andreassen", "given" : "C S", "non-dropping-particle" : "", "parse-names" : false, "suffix" : "" }, { "dropping-particle" : "", "family" : "Billieux", "given" : "J", "non-dropping-particle" : "", "parse-names" : false, "suffix" : "" }, { "dropping-particle" : "", "family" : "Griffiths", "given" : "M D", "non-dropping-particle" : "", "parse-names" : false, "suffix" : "" }, { "dropping-particle" : "", "family" : "Kuss", "given" : "D J", "non-dropping-particle" : "", "parse-names" : false, "suffix" : "" }, { "dropping-particle" : "", "family" : "Demetrovics", "given" : "Z", "non-dropping-particle" : "", "parse-names" : false, "suffix" : "" }, { "dropping-particle" : "", "family" : "Mazzoni", "given" : "E", "non-dropping-particle" : "", "parse-names" : false, "suffix" : "" }, { "dropping-particle" : "", "family" : "Pallesen", "given" : "S", "non-dropping-particle" : "", "parse-names" : false, "suffix" : "" } ], "container-title" : "Psychology of Addictive Behaviors", "id" : "ITEM-2", "issue" : "2", "issued" : { "date-parts" : [ [ "2016" ] ] }, "page" : "252-262", "title" : "The relationship between addictive use of social media and video games and symptoms of psychiatric disorders: A large-scale cross-sectional study", "type" : "article-journal", "volume" : "30" }, "uris" : [ "http://www.mendeley.com/documents/?uuid=ec88adf8-d62b-43e3-8190-428c32db4cb1" ] }, { "id" : "ITEM-3", "itemData" : { "DOI" : "http://dx.doi.org/10.1016/j.adolescence.2016.05.008", "ISSN" : "0140-1971", "abstract" : "Abstract This study examined how social media use related to sleep quality, self-esteem, anxiety and depression in 467 Scottish adolescents. We measured overall social media use, nighttime-specific social media use, emotional investment in social media, sleep quality, self-esteem and levels of anxiety and depression. Adolescents who used social media more \u2013 both overall and at night \u2013 and those who were more emotionally invested in social media experienced poorer sleep quality, lower self-esteem and higher levels of anxiety and depression. Nighttime-specific social media use predicted poorer sleep quality after controlling for anxiety, depression and self-esteem. These findings contribute to the growing body of evidence that social media use is related to various aspects of wellbeing in adolescents. In addition, our results indicate that nighttime-specific social media use and emotional investment in social media are two important factors that merit further investigation in relation to adolescent sleep and wellbeing.", "author" : [ { "dropping-particle" : "", "family" : "Woods", "given" : "H C", "non-dropping-particle" : "", "parse-names" : false, "suffix" : "" }, { "dropping-particle" : "", "family" : "Scott", "given" : "H", "non-dropping-particle" : "", "parse-names" : false, "suffix" : "" } ], "container-title" : "Journal of Adolescence", "id" : "ITEM-3", "issued" : { "date-parts" : [ [ "2016", "8" ] ] }, "page" : "41-49", "title" : "#Sleepyteens: Social media use in adolescence is associated with poor sleep quality, anxiety, depression and low self-esteem", "type" : "article-journal", "volume" : "51" }, "uris" : [ "http://www.mendeley.com/documents/?uuid=18f6cbb1-0992-4d71-9801-80431210e756" ] }, { "id" : "ITEM-4", "itemData" : { "DOI" : "10.3389/fnhum.2014.00712", "ISSN" : "1662-5161 (Electronic)", "PMID" : "25309388", "abstract" : "Depression is a debilitating condition that adversely affects many aspects of a person's life and general health. Earlier work has supported the idea that there may be a relationship between the use of certain media and depression. In this study, we tested if self-report of depression (SRD), which is not a clinically based diagnosis, was associated with increased internet, television, and social media usage by using data collected in the Media Behavior and Influence Study (MBIS) database (N = 19,776 subjects). We further assessed the relationship of demographic variables to this association. These analyses found that SRD rates were in the range of published rates of clinically diagnosed major depression. It found that those who tended to use more media also tended to be more depressed, and that segmentation of SRD subjects was weighted toward internet and television usage, which was not the case with non-SRD subjects, who were segmented along social media use. This study found that those who have suffered either economic or physical life setbacks are orders of magnitude more likely to be depressed, even without disproportionately high levels of media use. However, among those that have suffered major life setbacks, high media users-particularly television watchers-were even more likely to report experiencing depression, which suggests that these effects were not just due to individuals having more time for media consumption. These findings provide an example of how Big Data can be used for medical and mental health research, helping to elucidate issues not traditionally tested in the fields of psychiatry or experimental psychology.", "author" : [ { "dropping-particle" : "", "family" : "Block", "given" : "Martin", "non-dropping-particle" : "", "parse-names" : false, "suffix" : "" }, { "dropping-particle" : "", "family" : "Stern", "given" : "Daniel B", "non-dropping-particle" : "", "parse-names" : false, "suffix" : "" }, { "dropping-particle" : "", "family" : "Raman", "given" : "Kalyan", "non-dropping-particle" : "", "parse-names" : false, "suffix" : "" }, { "dropping-particle" : "", "family" : "Lee", "given" : "Sang", "non-dropping-particle" : "", "parse-names" : false, "suffix" : "" }, { "dropping-particle" : "", "family" : "Carey", "given" : "Jim", "non-dropping-particle" : "", "parse-names" : false, "suffix" : "" }, { "dropping-particle" : "", "family" : "Humphreys", "given" : "Ashlee A", "non-dropping-particle" : "", "parse-names" : false, "suffix" : "" }, { "dropping-particle" : "", "family" : "Mulhern", "given" : "Frank", "non-dropping-particle" : "", "parse-names" : false, "suffix" : "" }, { "dropping-particle" : "", "family" : "Calder", "given" : "Bobby", "non-dropping-particle" : "", "parse-names" : false, "suffix" : "" }, { "dropping-particle" : "", "family" : "Schultz", "given" : "Don", "non-dropping-particle" : "", "parse-names" : false, "suffix" : "" }, { "dropping-particle" : "", "family" : "Rudick", "given" : "Charles N", "non-dropping-particle" : "", "parse-names" : false, "suffix" : "" }, { "dropping-particle" : "", "family" : "Blood", "given" : "Anne J", "non-dropping-particle" : "", "parse-names" : false, "suffix" : "" }, { "dropping-particle" : "", "family" : "Breiter", "given" : "Hans C", "non-dropping-particle" : "", "parse-names" : false, "suffix" : "" } ], "container-title" : "Frontiers in human neuroscience", "id" : "ITEM-4", "issued" : { "date-parts" : [ [ "2014" ] ] }, "language" : "eng", "page" : "712", "publisher-place" : "Switzerland", "title" : "The relationship between self-report of depression and media usage", "type" : "article-journal", "volume" : "8" }, "uris" : [ "http://www.mendeley.com/documents/?uuid=f13a7673-7fef-4ea1-8bd4-1f24c5596236" ] }, { "id" : "ITEM-5", "itemData" : { "DOI" : "10.1371/journal.pone.0069841", "ISSN" : "1932-6203", "PMID" : "23967061", "abstract" : "Over 500 million people interact daily with Facebook. Yet, whether Facebook use influences subjective well-being over time is unknown. We addressed this issue using experience-sampling, the most reliable method for measuring in-vivo behavior and psychological experience. We text-messaged people five times per day for two-weeks to examine how Facebook use influences the two components of subjective well-being: how people feel moment-to-moment and how satisfied they are with their lives. Our results indicate that Facebook use predicts negative shifts on both of these variables over time. The more people used Facebook at one time point, the worse they felt the next time we text-messaged them; the more they used Facebook over two-weeks, the more their life satisfaction levels declined over time. Interacting with other people \"directly\" did not predict these negative outcomes. They were also not moderated by the size of people's Facebook networks, their perceived supportiveness, motivation for using Facebook, gender, loneliness, self-esteem, or depression. On the surface, Facebook provides an invaluable resource for fulfilling the basic human need for social connection. Rather than enhancing well-being, however, these findings suggest that Facebook may undermine it.", "author" : [ { "dropping-particle" : "", "family" : "Kross", "given" : "E", "non-dropping-particle" : "", "parse-names" : false, "suffix" : "" }, { "dropping-particle" : "", "family" : "Verduyn", "given" : "P", "non-dropping-particle" : "", "parse-names" : false, "suffix" : "" }, { "dropping-particle" : "", "family" : "Demiralp", "given" : "E", "non-dropping-particle" : "", "parse-names" : false, "suffix" : "" }, { "dropping-particle" : "", "family" : "Park", "given" : "J", "non-dropping-particle" : "", "parse-names" : false, "suffix" : "" }, { "dropping-particle" : "", "family" : "Lee", "given" : "D S", "non-dropping-particle" : "", "parse-names" : false, "suffix" : "" }, { "dropping-particle" : "", "family" : "Lin", "given" : "N", "non-dropping-particle" : "", "parse-names" : false, "suffix" : "" }, { "dropping-particle" : "", "family" : "Shablack", "given" : "H", "non-dropping-particle" : "", "parse-names" : false, "suffix" : "" }, { "dropping-particle" : "", "family" : "Jonides", "given" : "J", "non-dropping-particle" : "", "parse-names" : false, "suffix" : "" }, { "dropping-particle" : "", "family" : "Ybarra", "given" : "O", "non-dropping-particle" : "", "parse-names" : false, "suffix" : "" } ], "container-title" : "PLOS ONE", "id" : "ITEM-5", "issue" : "8", "issued" : { "date-parts" : [ [ "2013", "1" ] ] }, "title" : "Facebook use predicts declines in subjective well-being in young adults", "type" : "article-journal", "volume" : "8" }, "uris" : [ "http://www.mendeley.com/documents/?uuid=873515fa-d7e2-4b35-87c7-268dadc4db77" ] } ], "mendeley" : { "formattedCitation" : "(Andreassen et al., 2016; Block et al., 2014; Kross et al., 2013; L. Y. Lin et al., 2016; Woods &amp; Scott, 2016)", "plainTextFormattedCitation" : "(Andreassen et al., 2016; Block et al., 2014; Kross et al., 2013; L. Y. Lin et al., 2016; Woods &amp; Scott, 2016)", "previouslyFormattedCitation" : "&lt;sup&gt;12\u201316&lt;/sup&gt;" }, "properties" : { "noteIndex" : 0 }, "schema" : "https://github.com/citation-style-language/schema/raw/master/csl-citation.json" }</w:instrText>
      </w:r>
      <w:r w:rsidR="0053656A">
        <w:rPr>
          <w:rFonts w:ascii="Calibri" w:eastAsia="Calibri" w:hAnsi="Calibri" w:cs="Arial"/>
          <w:bCs/>
          <w:color w:val="000000"/>
        </w:rPr>
        <w:fldChar w:fldCharType="separate"/>
      </w:r>
      <w:r w:rsidR="001F2834" w:rsidRPr="001F2834">
        <w:rPr>
          <w:rFonts w:ascii="Calibri" w:eastAsia="Calibri" w:hAnsi="Calibri" w:cs="Arial"/>
          <w:bCs/>
          <w:noProof/>
          <w:color w:val="000000"/>
        </w:rPr>
        <w:t>(Andreassen et al., 2016; Block et al., 2014; Kross et al., 2013; L. Y. Lin et al., 2016; Woods &amp; Scott, 2016)</w:t>
      </w:r>
      <w:r w:rsidR="0053656A">
        <w:rPr>
          <w:rFonts w:ascii="Calibri" w:eastAsia="Calibri" w:hAnsi="Calibri" w:cs="Arial"/>
          <w:bCs/>
          <w:color w:val="000000"/>
        </w:rPr>
        <w:fldChar w:fldCharType="end"/>
      </w:r>
      <w:r w:rsidR="00073F49">
        <w:rPr>
          <w:rFonts w:ascii="Calibri" w:eastAsia="Calibri" w:hAnsi="Calibri" w:cs="Arial"/>
          <w:bCs/>
          <w:color w:val="000000"/>
        </w:rPr>
        <w:t>.</w:t>
      </w:r>
      <w:r w:rsidR="003B7956" w:rsidRPr="008C45AB">
        <w:rPr>
          <w:rFonts w:ascii="Calibri" w:eastAsia="Calibri" w:hAnsi="Calibri" w:cs="Arial"/>
          <w:bCs/>
          <w:color w:val="000000"/>
        </w:rPr>
        <w:t xml:space="preserve"> This may in part be because f</w:t>
      </w:r>
      <w:r w:rsidRPr="008C45AB">
        <w:rPr>
          <w:rFonts w:ascii="Calibri" w:eastAsia="Calibri" w:hAnsi="Calibri" w:cs="Arial"/>
          <w:bCs/>
          <w:color w:val="000000"/>
        </w:rPr>
        <w:t xml:space="preserve">requent users may substitute </w:t>
      </w:r>
      <w:r w:rsidR="004C4E57">
        <w:rPr>
          <w:rFonts w:ascii="Calibri" w:eastAsia="Calibri" w:hAnsi="Calibri" w:cs="Arial"/>
          <w:bCs/>
          <w:color w:val="000000"/>
        </w:rPr>
        <w:t xml:space="preserve">social media </w:t>
      </w:r>
      <w:r w:rsidRPr="008C45AB">
        <w:rPr>
          <w:rFonts w:ascii="Calibri" w:eastAsia="Calibri" w:hAnsi="Calibri" w:cs="Arial"/>
          <w:bCs/>
          <w:color w:val="000000"/>
        </w:rPr>
        <w:t>for face-to-face social i</w:t>
      </w:r>
      <w:r w:rsidR="00073F49">
        <w:rPr>
          <w:rFonts w:ascii="Calibri" w:eastAsia="Calibri" w:hAnsi="Calibri" w:cs="Arial"/>
          <w:bCs/>
          <w:color w:val="000000"/>
        </w:rPr>
        <w:t xml:space="preserve">nteractions </w:t>
      </w:r>
      <w:r w:rsidR="0053656A" w:rsidRPr="008C45AB">
        <w:rPr>
          <w:rFonts w:ascii="Calibri" w:eastAsia="Calibri" w:hAnsi="Calibri" w:cs="Arial"/>
          <w:bCs/>
          <w:color w:val="000000"/>
        </w:rPr>
        <w:fldChar w:fldCharType="begin" w:fldLock="1"/>
      </w:r>
      <w:r w:rsidR="001F2834">
        <w:rPr>
          <w:rFonts w:ascii="Calibri" w:eastAsia="Calibri" w:hAnsi="Calibri" w:cs="Arial"/>
          <w:bCs/>
          <w:color w:val="000000"/>
        </w:rPr>
        <w:instrText>ADDIN CSL_CITATION { "citationItems" : [ { "id" : "ITEM-1", "itemData" : { "ISBN" : "1-84465-527-X (Hardcover), 978-1-84465-527-4 (Hardcover)", "abstract" : "(from the jacket) The hope for intimacy lies deep within us all. That moment of feeling uniquely understood, the antidote to isolation, is what gives us value, validation and self-belief. But as Ziyad Marar shows in this study, intimacy is a tricky business. The prevalence of social media, for example, is a sign of our desire for human connection, yet is a symptom of how little we truly achieve it. Often confused with love, intimacy is in many ways more important. Marar's investigation and celebration of this elusive but profound human experience shows how intimacy is central to a life well lived. But how do we spot the real thing? Marar helpfully identifies a key set of ingredients - reciprocity, conspiracy, heightened emotion, kindness - that when brought together enable the strongest experiences of intimacy. Without these four characteristics in the mix we are experiencing something less, or something else. Drawing on a wide range of sources - from key thinkers, as well as telling examples from familiar films and novels - Marar illustrates the subtlety and intricacies of intimacy and shows how closely it is bound up with notions of trust, control, risk and our own insecurities. Intimacy, argues Marar, is a necessary component of a fulfilled life. Yet we should not take for granted that we know what it is and how to get it. A better understanding of this powerful experience and the many barriers to achieving it may just help us to brave the search for it. it. For anyone bold enough to do so, which should be all of us. Intimacy is required reading. (PsycINFO Database Record (c) 2013 APA, all rights reserved)", "author" : [ { "dropping-particle" : "", "family" : "Marar", "given" : "Z", "non-dropping-particle" : "", "parse-names" : false, "suffix" : "" } ], "id" : "ITEM-1", "issued" : { "date-parts" : [ [ "2012" ] ] }, "publisher" : "Acumen Publishing", "publisher-place" : "Durham, United Kingdom", "title" : "Intimacy: Understanding the subtle power of human connection", "type" : "book" }, "uris" : [ "http://www.mendeley.com/documents/?uuid=3de14c93-617e-4a96-8be9-b739e86c610b" ] }, { "id" : "ITEM-2", "itemData" : { "DOI" : "10.1089/cyber.2012.0510", "ISSN" : "2152-2723", "PMID" : "23697533", "abstract" : "With the advent of social network sites (SNSs), people can efficiently maintain preexisting social relationships and make online friendships without offline encounters. While such technological features of SNSs hold a variety of potential for individual and collective benefits, some scholars warn that use of SNSs might lead to socially negative consequences, such as social isolation, erosion of social cohesion, or SNS addiction. This study distinguishes types of SNS relationships, and investigates their relationships with social isolation, interpersonal trust, and SNS addiction. We classify SNS relationships into two types: (a) social relationships based on reciprocity between a user and his/her friends, and (b) parasocial relationships in which an ordinary user is aware of activities of a celebrity (e.g., famous actors, athletes, and others) but not vice versa. Based on achievements in studies of media effect and social psychology, we constructed a set of hypotheses, and tested them using a subsample of SNS users drawn from representative survey data in South Korea. We found that dependency on parasocial relationships is positively related with loneliness but negatively correlated with interpersonal distrust, while dependency on social relationship is negatively correlated with loneliness but positively related with trust. However, more dependency on both social and parasocial relationships are positively related with SNS addiction. Implications based on findings are also discussed.", "author" : [ { "dropping-particle" : "", "family" : "Baek", "given" : "Y M", "non-dropping-particle" : "", "parse-names" : false, "suffix" : "" }, { "dropping-particle" : "", "family" : "Bae", "given" : "Y", "non-dropping-particle" : "", "parse-names" : false, "suffix" : "" }, { "dropping-particle" : "", "family" : "Jang", "given" : "H", "non-dropping-particle" : "", "parse-names" : false, "suffix" : "" } ], "container-title" : "Cyberpsychology, Behavior and Social Networking", "id" : "ITEM-2", "issue" : "7", "issued" : { "date-parts" : [ [ "2013", "7" ] ] }, "page" : "512-517", "title" : "Social and parasocial relationships on social network sites and their differential relationships with users' psychological well-being", "type" : "article-journal", "volume" : "16" }, "uris" : [ "http://www.mendeley.com/documents/?uuid=8ec42f7e-a5b2-4948-bbb3-7bd38d983fc3" ] } ], "mendeley" : { "formattedCitation" : "(Baek, Bae, &amp; Jang, 2013; Marar, 2012)", "plainTextFormattedCitation" : "(Baek, Bae, &amp; Jang, 2013; Marar, 2012)", "previouslyFormattedCitation" : "&lt;sup&gt;17,18&lt;/sup&gt;" }, "properties" : { "noteIndex" : 0 }, "schema" : "https://github.com/citation-style-language/schema/raw/master/csl-citation.json" }</w:instrText>
      </w:r>
      <w:r w:rsidR="0053656A" w:rsidRPr="008C45AB">
        <w:rPr>
          <w:rFonts w:ascii="Calibri" w:eastAsia="Calibri" w:hAnsi="Calibri" w:cs="Arial"/>
          <w:bCs/>
          <w:color w:val="000000"/>
        </w:rPr>
        <w:fldChar w:fldCharType="separate"/>
      </w:r>
      <w:r w:rsidR="001F2834" w:rsidRPr="001F2834">
        <w:rPr>
          <w:rFonts w:ascii="Calibri" w:eastAsia="Calibri" w:hAnsi="Calibri" w:cs="Arial"/>
          <w:bCs/>
          <w:noProof/>
          <w:color w:val="000000"/>
        </w:rPr>
        <w:t>(Baek, Bae, &amp; Jang, 2013; Marar, 2012)</w:t>
      </w:r>
      <w:r w:rsidR="0053656A" w:rsidRPr="008C45AB">
        <w:rPr>
          <w:rFonts w:ascii="Calibri" w:eastAsia="Calibri" w:hAnsi="Calibri" w:cs="Arial"/>
          <w:bCs/>
          <w:color w:val="000000"/>
        </w:rPr>
        <w:fldChar w:fldCharType="end"/>
      </w:r>
      <w:r w:rsidR="00073F49">
        <w:rPr>
          <w:rFonts w:ascii="Calibri" w:eastAsia="Calibri" w:hAnsi="Calibri" w:cs="Arial"/>
          <w:bCs/>
          <w:color w:val="000000"/>
        </w:rPr>
        <w:t>.</w:t>
      </w:r>
      <w:r w:rsidR="006D3FB2" w:rsidRPr="008C45AB">
        <w:rPr>
          <w:rFonts w:ascii="Calibri" w:eastAsia="Calibri" w:hAnsi="Calibri" w:cs="Arial"/>
          <w:bCs/>
          <w:color w:val="000000"/>
        </w:rPr>
        <w:t xml:space="preserve"> </w:t>
      </w:r>
      <w:r w:rsidRPr="008C45AB">
        <w:rPr>
          <w:rFonts w:ascii="Calibri" w:hAnsi="Calibri" w:cs="Calibri"/>
        </w:rPr>
        <w:t>Similarly,</w:t>
      </w:r>
      <w:r w:rsidR="00C769D9" w:rsidRPr="008C45AB">
        <w:rPr>
          <w:rFonts w:ascii="Calibri" w:hAnsi="Calibri" w:cs="Calibri"/>
        </w:rPr>
        <w:t xml:space="preserve"> frequent exposure to highly curated, unrealistic portrayals on </w:t>
      </w:r>
      <w:r w:rsidRPr="008C45AB">
        <w:rPr>
          <w:rFonts w:ascii="Calibri" w:hAnsi="Calibri" w:cs="Calibri"/>
        </w:rPr>
        <w:t xml:space="preserve">social media may </w:t>
      </w:r>
      <w:r w:rsidR="00C769D9" w:rsidRPr="008C45AB">
        <w:rPr>
          <w:rFonts w:ascii="Calibri" w:hAnsi="Calibri" w:cs="Calibri"/>
        </w:rPr>
        <w:t>give people the impression that others are living happier, more connected lives, which may make people feel more socially isolated in comparison</w:t>
      </w:r>
      <w:r w:rsidR="00073F49">
        <w:rPr>
          <w:rFonts w:ascii="Calibri" w:hAnsi="Calibri" w:cs="Calibri"/>
        </w:rPr>
        <w:t xml:space="preserve"> </w:t>
      </w:r>
      <w:r w:rsidR="0053656A" w:rsidRPr="008C45AB">
        <w:rPr>
          <w:rFonts w:ascii="Calibri" w:hAnsi="Calibri" w:cs="Calibri"/>
        </w:rPr>
        <w:fldChar w:fldCharType="begin" w:fldLock="1"/>
      </w:r>
      <w:r w:rsidR="001F2834">
        <w:rPr>
          <w:rFonts w:ascii="Calibri" w:hAnsi="Calibri" w:cs="Calibri"/>
        </w:rPr>
        <w:instrText>ADDIN CSL_CITATION { "citationItems" : [ { "id" : "ITEM-1", "itemData" : { "DOI" : "10.1007/s10900-015-0128-8", "ISSN" : "0094-5145", "PMID" : "26613936", "abstract" : "Low emotional support is associated with poor health outcomes. Engagement with face-to-face social networks is one way of increasing emotional support. However, it is not yet known whether engagement with proliferating electronic social networks is similarly associated with increased emotional support. Thus, the purpose of this study was to assess associations between social media use and perceived emotional support in a large, nationally-representative sample. In October 2014, we collected data from 1796 U.S. adults ages 19\u201332. We assessed social media use using both total time spent and frequency of visits to each of the 11 most popular social media platforms. Our dependent variable was perceived emotional support as measured by the brief Patient-Reported Outcomes Measurement Information System (PROMIS) emotional support scale. A multivariable model including all sociodemographic covariates and accounting for survey weights demonstrated that, compared with the lowest quartile of time on social media, being in the highest quartile (spending two or more hours per day) was significantly associated with decreased odds of having higher perceived emotional support (AOR 0.62, 95 % CI 0.40, 0.94). However, compared with those in the lowest quartile, being in the highest quartile regarding frequency of social media use was not significantly associated with perceived emotional support (AOR 0.70, 95 % CI 0.45, 1.09). In conclusion, while the cross-sectional nature of these data hinder inference regarding directionality, it seems that heavy users of social media may actually feel less and not more emotional support.", "author" : [ { "dropping-particle" : "", "family" : "Shensa", "given" : "A", "non-dropping-particle" : "", "parse-names" : false, "suffix" : "" }, { "dropping-particle" : "", "family" : "Sidani", "given" : "J E", "non-dropping-particle" : "", "parse-names" : false, "suffix" : "" }, { "dropping-particle" : "", "family" : "Lin", "given" : "L", "non-dropping-particle" : "", "parse-names" : false, "suffix" : "" }, { "dropping-particle" : "", "family" : "Bowman", "given" : "N", "non-dropping-particle" : "", "parse-names" : false, "suffix" : "" }, { "dropping-particle" : "", "family" : "Primack", "given" : "B A", "non-dropping-particle" : "", "parse-names" : false, "suffix" : "" } ], "container-title" : "Journal of Community Health", "id" : "ITEM-1", "issue" : "3", "issued" : { "date-parts" : [ [ "2016", "6", "27" ] ] }, "page" : "541-549", "title" : "Social media use and perceived emotional support among US young adults", "type" : "article-journal", "volume" : "41" }, "uris" : [ "http://www.mendeley.com/documents/?uuid=5792898b-9eca-43b9-b221-3940205d79b4" ] } ], "mendeley" : { "formattedCitation" : "(Shensa, Sidani, Lin, Bowman, &amp; Primack, 2016)", "plainTextFormattedCitation" : "(Shensa, Sidani, Lin, Bowman, &amp; Primack, 2016)", "previouslyFormattedCitation" : "&lt;sup&gt;19&lt;/sup&gt;" }, "properties" : { "noteIndex" : 0 }, "schema" : "https://github.com/citation-style-language/schema/raw/master/csl-citation.json" }</w:instrText>
      </w:r>
      <w:r w:rsidR="0053656A" w:rsidRPr="008C45AB">
        <w:rPr>
          <w:rFonts w:ascii="Calibri" w:hAnsi="Calibri" w:cs="Calibri"/>
        </w:rPr>
        <w:fldChar w:fldCharType="separate"/>
      </w:r>
      <w:r w:rsidR="001F2834" w:rsidRPr="001F2834">
        <w:rPr>
          <w:rFonts w:ascii="Calibri" w:hAnsi="Calibri" w:cs="Calibri"/>
          <w:noProof/>
        </w:rPr>
        <w:t>(Shensa, Sidani, Lin, Bowman, &amp; Primack, 2016)</w:t>
      </w:r>
      <w:r w:rsidR="0053656A" w:rsidRPr="008C45AB">
        <w:rPr>
          <w:rFonts w:ascii="Calibri" w:hAnsi="Calibri" w:cs="Calibri"/>
        </w:rPr>
        <w:fldChar w:fldCharType="end"/>
      </w:r>
      <w:r w:rsidR="00073F49">
        <w:rPr>
          <w:rFonts w:ascii="Calibri" w:hAnsi="Calibri" w:cs="Calibri"/>
        </w:rPr>
        <w:t>.</w:t>
      </w:r>
    </w:p>
    <w:p w:rsidR="003B7956" w:rsidRPr="008C45AB" w:rsidRDefault="003B7956" w:rsidP="0069662F">
      <w:pPr>
        <w:spacing w:line="480" w:lineRule="auto"/>
        <w:rPr>
          <w:rFonts w:ascii="Calibri" w:eastAsia="Calibri" w:hAnsi="Calibri" w:cs="Arial"/>
          <w:bCs/>
          <w:color w:val="000000"/>
        </w:rPr>
      </w:pPr>
    </w:p>
    <w:p w:rsidR="003B7956" w:rsidRPr="008C45AB" w:rsidRDefault="007B60F0" w:rsidP="0069662F">
      <w:pPr>
        <w:spacing w:line="480" w:lineRule="auto"/>
        <w:rPr>
          <w:rFonts w:ascii="Calibri" w:eastAsia="Calibri" w:hAnsi="Calibri" w:cs="Arial"/>
          <w:bCs/>
          <w:color w:val="000000"/>
        </w:rPr>
      </w:pPr>
      <w:r w:rsidRPr="008C45AB">
        <w:rPr>
          <w:rFonts w:ascii="Calibri" w:eastAsia="Calibri" w:hAnsi="Calibri" w:cs="Arial"/>
          <w:bCs/>
          <w:color w:val="000000"/>
        </w:rPr>
        <w:t>A</w:t>
      </w:r>
      <w:r w:rsidR="003B7956" w:rsidRPr="008C45AB">
        <w:rPr>
          <w:rFonts w:ascii="Calibri" w:eastAsia="Calibri" w:hAnsi="Calibri" w:cs="Arial"/>
          <w:bCs/>
          <w:color w:val="000000"/>
        </w:rPr>
        <w:t>ssociations between SMU</w:t>
      </w:r>
      <w:r w:rsidRPr="008C45AB">
        <w:rPr>
          <w:rFonts w:ascii="Calibri" w:eastAsia="Calibri" w:hAnsi="Calibri" w:cs="Arial"/>
          <w:bCs/>
          <w:color w:val="000000"/>
        </w:rPr>
        <w:t xml:space="preserve"> and </w:t>
      </w:r>
      <w:r w:rsidR="004C4E57">
        <w:rPr>
          <w:rFonts w:ascii="Calibri" w:eastAsia="Calibri" w:hAnsi="Calibri" w:cs="Arial"/>
          <w:bCs/>
          <w:color w:val="000000"/>
        </w:rPr>
        <w:t xml:space="preserve">self-reported </w:t>
      </w:r>
      <w:r w:rsidRPr="008C45AB">
        <w:rPr>
          <w:rFonts w:ascii="Calibri" w:eastAsia="Calibri" w:hAnsi="Calibri" w:cs="Arial"/>
          <w:bCs/>
          <w:color w:val="000000"/>
        </w:rPr>
        <w:t>depression and anxiety also may be related to</w:t>
      </w:r>
      <w:r w:rsidR="003B7956" w:rsidRPr="008C45AB">
        <w:rPr>
          <w:rFonts w:ascii="Calibri" w:eastAsia="Calibri" w:hAnsi="Calibri" w:cs="Arial"/>
          <w:bCs/>
          <w:color w:val="000000"/>
        </w:rPr>
        <w:t xml:space="preserve"> the use of multiple </w:t>
      </w:r>
      <w:r w:rsidR="00DF3995">
        <w:rPr>
          <w:rFonts w:ascii="Calibri" w:eastAsia="Calibri" w:hAnsi="Calibri" w:cs="Arial"/>
          <w:bCs/>
          <w:color w:val="000000"/>
        </w:rPr>
        <w:t xml:space="preserve">social media </w:t>
      </w:r>
      <w:r w:rsidR="003B7956" w:rsidRPr="008C45AB">
        <w:rPr>
          <w:rFonts w:ascii="Calibri" w:eastAsia="Calibri" w:hAnsi="Calibri" w:cs="Arial"/>
          <w:bCs/>
          <w:color w:val="000000"/>
        </w:rPr>
        <w:t>platforms. The number of different social media platforms used is rising substantially. For example, use of 2 o</w:t>
      </w:r>
      <w:r w:rsidR="00AD4FB2" w:rsidRPr="008C45AB">
        <w:rPr>
          <w:rFonts w:ascii="Calibri" w:eastAsia="Calibri" w:hAnsi="Calibri" w:cs="Arial"/>
          <w:bCs/>
          <w:color w:val="000000"/>
        </w:rPr>
        <w:t>r more platforms increased by 10</w:t>
      </w:r>
      <w:r w:rsidR="003B7956" w:rsidRPr="008C45AB">
        <w:rPr>
          <w:rFonts w:ascii="Calibri" w:eastAsia="Calibri" w:hAnsi="Calibri" w:cs="Arial"/>
          <w:bCs/>
          <w:color w:val="000000"/>
        </w:rPr>
        <w:t>% in j</w:t>
      </w:r>
      <w:r w:rsidR="00073F49">
        <w:rPr>
          <w:rFonts w:ascii="Calibri" w:eastAsia="Calibri" w:hAnsi="Calibri" w:cs="Arial"/>
          <w:bCs/>
          <w:color w:val="000000"/>
        </w:rPr>
        <w:t xml:space="preserve">ust one year, from 2013 to 2014 </w:t>
      </w:r>
      <w:r w:rsidR="0053656A" w:rsidRPr="008C45AB">
        <w:rPr>
          <w:rFonts w:ascii="Calibri" w:eastAsia="Calibri" w:hAnsi="Calibri" w:cs="Arial"/>
          <w:bCs/>
          <w:color w:val="000000"/>
        </w:rPr>
        <w:fldChar w:fldCharType="begin" w:fldLock="1"/>
      </w:r>
      <w:r w:rsidR="001F2834">
        <w:rPr>
          <w:rFonts w:ascii="Calibri" w:eastAsia="Calibri" w:hAnsi="Calibri" w:cs="Arial"/>
          <w:bCs/>
          <w:color w:val="000000"/>
        </w:rPr>
        <w:instrText>ADDIN CSL_CITATION { "citationItems" : [ { "id" : "ITEM-1", "itemData" : { "URL" : "http://www.pewinternet.org/2015/01/09/social-media-update-2014/", "abstract" : "In a new survey conducted in September 2014, the Pew Research Center finds that Facebook remains by far the most popular social media site. While its growth has slowed, the level of user engagement with the platform has increased. Other platforms like Twitter, Instagram, Pinterest and LinkedIn saw significant increases over the past year in the proportion of online adults who now use their sites", "author" : [ { "dropping-particle" : "", "family" : "Duggan", "given" : "M", "non-dropping-particle" : "", "parse-names" : false, "suffix" : "" }, { "dropping-particle" : "", "family" : "Ellison", "given" : "N B", "non-dropping-particle" : "", "parse-names" : false, "suffix" : "" }, { "dropping-particle" : "", "family" : "Lampe", "given" : "C", "non-dropping-particle" : "", "parse-names" : false, "suffix" : "" }, { "dropping-particle" : "", "family" : "Lenhart", "given" : "A", "non-dropping-particle" : "", "parse-names" : false, "suffix" : "" }, { "dropping-particle" : "", "family" : "Madden", "given" : "M", "non-dropping-particle" : "", "parse-names" : false, "suffix" : "" } ], "container-title" : "Pew Research Center", "id" : "ITEM-1", "issued" : { "date-parts" : [ [ "2014" ] ] }, "page" : "1", "title" : "Social Media Update 2014", "type" : "webpage" }, "uris" : [ "http://www.mendeley.com/documents/?uuid=a7c12c9b-9f24-45d1-8a7d-143de3e75955" ] } ], "mendeley" : { "formattedCitation" : "(Duggan, Ellison, Lampe, Lenhart, &amp; Madden, 2014)", "plainTextFormattedCitation" : "(Duggan, Ellison, Lampe, Lenhart, &amp; Madden, 2014)", "previouslyFormattedCitation" : "&lt;sup&gt;20&lt;/sup&gt;" }, "properties" : { "noteIndex" : 0 }, "schema" : "https://github.com/citation-style-language/schema/raw/master/csl-citation.json" }</w:instrText>
      </w:r>
      <w:r w:rsidR="0053656A" w:rsidRPr="008C45AB">
        <w:rPr>
          <w:rFonts w:ascii="Calibri" w:eastAsia="Calibri" w:hAnsi="Calibri" w:cs="Arial"/>
          <w:bCs/>
          <w:color w:val="000000"/>
        </w:rPr>
        <w:fldChar w:fldCharType="separate"/>
      </w:r>
      <w:r w:rsidR="001F2834" w:rsidRPr="001F2834">
        <w:rPr>
          <w:rFonts w:ascii="Calibri" w:eastAsia="Calibri" w:hAnsi="Calibri" w:cs="Arial"/>
          <w:bCs/>
          <w:noProof/>
          <w:color w:val="000000"/>
        </w:rPr>
        <w:t>(Duggan, Ellison, Lampe, Lenhart, &amp; Madden, 2014)</w:t>
      </w:r>
      <w:r w:rsidR="0053656A" w:rsidRPr="008C45AB">
        <w:rPr>
          <w:rFonts w:ascii="Calibri" w:eastAsia="Calibri" w:hAnsi="Calibri" w:cs="Arial"/>
          <w:bCs/>
          <w:color w:val="000000"/>
        </w:rPr>
        <w:fldChar w:fldCharType="end"/>
      </w:r>
      <w:r w:rsidR="00073F49">
        <w:rPr>
          <w:rFonts w:ascii="Calibri" w:eastAsia="Calibri" w:hAnsi="Calibri" w:cs="Arial"/>
          <w:bCs/>
          <w:color w:val="000000"/>
        </w:rPr>
        <w:t>.</w:t>
      </w:r>
      <w:r w:rsidR="006D3FB2" w:rsidRPr="008C45AB">
        <w:rPr>
          <w:rFonts w:ascii="Calibri" w:eastAsia="Calibri" w:hAnsi="Calibri" w:cs="Arial"/>
          <w:bCs/>
          <w:color w:val="000000"/>
        </w:rPr>
        <w:t xml:space="preserve"> </w:t>
      </w:r>
      <w:r w:rsidRPr="008C45AB">
        <w:rPr>
          <w:rFonts w:ascii="Calibri" w:eastAsia="Calibri" w:hAnsi="Calibri" w:cs="Arial"/>
          <w:bCs/>
          <w:color w:val="000000"/>
        </w:rPr>
        <w:t xml:space="preserve">On one hand, increased </w:t>
      </w:r>
      <w:r w:rsidR="00DF3995">
        <w:rPr>
          <w:rFonts w:ascii="Calibri" w:eastAsia="Calibri" w:hAnsi="Calibri" w:cs="Arial"/>
          <w:bCs/>
          <w:color w:val="000000"/>
        </w:rPr>
        <w:t xml:space="preserve">use of multiple </w:t>
      </w:r>
      <w:r w:rsidR="00B43A3A">
        <w:rPr>
          <w:rFonts w:ascii="Calibri" w:eastAsia="Calibri" w:hAnsi="Calibri" w:cs="Arial"/>
          <w:bCs/>
          <w:color w:val="000000"/>
        </w:rPr>
        <w:t xml:space="preserve"> social media</w:t>
      </w:r>
      <w:r w:rsidR="00DF3995">
        <w:rPr>
          <w:rFonts w:ascii="Calibri" w:eastAsia="Calibri" w:hAnsi="Calibri" w:cs="Arial"/>
          <w:bCs/>
          <w:color w:val="000000"/>
        </w:rPr>
        <w:t xml:space="preserve"> platforms </w:t>
      </w:r>
      <w:r w:rsidRPr="008C45AB">
        <w:rPr>
          <w:rFonts w:ascii="Calibri" w:eastAsia="Calibri" w:hAnsi="Calibri" w:cs="Arial"/>
          <w:bCs/>
          <w:color w:val="000000"/>
        </w:rPr>
        <w:t>may be associated with an increase in one’s social capital and social support, which may subsequently be related to</w:t>
      </w:r>
      <w:r w:rsidR="009E150B">
        <w:rPr>
          <w:rFonts w:ascii="Calibri" w:eastAsia="Calibri" w:hAnsi="Calibri" w:cs="Arial"/>
          <w:bCs/>
          <w:color w:val="000000"/>
        </w:rPr>
        <w:t xml:space="preserve"> </w:t>
      </w:r>
      <w:r w:rsidR="005D45FC">
        <w:rPr>
          <w:rFonts w:ascii="Calibri" w:eastAsia="Calibri" w:hAnsi="Calibri" w:cs="Arial"/>
          <w:bCs/>
          <w:color w:val="000000"/>
        </w:rPr>
        <w:t>improvement of</w:t>
      </w:r>
      <w:r w:rsidRPr="008C45AB">
        <w:rPr>
          <w:rFonts w:ascii="Calibri" w:eastAsia="Calibri" w:hAnsi="Calibri" w:cs="Arial"/>
          <w:bCs/>
          <w:color w:val="000000"/>
        </w:rPr>
        <w:t xml:space="preserve"> depression and anxiety</w:t>
      </w:r>
      <w:r w:rsidR="005D45FC">
        <w:rPr>
          <w:rFonts w:ascii="Calibri" w:eastAsia="Calibri" w:hAnsi="Calibri" w:cs="Arial"/>
          <w:bCs/>
          <w:color w:val="000000"/>
        </w:rPr>
        <w:t xml:space="preserve"> symptoms</w:t>
      </w:r>
      <w:r w:rsidR="00073F49">
        <w:rPr>
          <w:rFonts w:ascii="Calibri" w:eastAsia="Calibri" w:hAnsi="Calibri" w:cs="Arial"/>
          <w:bCs/>
          <w:color w:val="000000"/>
        </w:rPr>
        <w:t xml:space="preserve"> </w:t>
      </w:r>
      <w:r w:rsidR="0053656A" w:rsidRPr="008C45AB">
        <w:rPr>
          <w:rFonts w:ascii="Calibri" w:eastAsia="Calibri" w:hAnsi="Calibri" w:cs="Arial"/>
          <w:bCs/>
          <w:color w:val="000000"/>
        </w:rPr>
        <w:fldChar w:fldCharType="begin" w:fldLock="1"/>
      </w:r>
      <w:r w:rsidR="001F2834">
        <w:rPr>
          <w:rFonts w:ascii="Calibri" w:eastAsia="Calibri" w:hAnsi="Calibri" w:cs="Arial"/>
          <w:bCs/>
          <w:color w:val="000000"/>
        </w:rPr>
        <w:instrText>ADDIN CSL_CITATION { "citationItems" : [ { "id" : "ITEM-1", "itemData" : { "DOI" : "10.1016/j.bushor.2011.01.005", "abstract" : "Traditionally, consumers used the Internet to simply expend content: they read it, they watched it, and they used it to buy products and services. Increasingly, however, consumers are utilizing platforms\u2014such as content sharing sites, blogs, social networking, and wikis\u2014to create, modify, share, and discuss Internet content. This represents the social media phenomenon, which can now significantly impact a firm's reputation, sales, and even survival. Yet, many executives eschew or ignore this form of media because they don\u2019t understand what it is, the various forms it can take, and how to engage with it and learn. In response, we present a framework that defines social media by using seven functional building blocks: identity, conversations, sharing, presence, relationships, reputation, and groups. As different social media activities are defined by the extent to which they focus on some or all of these blocks, we explain the implications that each block can have for how firms should engage with social media. To conclude, we present a number of recommendations regarding how firms should develop strategies for monitoring, understanding, and responding to different social media activities.", "author" : [ { "dropping-particle" : "", "family" : "Keitzmann", "given" : "J H", "non-dropping-particle" : "", "parse-names" : false, "suffix" : "" }, { "dropping-particle" : "", "family" : "Hermkens", "given" : "K", "non-dropping-particle" : "", "parse-names" : false, "suffix" : "" }, { "dropping-particle" : "", "family" : "McCarthy", "given" : "I P", "non-dropping-particle" : "", "parse-names" : false, "suffix" : "" }, { "dropping-particle" : "", "family" : "Silvestre", "given" : "B S", "non-dropping-particle" : "", "parse-names" : false, "suffix" : "" } ], "container-title" : "Business Horizons", "id" : "ITEM-1", "issued" : { "date-parts" : [ [ "2011" ] ] }, "page" : "241-251", "title" : "Social media? Get serious! Understanding the functional building blocks of social media", "type" : "article-journal", "volume" : "54" }, "uris" : [ "http://www.mendeley.com/documents/?uuid=57c9c976-ed1a-478b-9196-ab8e3d152d03" ] }, { "id" : "ITEM-2", "itemData" : { "DOI" : "10.1111/j.1083-6101.2007.00367.x", "ISSN" : "10836101", "abstract" : "This study examines the relationship between use of Facebook, a popular online social network site, and the formation and maintenance of social capital. In addition to assessing bonding and bridging social capital, we explore a dimension of social capital that assesses one\u2019s ability to stay connected with members of a previously inhabited community, which we call maintained social capital. Regression analyses conducted on results from a survey of undergraduate students (N = 286) suggest a strong association between use of Facebook and the three types of social capital, with the strongest relationship being to bridging social capital. In addition, Facebook usage was found to interact with measures of psychological well-being, suggesting that it might provide greater", "author" : [ { "dropping-particle" : "", "family" : "Ellison", "given" : "N. B.", "non-dropping-particle" : "", "parse-names" : false, "suffix" : "" }, { "dropping-particle" : "", "family" : "Steinfield", "given" : "C", "non-dropping-particle" : "", "parse-names" : false, "suffix" : "" }, { "dropping-particle" : "", "family" : "Lampe", "given" : "C", "non-dropping-particle" : "", "parse-names" : false, "suffix" : "" } ], "container-title" : "Journal of Computer-Mediated Communication", "id" : "ITEM-2", "issue" : "4", "issued" : { "date-parts" : [ [ "2007", "7" ] ] }, "page" : "1143-1168", "title" : "The benefits of Facebook \u201cfriends:\u201d Social capital and college students\u2019 use of online social network sites", "type" : "article-journal", "volume" : "12" }, "uris" : [ "http://www.mendeley.com/documents/?uuid=02a954d4-6cee-416a-923b-9a5c0764d1d0" ] } ], "mendeley" : { "formattedCitation" : "(Ellison et al., 2007; Keitzmann, Hermkens, McCarthy, &amp; Silvestre, 2011)", "plainTextFormattedCitation" : "(Ellison et al., 2007; Keitzmann, Hermkens, McCarthy, &amp; Silvestre, 2011)", "previouslyFormattedCitation" : "&lt;sup&gt;6,21&lt;/sup&gt;" }, "properties" : { "noteIndex" : 0 }, "schema" : "https://github.com/citation-style-language/schema/raw/master/csl-citation.json" }</w:instrText>
      </w:r>
      <w:r w:rsidR="0053656A" w:rsidRPr="008C45AB">
        <w:rPr>
          <w:rFonts w:ascii="Calibri" w:eastAsia="Calibri" w:hAnsi="Calibri" w:cs="Arial"/>
          <w:bCs/>
          <w:color w:val="000000"/>
        </w:rPr>
        <w:fldChar w:fldCharType="separate"/>
      </w:r>
      <w:r w:rsidR="001F2834" w:rsidRPr="001F2834">
        <w:rPr>
          <w:rFonts w:ascii="Calibri" w:eastAsia="Calibri" w:hAnsi="Calibri" w:cs="Arial"/>
          <w:bCs/>
          <w:noProof/>
          <w:color w:val="000000"/>
        </w:rPr>
        <w:t>(Ellison et al., 2007; Keitzmann, Hermkens, McCarthy, &amp; Silvestre, 2011)</w:t>
      </w:r>
      <w:r w:rsidR="0053656A" w:rsidRPr="008C45AB">
        <w:rPr>
          <w:rFonts w:ascii="Calibri" w:eastAsia="Calibri" w:hAnsi="Calibri" w:cs="Arial"/>
          <w:bCs/>
          <w:color w:val="000000"/>
        </w:rPr>
        <w:fldChar w:fldCharType="end"/>
      </w:r>
      <w:r w:rsidR="00073F49">
        <w:rPr>
          <w:rFonts w:ascii="Calibri" w:eastAsia="Calibri" w:hAnsi="Calibri" w:cs="Arial"/>
          <w:bCs/>
          <w:color w:val="000000"/>
        </w:rPr>
        <w:t>.</w:t>
      </w:r>
      <w:r w:rsidR="00435AD9" w:rsidRPr="008C45AB">
        <w:rPr>
          <w:rFonts w:ascii="Calibri" w:eastAsia="Calibri" w:hAnsi="Calibri" w:cs="Arial"/>
          <w:bCs/>
          <w:color w:val="000000"/>
        </w:rPr>
        <w:t xml:space="preserve"> </w:t>
      </w:r>
      <w:r w:rsidRPr="008C45AB">
        <w:rPr>
          <w:rFonts w:ascii="Calibri" w:eastAsia="Calibri" w:hAnsi="Calibri" w:cs="Arial"/>
          <w:bCs/>
          <w:color w:val="000000"/>
        </w:rPr>
        <w:t>However, it may also lead to multitasking, which has been associated in the past with</w:t>
      </w:r>
      <w:r w:rsidR="009E150B">
        <w:rPr>
          <w:rFonts w:ascii="Calibri" w:eastAsia="Calibri" w:hAnsi="Calibri" w:cs="Arial"/>
          <w:bCs/>
          <w:color w:val="000000"/>
        </w:rPr>
        <w:t xml:space="preserve"> </w:t>
      </w:r>
      <w:r w:rsidR="005D45FC">
        <w:rPr>
          <w:rFonts w:ascii="Calibri" w:eastAsia="Calibri" w:hAnsi="Calibri" w:cs="Arial"/>
          <w:bCs/>
          <w:color w:val="000000"/>
        </w:rPr>
        <w:t>negative</w:t>
      </w:r>
      <w:r w:rsidRPr="008C45AB">
        <w:rPr>
          <w:rFonts w:ascii="Calibri" w:eastAsia="Calibri" w:hAnsi="Calibri" w:cs="Arial"/>
          <w:bCs/>
          <w:color w:val="000000"/>
        </w:rPr>
        <w:t xml:space="preserve"> cognitive and </w:t>
      </w:r>
      <w:r w:rsidR="008F41D3">
        <w:rPr>
          <w:rFonts w:ascii="Calibri" w:eastAsia="Calibri" w:hAnsi="Calibri" w:cs="Arial"/>
          <w:bCs/>
          <w:color w:val="000000"/>
        </w:rPr>
        <w:t xml:space="preserve">mental health </w:t>
      </w:r>
      <w:r w:rsidR="00073F49">
        <w:rPr>
          <w:rFonts w:ascii="Calibri" w:eastAsia="Calibri" w:hAnsi="Calibri" w:cs="Arial"/>
          <w:bCs/>
          <w:color w:val="000000"/>
        </w:rPr>
        <w:t xml:space="preserve">outcomes </w:t>
      </w:r>
      <w:r w:rsidR="0053656A" w:rsidRPr="008C45AB">
        <w:rPr>
          <w:rFonts w:ascii="Calibri" w:eastAsia="Calibri" w:hAnsi="Calibri" w:cs="Arial"/>
          <w:bCs/>
          <w:color w:val="000000"/>
        </w:rPr>
        <w:fldChar w:fldCharType="begin" w:fldLock="1"/>
      </w:r>
      <w:r w:rsidR="001F2834">
        <w:rPr>
          <w:rFonts w:ascii="Calibri" w:eastAsia="Calibri" w:hAnsi="Calibri" w:cs="Arial"/>
          <w:bCs/>
          <w:color w:val="000000"/>
        </w:rPr>
        <w:instrText>ADDIN CSL_CITATION { "citationItems" : [ { "id" : "ITEM-1", "itemData" : { "DOI" : "10.1073/pnas.0903620106", "ISSN" : "0027-8424", "abstract" : "Chronic media multitasking is quickly becoming ubiquitous, although processing multiple incoming streams of information is considered a challenge for human cognition. A series of experiments addressed whether there are systematic differences in information processing styles between chronically heavy and light media multitaskers. A trait media multitasking index was developed to identify groups of heavy and light media multitaskers. These two groups were then compared along established cognitive control dimensions. Results showed that heavy media multitaskers are more susceptible to interference from irrelevant environmental stimuli and from irrelevant representations in memory. This led to the surprising result that heavy media multitaskers performed worse on a test of task-switching ability, likely due to reduced ability to filter out interference from the irrelevant task set. These results demonstrate that media multitasking, a rapidly growing societal trend, is associated with a distinct approach to fundamental information processing.", "author" : [ { "dropping-particle" : "", "family" : "Ophir", "given" : "E", "non-dropping-particle" : "", "parse-names" : false, "suffix" : "" }, { "dropping-particle" : "", "family" : "Nass", "given" : "C", "non-dropping-particle" : "", "parse-names" : false, "suffix" : "" }, { "dropping-particle" : "", "family" : "Wagner", "given" : "A D", "non-dropping-particle" : "", "parse-names" : false, "suffix" : "" } ], "container-title" : "Proceedings of the National Academy of Sciences", "id" : "ITEM-1", "issue" : "37", "issued" : { "date-parts" : [ [ "2009", "9", "15" ] ] }, "page" : "15583-15587", "title" : "Cognitive control in media multitaskers", "type" : "article-journal", "volume" : "106" }, "uris" : [ "http://www.mendeley.com/documents/?uuid=3d755794-20cc-4352-9af9-f7653afff1fc" ] }, { "id" : "ITEM-2", "itemData" : { "DOI" : "10.1016/j.chb.2015.07.047", "abstract" : "Mobile phone multitasking is widely considered to be a major source of distraction in academic performance. This paper attempts to review the emerging literature by focusing on three questions concerning the influence of mobile phone multitasking on academic performance: (a) How does mobile phone multitasking impair learning? (b) Why does mobile phone use impair learning? (c) How to prevent from mobile phone distraction? We use multiple strategies to locate the existing research literature and identified 132 studies published during 1999\u20132014. The mobile phone multitasking and distractibility are reviewed in three major aspects: distraction sources (ring of mobile phone, texting, and social application), distraction targets (reading and attending), and distraction subjects (personality, gender, and culture). We also compare the results of these studies with the findings on mobile phone multitasking and driving, the earliest area of mobile phone multitasking research. Both limitations of existing research and future research directions are discussed.", "author" : [ { "dropping-particle" : "", "family" : "Chen", "given" : "Q", "non-dropping-particle" : "", "parse-names" : false, "suffix" : "" }, { "dropping-particle" : "", "family" : "Yan", "given" : "Z", "non-dropping-particle" : "", "parse-names" : false, "suffix" : "" } ], "container-title" : "Computers in Human Behavior", "id" : "ITEM-2", "issued" : { "date-parts" : [ [ "2016" ] ] }, "page" : "34-42", "title" : "Does multitasking with mobile phones affect learning? A review", "type" : "article-journal", "volume" : "54" }, "uris" : [ "http://www.mendeley.com/documents/?uuid=fcb3ea64-9882-41dd-98c6-6c5e5c25d338" ] } ], "mendeley" : { "formattedCitation" : "(Chen &amp; Yan, 2016; Ophir, Nass, &amp; Wagner, 2009)", "plainTextFormattedCitation" : "(Chen &amp; Yan, 2016; Ophir, Nass, &amp; Wagner, 2009)", "previouslyFormattedCitation" : "&lt;sup&gt;22,23&lt;/sup&gt;" }, "properties" : { "noteIndex" : 0 }, "schema" : "https://github.com/citation-style-language/schema/raw/master/csl-citation.json" }</w:instrText>
      </w:r>
      <w:r w:rsidR="0053656A" w:rsidRPr="008C45AB">
        <w:rPr>
          <w:rFonts w:ascii="Calibri" w:eastAsia="Calibri" w:hAnsi="Calibri" w:cs="Arial"/>
          <w:bCs/>
          <w:color w:val="000000"/>
        </w:rPr>
        <w:fldChar w:fldCharType="separate"/>
      </w:r>
      <w:r w:rsidR="001F2834" w:rsidRPr="001F2834">
        <w:rPr>
          <w:rFonts w:ascii="Calibri" w:eastAsia="Calibri" w:hAnsi="Calibri" w:cs="Arial"/>
          <w:bCs/>
          <w:noProof/>
          <w:color w:val="000000"/>
        </w:rPr>
        <w:t>(Chen &amp; Yan, 2016; Ophir, Nass, &amp; Wagner, 2009)</w:t>
      </w:r>
      <w:r w:rsidR="0053656A" w:rsidRPr="008C45AB">
        <w:rPr>
          <w:rFonts w:ascii="Calibri" w:eastAsia="Calibri" w:hAnsi="Calibri" w:cs="Arial"/>
          <w:bCs/>
          <w:color w:val="000000"/>
        </w:rPr>
        <w:fldChar w:fldCharType="end"/>
      </w:r>
      <w:r w:rsidR="00073F49">
        <w:rPr>
          <w:rFonts w:ascii="Calibri" w:eastAsia="Calibri" w:hAnsi="Calibri" w:cs="Arial"/>
          <w:bCs/>
          <w:color w:val="000000"/>
        </w:rPr>
        <w:t>.</w:t>
      </w:r>
      <w:r w:rsidR="00435AD9" w:rsidRPr="008C45AB">
        <w:rPr>
          <w:rFonts w:ascii="Calibri" w:eastAsia="Calibri" w:hAnsi="Calibri" w:cs="Arial"/>
          <w:bCs/>
          <w:color w:val="000000"/>
        </w:rPr>
        <w:t xml:space="preserve"> </w:t>
      </w:r>
      <w:r w:rsidRPr="008C45AB">
        <w:rPr>
          <w:rFonts w:ascii="Calibri" w:eastAsia="Calibri" w:hAnsi="Calibri" w:cs="Arial"/>
          <w:bCs/>
          <w:color w:val="000000"/>
        </w:rPr>
        <w:t xml:space="preserve">For </w:t>
      </w:r>
      <w:r w:rsidRPr="008C45AB">
        <w:rPr>
          <w:rFonts w:ascii="Calibri" w:eastAsia="Calibri" w:hAnsi="Calibri" w:cs="Arial"/>
          <w:bCs/>
          <w:color w:val="000000"/>
        </w:rPr>
        <w:lastRenderedPageBreak/>
        <w:t xml:space="preserve">example, multitasking has been related to </w:t>
      </w:r>
      <w:r w:rsidR="00553E7A">
        <w:rPr>
          <w:rFonts w:ascii="Calibri" w:eastAsia="Calibri" w:hAnsi="Calibri" w:cs="Arial"/>
          <w:bCs/>
          <w:color w:val="000000"/>
        </w:rPr>
        <w:t>decreased ability to</w:t>
      </w:r>
      <w:r w:rsidR="005D45FC">
        <w:rPr>
          <w:rFonts w:ascii="Calibri" w:eastAsia="Calibri" w:hAnsi="Calibri" w:cs="Arial"/>
          <w:bCs/>
          <w:color w:val="000000"/>
        </w:rPr>
        <w:t xml:space="preserve"> </w:t>
      </w:r>
      <w:r w:rsidR="00C42C2A">
        <w:rPr>
          <w:rFonts w:ascii="Calibri" w:eastAsia="Calibri" w:hAnsi="Calibri" w:cs="Arial"/>
          <w:bCs/>
          <w:color w:val="000000"/>
        </w:rPr>
        <w:t>sustain atte</w:t>
      </w:r>
      <w:r w:rsidR="006A2F76">
        <w:rPr>
          <w:rFonts w:ascii="Calibri" w:eastAsia="Calibri" w:hAnsi="Calibri" w:cs="Arial"/>
          <w:bCs/>
          <w:color w:val="000000"/>
        </w:rPr>
        <w:t>n</w:t>
      </w:r>
      <w:r w:rsidR="00C42C2A">
        <w:rPr>
          <w:rFonts w:ascii="Calibri" w:eastAsia="Calibri" w:hAnsi="Calibri" w:cs="Arial"/>
          <w:bCs/>
          <w:color w:val="000000"/>
        </w:rPr>
        <w:t>tion</w:t>
      </w:r>
      <w:r w:rsidR="005D45FC">
        <w:rPr>
          <w:rFonts w:ascii="Calibri" w:eastAsia="Calibri" w:hAnsi="Calibri" w:cs="Arial"/>
          <w:bCs/>
          <w:color w:val="000000"/>
        </w:rPr>
        <w:t xml:space="preserve"> </w:t>
      </w:r>
      <w:r w:rsidR="0053656A" w:rsidRPr="008C45AB">
        <w:rPr>
          <w:rFonts w:ascii="Calibri" w:eastAsia="Calibri" w:hAnsi="Calibri" w:cs="Arial"/>
          <w:bCs/>
          <w:color w:val="000000"/>
        </w:rPr>
        <w:fldChar w:fldCharType="begin" w:fldLock="1"/>
      </w:r>
      <w:r w:rsidR="001F2834">
        <w:rPr>
          <w:rFonts w:ascii="Calibri" w:eastAsia="Calibri" w:hAnsi="Calibri" w:cs="Arial"/>
          <w:bCs/>
          <w:color w:val="000000"/>
        </w:rPr>
        <w:instrText>ADDIN CSL_CITATION { "citationItems" : [ { "id" : "ITEM-1", "itemData" : { "URL" : "http://www.forbes.com/sites/tykiisel/2012/01/25/is-social-media-shortening-our-attention-span/#4bfb2b486945", "abstract" : "It\u2019s probably unfair to blame social media specifically, but I think it\u2019s safe to say that the 24/7 media barrage of soundbites we face every day could be taking its toll. Twitter users need to make their point in 140 characters or less, USA Today, Fox News and others have shortened stories to be quickly digested and even media outlets like CNN rely on the pretty faces of their news anchors to keep our attention. As a result any substantive conversation lasting over five minutes is met with glazed eyes and shuffling feet. \u201cDidn\u2019t my iPhone just ring?\u201d", "author" : [ { "dropping-particle" : "", "family" : "Kiisel", "given" : "T", "non-dropping-particle" : "", "parse-names" : false, "suffix" : "" } ], "container-title" : "Forbes/Technology", "id" : "ITEM-1", "issued" : { "date-parts" : [ [ "2012" ] ] }, "title" : "Is Social Media Shortening Our Attention Span?", "type" : "webpage" }, "uris" : [ "http://www.mendeley.com/documents/?uuid=91a29225-ece9-4c65-b2ed-026c21724d1a" ] }, { "id" : "ITEM-2", "itemData" : { "URL" : "https://www.linkedin.com/pulse/20140519183028-114333012-how-social-media-affects-your-attention-span/", "abstract" : "We are surrounded by bits of information and content and it seems like time is never enough to read and watch anything we want. With the Internet explosion, it\u2019s almost impossible to avoid a distraction while working, with this distraction leading to the next one and the next one leading to a new one", "author" : [ { "dropping-particle" : "", "family" : "Litsa", "given" : "T", "non-dropping-particle" : "", "parse-names" : false, "suffix" : "" } ], "container-title" : "Linkedin", "id" : "ITEM-2", "issued" : { "date-parts" : [ [ "2014" ] ] }, "title" : "How Social Media Affects Your Attention Span", "type" : "webpage" }, "uris" : [ "http://www.mendeley.com/documents/?uuid=97ab970c-0fca-477b-b128-a72187dbfe4e" ] } ], "mendeley" : { "formattedCitation" : "(Kiisel, 2012; Litsa, 2014)", "plainTextFormattedCitation" : "(Kiisel, 2012; Litsa, 2014)", "previouslyFormattedCitation" : "&lt;sup&gt;24,25&lt;/sup&gt;" }, "properties" : { "noteIndex" : 0 }, "schema" : "https://github.com/citation-style-language/schema/raw/master/csl-citation.json" }</w:instrText>
      </w:r>
      <w:r w:rsidR="0053656A" w:rsidRPr="008C45AB">
        <w:rPr>
          <w:rFonts w:ascii="Calibri" w:eastAsia="Calibri" w:hAnsi="Calibri" w:cs="Arial"/>
          <w:bCs/>
          <w:color w:val="000000"/>
        </w:rPr>
        <w:fldChar w:fldCharType="separate"/>
      </w:r>
      <w:r w:rsidR="001F2834" w:rsidRPr="001F2834">
        <w:rPr>
          <w:rFonts w:ascii="Calibri" w:eastAsia="Calibri" w:hAnsi="Calibri" w:cs="Arial"/>
          <w:bCs/>
          <w:noProof/>
          <w:color w:val="000000"/>
        </w:rPr>
        <w:t>(Kiisel, 2012; Litsa, 2014)</w:t>
      </w:r>
      <w:r w:rsidR="0053656A" w:rsidRPr="008C45AB">
        <w:rPr>
          <w:rFonts w:ascii="Calibri" w:eastAsia="Calibri" w:hAnsi="Calibri" w:cs="Arial"/>
          <w:bCs/>
          <w:color w:val="000000"/>
        </w:rPr>
        <w:fldChar w:fldCharType="end"/>
      </w:r>
      <w:r w:rsidR="00553E7A">
        <w:rPr>
          <w:rFonts w:ascii="Calibri" w:eastAsia="Calibri" w:hAnsi="Calibri" w:cs="Arial"/>
          <w:bCs/>
          <w:color w:val="000000"/>
        </w:rPr>
        <w:t xml:space="preserve">, </w:t>
      </w:r>
      <w:r w:rsidRPr="008C45AB">
        <w:rPr>
          <w:rFonts w:ascii="Calibri" w:eastAsia="Calibri" w:hAnsi="Calibri" w:cs="Arial"/>
          <w:bCs/>
          <w:color w:val="000000"/>
        </w:rPr>
        <w:t xml:space="preserve">poor academic </w:t>
      </w:r>
      <w:r w:rsidR="00073F49">
        <w:rPr>
          <w:rFonts w:ascii="Calibri" w:eastAsia="Calibri" w:hAnsi="Calibri" w:cs="Arial"/>
          <w:bCs/>
          <w:color w:val="000000"/>
        </w:rPr>
        <w:t xml:space="preserve">performance </w:t>
      </w:r>
      <w:r w:rsidR="0053656A" w:rsidRPr="008C45AB">
        <w:rPr>
          <w:rFonts w:ascii="Calibri" w:eastAsia="Calibri" w:hAnsi="Calibri" w:cs="Arial"/>
          <w:bCs/>
          <w:color w:val="000000"/>
        </w:rPr>
        <w:fldChar w:fldCharType="begin" w:fldLock="1"/>
      </w:r>
      <w:r w:rsidR="001F2834">
        <w:rPr>
          <w:rFonts w:ascii="Calibri" w:eastAsia="Calibri" w:hAnsi="Calibri" w:cs="Arial"/>
          <w:bCs/>
          <w:color w:val="000000"/>
        </w:rPr>
        <w:instrText>ADDIN CSL_CITATION { "citationItems" : [ { "id" : "ITEM-1", "itemData" : { "DOI" : "10.1016/j.compedu.2011.12.023", "abstract" : "The proliferation and ease of access to information and communication technologies (ICTs) such as Facebook, text messaging, and instant messaging has resulted in ICT users being presented with more real-time streaming data than ever before. Unfortunately, this has also resulted in individuals increas- ingly engaging in multitasking as an information management strategy. The purpose of this study was to examine how college students multitask with ICTs and to determine the impacts of this multitasking on their college grade point average (GPA). Using web survey data from a large sample of college students at one university ( N \u00bc 1839), we found that students reported spending a large amount of time using ICTs on a daily basis. Students reported frequently searching for content not related to courses, using Face- book, emailing, talking on their cell phones, and texting while doing schoolwork. Hierarchical (blocked) linear regression analyses revealed that using Facebook and texting while doing schoolwork were negatively associated with overall college GPA. Engaging in Facebook use or texting while trying to complete schoolwork may tax students \u2019 capacity for cognitive processing and preclude deeper learning. Our research indicates that the type and purpose of ICT use matters in terms of the educational impacts of multitasking", "author" : [ { "dropping-particle" : "", "family" : "Junco", "given" : "R", "non-dropping-particle" : "", "parse-names" : false, "suffix" : "" }, { "dropping-particle" : "", "family" : "Cotten", "given" : "S R", "non-dropping-particle" : "", "parse-names" : false, "suffix" : "" } ], "container-title" : "Computers &amp; Education", "id" : "ITEM-1", "issue" : "1", "issued" : { "date-parts" : [ [ "2012" ] ] }, "page" : "505-514", "title" : "The relationship between multitasking and academic performance", "type" : "article-journal", "volume" : "58" }, "uris" : [ "http://www.mendeley.com/documents/?uuid=8f2a8dd6-87f1-4586-ab01-e4b4c64833bc" ] }, { "id" : "ITEM-2", "itemData" : { "DOI" : "10.3758/s13423-016-1036-3", "ISSN" : "1531-5320", "abstract" : "Media use has been on the rise in adolescents overall, and in particular, the amount of media multitasking\u2014multiple media consumed simultaneously, such as having a text message conversation while watching TV\u2014has been increasing. In adults, heavy media multitasking has been linked with poorer performance on a number of laboratory measures of cognition, but no relationship has yet been established between media-multitasking behavior and real-world outcomes. Examining individual differences across a group of adolescents, we found that more frequent media multitasking in daily life was associated with poorer performance on statewide standardized achievement tests of math and English in the classroom, poorer performance on behavioral measures of executive function (working memory capacity) in the laboratory, and traits of greater impulsivity and lesser growth mindset. Greater media multitasking had a relatively circumscribed set of associations, and was not related to behavioral measures of cognitive processing speed, implicit learning, or manual dexterity, or to traits of grit and conscientiousness. Thus, individual differences in adolescent media multitasking were related to specific differences in executive function and in performance on real-world academic achievement measures: More media multitasking was associated with poorer executive function ability, worse academic achievement, and a reduced growth mindset.", "author" : [ { "dropping-particle" : "", "family" : "Cain", "given" : "M S", "non-dropping-particle" : "", "parse-names" : false, "suffix" : "" }, { "dropping-particle" : "", "family" : "Leonard", "given" : "J A", "non-dropping-particle" : "", "parse-names" : false, "suffix" : "" }, { "dropping-particle" : "", "family" : "Gabrieli", "given" : "J D E", "non-dropping-particle" : "", "parse-names" : false, "suffix" : "" }, { "dropping-particle" : "", "family" : "Finn", "given" : "A S", "non-dropping-particle" : "", "parse-names" : false, "suffix" : "" } ], "container-title" : "Psychonomic Bulletin &amp; Review", "id" : "ITEM-2", "issued" : { "date-parts" : [ [ "2016" ] ] }, "page" : "1-10", "title" : "Media multitasking in adolescence", "type" : "article-journal" }, "uris" : [ "http://www.mendeley.com/documents/?uuid=b9206bd5-4840-4a3f-9442-42874edc8812" ] }, { "id" : "ITEM-3", "itemData" : { "DOI" : "10.1016/j.chb.2012.12.001", "abstract" : "Electronic communication is emotionally gratifying, but how do such technological distractions impact academic learning? The current study observed 263 middle school, high school and university students studying for 15 min in their homes. Observers noted technologies present and computer windows open in the learning environment prior to studying plus a minute-by-minute assessment of on-task behavior, off-task technology use and open computer windows during studying. A questionnaire assessed study strategies, task-switching preference, technology attitudes, media usage, monthly texting and phone call- ing, social networking use and grade point average (GPA). Participants averaged less than six minutes on task prior to switching most often due to technological distractions including social media, texting and preference for task-switching. Having a positive attitude toward technology did not affect being on-task during studying. However, those who preferred to task-switch had more distracting technologies avail- able and were more likely to be off-task than others. Also, those who accessed Facebook had lower GPAs than those who avoided it. Finally, students with relatively high use of study strategies were more likely to stay on-task than other students. The educational implications include allowing students short \u2018\u2018tech- nology breaks\u2019\u2019 to reduce distractions and teaching students metacognitive strategies regarding when interruptions negatively impact learning.", "author" : [ { "dropping-particle" : "", "family" : "Rosen", "given" : "L", "non-dropping-particle" : "", "parse-names" : false, "suffix" : "" }, { "dropping-particle" : "", "family" : "Carrier", "given" : "L M", "non-dropping-particle" : "", "parse-names" : false, "suffix" : "" }, { "dropping-particle" : "", "family" : "Cheever", "given" : "N A", "non-dropping-particle" : "", "parse-names" : false, "suffix" : "" } ], "container-title" : "Computers in Human Behavior", "id" : "ITEM-3", "issued" : { "date-parts" : [ [ "2013" ] ] }, "page" : "948-958", "title" : "Facebook and texting made me do it: Media-induced task-switching while studying", "type" : "article-journal", "volume" : "29" }, "uris" : [ "http://www.mendeley.com/documents/?uuid=b88dec84-fb03-4447-9e3a-12962cf98e1a" ] } ], "mendeley" : { "formattedCitation" : "(Cain, Leonard, Gabrieli, &amp; Finn, 2016; Junco &amp; Cotten, 2012; Rosen, Carrier, &amp; Cheever, 2013)", "plainTextFormattedCitation" : "(Cain, Leonard, Gabrieli, &amp; Finn, 2016; Junco &amp; Cotten, 2012; Rosen, Carrier, &amp; Cheever, 2013)", "previouslyFormattedCitation" : "&lt;sup&gt;26\u201328&lt;/sup&gt;" }, "properties" : { "noteIndex" : 0 }, "schema" : "https://github.com/citation-style-language/schema/raw/master/csl-citation.json" }</w:instrText>
      </w:r>
      <w:r w:rsidR="0053656A" w:rsidRPr="008C45AB">
        <w:rPr>
          <w:rFonts w:ascii="Calibri" w:eastAsia="Calibri" w:hAnsi="Calibri" w:cs="Arial"/>
          <w:bCs/>
          <w:color w:val="000000"/>
        </w:rPr>
        <w:fldChar w:fldCharType="separate"/>
      </w:r>
      <w:r w:rsidR="001F2834" w:rsidRPr="001F2834">
        <w:rPr>
          <w:rFonts w:ascii="Calibri" w:eastAsia="Calibri" w:hAnsi="Calibri" w:cs="Arial"/>
          <w:bCs/>
          <w:noProof/>
          <w:color w:val="000000"/>
        </w:rPr>
        <w:t>(Cain, Leonard, Gabrieli, &amp; Finn, 2016; Junco &amp; Cotten, 2012; Rosen, Carrier, &amp; Cheever, 2013)</w:t>
      </w:r>
      <w:r w:rsidR="0053656A" w:rsidRPr="008C45AB">
        <w:rPr>
          <w:rFonts w:ascii="Calibri" w:eastAsia="Calibri" w:hAnsi="Calibri" w:cs="Arial"/>
          <w:bCs/>
          <w:color w:val="000000"/>
        </w:rPr>
        <w:fldChar w:fldCharType="end"/>
      </w:r>
      <w:r w:rsidR="00073F49">
        <w:rPr>
          <w:rFonts w:ascii="Calibri" w:eastAsia="Calibri" w:hAnsi="Calibri" w:cs="Arial"/>
          <w:bCs/>
          <w:color w:val="000000"/>
        </w:rPr>
        <w:t xml:space="preserve">, </w:t>
      </w:r>
      <w:r w:rsidR="00204A2F">
        <w:rPr>
          <w:rFonts w:ascii="Calibri" w:eastAsia="Calibri" w:hAnsi="Calibri" w:cs="Arial"/>
          <w:bCs/>
          <w:color w:val="000000"/>
        </w:rPr>
        <w:t>decreased</w:t>
      </w:r>
      <w:r w:rsidR="005D45FC">
        <w:rPr>
          <w:rFonts w:ascii="Calibri" w:eastAsia="Calibri" w:hAnsi="Calibri" w:cs="Arial"/>
          <w:bCs/>
          <w:color w:val="000000"/>
        </w:rPr>
        <w:t xml:space="preserve"> </w:t>
      </w:r>
      <w:r w:rsidR="000B5AB7">
        <w:rPr>
          <w:rFonts w:ascii="Calibri" w:eastAsia="Calibri" w:hAnsi="Calibri" w:cs="Arial"/>
          <w:bCs/>
          <w:color w:val="000000"/>
        </w:rPr>
        <w:t xml:space="preserve">subjective </w:t>
      </w:r>
      <w:r w:rsidR="00073F49">
        <w:rPr>
          <w:rFonts w:ascii="Calibri" w:eastAsia="Calibri" w:hAnsi="Calibri" w:cs="Arial"/>
          <w:bCs/>
          <w:color w:val="000000"/>
        </w:rPr>
        <w:t xml:space="preserve">well-being </w:t>
      </w:r>
      <w:r w:rsidR="0053656A" w:rsidRPr="008C45AB">
        <w:rPr>
          <w:rFonts w:ascii="Calibri" w:eastAsia="Calibri" w:hAnsi="Calibri" w:cs="Arial"/>
          <w:bCs/>
          <w:color w:val="000000"/>
        </w:rPr>
        <w:fldChar w:fldCharType="begin" w:fldLock="1"/>
      </w:r>
      <w:r w:rsidR="001F2834">
        <w:rPr>
          <w:rFonts w:ascii="Calibri" w:eastAsia="Calibri" w:hAnsi="Calibri" w:cs="Arial"/>
          <w:bCs/>
          <w:color w:val="000000"/>
        </w:rPr>
        <w:instrText>ADDIN CSL_CITATION { "citationItems" : [ { "id" : "ITEM-1", "itemData" : { "DOI" : "http://dx.doi.org/10.1016/j.chb.2015.06.035", "ISSN" : "0747-5632", "abstract" : "The increasing prevalence of media multitasking among youth has raised concerns regarding its negative effects on youths\u2019 functioning. Although the number of empirical studies on the consequences of media multitasking for youth has grown rapidly, there has been no attempt to integrate theory with the results of these studies. This review integrates available findings on the relationship between media multitasking and three domains of youths\u2019 functioning: cognitive control, academic performance, and socioemotional functioning. Three databases (PsycINFO, ERIC, and CMMC) were searched to identify relevant studies, resulting in 8448 citations. Fifty-six studies met the inclusion criteria: nine studies on cognitive control, 43 on academic performance, and four on socioemotional functioning. Overall, the findings indicate a small to moderate negative relationship between media multitasking and the three domains of youths\u2019 functioning. However, evidence regarding the causal direction of this relationship is lacking. Based on the included studies, we identify several research gaps and present five main directions for future research: examining causality, establishing more targeted theories, improving media multitasking measurements, focusing on individual and contextual differences, and including representative samples.", "author" : [ { "dropping-particle" : "", "family" : "Schuur", "given" : "W A", "non-dropping-particle" : "van der", "parse-names" : false, "suffix" : "" }, { "dropping-particle" : "", "family" : "Baumgartner", "given" : "S E", "non-dropping-particle" : "", "parse-names" : false, "suffix" : "" }, { "dropping-particle" : "", "family" : "Sumter", "given" : "S R", "non-dropping-particle" : "", "parse-names" : false, "suffix" : "" }, { "dropping-particle" : "", "family" : "Valkenburg", "given" : "P M", "non-dropping-particle" : "", "parse-names" : false, "suffix" : "" } ], "container-title" : "Computers in Human Behavior", "id" : "ITEM-1", "issued" : { "date-parts" : [ [ "2015", "12" ] ] }, "page" : "204-215", "title" : "The consequences of media multitasking for youth: A review", "type" : "article-journal", "volume" : "53" }, "uris" : [ "http://www.mendeley.com/documents/?uuid=4dc0ed66-ca1c-4631-a964-041a07ba5e77" ] } ], "mendeley" : { "formattedCitation" : "(van der Schuur, Baumgartner, Sumter, &amp; Valkenburg, 2015)", "plainTextFormattedCitation" : "(van der Schuur, Baumgartner, Sumter, &amp; Valkenburg, 2015)", "previouslyFormattedCitation" : "&lt;sup&gt;29&lt;/sup&gt;" }, "properties" : { "noteIndex" : 0 }, "schema" : "https://github.com/citation-style-language/schema/raw/master/csl-citation.json" }</w:instrText>
      </w:r>
      <w:r w:rsidR="0053656A" w:rsidRPr="008C45AB">
        <w:rPr>
          <w:rFonts w:ascii="Calibri" w:eastAsia="Calibri" w:hAnsi="Calibri" w:cs="Arial"/>
          <w:bCs/>
          <w:color w:val="000000"/>
        </w:rPr>
        <w:fldChar w:fldCharType="separate"/>
      </w:r>
      <w:r w:rsidR="001F2834" w:rsidRPr="001F2834">
        <w:rPr>
          <w:rFonts w:ascii="Calibri" w:eastAsia="Calibri" w:hAnsi="Calibri" w:cs="Arial"/>
          <w:bCs/>
          <w:noProof/>
          <w:color w:val="000000"/>
        </w:rPr>
        <w:t>(van der Schuur, Baumgartner, Sumter, &amp; Valkenburg, 2015)</w:t>
      </w:r>
      <w:r w:rsidR="0053656A" w:rsidRPr="008C45AB">
        <w:rPr>
          <w:rFonts w:ascii="Calibri" w:eastAsia="Calibri" w:hAnsi="Calibri" w:cs="Arial"/>
          <w:bCs/>
          <w:color w:val="000000"/>
        </w:rPr>
        <w:fldChar w:fldCharType="end"/>
      </w:r>
      <w:r w:rsidR="00073F49">
        <w:rPr>
          <w:rFonts w:ascii="Calibri" w:eastAsia="Calibri" w:hAnsi="Calibri" w:cs="Arial"/>
          <w:bCs/>
          <w:color w:val="000000"/>
        </w:rPr>
        <w:t>,</w:t>
      </w:r>
      <w:r w:rsidRPr="008C45AB">
        <w:rPr>
          <w:rFonts w:ascii="Calibri" w:eastAsia="Calibri" w:hAnsi="Calibri" w:cs="Arial"/>
          <w:bCs/>
          <w:color w:val="000000"/>
        </w:rPr>
        <w:t xml:space="preserve"> </w:t>
      </w:r>
      <w:r w:rsidR="00553E7A">
        <w:rPr>
          <w:rFonts w:ascii="Calibri" w:eastAsia="Calibri" w:hAnsi="Calibri" w:cs="Arial"/>
          <w:bCs/>
          <w:color w:val="000000"/>
        </w:rPr>
        <w:t xml:space="preserve">and </w:t>
      </w:r>
      <w:r w:rsidR="005D45FC">
        <w:rPr>
          <w:rFonts w:ascii="Calibri" w:eastAsia="Calibri" w:hAnsi="Calibri" w:cs="Arial"/>
          <w:bCs/>
          <w:color w:val="000000"/>
        </w:rPr>
        <w:t xml:space="preserve">higher levels of </w:t>
      </w:r>
      <w:r w:rsidRPr="008C45AB">
        <w:rPr>
          <w:rFonts w:ascii="Calibri" w:eastAsia="Calibri" w:hAnsi="Calibri" w:cs="Arial"/>
          <w:bCs/>
          <w:color w:val="000000"/>
        </w:rPr>
        <w:t>depression</w:t>
      </w:r>
      <w:r w:rsidR="00435AD9" w:rsidRPr="008C45AB">
        <w:rPr>
          <w:rFonts w:ascii="Calibri" w:eastAsia="Calibri" w:hAnsi="Calibri" w:cs="Arial"/>
          <w:bCs/>
          <w:color w:val="000000"/>
        </w:rPr>
        <w:t xml:space="preserve"> and anxiety</w:t>
      </w:r>
      <w:r w:rsidR="00073F49">
        <w:rPr>
          <w:rFonts w:ascii="Calibri" w:eastAsia="Calibri" w:hAnsi="Calibri" w:cs="Arial"/>
          <w:bCs/>
          <w:color w:val="000000"/>
        </w:rPr>
        <w:t xml:space="preserve"> </w:t>
      </w:r>
      <w:r w:rsidR="0053656A" w:rsidRPr="008C45AB">
        <w:rPr>
          <w:rFonts w:ascii="Calibri" w:eastAsia="Calibri" w:hAnsi="Calibri" w:cs="Arial"/>
          <w:bCs/>
          <w:color w:val="000000"/>
        </w:rPr>
        <w:fldChar w:fldCharType="begin" w:fldLock="1"/>
      </w:r>
      <w:r w:rsidR="001F2834">
        <w:rPr>
          <w:rFonts w:ascii="Calibri" w:eastAsia="Calibri" w:hAnsi="Calibri" w:cs="Arial"/>
          <w:bCs/>
          <w:color w:val="000000"/>
        </w:rPr>
        <w:instrText>ADDIN CSL_CITATION { "citationItems" : [ { "id" : "ITEM-1", "itemData" : { "PMID" : "23126438", "abstract" : "We investigated whether multitasking with media was a unique predictor of depression and social anxiety symptoms. Participants (N=318) completed measures of their media use, personality characteristics, depression, and social anxiety. Regression analyses revealed that increased media multitasking was associated with higher depression and social anxiety symptoms, even after controlling for overall media use and the personality traits of neuroticism and extraversion. The unique association between media multitasking and these measures of psychosocial dysfunction suggests that the growing trend of multitasking with media may represent a unique risk factor for mental health problems related to mood and anxiety. Further, the results strongly suggest that future research investigating the impact of media use on mental health needs to consider the role that multitasking with media plays in the relationship.", "author" : [ { "dropping-particle" : "", "family" : "Becker", "given" : "M W", "non-dropping-particle" : "", "parse-names" : false, "suffix" : "" }, { "dropping-particle" : "", "family" : "Alzahabi", "given" : "R", "non-dropping-particle" : "", "parse-names" : false, "suffix" : "" }, { "dropping-particle" : "", "family" : "Hopwood", "given" : "C J", "non-dropping-particle" : "", "parse-names" : false, "suffix" : "" } ], "container-title" : "Cyberpsychology Behavior and Social Networking", "id" : "ITEM-1", "issue" : "2", "issued" : { "date-parts" : [ [ "2013" ] ] }, "page" : "132-135", "title" : "Media multitasking is associated with symptoms of depression and social anxiety", "type" : "article-journal", "volume" : "16" }, "uris" : [ "http://www.mendeley.com/documents/?uuid=c9d6fb89-8839-4b3e-873a-724fb8bfa644" ] }, { "id" : "ITEM-2", "itemData" : { "DOI" : "10.1111/jpc.13023", "ISBN" : "1034-4810", "PMID" : "26607861", "abstract" : "This paper reviews the literature on the impact of social media on the health of children and young people. Relevant papers were identified from Medline, Embase and PsycINFO databases. The studies identified that the health impact of social media on children and young people was greatest on mental health and specifically in the areas of self-esteem and well-being, with related issues around cyberbullying and 'Facebook Depression', with an association between the use of social media and self-esteem and body image. However, it is difficult to determine the cause and effect, which is likely to be related to the nature of the young person. There is little work on the impact of social media on younger children. More research is needed to identify those most at risk of harm from social media and risk mitigation strategies to assist health-care professionals to provide essential education for parents and young people.", "author" : [ { "dropping-particle" : "", "family" : "Richards", "given" : "D", "non-dropping-particle" : "", "parse-names" : false, "suffix" : "" }, { "dropping-particle" : "", "family" : "Caldwell", "given" : "P H Y", "non-dropping-particle" : "", "parse-names" : false, "suffix" : "" }, { "dropping-particle" : "", "family" : "Go", "given" : "H", "non-dropping-particle" : "", "parse-names" : false, "suffix" : "" } ], "container-title" : "Journal of Paediatrics and Child Health", "id" : "ITEM-2", "issue" : "12", "issued" : { "date-parts" : [ [ "2015" ] ] }, "page" : "1152-1157", "publisher-place" : "Melbourne", "title" : "Impact of social media on the health of children and young people", "type" : "article-journal", "volume" : "51" }, "uris" : [ "http://www.mendeley.com/documents/?uuid=b56cadbb-8974-430a-ab0b-17fe829492e5" ] } ], "mendeley" : { "formattedCitation" : "(Becker, Alzahabi, &amp; Hopwood, 2013; Richards, Caldwell, &amp; Go, 2015)", "plainTextFormattedCitation" : "(Becker, Alzahabi, &amp; Hopwood, 2013; Richards, Caldwell, &amp; Go, 2015)", "previouslyFormattedCitation" : "&lt;sup&gt;30,31&lt;/sup&gt;" }, "properties" : { "noteIndex" : 0 }, "schema" : "https://github.com/citation-style-language/schema/raw/master/csl-citation.json" }</w:instrText>
      </w:r>
      <w:r w:rsidR="0053656A" w:rsidRPr="008C45AB">
        <w:rPr>
          <w:rFonts w:ascii="Calibri" w:eastAsia="Calibri" w:hAnsi="Calibri" w:cs="Arial"/>
          <w:bCs/>
          <w:color w:val="000000"/>
        </w:rPr>
        <w:fldChar w:fldCharType="separate"/>
      </w:r>
      <w:r w:rsidR="001F2834" w:rsidRPr="001F2834">
        <w:rPr>
          <w:rFonts w:ascii="Calibri" w:eastAsia="Calibri" w:hAnsi="Calibri" w:cs="Arial"/>
          <w:bCs/>
          <w:noProof/>
          <w:color w:val="000000"/>
        </w:rPr>
        <w:t>(Becker, Alzahabi, &amp; Hopwood, 2013; Richards, Caldwell, &amp; Go, 2015)</w:t>
      </w:r>
      <w:r w:rsidR="0053656A" w:rsidRPr="008C45AB">
        <w:rPr>
          <w:rFonts w:ascii="Calibri" w:eastAsia="Calibri" w:hAnsi="Calibri" w:cs="Arial"/>
          <w:bCs/>
          <w:color w:val="000000"/>
        </w:rPr>
        <w:fldChar w:fldCharType="end"/>
      </w:r>
      <w:r w:rsidR="00073F49">
        <w:rPr>
          <w:rFonts w:ascii="Calibri" w:eastAsia="Calibri" w:hAnsi="Calibri" w:cs="Arial"/>
          <w:bCs/>
          <w:color w:val="000000"/>
        </w:rPr>
        <w:t xml:space="preserve">. </w:t>
      </w:r>
      <w:r w:rsidR="00DF3995">
        <w:rPr>
          <w:rFonts w:ascii="Calibri" w:eastAsia="Calibri" w:hAnsi="Calibri" w:cs="Arial"/>
          <w:bCs/>
          <w:color w:val="000000"/>
        </w:rPr>
        <w:t xml:space="preserve">Use of </w:t>
      </w:r>
      <w:r w:rsidR="002C063E">
        <w:rPr>
          <w:rFonts w:ascii="Calibri" w:eastAsia="Calibri" w:hAnsi="Calibri" w:cs="Arial"/>
          <w:bCs/>
          <w:color w:val="000000"/>
        </w:rPr>
        <w:t>multiple social</w:t>
      </w:r>
      <w:r w:rsidR="00DF3995">
        <w:rPr>
          <w:rFonts w:ascii="Calibri" w:eastAsia="Calibri" w:hAnsi="Calibri" w:cs="Arial"/>
          <w:bCs/>
          <w:color w:val="000000"/>
        </w:rPr>
        <w:t xml:space="preserve"> media platforms </w:t>
      </w:r>
      <w:r w:rsidR="00A42A34" w:rsidRPr="008C45AB">
        <w:rPr>
          <w:rFonts w:ascii="Calibri" w:eastAsia="Calibri" w:hAnsi="Calibri" w:cs="Arial"/>
          <w:bCs/>
          <w:color w:val="000000"/>
        </w:rPr>
        <w:t xml:space="preserve">may also be related to </w:t>
      </w:r>
      <w:r w:rsidR="00C42C2A">
        <w:rPr>
          <w:rFonts w:ascii="Calibri" w:eastAsia="Calibri" w:hAnsi="Calibri" w:cs="Arial"/>
          <w:bCs/>
          <w:color w:val="000000"/>
        </w:rPr>
        <w:t>negative mental</w:t>
      </w:r>
      <w:r w:rsidR="00A42A34" w:rsidRPr="00C42C2A">
        <w:rPr>
          <w:rFonts w:ascii="Calibri" w:eastAsia="Calibri" w:hAnsi="Calibri" w:cs="Arial"/>
          <w:bCs/>
          <w:color w:val="000000"/>
        </w:rPr>
        <w:t xml:space="preserve"> health</w:t>
      </w:r>
      <w:r w:rsidR="00A42A34" w:rsidRPr="008C45AB">
        <w:rPr>
          <w:rFonts w:ascii="Calibri" w:eastAsia="Calibri" w:hAnsi="Calibri" w:cs="Arial"/>
          <w:bCs/>
          <w:color w:val="000000"/>
        </w:rPr>
        <w:t xml:space="preserve"> </w:t>
      </w:r>
      <w:r w:rsidR="00C42C2A">
        <w:rPr>
          <w:rFonts w:ascii="Calibri" w:eastAsia="Calibri" w:hAnsi="Calibri" w:cs="Arial"/>
          <w:bCs/>
          <w:color w:val="000000"/>
        </w:rPr>
        <w:t xml:space="preserve">outcomes </w:t>
      </w:r>
      <w:r w:rsidR="00A42A34" w:rsidRPr="008C45AB">
        <w:rPr>
          <w:rFonts w:ascii="Calibri" w:eastAsia="Calibri" w:hAnsi="Calibri" w:cs="Arial"/>
          <w:bCs/>
          <w:color w:val="000000"/>
        </w:rPr>
        <w:t xml:space="preserve">even if the different platforms are not all used at once. For example, the use of multiple platforms </w:t>
      </w:r>
      <w:r w:rsidR="009F7A37">
        <w:rPr>
          <w:rFonts w:ascii="Calibri" w:eastAsia="Calibri" w:hAnsi="Calibri" w:cs="Arial"/>
          <w:bCs/>
          <w:color w:val="000000"/>
        </w:rPr>
        <w:t>can</w:t>
      </w:r>
      <w:r w:rsidR="00A42A34" w:rsidRPr="008C45AB">
        <w:rPr>
          <w:rFonts w:ascii="Calibri" w:eastAsia="Calibri" w:hAnsi="Calibri" w:cs="Arial"/>
          <w:bCs/>
          <w:color w:val="000000"/>
        </w:rPr>
        <w:t xml:space="preserve"> lead to </w:t>
      </w:r>
      <w:r w:rsidR="00C42C2A">
        <w:rPr>
          <w:rFonts w:ascii="Calibri" w:eastAsia="Calibri" w:hAnsi="Calibri" w:cs="Arial"/>
          <w:bCs/>
          <w:color w:val="000000"/>
        </w:rPr>
        <w:t xml:space="preserve">identity </w:t>
      </w:r>
      <w:r w:rsidR="00DC2051">
        <w:rPr>
          <w:rFonts w:ascii="Calibri" w:eastAsia="Calibri" w:hAnsi="Calibri" w:cs="Arial"/>
          <w:bCs/>
          <w:color w:val="000000"/>
        </w:rPr>
        <w:t>diffusion</w:t>
      </w:r>
      <w:r w:rsidR="00A42A34" w:rsidRPr="008C45AB">
        <w:rPr>
          <w:rFonts w:ascii="Calibri" w:eastAsia="Calibri" w:hAnsi="Calibri" w:cs="Arial"/>
          <w:bCs/>
          <w:color w:val="000000"/>
        </w:rPr>
        <w:t>, which has been related to poor emotional health in the past</w:t>
      </w:r>
      <w:r w:rsidR="009F7A37">
        <w:rPr>
          <w:rFonts w:ascii="Calibri" w:eastAsia="Calibri" w:hAnsi="Calibri" w:cs="Arial"/>
          <w:bCs/>
          <w:color w:val="000000"/>
        </w:rPr>
        <w:t xml:space="preserve"> </w:t>
      </w:r>
      <w:r w:rsidR="0053656A">
        <w:rPr>
          <w:rFonts w:ascii="Calibri" w:eastAsia="Calibri" w:hAnsi="Calibri" w:cs="Arial"/>
          <w:bCs/>
          <w:color w:val="000000"/>
        </w:rPr>
        <w:fldChar w:fldCharType="begin" w:fldLock="1"/>
      </w:r>
      <w:r w:rsidR="001F2834">
        <w:rPr>
          <w:rFonts w:ascii="Calibri" w:eastAsia="Calibri" w:hAnsi="Calibri" w:cs="Arial"/>
          <w:bCs/>
          <w:color w:val="000000"/>
        </w:rPr>
        <w:instrText>ADDIN CSL_CITATION { "citationItems" : [ { "id" : "ITEM-1", "itemData" : { "author" : [ { "dropping-particle" : "", "family" : "Marcia", "given" : "J.E.", "non-dropping-particle" : "", "parse-names" : false, "suffix" : "" } ], "container-title" : "Handbook of adolescent psychology", "editor" : [ { "dropping-particle" : "", "family" : "Adelson", "given" : "J.", "non-dropping-particle" : "", "parse-names" : false, "suffix" : "" } ], "id" : "ITEM-1", "issued" : { "date-parts" : [ [ "1980" ] ] }, "page" : "159-187", "publisher" : "Wiley", "publisher-place" : "New York, NY", "title" : "Identity in adolescence", "type" : "chapter" }, "uris" : [ "http://www.mendeley.com/documents/?uuid=747a9eda-e36b-4692-b426-1b9ca3c123e6" ] } ], "mendeley" : { "formattedCitation" : "(Marcia, 1980)", "plainTextFormattedCitation" : "(Marcia, 1980)", "previouslyFormattedCitation" : "&lt;sup&gt;32&lt;/sup&gt;" }, "properties" : { "noteIndex" : 0 }, "schema" : "https://github.com/citation-style-language/schema/raw/master/csl-citation.json" }</w:instrText>
      </w:r>
      <w:r w:rsidR="0053656A">
        <w:rPr>
          <w:rFonts w:ascii="Calibri" w:eastAsia="Calibri" w:hAnsi="Calibri" w:cs="Arial"/>
          <w:bCs/>
          <w:color w:val="000000"/>
        </w:rPr>
        <w:fldChar w:fldCharType="separate"/>
      </w:r>
      <w:r w:rsidR="001F2834" w:rsidRPr="001F2834">
        <w:rPr>
          <w:rFonts w:ascii="Calibri" w:eastAsia="Calibri" w:hAnsi="Calibri" w:cs="Arial"/>
          <w:bCs/>
          <w:noProof/>
          <w:color w:val="000000"/>
        </w:rPr>
        <w:t>(Marcia, 1980)</w:t>
      </w:r>
      <w:r w:rsidR="0053656A">
        <w:rPr>
          <w:rFonts w:ascii="Calibri" w:eastAsia="Calibri" w:hAnsi="Calibri" w:cs="Arial"/>
          <w:bCs/>
          <w:color w:val="000000"/>
        </w:rPr>
        <w:fldChar w:fldCharType="end"/>
      </w:r>
      <w:r w:rsidR="00A42A34" w:rsidRPr="008C45AB">
        <w:rPr>
          <w:rFonts w:ascii="Calibri" w:eastAsia="Calibri" w:hAnsi="Calibri" w:cs="Arial"/>
          <w:bCs/>
          <w:color w:val="000000"/>
        </w:rPr>
        <w:t>. It may also be related to additional opportunities for online misunderstandings, negative interactions, and/or feelings of being left out, each of which may be assoc</w:t>
      </w:r>
      <w:r w:rsidR="00073F49">
        <w:rPr>
          <w:rFonts w:ascii="Calibri" w:eastAsia="Calibri" w:hAnsi="Calibri" w:cs="Arial"/>
          <w:bCs/>
          <w:color w:val="000000"/>
        </w:rPr>
        <w:t>i</w:t>
      </w:r>
      <w:r w:rsidR="00073F49" w:rsidRPr="006A2F76">
        <w:rPr>
          <w:rFonts w:ascii="Calibri" w:eastAsia="Calibri" w:hAnsi="Calibri" w:cs="Arial"/>
          <w:bCs/>
          <w:color w:val="000000"/>
        </w:rPr>
        <w:t>ated with negative mood states</w:t>
      </w:r>
      <w:r w:rsidR="00A42A34" w:rsidRPr="006A2F76">
        <w:rPr>
          <w:rFonts w:ascii="Calibri" w:eastAsia="Calibri" w:hAnsi="Calibri" w:cs="Arial"/>
          <w:bCs/>
          <w:color w:val="000000"/>
        </w:rPr>
        <w:t xml:space="preserve"> </w:t>
      </w:r>
      <w:r w:rsidR="0053656A" w:rsidRPr="006A2F76">
        <w:rPr>
          <w:rFonts w:ascii="Calibri" w:eastAsia="Calibri" w:hAnsi="Calibri" w:cs="Arial"/>
          <w:bCs/>
          <w:color w:val="000000"/>
        </w:rPr>
        <w:fldChar w:fldCharType="begin" w:fldLock="1"/>
      </w:r>
      <w:r w:rsidR="001F2834">
        <w:rPr>
          <w:rFonts w:ascii="Calibri" w:eastAsia="Calibri" w:hAnsi="Calibri" w:cs="Arial"/>
          <w:bCs/>
          <w:color w:val="000000"/>
        </w:rPr>
        <w:instrText>ADDIN CSL_CITATION { "citationItems" : [ { "id" : "ITEM-1", "itemData" : { "DOI" : "10.1007/BF01537054", "abstract" : "The emphasis of this paper is on the role of media in the socialization of adolescents. First, a typology of adolescent media uses is presented, including entertainment, identity formation, high sensation, coping, and youth culture identification. Then, these five uses are discussed in relation to adolescent socialization. The central point of this discussion is that media differ from socializing agents such as family, school, community, and the legal system in that adolescents have greater control over their media choices than they do over their socialization from these other sources. The result is a substantial degree of self-socialization, in the sense that adolescents may choose from a diverse range of media materials the ones that best suit their individual preferences and personalities. Another result is that there is often a lack of integration in the socialization of adolescents, in the sense that they may receive different socialization messages from media (and peers) than they do from the adult socializes in their immediate environment.", "author" : [ { "dropping-particle" : "", "family" : "Arnett", "given" : "J J", "non-dropping-particle" : "", "parse-names" : false, "suffix" : "" } ], "container-title" : "Journal of Youth and Adolescence", "id" : "ITEM-1", "issue" : "5", "issued" : { "date-parts" : [ [ "1995" ] ] }, "page" : "519-533", "title" : "Adolescents' uses of media for self-socialization", "type" : "article-journal", "volume" : "24" }, "uris" : [ "http://www.mendeley.com/documents/?uuid=2a0aed6a-23bb-4158-8669-bbf6bca388fb" ] } ], "mendeley" : { "formattedCitation" : "(Arnett, 1995)", "plainTextFormattedCitation" : "(Arnett, 1995)", "previouslyFormattedCitation" : "&lt;sup&gt;33&lt;/sup&gt;" }, "properties" : { "noteIndex" : 0 }, "schema" : "https://github.com/citation-style-language/schema/raw/master/csl-citation.json" }</w:instrText>
      </w:r>
      <w:r w:rsidR="0053656A" w:rsidRPr="006A2F76">
        <w:rPr>
          <w:rFonts w:ascii="Calibri" w:eastAsia="Calibri" w:hAnsi="Calibri" w:cs="Arial"/>
          <w:bCs/>
          <w:color w:val="000000"/>
        </w:rPr>
        <w:fldChar w:fldCharType="separate"/>
      </w:r>
      <w:r w:rsidR="001F2834" w:rsidRPr="001F2834">
        <w:rPr>
          <w:rFonts w:ascii="Calibri" w:eastAsia="Calibri" w:hAnsi="Calibri" w:cs="Arial"/>
          <w:bCs/>
          <w:noProof/>
          <w:color w:val="000000"/>
        </w:rPr>
        <w:t>(Arnett, 1995)</w:t>
      </w:r>
      <w:r w:rsidR="0053656A" w:rsidRPr="006A2F76">
        <w:rPr>
          <w:rFonts w:ascii="Calibri" w:eastAsia="Calibri" w:hAnsi="Calibri" w:cs="Arial"/>
          <w:bCs/>
          <w:color w:val="000000"/>
        </w:rPr>
        <w:fldChar w:fldCharType="end"/>
      </w:r>
      <w:r w:rsidR="00073F49" w:rsidRPr="006A2F76">
        <w:rPr>
          <w:rFonts w:ascii="Calibri" w:eastAsia="Calibri" w:hAnsi="Calibri" w:cs="Arial"/>
          <w:bCs/>
          <w:color w:val="000000"/>
        </w:rPr>
        <w:t>.</w:t>
      </w:r>
    </w:p>
    <w:p w:rsidR="0069662F" w:rsidRPr="008C45AB" w:rsidRDefault="0069662F" w:rsidP="0069662F">
      <w:pPr>
        <w:spacing w:line="480" w:lineRule="auto"/>
        <w:rPr>
          <w:rFonts w:ascii="Calibri" w:eastAsia="Calibri" w:hAnsi="Calibri" w:cs="Arial"/>
          <w:bCs/>
          <w:color w:val="000000"/>
        </w:rPr>
      </w:pPr>
    </w:p>
    <w:p w:rsidR="00C769D9" w:rsidRPr="008C45AB" w:rsidRDefault="0069662F" w:rsidP="0069662F">
      <w:pPr>
        <w:spacing w:line="480" w:lineRule="auto"/>
        <w:rPr>
          <w:rFonts w:ascii="Calibri" w:eastAsia="Calibri" w:hAnsi="Calibri" w:cs="Arial"/>
          <w:bCs/>
          <w:color w:val="000000"/>
        </w:rPr>
      </w:pPr>
      <w:r w:rsidRPr="008C45AB">
        <w:rPr>
          <w:rFonts w:ascii="Calibri" w:eastAsia="Calibri" w:hAnsi="Calibri" w:cs="Arial"/>
          <w:bCs/>
          <w:color w:val="000000"/>
        </w:rPr>
        <w:t xml:space="preserve">Therefore, </w:t>
      </w:r>
      <w:r w:rsidR="00A42A34" w:rsidRPr="008C45AB">
        <w:rPr>
          <w:rFonts w:ascii="Calibri" w:eastAsia="Calibri" w:hAnsi="Calibri" w:cs="Arial"/>
          <w:bCs/>
          <w:color w:val="000000"/>
        </w:rPr>
        <w:t xml:space="preserve">the purpose of this study was to </w:t>
      </w:r>
      <w:r w:rsidRPr="008C45AB">
        <w:rPr>
          <w:rFonts w:ascii="Calibri" w:eastAsia="Calibri" w:hAnsi="Calibri" w:cs="Arial"/>
          <w:bCs/>
          <w:color w:val="000000"/>
        </w:rPr>
        <w:t xml:space="preserve">assess multivariable associations between </w:t>
      </w:r>
      <w:r w:rsidR="00DF3995">
        <w:rPr>
          <w:rFonts w:ascii="Calibri" w:eastAsia="Calibri" w:hAnsi="Calibri" w:cs="Arial"/>
          <w:bCs/>
          <w:color w:val="000000"/>
        </w:rPr>
        <w:t xml:space="preserve">use of multiple social media </w:t>
      </w:r>
      <w:r w:rsidR="002C063E">
        <w:rPr>
          <w:rFonts w:ascii="Calibri" w:eastAsia="Calibri" w:hAnsi="Calibri" w:cs="Arial"/>
          <w:bCs/>
          <w:color w:val="000000"/>
        </w:rPr>
        <w:t xml:space="preserve">platforms </w:t>
      </w:r>
      <w:r w:rsidR="002C063E" w:rsidRPr="008C45AB">
        <w:rPr>
          <w:rFonts w:ascii="Calibri" w:eastAsia="Calibri" w:hAnsi="Calibri" w:cs="Arial"/>
          <w:bCs/>
          <w:color w:val="000000"/>
        </w:rPr>
        <w:t>and</w:t>
      </w:r>
      <w:r w:rsidR="00A42A34" w:rsidRPr="008C45AB">
        <w:rPr>
          <w:rFonts w:ascii="Calibri" w:eastAsia="Calibri" w:hAnsi="Calibri" w:cs="Arial"/>
          <w:bCs/>
          <w:color w:val="000000"/>
        </w:rPr>
        <w:t xml:space="preserve"> </w:t>
      </w:r>
      <w:r w:rsidR="0008757D">
        <w:rPr>
          <w:rFonts w:ascii="Calibri" w:eastAsia="Calibri" w:hAnsi="Calibri" w:cs="Arial"/>
          <w:bCs/>
          <w:color w:val="000000"/>
        </w:rPr>
        <w:t xml:space="preserve">both </w:t>
      </w:r>
      <w:r w:rsidR="00A42A34" w:rsidRPr="008C45AB">
        <w:rPr>
          <w:rFonts w:ascii="Calibri" w:eastAsia="Calibri" w:hAnsi="Calibri" w:cs="Arial"/>
          <w:bCs/>
          <w:color w:val="000000"/>
        </w:rPr>
        <w:t>depression and anxiety</w:t>
      </w:r>
      <w:r w:rsidRPr="008C45AB">
        <w:rPr>
          <w:rFonts w:ascii="Calibri" w:eastAsia="Calibri" w:hAnsi="Calibri" w:cs="Arial"/>
          <w:bCs/>
          <w:color w:val="000000"/>
        </w:rPr>
        <w:t xml:space="preserve"> in a nationally-representative sample of U.S. young adults. We focused on young adults because of the </w:t>
      </w:r>
      <w:r w:rsidRPr="000109BD">
        <w:rPr>
          <w:rFonts w:ascii="Calibri" w:eastAsia="Calibri" w:hAnsi="Calibri" w:cs="Arial"/>
          <w:bCs/>
          <w:color w:val="000000"/>
        </w:rPr>
        <w:t>particular</w:t>
      </w:r>
      <w:r w:rsidR="000109BD">
        <w:rPr>
          <w:rFonts w:ascii="Calibri" w:eastAsia="Calibri" w:hAnsi="Calibri" w:cs="Arial"/>
          <w:bCs/>
          <w:color w:val="000000"/>
        </w:rPr>
        <w:t>ly high levels of</w:t>
      </w:r>
      <w:r w:rsidR="009E150B">
        <w:rPr>
          <w:rFonts w:ascii="Calibri" w:eastAsia="Calibri" w:hAnsi="Calibri" w:cs="Arial"/>
          <w:bCs/>
          <w:color w:val="000000"/>
        </w:rPr>
        <w:t xml:space="preserve"> </w:t>
      </w:r>
      <w:r w:rsidR="00846742" w:rsidRPr="000109BD">
        <w:rPr>
          <w:rFonts w:ascii="Calibri" w:eastAsia="Calibri" w:hAnsi="Calibri" w:cs="Arial"/>
          <w:bCs/>
          <w:color w:val="000000"/>
        </w:rPr>
        <w:t>SMU</w:t>
      </w:r>
      <w:r w:rsidR="000109BD">
        <w:rPr>
          <w:rFonts w:ascii="Calibri" w:eastAsia="Calibri" w:hAnsi="Calibri" w:cs="Arial"/>
          <w:bCs/>
          <w:color w:val="000000"/>
        </w:rPr>
        <w:t xml:space="preserve"> and</w:t>
      </w:r>
      <w:r w:rsidR="00A42A34" w:rsidRPr="000109BD">
        <w:rPr>
          <w:rFonts w:ascii="Calibri" w:eastAsia="Calibri" w:hAnsi="Calibri" w:cs="Arial"/>
          <w:bCs/>
          <w:color w:val="000000"/>
        </w:rPr>
        <w:t xml:space="preserve"> </w:t>
      </w:r>
      <w:r w:rsidR="00DF3995">
        <w:rPr>
          <w:rFonts w:ascii="Calibri" w:eastAsia="Calibri" w:hAnsi="Calibri" w:cs="Arial"/>
          <w:bCs/>
          <w:color w:val="000000"/>
        </w:rPr>
        <w:t>us</w:t>
      </w:r>
      <w:r w:rsidR="0008757D">
        <w:rPr>
          <w:rFonts w:ascii="Calibri" w:eastAsia="Calibri" w:hAnsi="Calibri" w:cs="Arial"/>
          <w:bCs/>
          <w:color w:val="000000"/>
        </w:rPr>
        <w:t>age</w:t>
      </w:r>
      <w:r w:rsidR="00DF3995">
        <w:rPr>
          <w:rFonts w:ascii="Calibri" w:eastAsia="Calibri" w:hAnsi="Calibri" w:cs="Arial"/>
          <w:bCs/>
          <w:color w:val="000000"/>
        </w:rPr>
        <w:t xml:space="preserve"> of multiple </w:t>
      </w:r>
      <w:r w:rsidR="0008757D">
        <w:rPr>
          <w:rFonts w:ascii="Calibri" w:eastAsia="Calibri" w:hAnsi="Calibri" w:cs="Arial"/>
          <w:bCs/>
          <w:color w:val="000000"/>
        </w:rPr>
        <w:t>social media</w:t>
      </w:r>
      <w:r w:rsidR="00DF3995">
        <w:rPr>
          <w:rFonts w:ascii="Calibri" w:eastAsia="Calibri" w:hAnsi="Calibri" w:cs="Arial"/>
          <w:bCs/>
          <w:color w:val="000000"/>
        </w:rPr>
        <w:t xml:space="preserve"> platforms</w:t>
      </w:r>
      <w:r w:rsidR="00A42A34" w:rsidRPr="000109BD">
        <w:rPr>
          <w:rFonts w:ascii="Calibri" w:eastAsia="Calibri" w:hAnsi="Calibri" w:cs="Arial"/>
          <w:bCs/>
          <w:color w:val="000000"/>
        </w:rPr>
        <w:t>,</w:t>
      </w:r>
      <w:r w:rsidR="00846742" w:rsidRPr="000109BD">
        <w:rPr>
          <w:rFonts w:ascii="Calibri" w:eastAsia="Calibri" w:hAnsi="Calibri" w:cs="Arial"/>
          <w:bCs/>
          <w:color w:val="000000"/>
        </w:rPr>
        <w:t xml:space="preserve"> in </w:t>
      </w:r>
      <w:r w:rsidR="00073F49" w:rsidRPr="000109BD">
        <w:rPr>
          <w:rFonts w:ascii="Calibri" w:eastAsia="Calibri" w:hAnsi="Calibri" w:cs="Arial"/>
          <w:bCs/>
          <w:color w:val="000000"/>
        </w:rPr>
        <w:t>this population</w:t>
      </w:r>
      <w:r w:rsidR="00073F49">
        <w:rPr>
          <w:rFonts w:ascii="Calibri" w:eastAsia="Calibri" w:hAnsi="Calibri" w:cs="Arial"/>
          <w:bCs/>
          <w:color w:val="000000"/>
        </w:rPr>
        <w:t xml:space="preserve"> </w:t>
      </w:r>
      <w:r w:rsidR="0053656A" w:rsidRPr="008C45AB">
        <w:rPr>
          <w:rFonts w:ascii="Calibri" w:hAnsi="Calibri" w:cs="Calibri"/>
        </w:rPr>
        <w:fldChar w:fldCharType="begin" w:fldLock="1"/>
      </w:r>
      <w:r w:rsidR="001F2834">
        <w:rPr>
          <w:rFonts w:ascii="Calibri" w:hAnsi="Calibri" w:cs="Calibri"/>
        </w:rPr>
        <w:instrText>ADDIN CSL_CITATION { "citationItems" : [ { "id" : "ITEM-1", "itemData" : { "URL" : "http://www.webcitation.org/6ajEhvS11", "accessed" : { "date-parts" : [ [ "2016", "6", "8" ] ] }, "author" : [ { "dropping-particle" : "", "family" : "Pew Research Center", "given" : "", "non-dropping-particle" : "", "parse-names" : false, "suffix" : "" } ], "id" : "ITEM-1", "issued" : { "date-parts" : [ [ "2015" ] ] }, "publisher-place" : "Washington DC", "title" : "Social media update 2015", "type" : "webpage" }, "uris" : [ "http://www.mendeley.com/documents/?uuid=df0f6d13-93d3-4769-83ea-683475cc9ef4" ] } ], "mendeley" : { "formattedCitation" : "(Pew Research Center, 2015)", "plainTextFormattedCitation" : "(Pew Research Center, 2015)", "previouslyFormattedCitation" : "&lt;sup&gt;5&lt;/sup&gt;" }, "properties" : { "noteIndex" : 0 }, "schema" : "https://github.com/citation-style-language/schema/raw/master/csl-citation.json" }</w:instrText>
      </w:r>
      <w:r w:rsidR="0053656A" w:rsidRPr="008C45AB">
        <w:rPr>
          <w:rFonts w:ascii="Calibri" w:hAnsi="Calibri" w:cs="Calibri"/>
        </w:rPr>
        <w:fldChar w:fldCharType="separate"/>
      </w:r>
      <w:r w:rsidR="001F2834" w:rsidRPr="001F2834">
        <w:rPr>
          <w:rFonts w:ascii="Calibri" w:hAnsi="Calibri" w:cs="Calibri"/>
          <w:noProof/>
        </w:rPr>
        <w:t>(Pew Research Center, 2015)</w:t>
      </w:r>
      <w:r w:rsidR="0053656A" w:rsidRPr="008C45AB">
        <w:rPr>
          <w:rFonts w:ascii="Calibri" w:hAnsi="Calibri" w:cs="Calibri"/>
        </w:rPr>
        <w:fldChar w:fldCharType="end"/>
      </w:r>
      <w:r w:rsidR="00073F49">
        <w:rPr>
          <w:rFonts w:ascii="Calibri" w:hAnsi="Calibri" w:cs="Calibri"/>
        </w:rPr>
        <w:t>.</w:t>
      </w:r>
      <w:r w:rsidR="00A42A34" w:rsidRPr="008C45AB">
        <w:rPr>
          <w:rFonts w:ascii="Calibri" w:hAnsi="Calibri" w:cs="Calibri"/>
        </w:rPr>
        <w:t xml:space="preserve"> We aimed to determine these associations while controlling for a comprehensive set of covariates.</w:t>
      </w:r>
      <w:r w:rsidR="009E150B">
        <w:rPr>
          <w:rFonts w:ascii="Calibri" w:hAnsi="Calibri" w:cs="Calibri"/>
        </w:rPr>
        <w:t xml:space="preserve"> </w:t>
      </w:r>
      <w:r w:rsidR="0058218A">
        <w:rPr>
          <w:rFonts w:ascii="Calibri" w:eastAsia="Calibri" w:hAnsi="Calibri" w:cs="Arial"/>
          <w:bCs/>
          <w:color w:val="000000"/>
        </w:rPr>
        <w:t xml:space="preserve">Based on </w:t>
      </w:r>
      <w:r w:rsidRPr="008C45AB">
        <w:rPr>
          <w:rFonts w:ascii="Calibri" w:eastAsia="Calibri" w:hAnsi="Calibri" w:cs="Arial"/>
          <w:bCs/>
          <w:color w:val="000000"/>
        </w:rPr>
        <w:t xml:space="preserve">the </w:t>
      </w:r>
      <w:r w:rsidR="00B96BEE" w:rsidRPr="008C45AB">
        <w:rPr>
          <w:rFonts w:ascii="Calibri" w:eastAsia="Calibri" w:hAnsi="Calibri" w:cs="Arial"/>
          <w:bCs/>
          <w:color w:val="000000"/>
        </w:rPr>
        <w:t>background noted above</w:t>
      </w:r>
      <w:r w:rsidRPr="008C45AB">
        <w:rPr>
          <w:rFonts w:ascii="Calibri" w:eastAsia="Calibri" w:hAnsi="Calibri" w:cs="Arial"/>
          <w:bCs/>
          <w:color w:val="000000"/>
        </w:rPr>
        <w:t>, we</w:t>
      </w:r>
      <w:r w:rsidR="00B96BEE" w:rsidRPr="008C45AB">
        <w:rPr>
          <w:rFonts w:ascii="Calibri" w:eastAsia="Calibri" w:hAnsi="Calibri" w:cs="Arial"/>
          <w:bCs/>
          <w:color w:val="000000"/>
        </w:rPr>
        <w:t xml:space="preserve"> hypothesized that increased </w:t>
      </w:r>
      <w:r w:rsidR="0008757D">
        <w:rPr>
          <w:rFonts w:ascii="Calibri" w:eastAsia="Calibri" w:hAnsi="Calibri" w:cs="Arial"/>
          <w:bCs/>
          <w:color w:val="000000"/>
        </w:rPr>
        <w:t xml:space="preserve">use of multiple social media </w:t>
      </w:r>
      <w:r w:rsidR="002C063E">
        <w:rPr>
          <w:rFonts w:ascii="Calibri" w:eastAsia="Calibri" w:hAnsi="Calibri" w:cs="Arial"/>
          <w:bCs/>
          <w:color w:val="000000"/>
        </w:rPr>
        <w:t xml:space="preserve">platforms </w:t>
      </w:r>
      <w:r w:rsidR="002C063E" w:rsidRPr="008C45AB">
        <w:rPr>
          <w:rFonts w:ascii="Calibri" w:eastAsia="Calibri" w:hAnsi="Calibri" w:cs="Arial"/>
          <w:bCs/>
          <w:color w:val="000000"/>
        </w:rPr>
        <w:t>would</w:t>
      </w:r>
      <w:r w:rsidRPr="008C45AB">
        <w:rPr>
          <w:rFonts w:ascii="Calibri" w:eastAsia="Calibri" w:hAnsi="Calibri" w:cs="Arial"/>
          <w:bCs/>
          <w:color w:val="000000"/>
        </w:rPr>
        <w:t xml:space="preserve"> be </w:t>
      </w:r>
      <w:r w:rsidR="00B96BEE" w:rsidRPr="008C45AB">
        <w:rPr>
          <w:rFonts w:ascii="Calibri" w:eastAsia="Calibri" w:hAnsi="Calibri" w:cs="Arial"/>
          <w:bCs/>
          <w:color w:val="000000"/>
        </w:rPr>
        <w:t>independently associated with both depression (Hypothesis 1) and anxiety (Hypothesis 2), even controlling for essential covariates and overall SMU.</w:t>
      </w:r>
    </w:p>
    <w:p w:rsidR="00C769D9" w:rsidRPr="008C45AB" w:rsidRDefault="00C769D9" w:rsidP="001F44D6">
      <w:pPr>
        <w:spacing w:line="480" w:lineRule="auto"/>
        <w:rPr>
          <w:rFonts w:ascii="Calibri" w:hAnsi="Calibri" w:cs="Arial"/>
          <w:b/>
          <w:bCs/>
        </w:rPr>
      </w:pPr>
      <w:r w:rsidRPr="008C45AB">
        <w:rPr>
          <w:rFonts w:ascii="Calibri" w:eastAsia="Calibri" w:hAnsi="Calibri" w:cs="Arial"/>
          <w:bCs/>
          <w:color w:val="000000"/>
        </w:rPr>
        <w:br w:type="page"/>
      </w:r>
      <w:r w:rsidR="001F44D6" w:rsidRPr="001F44D6">
        <w:rPr>
          <w:rFonts w:ascii="Calibri" w:eastAsia="Calibri" w:hAnsi="Calibri" w:cs="Arial"/>
          <w:b/>
          <w:bCs/>
          <w:color w:val="000000"/>
        </w:rPr>
        <w:lastRenderedPageBreak/>
        <w:t>2.</w:t>
      </w:r>
      <w:r w:rsidR="001F44D6">
        <w:rPr>
          <w:rFonts w:ascii="Calibri" w:eastAsia="Calibri" w:hAnsi="Calibri" w:cs="Arial"/>
          <w:bCs/>
          <w:color w:val="000000"/>
        </w:rPr>
        <w:t xml:space="preserve"> </w:t>
      </w:r>
      <w:r w:rsidRPr="008C45AB">
        <w:rPr>
          <w:rFonts w:ascii="Calibri" w:hAnsi="Calibri" w:cs="Arial"/>
          <w:b/>
          <w:bCs/>
        </w:rPr>
        <w:t>METHODS</w:t>
      </w:r>
    </w:p>
    <w:p w:rsidR="00C769D9" w:rsidRPr="008C45AB" w:rsidRDefault="00C769D9" w:rsidP="00846B6A">
      <w:pPr>
        <w:spacing w:line="480" w:lineRule="auto"/>
        <w:ind w:left="360"/>
        <w:rPr>
          <w:rFonts w:ascii="Calibri" w:hAnsi="Calibri" w:cs="Arial"/>
        </w:rPr>
      </w:pPr>
    </w:p>
    <w:p w:rsidR="00C769D9" w:rsidRPr="008C45AB" w:rsidRDefault="001F44D6" w:rsidP="001F44D6">
      <w:pPr>
        <w:spacing w:line="480" w:lineRule="auto"/>
        <w:outlineLvl w:val="0"/>
        <w:rPr>
          <w:rFonts w:ascii="Calibri" w:hAnsi="Calibri" w:cs="Calibri"/>
          <w:b/>
          <w:bCs/>
        </w:rPr>
      </w:pPr>
      <w:r>
        <w:rPr>
          <w:rFonts w:ascii="Calibri" w:hAnsi="Calibri" w:cs="Calibri"/>
          <w:b/>
          <w:bCs/>
        </w:rPr>
        <w:t xml:space="preserve">2.1. </w:t>
      </w:r>
      <w:r w:rsidR="00C769D9" w:rsidRPr="008C45AB">
        <w:rPr>
          <w:rFonts w:ascii="Calibri" w:hAnsi="Calibri" w:cs="Calibri"/>
          <w:b/>
          <w:bCs/>
        </w:rPr>
        <w:t>Design, Participants, and Setting</w:t>
      </w:r>
    </w:p>
    <w:p w:rsidR="00C769D9" w:rsidRPr="008C45AB" w:rsidRDefault="00C769D9" w:rsidP="00C769D9">
      <w:pPr>
        <w:pStyle w:val="MediumShading1-Accent21"/>
        <w:spacing w:line="480" w:lineRule="auto"/>
        <w:rPr>
          <w:rFonts w:cs="Calibri"/>
          <w:sz w:val="24"/>
          <w:szCs w:val="24"/>
        </w:rPr>
      </w:pPr>
    </w:p>
    <w:p w:rsidR="00C769D9" w:rsidRPr="008C45AB" w:rsidRDefault="008E4999" w:rsidP="00C769D9">
      <w:pPr>
        <w:pStyle w:val="MediumShading1-Accent21"/>
        <w:spacing w:line="480" w:lineRule="auto"/>
        <w:rPr>
          <w:rFonts w:cs="Calibri"/>
          <w:sz w:val="24"/>
          <w:szCs w:val="24"/>
        </w:rPr>
      </w:pPr>
      <w:r w:rsidRPr="008C45AB">
        <w:rPr>
          <w:rFonts w:cs="Calibri"/>
          <w:sz w:val="24"/>
          <w:szCs w:val="24"/>
        </w:rPr>
        <w:t xml:space="preserve">A detailed description of overall </w:t>
      </w:r>
      <w:r w:rsidR="00073F49">
        <w:rPr>
          <w:rFonts w:cs="Calibri"/>
          <w:sz w:val="24"/>
          <w:szCs w:val="24"/>
        </w:rPr>
        <w:t xml:space="preserve">study methods has been reported </w:t>
      </w:r>
      <w:r w:rsidR="0053656A" w:rsidRPr="008C45AB">
        <w:rPr>
          <w:rFonts w:cs="Calibri"/>
          <w:sz w:val="24"/>
          <w:szCs w:val="24"/>
        </w:rPr>
        <w:fldChar w:fldCharType="begin" w:fldLock="1"/>
      </w:r>
      <w:r w:rsidR="001F2834">
        <w:rPr>
          <w:rFonts w:cs="Calibri"/>
          <w:sz w:val="24"/>
          <w:szCs w:val="24"/>
        </w:rPr>
        <w:instrText>ADDIN CSL_CITATION { "citationItems" : [ { "id" : "ITEM-1", "itemData" : { "DOI" : "10.1002/da.22466", "ISSN" : "10914269", "abstract" : "Background Social media (SM) use is increasing among U.S. young adults, and its association with mental well-being remains unclear. This study assessed the association between SM use and depression in a nationally representative sample of young adults. Methods We surveyed 1,787 adults ages 19 to 32 about SM use and depression. Participants were recruited via random digit dialing and address-based sampling. SM use was assessed by self-reported total time per day spent on SM, visits per week, and a global frequency score based on the Pew Internet Research Questionnaire. Depression was assessed using the Patient-Reported Outcomes Measurement Information System (PROMIS) Depression Scale Short Form. Chi-squared tests and ordered logistic regressions were performed with sample weights. Results The weighted sample was 50.3% female and 57.5% White. Compared to those in the lowest quartile of total time per day spent on SM, participants in the highest quartile had significantly increased odds of depression (AOR = 1.66, 95% CI = 1.14\u20132.42) after controlling for all covariates. Compared with those in the lowest quartile, individuals in the highest quartile of SM site visits per week and those with a higher global frequency score had significantly increased odds of depression (AOR = 2.74, 95% CI = 1.86\u20134.04; AOR = 3.05, 95% CI = 2.03\u20134.59, respectively). All associations between independent variables and depression had strong, linear, dose\u2013response trends. Results were robust to all sensitivity analyses. Conclusions SM use was significantly associated with increased depression. Given the proliferation of SM, identifying the mechanisms and direction of this association is critical for informing interventions that address SM use and depression.", "author" : [ { "dropping-particle" : "", "family" : "Lin", "given" : "L Y", "non-dropping-particle" : "", "parse-names" : false, "suffix" : "" }, { "dropping-particle" : "", "family" : "Sidani", "given" : "J E", "non-dropping-particle" : "", "parse-names" : false, "suffix" : "" }, { "dropping-particle" : "", "family" : "Shensa", "given" : "A", "non-dropping-particle" : "", "parse-names" : false, "suffix" : "" }, { "dropping-particle" : "", "family" : "Radovic", "given" : "A", "non-dropping-particle" : "", "parse-names" : false, "suffix" : "" }, { "dropping-particle" : "", "family" : "Miller", "given" : "E", "non-dropping-particle" : "", "parse-names" : false, "suffix" : "" }, { "dropping-particle" : "", "family" : "Colditz", "given" : "J B", "non-dropping-particle" : "", "parse-names" : false, "suffix" : "" }, { "dropping-particle" : "", "family" : "Hoffman", "given" : "B H", "non-dropping-particle" : "", "parse-names" : false, "suffix" : "" }, { "dropping-particle" : "", "family" : "Giles", "given" : "L", "non-dropping-particle" : "", "parse-names" : false, "suffix" : "" }, { "dropping-particle" : "", "family" : "Primack", "given" : "B A", "non-dropping-particle" : "", "parse-names" : false, "suffix" : "" } ], "container-title" : "Depression and Anxiety", "id" : "ITEM-1", "issue" : "4", "issued" : { "date-parts" : [ [ "2016", "1" ] ] }, "page" : "323\u2013331", "title" : "Association between social media use and depression among U.S. young adults", "type" : "article-journal", "volume" : "33" }, "uris" : [ "http://www.mendeley.com/documents/?uuid=7a3bfbe4-9ba6-4699-a631-8c6c80a4f4aa" ] } ], "mendeley" : { "formattedCitation" : "(L. Y. Lin et al., 2016)", "plainTextFormattedCitation" : "(L. Y. Lin et al., 2016)", "previouslyFormattedCitation" : "&lt;sup&gt;12&lt;/sup&gt;" }, "properties" : { "noteIndex" : 0 }, "schema" : "https://github.com/citation-style-language/schema/raw/master/csl-citation.json" }</w:instrText>
      </w:r>
      <w:r w:rsidR="0053656A" w:rsidRPr="008C45AB">
        <w:rPr>
          <w:rFonts w:cs="Calibri"/>
          <w:sz w:val="24"/>
          <w:szCs w:val="24"/>
        </w:rPr>
        <w:fldChar w:fldCharType="separate"/>
      </w:r>
      <w:r w:rsidR="001F2834" w:rsidRPr="001F2834">
        <w:rPr>
          <w:rFonts w:cs="Calibri"/>
          <w:noProof/>
          <w:sz w:val="24"/>
          <w:szCs w:val="24"/>
        </w:rPr>
        <w:t>(L. Y. Lin et al., 2016)</w:t>
      </w:r>
      <w:r w:rsidR="0053656A" w:rsidRPr="008C45AB">
        <w:rPr>
          <w:rFonts w:cs="Calibri"/>
          <w:sz w:val="24"/>
          <w:szCs w:val="24"/>
        </w:rPr>
        <w:fldChar w:fldCharType="end"/>
      </w:r>
      <w:r w:rsidR="00073F49">
        <w:rPr>
          <w:rFonts w:cs="Calibri"/>
          <w:sz w:val="24"/>
          <w:szCs w:val="24"/>
        </w:rPr>
        <w:t>.</w:t>
      </w:r>
      <w:r w:rsidRPr="008C45AB">
        <w:rPr>
          <w:rFonts w:cs="Calibri"/>
          <w:sz w:val="24"/>
          <w:szCs w:val="24"/>
        </w:rPr>
        <w:t xml:space="preserve"> In brief, w</w:t>
      </w:r>
      <w:r w:rsidR="00C769D9" w:rsidRPr="008C45AB">
        <w:rPr>
          <w:rFonts w:cs="Calibri"/>
          <w:sz w:val="24"/>
          <w:szCs w:val="24"/>
        </w:rPr>
        <w:t>e surveyed a nationally-representative sample of U.S. young adults aged 19 to 32 regarding social media use</w:t>
      </w:r>
      <w:r w:rsidR="00E71209" w:rsidRPr="008C45AB">
        <w:rPr>
          <w:rFonts w:cs="Calibri"/>
          <w:sz w:val="24"/>
          <w:szCs w:val="24"/>
        </w:rPr>
        <w:t xml:space="preserve">, </w:t>
      </w:r>
      <w:r w:rsidR="00011AF5" w:rsidRPr="008C45AB">
        <w:rPr>
          <w:rFonts w:cs="Calibri"/>
          <w:sz w:val="24"/>
          <w:szCs w:val="24"/>
        </w:rPr>
        <w:t>depression</w:t>
      </w:r>
      <w:r w:rsidR="00E71209" w:rsidRPr="008C45AB">
        <w:rPr>
          <w:rFonts w:cs="Calibri"/>
          <w:sz w:val="24"/>
          <w:szCs w:val="24"/>
        </w:rPr>
        <w:t>, and anxiety</w:t>
      </w:r>
      <w:r w:rsidR="00C769D9" w:rsidRPr="008C45AB">
        <w:rPr>
          <w:rFonts w:cs="Calibri"/>
          <w:sz w:val="24"/>
          <w:szCs w:val="24"/>
        </w:rPr>
        <w:t xml:space="preserve">. We drew our sample from a research panel </w:t>
      </w:r>
      <w:r w:rsidR="00B22935" w:rsidRPr="008C45AB">
        <w:rPr>
          <w:rFonts w:cs="Calibri"/>
          <w:sz w:val="24"/>
          <w:szCs w:val="24"/>
        </w:rPr>
        <w:t>maintained by</w:t>
      </w:r>
      <w:r w:rsidR="00C769D9" w:rsidRPr="008C45AB">
        <w:rPr>
          <w:rFonts w:cs="Calibri"/>
          <w:sz w:val="24"/>
          <w:szCs w:val="24"/>
        </w:rPr>
        <w:t xml:space="preserve"> Growth from Knowledge (GfK)</w:t>
      </w:r>
      <w:r w:rsidR="00241EEB" w:rsidRPr="008C45AB">
        <w:rPr>
          <w:rFonts w:cs="Calibri"/>
          <w:sz w:val="24"/>
          <w:szCs w:val="24"/>
        </w:rPr>
        <w:t xml:space="preserve">, which </w:t>
      </w:r>
      <w:r w:rsidR="00C769D9" w:rsidRPr="008C45AB">
        <w:rPr>
          <w:rFonts w:cs="Calibri"/>
          <w:sz w:val="24"/>
          <w:szCs w:val="24"/>
        </w:rPr>
        <w:t>recruited participants via random digit dia</w:t>
      </w:r>
      <w:r w:rsidR="00073F49">
        <w:rPr>
          <w:rFonts w:cs="Calibri"/>
          <w:sz w:val="24"/>
          <w:szCs w:val="24"/>
        </w:rPr>
        <w:t xml:space="preserve">ling and address-based sampling </w:t>
      </w:r>
      <w:r w:rsidR="0053656A" w:rsidRPr="008C45AB">
        <w:rPr>
          <w:rFonts w:cs="Calibri"/>
          <w:sz w:val="24"/>
          <w:szCs w:val="24"/>
        </w:rPr>
        <w:fldChar w:fldCharType="begin" w:fldLock="1"/>
      </w:r>
      <w:r w:rsidR="001F2834">
        <w:rPr>
          <w:rFonts w:cs="Calibri"/>
          <w:sz w:val="24"/>
          <w:szCs w:val="24"/>
        </w:rPr>
        <w:instrText>ADDIN CSL_CITATION { "citationItems" : [ { "id" : "ITEM-1", "itemData" : { "URL" : "http://www.webcitation.org/6ajEWO5mb", "author" : [ { "dropping-particle" : "", "family" : "GfK KnowledgePanel\u00ae", "given" : "", "non-dropping-particle" : "", "parse-names" : false, "suffix" : "" } ], "id" : "ITEM-1", "issued" : { "date-parts" : [ [ "2013" ] ] }, "title" : "KnowledgePanel Design Summary", "type" : "webpage" }, "uris" : [ "http://www.mendeley.com/documents/?uuid=a3719d9e-7fd4-4387-8f03-39ad46ef7189" ] } ], "mendeley" : { "formattedCitation" : "(GfK KnowledgePanel\u00ae, 2013)", "plainTextFormattedCitation" : "(GfK KnowledgePanel\u00ae, 2013)", "previouslyFormattedCitation" : "&lt;sup&gt;34&lt;/sup&gt;" }, "properties" : { "noteIndex" : 0 }, "schema" : "https://github.com/citation-style-language/schema/raw/master/csl-citation.json" }</w:instrText>
      </w:r>
      <w:r w:rsidR="0053656A" w:rsidRPr="008C45AB">
        <w:rPr>
          <w:rFonts w:cs="Calibri"/>
          <w:sz w:val="24"/>
          <w:szCs w:val="24"/>
        </w:rPr>
        <w:fldChar w:fldCharType="separate"/>
      </w:r>
      <w:r w:rsidR="001F2834" w:rsidRPr="001F2834">
        <w:rPr>
          <w:rFonts w:cs="Calibri"/>
          <w:noProof/>
          <w:sz w:val="24"/>
          <w:szCs w:val="24"/>
        </w:rPr>
        <w:t>(GfK KnowledgePanel®, 2013)</w:t>
      </w:r>
      <w:r w:rsidR="0053656A" w:rsidRPr="008C45AB">
        <w:rPr>
          <w:rFonts w:cs="Calibri"/>
          <w:sz w:val="24"/>
          <w:szCs w:val="24"/>
        </w:rPr>
        <w:fldChar w:fldCharType="end"/>
      </w:r>
      <w:r w:rsidR="00073F49">
        <w:rPr>
          <w:rFonts w:cs="Calibri"/>
          <w:sz w:val="24"/>
          <w:szCs w:val="24"/>
        </w:rPr>
        <w:t>.</w:t>
      </w:r>
      <w:r w:rsidR="00C769D9" w:rsidRPr="008C45AB">
        <w:rPr>
          <w:rFonts w:cs="Calibri"/>
          <w:sz w:val="24"/>
          <w:szCs w:val="24"/>
        </w:rPr>
        <w:t xml:space="preserve"> Using this process, they maintained a sampling frame including </w:t>
      </w:r>
      <w:r w:rsidR="00073F49">
        <w:rPr>
          <w:rFonts w:cs="Calibri"/>
          <w:sz w:val="24"/>
          <w:szCs w:val="24"/>
        </w:rPr>
        <w:t xml:space="preserve">over 97% of the U.S. population </w:t>
      </w:r>
      <w:r w:rsidR="0053656A" w:rsidRPr="008C45AB">
        <w:rPr>
          <w:rFonts w:cs="Calibri"/>
          <w:sz w:val="24"/>
          <w:szCs w:val="24"/>
        </w:rPr>
        <w:fldChar w:fldCharType="begin" w:fldLock="1"/>
      </w:r>
      <w:r w:rsidR="001F2834">
        <w:rPr>
          <w:rFonts w:cs="Calibri"/>
          <w:sz w:val="24"/>
          <w:szCs w:val="24"/>
        </w:rPr>
        <w:instrText>ADDIN CSL_CITATION { "citationItems" : [ { "id" : "ITEM-1", "itemData" : { "URL" : "http://www.webcitation.org/6ajEWO5mb", "author" : [ { "dropping-particle" : "", "family" : "GfK KnowledgePanel\u00ae", "given" : "", "non-dropping-particle" : "", "parse-names" : false, "suffix" : "" } ], "id" : "ITEM-1", "issued" : { "date-parts" : [ [ "2013" ] ] }, "title" : "KnowledgePanel Design Summary", "type" : "webpage" }, "uris" : [ "http://www.mendeley.com/documents/?uuid=a3719d9e-7fd4-4387-8f03-39ad46ef7189" ] } ], "mendeley" : { "formattedCitation" : "(GfK KnowledgePanel\u00ae, 2013)", "plainTextFormattedCitation" : "(GfK KnowledgePanel\u00ae, 2013)", "previouslyFormattedCitation" : "&lt;sup&gt;34&lt;/sup&gt;" }, "properties" : { "noteIndex" : 0 }, "schema" : "https://github.com/citation-style-language/schema/raw/master/csl-citation.json" }</w:instrText>
      </w:r>
      <w:r w:rsidR="0053656A" w:rsidRPr="008C45AB">
        <w:rPr>
          <w:rFonts w:cs="Calibri"/>
          <w:sz w:val="24"/>
          <w:szCs w:val="24"/>
        </w:rPr>
        <w:fldChar w:fldCharType="separate"/>
      </w:r>
      <w:r w:rsidR="001F2834" w:rsidRPr="001F2834">
        <w:rPr>
          <w:rFonts w:cs="Calibri"/>
          <w:noProof/>
          <w:sz w:val="24"/>
          <w:szCs w:val="24"/>
        </w:rPr>
        <w:t>(GfK KnowledgePanel®, 2013)</w:t>
      </w:r>
      <w:r w:rsidR="0053656A" w:rsidRPr="008C45AB">
        <w:rPr>
          <w:rFonts w:cs="Calibri"/>
          <w:sz w:val="24"/>
          <w:szCs w:val="24"/>
        </w:rPr>
        <w:fldChar w:fldCharType="end"/>
      </w:r>
      <w:r w:rsidR="00073F49">
        <w:rPr>
          <w:rFonts w:cs="Calibri"/>
          <w:sz w:val="24"/>
          <w:szCs w:val="24"/>
        </w:rPr>
        <w:t>.</w:t>
      </w:r>
      <w:r w:rsidR="00C769D9" w:rsidRPr="008C45AB">
        <w:rPr>
          <w:rFonts w:cs="Calibri"/>
          <w:sz w:val="24"/>
          <w:szCs w:val="24"/>
        </w:rPr>
        <w:t xml:space="preserve"> </w:t>
      </w:r>
      <w:r w:rsidR="00241EEB" w:rsidRPr="008C45AB">
        <w:rPr>
          <w:rFonts w:cs="Calibri"/>
          <w:sz w:val="24"/>
          <w:szCs w:val="24"/>
        </w:rPr>
        <w:t xml:space="preserve">GfK’s </w:t>
      </w:r>
      <w:r w:rsidR="00C769D9" w:rsidRPr="008C45AB">
        <w:rPr>
          <w:rFonts w:cs="Calibri"/>
          <w:sz w:val="24"/>
          <w:szCs w:val="24"/>
        </w:rPr>
        <w:t xml:space="preserve">sampling strategy </w:t>
      </w:r>
      <w:r w:rsidRPr="008C45AB">
        <w:rPr>
          <w:rFonts w:cs="Calibri"/>
          <w:sz w:val="24"/>
          <w:szCs w:val="24"/>
        </w:rPr>
        <w:t>is</w:t>
      </w:r>
      <w:r w:rsidR="00C769D9" w:rsidRPr="008C45AB">
        <w:rPr>
          <w:rFonts w:cs="Calibri"/>
          <w:sz w:val="24"/>
          <w:szCs w:val="24"/>
        </w:rPr>
        <w:t xml:space="preserve"> a statistically valid method for surveying and analyzing health indicators from a n</w:t>
      </w:r>
      <w:r w:rsidR="00073F49">
        <w:rPr>
          <w:rFonts w:cs="Calibri"/>
          <w:sz w:val="24"/>
          <w:szCs w:val="24"/>
        </w:rPr>
        <w:t>ationally representative sample</w:t>
      </w:r>
      <w:r w:rsidR="00D810A6">
        <w:rPr>
          <w:rFonts w:cs="Calibri"/>
          <w:sz w:val="24"/>
          <w:szCs w:val="24"/>
        </w:rPr>
        <w:t xml:space="preserve"> </w:t>
      </w:r>
      <w:r w:rsidR="0053656A" w:rsidRPr="008C45AB">
        <w:rPr>
          <w:rFonts w:cs="Calibri"/>
          <w:sz w:val="24"/>
          <w:szCs w:val="24"/>
        </w:rPr>
        <w:fldChar w:fldCharType="begin" w:fldLock="1"/>
      </w:r>
      <w:r w:rsidR="001F2834">
        <w:rPr>
          <w:rFonts w:cs="Calibri"/>
          <w:sz w:val="24"/>
          <w:szCs w:val="24"/>
        </w:rPr>
        <w:instrText>ADDIN CSL_CITATION { "citationItems" : [ { "id" : "ITEM-1", "itemData" : { "URL" : "http://www.webcitation.org/6ajEWO5mb", "author" : [ { "dropping-particle" : "", "family" : "GfK KnowledgePanel\u00ae", "given" : "", "non-dropping-particle" : "", "parse-names" : false, "suffix" : "" } ], "id" : "ITEM-1", "issued" : { "date-parts" : [ [ "2013" ] ] }, "title" : "KnowledgePanel Design Summary", "type" : "webpage" }, "uris" : [ "http://www.mendeley.com/documents/?uuid=a3719d9e-7fd4-4387-8f03-39ad46ef7189" ] } ], "mendeley" : { "formattedCitation" : "(GfK KnowledgePanel\u00ae, 2013)", "plainTextFormattedCitation" : "(GfK KnowledgePanel\u00ae, 2013)", "previouslyFormattedCitation" : "&lt;sup&gt;34&lt;/sup&gt;" }, "properties" : { "noteIndex" : 0 }, "schema" : "https://github.com/citation-style-language/schema/raw/master/csl-citation.json" }</w:instrText>
      </w:r>
      <w:r w:rsidR="0053656A" w:rsidRPr="008C45AB">
        <w:rPr>
          <w:rFonts w:cs="Calibri"/>
          <w:sz w:val="24"/>
          <w:szCs w:val="24"/>
        </w:rPr>
        <w:fldChar w:fldCharType="separate"/>
      </w:r>
      <w:r w:rsidR="001F2834" w:rsidRPr="001F2834">
        <w:rPr>
          <w:rFonts w:cs="Calibri"/>
          <w:noProof/>
          <w:sz w:val="24"/>
          <w:szCs w:val="24"/>
        </w:rPr>
        <w:t>(GfK KnowledgePanel®, 2013)</w:t>
      </w:r>
      <w:r w:rsidR="0053656A" w:rsidRPr="008C45AB">
        <w:rPr>
          <w:rFonts w:cs="Calibri"/>
          <w:sz w:val="24"/>
          <w:szCs w:val="24"/>
        </w:rPr>
        <w:fldChar w:fldCharType="end"/>
      </w:r>
      <w:r w:rsidR="00073F49">
        <w:rPr>
          <w:rFonts w:cs="Calibri"/>
          <w:sz w:val="24"/>
          <w:szCs w:val="24"/>
        </w:rPr>
        <w:t>.</w:t>
      </w:r>
    </w:p>
    <w:p w:rsidR="00C769D9" w:rsidRPr="008C45AB" w:rsidRDefault="00C769D9" w:rsidP="00C769D9">
      <w:pPr>
        <w:pStyle w:val="MediumShading1-Accent21"/>
        <w:spacing w:line="480" w:lineRule="auto"/>
        <w:rPr>
          <w:rFonts w:cs="Calibri"/>
          <w:sz w:val="24"/>
          <w:szCs w:val="24"/>
        </w:rPr>
      </w:pPr>
    </w:p>
    <w:p w:rsidR="00C769D9" w:rsidRPr="008C45AB" w:rsidRDefault="00C769D9" w:rsidP="00C769D9">
      <w:pPr>
        <w:pStyle w:val="MediumShading1-Accent21"/>
        <w:spacing w:line="480" w:lineRule="auto"/>
        <w:rPr>
          <w:rFonts w:cs="Calibri"/>
          <w:sz w:val="24"/>
          <w:szCs w:val="24"/>
        </w:rPr>
      </w:pPr>
      <w:r w:rsidRPr="008C45AB">
        <w:rPr>
          <w:rFonts w:cs="Calibri"/>
          <w:sz w:val="24"/>
          <w:szCs w:val="24"/>
        </w:rPr>
        <w:t xml:space="preserve">From October to November 2014, our </w:t>
      </w:r>
      <w:r w:rsidR="00DF3D5A">
        <w:rPr>
          <w:rFonts w:cs="Calibri"/>
          <w:sz w:val="24"/>
          <w:szCs w:val="24"/>
        </w:rPr>
        <w:t>w</w:t>
      </w:r>
      <w:r w:rsidRPr="008C45AB">
        <w:rPr>
          <w:rFonts w:cs="Calibri"/>
          <w:sz w:val="24"/>
          <w:szCs w:val="24"/>
        </w:rPr>
        <w:t>eb-based survey was sent via email to a random sample</w:t>
      </w:r>
      <w:r w:rsidR="00274F0C" w:rsidRPr="008C45AB">
        <w:rPr>
          <w:rFonts w:cs="Calibri"/>
          <w:sz w:val="24"/>
          <w:szCs w:val="24"/>
        </w:rPr>
        <w:t xml:space="preserve"> of 3,048 non-institutionalized </w:t>
      </w:r>
      <w:r w:rsidRPr="008C45AB">
        <w:rPr>
          <w:rFonts w:cs="Calibri"/>
          <w:sz w:val="24"/>
          <w:szCs w:val="24"/>
        </w:rPr>
        <w:t>adults</w:t>
      </w:r>
      <w:r w:rsidR="00DF3D5A">
        <w:rPr>
          <w:rFonts w:cs="Calibri"/>
          <w:sz w:val="24"/>
          <w:szCs w:val="24"/>
        </w:rPr>
        <w:t>,</w:t>
      </w:r>
      <w:r w:rsidRPr="008C45AB">
        <w:rPr>
          <w:rFonts w:cs="Calibri"/>
          <w:sz w:val="24"/>
          <w:szCs w:val="24"/>
        </w:rPr>
        <w:t xml:space="preserve"> age</w:t>
      </w:r>
      <w:r w:rsidR="00FC74C4" w:rsidRPr="008C45AB">
        <w:rPr>
          <w:rFonts w:cs="Calibri"/>
          <w:sz w:val="24"/>
          <w:szCs w:val="24"/>
        </w:rPr>
        <w:t>s</w:t>
      </w:r>
      <w:r w:rsidRPr="008C45AB">
        <w:rPr>
          <w:rFonts w:cs="Calibri"/>
          <w:sz w:val="24"/>
          <w:szCs w:val="24"/>
        </w:rPr>
        <w:t xml:space="preserve"> 19 to 32 </w:t>
      </w:r>
      <w:r w:rsidR="0008757D" w:rsidRPr="008C45AB">
        <w:rPr>
          <w:rFonts w:cs="Calibri"/>
          <w:sz w:val="24"/>
          <w:szCs w:val="24"/>
        </w:rPr>
        <w:t>that</w:t>
      </w:r>
      <w:r w:rsidRPr="008C45AB">
        <w:rPr>
          <w:rFonts w:cs="Calibri"/>
          <w:sz w:val="24"/>
          <w:szCs w:val="24"/>
        </w:rPr>
        <w:t xml:space="preserve"> had consented to participate in a previous study wave </w:t>
      </w:r>
      <w:r w:rsidR="00241EEB" w:rsidRPr="008C45AB">
        <w:rPr>
          <w:rFonts w:cs="Calibri"/>
          <w:sz w:val="24"/>
          <w:szCs w:val="24"/>
        </w:rPr>
        <w:t>that</w:t>
      </w:r>
      <w:r w:rsidR="00FC74C4" w:rsidRPr="008C45AB">
        <w:rPr>
          <w:rFonts w:cs="Calibri"/>
          <w:sz w:val="24"/>
          <w:szCs w:val="24"/>
        </w:rPr>
        <w:t xml:space="preserve"> held</w:t>
      </w:r>
      <w:r w:rsidRPr="008C45AB">
        <w:rPr>
          <w:rFonts w:cs="Calibri"/>
          <w:sz w:val="24"/>
          <w:szCs w:val="24"/>
        </w:rPr>
        <w:t xml:space="preserve"> no </w:t>
      </w:r>
      <w:r w:rsidR="00E71209" w:rsidRPr="008C45AB">
        <w:rPr>
          <w:rFonts w:cs="Calibri"/>
          <w:sz w:val="24"/>
          <w:szCs w:val="24"/>
        </w:rPr>
        <w:t xml:space="preserve">specific </w:t>
      </w:r>
      <w:r w:rsidRPr="008C45AB">
        <w:rPr>
          <w:rFonts w:cs="Calibri"/>
          <w:sz w:val="24"/>
          <w:szCs w:val="24"/>
        </w:rPr>
        <w:t>criteria except that participants had to be between 18 and 30 years at baseline.</w:t>
      </w:r>
      <w:r w:rsidR="009E150B">
        <w:rPr>
          <w:rFonts w:cs="Calibri"/>
          <w:sz w:val="24"/>
          <w:szCs w:val="24"/>
        </w:rPr>
        <w:t xml:space="preserve"> </w:t>
      </w:r>
      <w:r w:rsidR="00DF3D5A">
        <w:rPr>
          <w:rFonts w:cs="Calibri"/>
          <w:sz w:val="24"/>
          <w:szCs w:val="24"/>
        </w:rPr>
        <w:t>D</w:t>
      </w:r>
      <w:r w:rsidRPr="008C45AB">
        <w:rPr>
          <w:rFonts w:cs="Calibri"/>
          <w:sz w:val="24"/>
          <w:szCs w:val="24"/>
        </w:rPr>
        <w:t xml:space="preserve">ata </w:t>
      </w:r>
      <w:r w:rsidR="00DF3D5A">
        <w:rPr>
          <w:rFonts w:cs="Calibri"/>
          <w:sz w:val="24"/>
          <w:szCs w:val="24"/>
        </w:rPr>
        <w:t xml:space="preserve">for this research </w:t>
      </w:r>
      <w:r w:rsidRPr="008C45AB">
        <w:rPr>
          <w:rFonts w:cs="Calibri"/>
          <w:sz w:val="24"/>
          <w:szCs w:val="24"/>
        </w:rPr>
        <w:t xml:space="preserve">were collected </w:t>
      </w:r>
      <w:r w:rsidR="00DF3D5A">
        <w:rPr>
          <w:rFonts w:cs="Calibri"/>
          <w:sz w:val="24"/>
          <w:szCs w:val="24"/>
        </w:rPr>
        <w:t xml:space="preserve">at one point in time, </w:t>
      </w:r>
      <w:r w:rsidRPr="008C45AB">
        <w:rPr>
          <w:rFonts w:cs="Calibri"/>
          <w:sz w:val="24"/>
          <w:szCs w:val="24"/>
        </w:rPr>
        <w:t>durin</w:t>
      </w:r>
      <w:r w:rsidR="00BF4832" w:rsidRPr="008C45AB">
        <w:rPr>
          <w:rFonts w:cs="Calibri"/>
          <w:sz w:val="24"/>
          <w:szCs w:val="24"/>
        </w:rPr>
        <w:t>g the 18-month follow-up of th</w:t>
      </w:r>
      <w:r w:rsidR="00DF3D5A">
        <w:rPr>
          <w:rFonts w:cs="Calibri"/>
          <w:sz w:val="24"/>
          <w:szCs w:val="24"/>
        </w:rPr>
        <w:t>at</w:t>
      </w:r>
      <w:r w:rsidR="009E150B">
        <w:rPr>
          <w:rFonts w:cs="Calibri"/>
          <w:sz w:val="24"/>
          <w:szCs w:val="24"/>
        </w:rPr>
        <w:t xml:space="preserve"> </w:t>
      </w:r>
      <w:r w:rsidRPr="008C45AB">
        <w:rPr>
          <w:rFonts w:cs="Calibri"/>
          <w:sz w:val="24"/>
          <w:szCs w:val="24"/>
        </w:rPr>
        <w:t xml:space="preserve">study. Responses were received from 1,787 participants (59%). This represented a strong response rate, because </w:t>
      </w:r>
      <w:r w:rsidR="00E71209" w:rsidRPr="008C45AB">
        <w:rPr>
          <w:rFonts w:cs="Calibri"/>
          <w:sz w:val="24"/>
          <w:szCs w:val="24"/>
        </w:rPr>
        <w:t xml:space="preserve">at 18 months, </w:t>
      </w:r>
      <w:r w:rsidRPr="008C45AB">
        <w:rPr>
          <w:rFonts w:cs="Calibri"/>
          <w:sz w:val="24"/>
          <w:szCs w:val="24"/>
        </w:rPr>
        <w:t xml:space="preserve">many of the baseline respondents were likely no longer in the GfK panel, which turns over participants every 2 years </w:t>
      </w:r>
      <w:r w:rsidR="00724CD7" w:rsidRPr="008C45AB">
        <w:rPr>
          <w:rFonts w:cs="Calibri"/>
          <w:sz w:val="24"/>
          <w:szCs w:val="24"/>
        </w:rPr>
        <w:t>so as to prevent cohorts from becoming fatigued by surveys.</w:t>
      </w:r>
      <w:r w:rsidR="008B6ED8" w:rsidRPr="008C45AB">
        <w:rPr>
          <w:rFonts w:cs="Calibri"/>
          <w:sz w:val="24"/>
          <w:szCs w:val="24"/>
        </w:rPr>
        <w:t xml:space="preserve"> Additionally, survey weights accounted for non-response</w:t>
      </w:r>
      <w:r w:rsidR="00E71209" w:rsidRPr="008C45AB">
        <w:rPr>
          <w:rFonts w:cs="Calibri"/>
          <w:sz w:val="24"/>
          <w:szCs w:val="24"/>
        </w:rPr>
        <w:t>,</w:t>
      </w:r>
      <w:r w:rsidR="008B6ED8" w:rsidRPr="008C45AB">
        <w:rPr>
          <w:rFonts w:cs="Calibri"/>
          <w:sz w:val="24"/>
          <w:szCs w:val="24"/>
        </w:rPr>
        <w:t xml:space="preserve"> and there were no demographic differences between responders </w:t>
      </w:r>
      <w:r w:rsidR="008B6ED8" w:rsidRPr="008C45AB">
        <w:rPr>
          <w:rFonts w:cs="Calibri"/>
          <w:sz w:val="24"/>
          <w:szCs w:val="24"/>
        </w:rPr>
        <w:lastRenderedPageBreak/>
        <w:t>and non-responders</w:t>
      </w:r>
      <w:r w:rsidR="00E71209" w:rsidRPr="008C45AB">
        <w:rPr>
          <w:rFonts w:cs="Calibri"/>
          <w:sz w:val="24"/>
          <w:szCs w:val="24"/>
        </w:rPr>
        <w:t xml:space="preserve">. Both of these facts </w:t>
      </w:r>
      <w:r w:rsidR="008B6ED8" w:rsidRPr="008C45AB">
        <w:rPr>
          <w:rFonts w:cs="Calibri"/>
          <w:sz w:val="24"/>
          <w:szCs w:val="24"/>
        </w:rPr>
        <w:t xml:space="preserve">attest to the strong external generalizability of </w:t>
      </w:r>
      <w:r w:rsidR="00E71209" w:rsidRPr="008C45AB">
        <w:rPr>
          <w:rFonts w:cs="Calibri"/>
          <w:sz w:val="24"/>
          <w:szCs w:val="24"/>
        </w:rPr>
        <w:t>our current</w:t>
      </w:r>
      <w:r w:rsidR="008B6ED8" w:rsidRPr="008C45AB">
        <w:rPr>
          <w:rFonts w:cs="Calibri"/>
          <w:sz w:val="24"/>
          <w:szCs w:val="24"/>
        </w:rPr>
        <w:t xml:space="preserve"> results.</w:t>
      </w:r>
    </w:p>
    <w:p w:rsidR="00C769D9" w:rsidRPr="008C45AB" w:rsidRDefault="00C769D9" w:rsidP="00C769D9">
      <w:pPr>
        <w:pStyle w:val="MediumShading1-Accent21"/>
        <w:spacing w:line="480" w:lineRule="auto"/>
        <w:rPr>
          <w:rFonts w:cs="Calibri"/>
          <w:sz w:val="24"/>
          <w:szCs w:val="24"/>
        </w:rPr>
      </w:pPr>
    </w:p>
    <w:p w:rsidR="00C769D9" w:rsidRPr="008C45AB" w:rsidRDefault="00C769D9" w:rsidP="008E4999">
      <w:pPr>
        <w:spacing w:line="480" w:lineRule="auto"/>
        <w:rPr>
          <w:rFonts w:ascii="Calibri" w:eastAsia="Calibri" w:hAnsi="Calibri" w:cs="Calibri"/>
        </w:rPr>
      </w:pPr>
      <w:r w:rsidRPr="008C45AB">
        <w:rPr>
          <w:rFonts w:ascii="Calibri" w:eastAsia="Calibri" w:hAnsi="Calibri" w:cs="Calibri"/>
        </w:rPr>
        <w:t>GfK instituted multiple strategies to improve data quality. For example, they screened all data sets for patterns suggesti</w:t>
      </w:r>
      <w:r w:rsidR="003F0A17" w:rsidRPr="008C45AB">
        <w:rPr>
          <w:rFonts w:ascii="Calibri" w:eastAsia="Calibri" w:hAnsi="Calibri" w:cs="Calibri"/>
        </w:rPr>
        <w:t>ng</w:t>
      </w:r>
      <w:r w:rsidRPr="008C45AB">
        <w:rPr>
          <w:rFonts w:ascii="Calibri" w:eastAsia="Calibri" w:hAnsi="Calibri" w:cs="Calibri"/>
        </w:rPr>
        <w:t xml:space="preserve"> lack of effort. GfK also </w:t>
      </w:r>
      <w:r w:rsidR="00E71209" w:rsidRPr="008C45AB">
        <w:rPr>
          <w:rFonts w:ascii="Calibri" w:eastAsia="Calibri" w:hAnsi="Calibri" w:cs="Calibri"/>
        </w:rPr>
        <w:t>implemented</w:t>
      </w:r>
      <w:r w:rsidRPr="008C45AB">
        <w:rPr>
          <w:rFonts w:ascii="Calibri" w:eastAsia="Calibri" w:hAnsi="Calibri" w:cs="Calibri"/>
        </w:rPr>
        <w:t xml:space="preserve"> procedures such as minimizing survey length, reducing the need for scrolling, and </w:t>
      </w:r>
      <w:r w:rsidR="008E4999" w:rsidRPr="008C45AB">
        <w:rPr>
          <w:rFonts w:ascii="Calibri" w:eastAsia="Calibri" w:hAnsi="Calibri" w:cs="Calibri"/>
        </w:rPr>
        <w:t xml:space="preserve">avoiding the use of long grids. </w:t>
      </w:r>
      <w:r w:rsidRPr="008C45AB">
        <w:rPr>
          <w:rFonts w:ascii="Calibri" w:eastAsia="Calibri" w:hAnsi="Calibri" w:cs="Calibri"/>
        </w:rPr>
        <w:t>The median time for survey completion was 15 minutes</w:t>
      </w:r>
      <w:r w:rsidR="001E2891" w:rsidRPr="008C45AB">
        <w:rPr>
          <w:rFonts w:ascii="Calibri" w:eastAsia="Calibri" w:hAnsi="Calibri" w:cs="Calibri"/>
        </w:rPr>
        <w:t>,</w:t>
      </w:r>
      <w:r w:rsidRPr="008C45AB">
        <w:rPr>
          <w:rFonts w:ascii="Calibri" w:eastAsia="Calibri" w:hAnsi="Calibri" w:cs="Calibri"/>
        </w:rPr>
        <w:t xml:space="preserve"> and participants received $15 for their participation. This study was approved by the </w:t>
      </w:r>
      <w:r w:rsidR="003C6DB1">
        <w:rPr>
          <w:rFonts w:ascii="Calibri" w:eastAsia="Calibri" w:hAnsi="Calibri" w:cs="Calibri"/>
        </w:rPr>
        <w:t>University of Pittsburgh</w:t>
      </w:r>
      <w:r w:rsidRPr="008C45AB">
        <w:rPr>
          <w:rFonts w:ascii="Calibri" w:eastAsia="Calibri" w:hAnsi="Calibri" w:cs="Calibri"/>
        </w:rPr>
        <w:t xml:space="preserve"> Institutional Review Board and was granted a Certificate of Confidentiality from the National Institutes of Health.</w:t>
      </w:r>
    </w:p>
    <w:p w:rsidR="00C769D9" w:rsidRPr="008C45AB" w:rsidRDefault="00C769D9" w:rsidP="00C769D9">
      <w:pPr>
        <w:spacing w:line="480" w:lineRule="auto"/>
        <w:outlineLvl w:val="0"/>
        <w:rPr>
          <w:rFonts w:ascii="Calibri" w:hAnsi="Calibri" w:cs="Calibri"/>
          <w:b/>
          <w:iCs/>
        </w:rPr>
      </w:pPr>
    </w:p>
    <w:p w:rsidR="00C769D9" w:rsidRPr="008C45AB" w:rsidRDefault="001F44D6" w:rsidP="001F44D6">
      <w:pPr>
        <w:spacing w:line="480" w:lineRule="auto"/>
        <w:outlineLvl w:val="0"/>
        <w:rPr>
          <w:rFonts w:ascii="Calibri" w:hAnsi="Calibri" w:cs="Calibri"/>
          <w:b/>
          <w:iCs/>
        </w:rPr>
      </w:pPr>
      <w:r>
        <w:rPr>
          <w:rFonts w:ascii="Calibri" w:hAnsi="Calibri" w:cs="Calibri"/>
          <w:b/>
          <w:iCs/>
        </w:rPr>
        <w:t xml:space="preserve">2.2. </w:t>
      </w:r>
      <w:r w:rsidR="00C769D9" w:rsidRPr="008C45AB">
        <w:rPr>
          <w:rFonts w:ascii="Calibri" w:hAnsi="Calibri" w:cs="Calibri"/>
          <w:b/>
          <w:iCs/>
        </w:rPr>
        <w:t>Measures</w:t>
      </w:r>
    </w:p>
    <w:p w:rsidR="00C769D9" w:rsidRPr="008C45AB" w:rsidRDefault="00C769D9" w:rsidP="00C769D9">
      <w:pPr>
        <w:pStyle w:val="MediumShading1-Accent21"/>
        <w:spacing w:line="480" w:lineRule="auto"/>
        <w:rPr>
          <w:rFonts w:cs="Calibri"/>
          <w:sz w:val="24"/>
          <w:szCs w:val="24"/>
        </w:rPr>
      </w:pPr>
    </w:p>
    <w:p w:rsidR="00C769D9" w:rsidRPr="008C45AB" w:rsidRDefault="00C769D9" w:rsidP="00C769D9">
      <w:pPr>
        <w:pStyle w:val="MediumShading1-Accent21"/>
        <w:spacing w:line="480" w:lineRule="auto"/>
        <w:rPr>
          <w:rFonts w:cs="Calibri"/>
          <w:sz w:val="24"/>
          <w:szCs w:val="24"/>
        </w:rPr>
      </w:pPr>
      <w:r w:rsidRPr="008C45AB">
        <w:rPr>
          <w:rFonts w:cs="Calibri"/>
          <w:sz w:val="24"/>
          <w:szCs w:val="24"/>
        </w:rPr>
        <w:t xml:space="preserve">Participants completed online survey items including </w:t>
      </w:r>
      <w:r w:rsidR="008E4999" w:rsidRPr="008C45AB">
        <w:rPr>
          <w:rFonts w:cs="Calibri"/>
          <w:sz w:val="24"/>
          <w:szCs w:val="24"/>
        </w:rPr>
        <w:t>depressi</w:t>
      </w:r>
      <w:r w:rsidR="0051642D">
        <w:rPr>
          <w:rFonts w:cs="Calibri"/>
          <w:sz w:val="24"/>
          <w:szCs w:val="24"/>
        </w:rPr>
        <w:t>on</w:t>
      </w:r>
      <w:r w:rsidR="008E4999" w:rsidRPr="008C45AB">
        <w:rPr>
          <w:rFonts w:cs="Calibri"/>
          <w:sz w:val="24"/>
          <w:szCs w:val="24"/>
        </w:rPr>
        <w:t xml:space="preserve"> and anxiety</w:t>
      </w:r>
      <w:r w:rsidRPr="008C45AB">
        <w:rPr>
          <w:rFonts w:cs="Calibri"/>
          <w:sz w:val="24"/>
          <w:szCs w:val="24"/>
        </w:rPr>
        <w:t xml:space="preserve"> (dependent variable</w:t>
      </w:r>
      <w:r w:rsidR="008E4999" w:rsidRPr="008C45AB">
        <w:rPr>
          <w:rFonts w:cs="Calibri"/>
          <w:sz w:val="24"/>
          <w:szCs w:val="24"/>
        </w:rPr>
        <w:t>s</w:t>
      </w:r>
      <w:r w:rsidRPr="008C45AB">
        <w:rPr>
          <w:rFonts w:cs="Calibri"/>
          <w:sz w:val="24"/>
          <w:szCs w:val="24"/>
        </w:rPr>
        <w:t xml:space="preserve">), </w:t>
      </w:r>
      <w:r w:rsidR="0051642D">
        <w:rPr>
          <w:rFonts w:cs="Calibri"/>
          <w:sz w:val="24"/>
          <w:szCs w:val="24"/>
        </w:rPr>
        <w:t>use of multiple social media platforms</w:t>
      </w:r>
      <w:r w:rsidRPr="008C45AB">
        <w:rPr>
          <w:rFonts w:cs="Calibri"/>
          <w:sz w:val="24"/>
          <w:szCs w:val="24"/>
        </w:rPr>
        <w:t xml:space="preserve"> (independent variable), and covariates. </w:t>
      </w:r>
    </w:p>
    <w:p w:rsidR="00C769D9" w:rsidRPr="008C45AB" w:rsidRDefault="00C769D9" w:rsidP="00C769D9">
      <w:pPr>
        <w:pStyle w:val="MediumShading1-Accent21"/>
        <w:spacing w:line="480" w:lineRule="auto"/>
        <w:rPr>
          <w:rFonts w:cs="Calibri"/>
          <w:i/>
          <w:sz w:val="24"/>
          <w:szCs w:val="24"/>
        </w:rPr>
      </w:pPr>
    </w:p>
    <w:p w:rsidR="008E4999" w:rsidRPr="008C45AB" w:rsidRDefault="008E4999" w:rsidP="008E4999">
      <w:pPr>
        <w:pStyle w:val="MediumShading1-Accent21"/>
        <w:tabs>
          <w:tab w:val="left" w:pos="5835"/>
        </w:tabs>
        <w:spacing w:line="480" w:lineRule="auto"/>
        <w:outlineLvl w:val="0"/>
        <w:rPr>
          <w:rFonts w:cs="Calibri"/>
          <w:sz w:val="24"/>
          <w:szCs w:val="24"/>
        </w:rPr>
      </w:pPr>
      <w:r w:rsidRPr="008C45AB">
        <w:rPr>
          <w:rFonts w:cs="Calibri"/>
          <w:i/>
          <w:sz w:val="24"/>
          <w:szCs w:val="24"/>
          <w:u w:val="single"/>
        </w:rPr>
        <w:t>Depression</w:t>
      </w:r>
      <w:r w:rsidRPr="008C45AB">
        <w:rPr>
          <w:rFonts w:cs="Calibri"/>
          <w:i/>
          <w:sz w:val="24"/>
          <w:szCs w:val="24"/>
        </w:rPr>
        <w:t xml:space="preserve">. </w:t>
      </w:r>
      <w:r w:rsidRPr="008C45AB">
        <w:rPr>
          <w:rFonts w:cs="Calibri"/>
          <w:sz w:val="24"/>
          <w:szCs w:val="24"/>
        </w:rPr>
        <w:t>We assessed depression using a 4-item scale developed by the Patient-Reported Outcomes Measurement Information System (PROMIS). PROMIS is a National Institutes of Health Roadmap initiative whose aim is to provide precise, valid, reliable, and standardized questionnaires measuring patient–reported outcomes across the domains of phys</w:t>
      </w:r>
      <w:r w:rsidR="00073F49">
        <w:rPr>
          <w:rFonts w:cs="Calibri"/>
          <w:sz w:val="24"/>
          <w:szCs w:val="24"/>
        </w:rPr>
        <w:t xml:space="preserve">ical, mental, and social health </w:t>
      </w:r>
      <w:r w:rsidR="0053656A" w:rsidRPr="008C45AB">
        <w:rPr>
          <w:rFonts w:cs="Calibri"/>
          <w:sz w:val="24"/>
          <w:szCs w:val="24"/>
        </w:rPr>
        <w:fldChar w:fldCharType="begin" w:fldLock="1"/>
      </w:r>
      <w:r w:rsidR="001F2834">
        <w:rPr>
          <w:rFonts w:cs="Calibri"/>
          <w:sz w:val="24"/>
          <w:szCs w:val="24"/>
        </w:rPr>
        <w:instrText>ADDIN CSL_CITATION { "citationItems" : [ { "id" : "ITEM-1", "itemData" : { "DOI" : "10.1016/j.jclinepi.2010.04.011", "ISSN" : "1878-5921", "PMID" : "20685078", "abstract" : "OBJECTIVES: Patient-reported outcomes (PROs) are essential when evaluating many new treatments in health care; yet, current measures have been limited by a lack of precision, standardization, and comparability of scores across studies and diseases. The Patient-Reported Outcomes Measurement Information System (PROMIS) provides item banks that offer the potential for efficient (minimizes item number without compromising reliability), flexible (enables optional use of interchangeable items), and precise (has minimal error in estimate) measurement of commonly studied PROs. We report results from the first large-scale testing of PROMIS items. STUDY DESIGN AND SETTING: Fourteen item pools were tested in the U.S. general population and clinical groups using an online panel and clinic recruitment. A scale-setting subsample was created reflecting demographics proportional to the 2000 U.S. census. RESULTS: Using item-response theory (graded response model), 11 item banks were calibrated on a sample of 21,133, measuring components of self-reported physical, mental, and social health, along with a 10-item Global Health Scale. Short forms from each bank were developed and compared with the overall bank and with other well-validated and widely accepted (\"legacy\") measures. All item banks demonstrated good reliability across most of the score distributions. Construct validity was supported by moderate to strong correlations with legacy measures. CONCLUSION: PROMIS item banks and their short forms provide evidence that they are reliable and precise measures of generic symptoms and functional reports comparable to legacy instruments. Further testing will continue to validate and test PROMIS items and banks in diverse clinical populations.", "author" : [ { "dropping-particle" : "", "family" : "Cella", "given" : "D", "non-dropping-particle" : "", "parse-names" : false, "suffix" : "" }, { "dropping-particle" : "", "family" : "Riley", "given" : "W", "non-dropping-particle" : "", "parse-names" : false, "suffix" : "" }, { "dropping-particle" : "", "family" : "Stone", "given" : "A", "non-dropping-particle" : "", "parse-names" : false, "suffix" : "" }, { "dropping-particle" : "", "family" : "Rothrock", "given" : "N", "non-dropping-particle" : "", "parse-names" : false, "suffix" : "" }, { "dropping-particle" : "", "family" : "Reeve", "given" : "B", "non-dropping-particle" : "", "parse-names" : false, "suffix" : "" }, { "dropping-particle" : "", "family" : "Yount", "given" : "S", "non-dropping-particle" : "", "parse-names" : false, "suffix" : "" }, { "dropping-particle" : "", "family" : "Amtmann", "given" : "D", "non-dropping-particle" : "", "parse-names" : false, "suffix" : "" }, { "dropping-particle" : "", "family" : "Bode", "given" : "R", "non-dropping-particle" : "", "parse-names" : false, "suffix" : "" }, { "dropping-particle" : "", "family" : "Buysse", "given" : "D", "non-dropping-particle" : "", "parse-names" : false, "suffix" : "" }, { "dropping-particle" : "", "family" : "Choi", "given" : "S", "non-dropping-particle" : "", "parse-names" : false, "suffix" : "" }, { "dropping-particle" : "", "family" : "Cook", "given" : "K", "non-dropping-particle" : "", "parse-names" : false, "suffix" : "" }, { "dropping-particle" : "", "family" : "Devellis", "given" : "R", "non-dropping-particle" : "", "parse-names" : false, "suffix" : "" }, { "dropping-particle" : "", "family" : "DeWalt", "given" : "D", "non-dropping-particle" : "", "parse-names" : false, "suffix" : "" }, { "dropping-particle" : "", "family" : "Fries", "given" : "J", "non-dropping-particle" : "", "parse-names" : false, "suffix" : "" }, { "dropping-particle" : "", "family" : "Gershon", "given" : "R", "non-dropping-particle" : "", "parse-names" : false, "suffix" : "" }, { "dropping-particle" : "", "family" : "Hahn", "given" : "E", "non-dropping-particle" : "", "parse-names" : false, "suffix" : "" }, { "dropping-particle" : "", "family" : "Lai", "given" : "Ji", "non-dropping-particle" : "", "parse-names" : false, "suffix" : "" }, { "dropping-particle" : "", "family" : "Pilkonis", "given" : "P", "non-dropping-particle" : "", "parse-names" : false, "suffix" : "" }, { "dropping-particle" : "", "family" : "Revicki", "given" : "D", "non-dropping-particle" : "", "parse-names" : false, "suffix" : "" }, { "dropping-particle" : "", "family" : "Rose", "given" : "M", "non-dropping-particle" : "", "parse-names" : false, "suffix" : "" }, { "dropping-particle" : "", "family" : "Weinfurt", "given" : "K", "non-dropping-particle" : "", "parse-names" : false, "suffix" : "" }, { "dropping-particle" : "", "family" : "Hays", "given" : "R", "non-dropping-particle" : "", "parse-names" : false, "suffix" : "" } ], "container-title" : "Journal of Clinical Epidemiology", "id" : "ITEM-1", "issue" : "11", "issued" : { "date-parts" : [ [ "2010", "11" ] ] }, "page" : "1179-1194", "title" : "The Patient-Reported Outcomes Measurement Information System (PROMIS) developed and tested its first wave of adult self-reported health outcome item banks: 2005-2008", "type" : "article-journal", "volume" : "63" }, "uris" : [ "http://www.mendeley.com/documents/?uuid=5f295e92-6556-4b05-92d3-37fa2991bf3b" ] } ], "mendeley" : { "formattedCitation" : "(Cella et al., 2010)", "plainTextFormattedCitation" : "(Cella et al., 2010)", "previouslyFormattedCitation" : "&lt;sup&gt;35&lt;/sup&gt;" }, "properties" : { "noteIndex" : 0 }, "schema" : "https://github.com/citation-style-language/schema/raw/master/csl-citation.json" }</w:instrText>
      </w:r>
      <w:r w:rsidR="0053656A" w:rsidRPr="008C45AB">
        <w:rPr>
          <w:rFonts w:cs="Calibri"/>
          <w:sz w:val="24"/>
          <w:szCs w:val="24"/>
        </w:rPr>
        <w:fldChar w:fldCharType="separate"/>
      </w:r>
      <w:r w:rsidR="001F2834" w:rsidRPr="001F2834">
        <w:rPr>
          <w:rFonts w:cs="Calibri"/>
          <w:noProof/>
          <w:sz w:val="24"/>
          <w:szCs w:val="24"/>
        </w:rPr>
        <w:t>(Cella et al., 2010)</w:t>
      </w:r>
      <w:r w:rsidR="0053656A" w:rsidRPr="008C45AB">
        <w:rPr>
          <w:rFonts w:cs="Calibri"/>
          <w:sz w:val="24"/>
          <w:szCs w:val="24"/>
        </w:rPr>
        <w:fldChar w:fldCharType="end"/>
      </w:r>
      <w:r w:rsidR="00073F49">
        <w:rPr>
          <w:rFonts w:cs="Calibri"/>
          <w:sz w:val="24"/>
          <w:szCs w:val="24"/>
        </w:rPr>
        <w:t>.</w:t>
      </w:r>
      <w:r w:rsidRPr="008C45AB">
        <w:rPr>
          <w:rFonts w:cs="Calibri"/>
          <w:sz w:val="24"/>
          <w:szCs w:val="24"/>
        </w:rPr>
        <w:t xml:space="preserve"> The PROMIS depression scale was developed using item response theory to promote greater precision</w:t>
      </w:r>
      <w:r w:rsidR="00073F49">
        <w:rPr>
          <w:rFonts w:cs="Calibri"/>
          <w:sz w:val="24"/>
          <w:szCs w:val="24"/>
        </w:rPr>
        <w:t xml:space="preserve"> and decrease respondent burden </w:t>
      </w:r>
      <w:r w:rsidR="0053656A" w:rsidRPr="008C45AB">
        <w:rPr>
          <w:rFonts w:cs="Calibri"/>
          <w:sz w:val="24"/>
          <w:szCs w:val="24"/>
        </w:rPr>
        <w:fldChar w:fldCharType="begin" w:fldLock="1"/>
      </w:r>
      <w:r w:rsidR="001F2834">
        <w:rPr>
          <w:rFonts w:cs="Calibri"/>
          <w:sz w:val="24"/>
          <w:szCs w:val="24"/>
        </w:rPr>
        <w:instrText>ADDIN CSL_CITATION { "citationItems" : [ { "id" : "ITEM-1", "itemData" : { "DOI" : "10.1016/j.jclinepi.2010.04.011", "ISSN" : "1878-5921", "PMID" : "20685078", "abstract" : "OBJECTIVES: Patient-reported outcomes (PROs) are essential when evaluating many new treatments in health care; yet, current measures have been limited by a lack of precision, standardization, and comparability of scores across studies and diseases. The Patient-Reported Outcomes Measurement Information System (PROMIS) provides item banks that offer the potential for efficient (minimizes item number without compromising reliability), flexible (enables optional use of interchangeable items), and precise (has minimal error in estimate) measurement of commonly studied PROs. We report results from the first large-scale testing of PROMIS items. STUDY DESIGN AND SETTING: Fourteen item pools were tested in the U.S. general population and clinical groups using an online panel and clinic recruitment. A scale-setting subsample was created reflecting demographics proportional to the 2000 U.S. census. RESULTS: Using item-response theory (graded response model), 11 item banks were calibrated on a sample of 21,133, measuring components of self-reported physical, mental, and social health, along with a 10-item Global Health Scale. Short forms from each bank were developed and compared with the overall bank and with other well-validated and widely accepted (\"legacy\") measures. All item banks demonstrated good reliability across most of the score distributions. Construct validity was supported by moderate to strong correlations with legacy measures. CONCLUSION: PROMIS item banks and their short forms provide evidence that they are reliable and precise measures of generic symptoms and functional reports comparable to legacy instruments. Further testing will continue to validate and test PROMIS items and banks in diverse clinical populations.", "author" : [ { "dropping-particle" : "", "family" : "Cella", "given" : "D", "non-dropping-particle" : "", "parse-names" : false, "suffix" : "" }, { "dropping-particle" : "", "family" : "Riley", "given" : "W", "non-dropping-particle" : "", "parse-names" : false, "suffix" : "" }, { "dropping-particle" : "", "family" : "Stone", "given" : "A", "non-dropping-particle" : "", "parse-names" : false, "suffix" : "" }, { "dropping-particle" : "", "family" : "Rothrock", "given" : "N", "non-dropping-particle" : "", "parse-names" : false, "suffix" : "" }, { "dropping-particle" : "", "family" : "Reeve", "given" : "B", "non-dropping-particle" : "", "parse-names" : false, "suffix" : "" }, { "dropping-particle" : "", "family" : "Yount", "given" : "S", "non-dropping-particle" : "", "parse-names" : false, "suffix" : "" }, { "dropping-particle" : "", "family" : "Amtmann", "given" : "D", "non-dropping-particle" : "", "parse-names" : false, "suffix" : "" }, { "dropping-particle" : "", "family" : "Bode", "given" : "R", "non-dropping-particle" : "", "parse-names" : false, "suffix" : "" }, { "dropping-particle" : "", "family" : "Buysse", "given" : "D", "non-dropping-particle" : "", "parse-names" : false, "suffix" : "" }, { "dropping-particle" : "", "family" : "Choi", "given" : "S", "non-dropping-particle" : "", "parse-names" : false, "suffix" : "" }, { "dropping-particle" : "", "family" : "Cook", "given" : "K", "non-dropping-particle" : "", "parse-names" : false, "suffix" : "" }, { "dropping-particle" : "", "family" : "Devellis", "given" : "R", "non-dropping-particle" : "", "parse-names" : false, "suffix" : "" }, { "dropping-particle" : "", "family" : "DeWalt", "given" : "D", "non-dropping-particle" : "", "parse-names" : false, "suffix" : "" }, { "dropping-particle" : "", "family" : "Fries", "given" : "J", "non-dropping-particle" : "", "parse-names" : false, "suffix" : "" }, { "dropping-particle" : "", "family" : "Gershon", "given" : "R", "non-dropping-particle" : "", "parse-names" : false, "suffix" : "" }, { "dropping-particle" : "", "family" : "Hahn", "given" : "E", "non-dropping-particle" : "", "parse-names" : false, "suffix" : "" }, { "dropping-particle" : "", "family" : "Lai", "given" : "Ji", "non-dropping-particle" : "", "parse-names" : false, "suffix" : "" }, { "dropping-particle" : "", "family" : "Pilkonis", "given" : "P", "non-dropping-particle" : "", "parse-names" : false, "suffix" : "" }, { "dropping-particle" : "", "family" : "Revicki", "given" : "D", "non-dropping-particle" : "", "parse-names" : false, "suffix" : "" }, { "dropping-particle" : "", "family" : "Rose", "given" : "M", "non-dropping-particle" : "", "parse-names" : false, "suffix" : "" }, { "dropping-particle" : "", "family" : "Weinfurt", "given" : "K", "non-dropping-particle" : "", "parse-names" : false, "suffix" : "" }, { "dropping-particle" : "", "family" : "Hays", "given" : "R", "non-dropping-particle" : "", "parse-names" : false, "suffix" : "" } ], "container-title" : "Journal of Clinical Epidemiology", "id" : "ITEM-1", "issue" : "11", "issued" : { "date-parts" : [ [ "2010", "11" ] ] }, "page" : "1179-1194", "title" : "The Patient-Reported Outcomes Measurement Information System (PROMIS) developed and tested its first wave of adult self-reported health outcome item banks: 2005-2008", "type" : "article-journal", "volume" : "63" }, "uris" : [ "http://www.mendeley.com/documents/?uuid=5f295e92-6556-4b05-92d3-37fa2991bf3b" ] } ], "mendeley" : { "formattedCitation" : "(Cella et al., 2010)", "plainTextFormattedCitation" : "(Cella et al., 2010)", "previouslyFormattedCitation" : "&lt;sup&gt;35&lt;/sup&gt;" }, "properties" : { "noteIndex" : 0 }, "schema" : "https://github.com/citation-style-language/schema/raw/master/csl-citation.json" }</w:instrText>
      </w:r>
      <w:r w:rsidR="0053656A" w:rsidRPr="008C45AB">
        <w:rPr>
          <w:rFonts w:cs="Calibri"/>
          <w:sz w:val="24"/>
          <w:szCs w:val="24"/>
        </w:rPr>
        <w:fldChar w:fldCharType="separate"/>
      </w:r>
      <w:r w:rsidR="001F2834" w:rsidRPr="001F2834">
        <w:rPr>
          <w:rFonts w:cs="Calibri"/>
          <w:noProof/>
          <w:sz w:val="24"/>
          <w:szCs w:val="24"/>
        </w:rPr>
        <w:t>(Cella et al., 2010)</w:t>
      </w:r>
      <w:r w:rsidR="0053656A" w:rsidRPr="008C45AB">
        <w:rPr>
          <w:rFonts w:cs="Calibri"/>
          <w:sz w:val="24"/>
          <w:szCs w:val="24"/>
        </w:rPr>
        <w:fldChar w:fldCharType="end"/>
      </w:r>
      <w:r w:rsidR="00073F49">
        <w:rPr>
          <w:rFonts w:cs="Calibri"/>
          <w:sz w:val="24"/>
          <w:szCs w:val="24"/>
        </w:rPr>
        <w:t xml:space="preserve">. </w:t>
      </w:r>
      <w:r w:rsidRPr="008C45AB">
        <w:rPr>
          <w:rFonts w:cs="Calibri"/>
          <w:sz w:val="24"/>
          <w:szCs w:val="24"/>
        </w:rPr>
        <w:t xml:space="preserve">Specifically, the PROMIS depression scale has been correlated and validated with other </w:t>
      </w:r>
      <w:r w:rsidRPr="008C45AB">
        <w:rPr>
          <w:rFonts w:cs="Calibri"/>
          <w:sz w:val="24"/>
          <w:szCs w:val="24"/>
        </w:rPr>
        <w:lastRenderedPageBreak/>
        <w:t>commonly used depression instruments, including the Center for Epidemiological Studies Depression Scale (CES-D), the Beck Depression Inventory (BDI-II), and the Patie</w:t>
      </w:r>
      <w:r w:rsidR="00073F49">
        <w:rPr>
          <w:rFonts w:cs="Calibri"/>
          <w:sz w:val="24"/>
          <w:szCs w:val="24"/>
        </w:rPr>
        <w:t xml:space="preserve">nt Health Questionnaire (PHQ-9) </w:t>
      </w:r>
      <w:r w:rsidR="0053656A" w:rsidRPr="008C45AB">
        <w:rPr>
          <w:rFonts w:cs="Calibri"/>
          <w:sz w:val="24"/>
          <w:szCs w:val="24"/>
        </w:rPr>
        <w:fldChar w:fldCharType="begin" w:fldLock="1"/>
      </w:r>
      <w:r w:rsidR="001F2834">
        <w:rPr>
          <w:rFonts w:cs="Calibri"/>
          <w:sz w:val="24"/>
          <w:szCs w:val="24"/>
        </w:rPr>
        <w:instrText>ADDIN CSL_CITATION { "citationItems" : [ { "id" : "ITEM-1", "itemData" : { "author" : [ { "dropping-particle" : "", "family" : "Choi", "given" : "SW", "non-dropping-particle" : "", "parse-names" : false, "suffix" : "" }, { "dropping-particle" : "", "family" : "Schalet", "given" : "B", "non-dropping-particle" : "", "parse-names" : false, "suffix" : "" }, { "dropping-particle" : "", "family" : "Cook", "given" : "KF", "non-dropping-particle" : "", "parse-names" : false, "suffix" : "" }, { "dropping-particle" : "", "family" : "Cella", "given" : "D", "non-dropping-particle" : "", "parse-names" : false, "suffix" : "" } ], "container-title" : "Psychological assessment", "id" : "ITEM-1", "issued" : { "date-parts" : [ [ "2014" ] ] }, "title" : "Establishing a common metric for depressive symptoms: Linking the BDI-II, CES-D, and PHQ-9 to PROMIS Depression.", "type" : "article-journal" }, "uris" : [ "http://www.mendeley.com/documents/?uuid=16825e22-4ed0-4839-b31c-ab5254449909", "http://www.mendeley.com/documents/?uuid=dba19c9b-2d77-40e0-ab75-bd0e6d082e37" ] } ], "mendeley" : { "formattedCitation" : "(Choi, Schalet, Cook, &amp; Cella, 2014)", "plainTextFormattedCitation" : "(Choi, Schalet, Cook, &amp; Cella, 2014)", "previouslyFormattedCitation" : "&lt;sup&gt;36&lt;/sup&gt;" }, "properties" : { "noteIndex" : 0 }, "schema" : "https://github.com/citation-style-language/schema/raw/master/csl-citation.json" }</w:instrText>
      </w:r>
      <w:r w:rsidR="0053656A" w:rsidRPr="008C45AB">
        <w:rPr>
          <w:rFonts w:cs="Calibri"/>
          <w:sz w:val="24"/>
          <w:szCs w:val="24"/>
        </w:rPr>
        <w:fldChar w:fldCharType="separate"/>
      </w:r>
      <w:r w:rsidR="001F2834" w:rsidRPr="001F2834">
        <w:rPr>
          <w:rFonts w:cs="Calibri"/>
          <w:noProof/>
          <w:sz w:val="24"/>
          <w:szCs w:val="24"/>
        </w:rPr>
        <w:t>(Choi, Schalet, Cook, &amp; Cella, 2014)</w:t>
      </w:r>
      <w:r w:rsidR="0053656A" w:rsidRPr="008C45AB">
        <w:rPr>
          <w:rFonts w:cs="Calibri"/>
          <w:sz w:val="24"/>
          <w:szCs w:val="24"/>
        </w:rPr>
        <w:fldChar w:fldCharType="end"/>
      </w:r>
      <w:r w:rsidR="00073F49">
        <w:rPr>
          <w:rFonts w:cs="Calibri"/>
          <w:sz w:val="24"/>
          <w:szCs w:val="24"/>
        </w:rPr>
        <w:t>.</w:t>
      </w:r>
      <w:r w:rsidRPr="008C45AB">
        <w:rPr>
          <w:rFonts w:cs="Calibri"/>
          <w:sz w:val="24"/>
          <w:szCs w:val="24"/>
        </w:rPr>
        <w:t xml:space="preserve"> The 4-item PROMIS depression scale asked participants how frequently in the past 7 days they had experienced feeling hopeless, worthless, helpless, or depressed.</w:t>
      </w:r>
      <w:r w:rsidR="001E2891" w:rsidRPr="008C45AB">
        <w:rPr>
          <w:rFonts w:cs="Calibri"/>
          <w:sz w:val="24"/>
          <w:szCs w:val="24"/>
        </w:rPr>
        <w:t xml:space="preserve"> Each of these items was</w:t>
      </w:r>
      <w:r w:rsidRPr="008C45AB">
        <w:rPr>
          <w:rFonts w:cs="Calibri"/>
          <w:sz w:val="24"/>
          <w:szCs w:val="24"/>
        </w:rPr>
        <w:t xml:space="preserve"> scored on a 5-point Likert scale ranging from 1 to 5, corresponding to responses of “Never,” “Rarely,” “Sometimes,” “Often” and “Always.” Thus, the total possible raw score was between 4 and 20. Based upon the non-normal distribution of data, the raw scores were collapsed into tertiles of </w:t>
      </w:r>
      <w:r w:rsidR="002C138E">
        <w:rPr>
          <w:rFonts w:cs="Calibri"/>
          <w:sz w:val="24"/>
          <w:szCs w:val="24"/>
        </w:rPr>
        <w:t xml:space="preserve">mild, moderate, and severe </w:t>
      </w:r>
      <w:r w:rsidRPr="008C45AB">
        <w:rPr>
          <w:rFonts w:cs="Calibri"/>
          <w:sz w:val="24"/>
          <w:szCs w:val="24"/>
        </w:rPr>
        <w:t xml:space="preserve">for primary analysis. This was appropriate because one of the aims </w:t>
      </w:r>
      <w:r w:rsidR="001E2891" w:rsidRPr="008C45AB">
        <w:rPr>
          <w:rFonts w:cs="Calibri"/>
          <w:sz w:val="24"/>
          <w:szCs w:val="24"/>
        </w:rPr>
        <w:t>of the PROMIS depression scale wa</w:t>
      </w:r>
      <w:r w:rsidRPr="008C45AB">
        <w:rPr>
          <w:rFonts w:cs="Calibri"/>
          <w:sz w:val="24"/>
          <w:szCs w:val="24"/>
        </w:rPr>
        <w:t xml:space="preserve">s to grade the severity of depression, instead of merely providing a dichotomous </w:t>
      </w:r>
      <w:r w:rsidR="0027397B">
        <w:rPr>
          <w:rFonts w:cs="Calibri"/>
          <w:sz w:val="24"/>
          <w:szCs w:val="24"/>
        </w:rPr>
        <w:t xml:space="preserve">clinical </w:t>
      </w:r>
      <w:r w:rsidRPr="008C45AB">
        <w:rPr>
          <w:rFonts w:cs="Calibri"/>
          <w:sz w:val="24"/>
          <w:szCs w:val="24"/>
        </w:rPr>
        <w:t xml:space="preserve">cut-off </w:t>
      </w:r>
      <w:r w:rsidR="0027397B">
        <w:rPr>
          <w:rFonts w:cs="Calibri"/>
          <w:sz w:val="24"/>
          <w:szCs w:val="24"/>
        </w:rPr>
        <w:t>point</w:t>
      </w:r>
      <w:r w:rsidRPr="008C45AB">
        <w:rPr>
          <w:rFonts w:cs="Calibri"/>
          <w:sz w:val="24"/>
          <w:szCs w:val="24"/>
        </w:rPr>
        <w:t xml:space="preserve">. We classified those who did not endorse any depression as those in the </w:t>
      </w:r>
      <w:r w:rsidR="002C138E">
        <w:rPr>
          <w:rFonts w:cs="Calibri"/>
          <w:sz w:val="24"/>
          <w:szCs w:val="24"/>
        </w:rPr>
        <w:t xml:space="preserve">“mild” </w:t>
      </w:r>
      <w:r w:rsidRPr="008C45AB">
        <w:rPr>
          <w:rFonts w:cs="Calibri"/>
          <w:sz w:val="24"/>
          <w:szCs w:val="24"/>
        </w:rPr>
        <w:t xml:space="preserve">group (raw score = 4), which represented 44.5% of the population. We then classified a </w:t>
      </w:r>
      <w:r w:rsidR="002C138E">
        <w:rPr>
          <w:rFonts w:cs="Calibri"/>
          <w:sz w:val="24"/>
          <w:szCs w:val="24"/>
        </w:rPr>
        <w:t>“severe”</w:t>
      </w:r>
      <w:r w:rsidR="009E150B">
        <w:rPr>
          <w:rFonts w:cs="Calibri"/>
          <w:sz w:val="24"/>
          <w:szCs w:val="24"/>
        </w:rPr>
        <w:t xml:space="preserve"> </w:t>
      </w:r>
      <w:r w:rsidRPr="008C45AB">
        <w:rPr>
          <w:rFonts w:cs="Calibri"/>
          <w:sz w:val="24"/>
          <w:szCs w:val="24"/>
        </w:rPr>
        <w:t>group based on both the distribution of the data and the clinical cut-off for depression recommended by the Americ</w:t>
      </w:r>
      <w:r w:rsidR="00073F49">
        <w:rPr>
          <w:rFonts w:cs="Calibri"/>
          <w:sz w:val="24"/>
          <w:szCs w:val="24"/>
        </w:rPr>
        <w:t xml:space="preserve">an Psychiatry Association (APA) </w:t>
      </w:r>
      <w:r w:rsidR="0053656A" w:rsidRPr="008C45AB">
        <w:rPr>
          <w:rFonts w:cs="Calibri"/>
          <w:sz w:val="24"/>
          <w:szCs w:val="24"/>
        </w:rPr>
        <w:fldChar w:fldCharType="begin" w:fldLock="1"/>
      </w:r>
      <w:r w:rsidR="001F2834">
        <w:rPr>
          <w:rFonts w:cs="Calibri"/>
          <w:sz w:val="24"/>
          <w:szCs w:val="24"/>
        </w:rPr>
        <w:instrText>ADDIN CSL_CITATION { "citationItems" : [ { "id" : "ITEM-1", "itemData" : { "author" : [ { "dropping-particle" : "", "family" : "American Psychiatric Association", "given" : "", "non-dropping-particle" : "", "parse-names" : false, "suffix" : "" } ], "id" : "ITEM-1", "issued" : { "date-parts" : [ [ "2013" ] ] }, "title" : "LEVEL 2\u2014Depression\u2014Adult (PROMIS emotional distress\u2014depression\u2014Short form)", "type" : "report" }, "uris" : [ "http://www.mendeley.com/documents/?uuid=93bd2e79-9958-4ff3-bc04-30ff8fee3da8" ] } ], "mendeley" : { "formattedCitation" : "(American Psychiatric Association, 2013)", "plainTextFormattedCitation" : "(American Psychiatric Association, 2013)", "previouslyFormattedCitation" : "&lt;sup&gt;37&lt;/sup&gt;" }, "properties" : { "noteIndex" : 0 }, "schema" : "https://github.com/citation-style-language/schema/raw/master/csl-citation.json" }</w:instrText>
      </w:r>
      <w:r w:rsidR="0053656A" w:rsidRPr="008C45AB">
        <w:rPr>
          <w:rFonts w:cs="Calibri"/>
          <w:sz w:val="24"/>
          <w:szCs w:val="24"/>
        </w:rPr>
        <w:fldChar w:fldCharType="separate"/>
      </w:r>
      <w:r w:rsidR="001F2834" w:rsidRPr="001F2834">
        <w:rPr>
          <w:rFonts w:cs="Calibri"/>
          <w:noProof/>
          <w:sz w:val="24"/>
          <w:szCs w:val="24"/>
        </w:rPr>
        <w:t>(American Psychiatric Association, 2013)</w:t>
      </w:r>
      <w:r w:rsidR="0053656A" w:rsidRPr="008C45AB">
        <w:rPr>
          <w:rFonts w:cs="Calibri"/>
          <w:sz w:val="24"/>
          <w:szCs w:val="24"/>
        </w:rPr>
        <w:fldChar w:fldCharType="end"/>
      </w:r>
      <w:r w:rsidR="00073F49">
        <w:rPr>
          <w:rFonts w:cs="Calibri"/>
          <w:sz w:val="24"/>
          <w:szCs w:val="24"/>
        </w:rPr>
        <w:t>.</w:t>
      </w:r>
      <w:r w:rsidRPr="008C45AB">
        <w:rPr>
          <w:rFonts w:cs="Calibri"/>
          <w:sz w:val="24"/>
          <w:szCs w:val="24"/>
        </w:rPr>
        <w:t xml:space="preserve"> This cut-off corresponded to a raw score of 9 or more (out of 20), which corresponds to a T-score of 57.3. Because the </w:t>
      </w:r>
      <w:r w:rsidR="0051642D">
        <w:rPr>
          <w:rFonts w:cs="Calibri"/>
          <w:sz w:val="24"/>
          <w:szCs w:val="24"/>
        </w:rPr>
        <w:t xml:space="preserve">American Psychiatric Association </w:t>
      </w:r>
      <w:r w:rsidRPr="008C45AB">
        <w:rPr>
          <w:rFonts w:cs="Calibri"/>
          <w:sz w:val="24"/>
          <w:szCs w:val="24"/>
        </w:rPr>
        <w:t xml:space="preserve"> uses 55 as a cutoff for diagnosing clinical depression, individuals in the </w:t>
      </w:r>
      <w:r w:rsidR="002C138E">
        <w:rPr>
          <w:rFonts w:cs="Calibri"/>
          <w:sz w:val="24"/>
          <w:szCs w:val="24"/>
        </w:rPr>
        <w:t xml:space="preserve">“severe” </w:t>
      </w:r>
      <w:r w:rsidRPr="008C45AB">
        <w:rPr>
          <w:rFonts w:cs="Calibri"/>
          <w:sz w:val="24"/>
          <w:szCs w:val="24"/>
        </w:rPr>
        <w:t xml:space="preserve">group </w:t>
      </w:r>
      <w:r w:rsidR="002C138E">
        <w:rPr>
          <w:rFonts w:cs="Calibri"/>
          <w:sz w:val="24"/>
          <w:szCs w:val="24"/>
        </w:rPr>
        <w:t>are more likely</w:t>
      </w:r>
      <w:r w:rsidR="009E150B">
        <w:rPr>
          <w:rFonts w:cs="Calibri"/>
          <w:sz w:val="24"/>
          <w:szCs w:val="24"/>
        </w:rPr>
        <w:t xml:space="preserve"> </w:t>
      </w:r>
      <w:r w:rsidR="002C138E">
        <w:rPr>
          <w:rFonts w:cs="Calibri"/>
          <w:sz w:val="24"/>
          <w:szCs w:val="24"/>
        </w:rPr>
        <w:t>to experience</w:t>
      </w:r>
      <w:r w:rsidR="0039760B">
        <w:rPr>
          <w:rFonts w:cs="Calibri"/>
          <w:sz w:val="24"/>
          <w:szCs w:val="24"/>
        </w:rPr>
        <w:t xml:space="preserve"> </w:t>
      </w:r>
      <w:r w:rsidR="0027397B">
        <w:rPr>
          <w:rFonts w:cs="Calibri"/>
          <w:sz w:val="24"/>
          <w:szCs w:val="24"/>
        </w:rPr>
        <w:t>enough depressive symptoms to</w:t>
      </w:r>
      <w:r w:rsidR="006A2F76">
        <w:rPr>
          <w:rFonts w:cs="Calibri"/>
          <w:sz w:val="24"/>
          <w:szCs w:val="24"/>
        </w:rPr>
        <w:t xml:space="preserve"> meet the clinical criteria for</w:t>
      </w:r>
      <w:r w:rsidR="0039760B">
        <w:rPr>
          <w:rFonts w:cs="Calibri"/>
          <w:sz w:val="24"/>
          <w:szCs w:val="24"/>
        </w:rPr>
        <w:t xml:space="preserve"> </w:t>
      </w:r>
      <w:r w:rsidR="002C138E">
        <w:rPr>
          <w:rFonts w:cs="Calibri"/>
          <w:sz w:val="24"/>
          <w:szCs w:val="24"/>
        </w:rPr>
        <w:t xml:space="preserve">a diagnosis of </w:t>
      </w:r>
      <w:r w:rsidR="0039760B">
        <w:rPr>
          <w:rFonts w:cs="Calibri"/>
          <w:sz w:val="24"/>
          <w:szCs w:val="24"/>
        </w:rPr>
        <w:t>depressi</w:t>
      </w:r>
      <w:r w:rsidR="0027397B">
        <w:rPr>
          <w:rFonts w:cs="Calibri"/>
          <w:sz w:val="24"/>
          <w:szCs w:val="24"/>
        </w:rPr>
        <w:t>ve episode</w:t>
      </w:r>
      <w:r w:rsidR="0039760B">
        <w:rPr>
          <w:rFonts w:cs="Calibri"/>
          <w:sz w:val="24"/>
          <w:szCs w:val="24"/>
        </w:rPr>
        <w:t xml:space="preserve"> </w:t>
      </w:r>
      <w:r w:rsidR="0053656A" w:rsidRPr="008C45AB">
        <w:rPr>
          <w:rFonts w:cs="Calibri"/>
          <w:sz w:val="24"/>
          <w:szCs w:val="24"/>
        </w:rPr>
        <w:fldChar w:fldCharType="begin" w:fldLock="1"/>
      </w:r>
      <w:r w:rsidR="001F2834">
        <w:rPr>
          <w:rFonts w:cs="Calibri"/>
          <w:sz w:val="24"/>
          <w:szCs w:val="24"/>
        </w:rPr>
        <w:instrText>ADDIN CSL_CITATION { "citationItems" : [ { "id" : "ITEM-1", "itemData" : { "author" : [ { "dropping-particle" : "", "family" : "American Psychiatric Association", "given" : "", "non-dropping-particle" : "", "parse-names" : false, "suffix" : "" } ], "id" : "ITEM-1", "issued" : { "date-parts" : [ [ "2013" ] ] }, "title" : "LEVEL 2\u2014Depression\u2014Adult (PROMIS emotional distress\u2014depression\u2014Short form)", "type" : "report" }, "uris" : [ "http://www.mendeley.com/documents/?uuid=93bd2e79-9958-4ff3-bc04-30ff8fee3da8" ] } ], "mendeley" : { "formattedCitation" : "(American Psychiatric Association, 2013)", "plainTextFormattedCitation" : "(American Psychiatric Association, 2013)", "previouslyFormattedCitation" : "&lt;sup&gt;37&lt;/sup&gt;" }, "properties" : { "noteIndex" : 0 }, "schema" : "https://github.com/citation-style-language/schema/raw/master/csl-citation.json" }</w:instrText>
      </w:r>
      <w:r w:rsidR="0053656A" w:rsidRPr="008C45AB">
        <w:rPr>
          <w:rFonts w:cs="Calibri"/>
          <w:sz w:val="24"/>
          <w:szCs w:val="24"/>
        </w:rPr>
        <w:fldChar w:fldCharType="separate"/>
      </w:r>
      <w:r w:rsidR="001F2834" w:rsidRPr="001F2834">
        <w:rPr>
          <w:rFonts w:cs="Calibri"/>
          <w:noProof/>
          <w:sz w:val="24"/>
          <w:szCs w:val="24"/>
        </w:rPr>
        <w:t>(American Psychiatric Association, 2013)</w:t>
      </w:r>
      <w:r w:rsidR="0053656A" w:rsidRPr="008C45AB">
        <w:rPr>
          <w:rFonts w:cs="Calibri"/>
          <w:sz w:val="24"/>
          <w:szCs w:val="24"/>
        </w:rPr>
        <w:fldChar w:fldCharType="end"/>
      </w:r>
      <w:r w:rsidR="0039760B">
        <w:rPr>
          <w:rFonts w:cs="Calibri"/>
          <w:sz w:val="24"/>
          <w:szCs w:val="24"/>
        </w:rPr>
        <w:t>.</w:t>
      </w:r>
      <w:r w:rsidRPr="008C45AB">
        <w:rPr>
          <w:rFonts w:cs="Calibri"/>
          <w:sz w:val="24"/>
          <w:szCs w:val="24"/>
        </w:rPr>
        <w:t xml:space="preserve"> This group represented 26.3% of the population. Those with raw scores between 5 and 8 were classified as</w:t>
      </w:r>
      <w:r w:rsidR="009E150B">
        <w:rPr>
          <w:rFonts w:cs="Calibri"/>
          <w:sz w:val="24"/>
          <w:szCs w:val="24"/>
        </w:rPr>
        <w:t xml:space="preserve"> </w:t>
      </w:r>
      <w:r w:rsidR="002C138E">
        <w:rPr>
          <w:rFonts w:cs="Calibri"/>
          <w:sz w:val="24"/>
          <w:szCs w:val="24"/>
        </w:rPr>
        <w:t>“moderate”</w:t>
      </w:r>
      <w:r w:rsidRPr="008C45AB">
        <w:rPr>
          <w:rFonts w:cs="Calibri"/>
          <w:sz w:val="24"/>
          <w:szCs w:val="24"/>
        </w:rPr>
        <w:t xml:space="preserve"> and comprised 29.2% of the population. The scale exhibited excellent internal consistency reliability (Cronbach’s alpha = 0.92).</w:t>
      </w:r>
    </w:p>
    <w:p w:rsidR="008E4999" w:rsidRPr="008C45AB" w:rsidRDefault="008E4999" w:rsidP="00C769D9">
      <w:pPr>
        <w:pStyle w:val="MediumShading1-Accent21"/>
        <w:spacing w:line="480" w:lineRule="auto"/>
        <w:rPr>
          <w:rFonts w:cs="Calibri"/>
          <w:i/>
          <w:sz w:val="24"/>
          <w:szCs w:val="24"/>
        </w:rPr>
      </w:pPr>
    </w:p>
    <w:p w:rsidR="008E4999" w:rsidRPr="008C45AB" w:rsidRDefault="008E4999" w:rsidP="008E4999">
      <w:pPr>
        <w:pStyle w:val="MediumShading1-Accent21"/>
        <w:tabs>
          <w:tab w:val="left" w:pos="5835"/>
        </w:tabs>
        <w:spacing w:line="480" w:lineRule="auto"/>
        <w:outlineLvl w:val="0"/>
        <w:rPr>
          <w:rFonts w:cs="Calibri"/>
          <w:sz w:val="24"/>
          <w:szCs w:val="24"/>
        </w:rPr>
      </w:pPr>
      <w:r w:rsidRPr="008C45AB">
        <w:rPr>
          <w:rFonts w:cs="Calibri"/>
          <w:i/>
          <w:sz w:val="24"/>
          <w:szCs w:val="24"/>
          <w:u w:val="single"/>
        </w:rPr>
        <w:t>Anxiety</w:t>
      </w:r>
      <w:r w:rsidRPr="008C45AB">
        <w:rPr>
          <w:rFonts w:cs="Calibri"/>
          <w:i/>
          <w:sz w:val="24"/>
          <w:szCs w:val="24"/>
        </w:rPr>
        <w:t xml:space="preserve">. </w:t>
      </w:r>
      <w:r w:rsidRPr="008C45AB">
        <w:rPr>
          <w:rFonts w:cs="Calibri"/>
          <w:sz w:val="24"/>
          <w:szCs w:val="24"/>
        </w:rPr>
        <w:t>We assessed anxiety</w:t>
      </w:r>
      <w:r w:rsidR="009E150B">
        <w:rPr>
          <w:rFonts w:cs="Calibri"/>
          <w:sz w:val="24"/>
          <w:szCs w:val="24"/>
        </w:rPr>
        <w:t xml:space="preserve"> symptoms</w:t>
      </w:r>
      <w:r w:rsidRPr="008C45AB">
        <w:rPr>
          <w:rFonts w:cs="Calibri"/>
          <w:sz w:val="24"/>
          <w:szCs w:val="24"/>
        </w:rPr>
        <w:t xml:space="preserve"> using </w:t>
      </w:r>
      <w:r w:rsidR="00073F49">
        <w:rPr>
          <w:rFonts w:cs="Calibri"/>
          <w:sz w:val="24"/>
          <w:szCs w:val="24"/>
        </w:rPr>
        <w:t xml:space="preserve">the 4-item PROMIS anxiety scale </w:t>
      </w:r>
      <w:r w:rsidR="0053656A" w:rsidRPr="008C45AB">
        <w:rPr>
          <w:rFonts w:cs="Calibri"/>
          <w:sz w:val="24"/>
          <w:szCs w:val="24"/>
        </w:rPr>
        <w:fldChar w:fldCharType="begin" w:fldLock="1"/>
      </w:r>
      <w:r w:rsidR="001F2834">
        <w:rPr>
          <w:rFonts w:cs="Calibri"/>
          <w:sz w:val="24"/>
          <w:szCs w:val="24"/>
        </w:rPr>
        <w:instrText>ADDIN CSL_CITATION { "citationItems" : [ { "id" : "ITEM-1", "itemData" : { "DOI" : "10.1177/1073191111411667", "ISSN" : "1552-3489", "PMID" : "21697139", "abstract" : "The authors report on the development and calibration of item banks for depression, anxiety, and anger as part of the Patient-Reported Outcomes Measurement Information System (PROMIS\u00ae). Comprehensive literature searches yielded an initial bank of 1,404 items from 305 instruments. After qualitative item analysis (including focus groups and cognitive interviewing), 168 items (56 for each construct) were written in a first person, past tense format with a 7-day time frame and five response options reflecting frequency. The calibration sample included nearly 15,000 respondents. Final banks of 28, 29, and 29 items were calibrated for depression, anxiety, and anger, respectively, using item response theory. Test information curves showed that the PROMIS item banks provided more information than conventional measures in a range of severity from approximately -1 to +3 standard deviations (with higher scores indicating greater distress). Short forms consisting of seven to eight items provided information comparable to legacy measures containing more items.", "author" : [ { "dropping-particle" : "", "family" : "Pilkonis", "given" : "P A", "non-dropping-particle" : "", "parse-names" : false, "suffix" : "" }, { "dropping-particle" : "", "family" : "Choi", "given" : "S W", "non-dropping-particle" : "", "parse-names" : false, "suffix" : "" }, { "dropping-particle" : "", "family" : "Reise", "given" : "S P", "non-dropping-particle" : "", "parse-names" : false, "suffix" : "" }, { "dropping-particle" : "", "family" : "Stover", "given" : "A M", "non-dropping-particle" : "", "parse-names" : false, "suffix" : "" }, { "dropping-particle" : "", "family" : "Riley", "given" : "W T", "non-dropping-particle" : "", "parse-names" : false, "suffix" : "" }, { "dropping-particle" : "", "family" : "Cella", "given" : "D", "non-dropping-particle" : "", "parse-names" : false, "suffix" : "" } ], "container-title" : "Assessment", "id" : "ITEM-1", "issue" : "3", "issued" : { "date-parts" : [ [ "2011", "9" ] ] }, "page" : "263-283", "title" : "Item banks for measuring emotional distress from the Patient-Reported Outcomes Measurement Information System (PROMIS\u00ae): Depression, anxiety, and anger", "type" : "article-journal", "volume" : "18" }, "uris" : [ "http://www.mendeley.com/documents/?uuid=438d2f9b-d045-40a6-8bd7-af2c2c7cc7e3" ] } ], "mendeley" : { "formattedCitation" : "(Pilkonis et al., 2011)", "plainTextFormattedCitation" : "(Pilkonis et al., 2011)", "previouslyFormattedCitation" : "&lt;sup&gt;38&lt;/sup&gt;" }, "properties" : { "noteIndex" : 0 }, "schema" : "https://github.com/citation-style-language/schema/raw/master/csl-citation.json" }</w:instrText>
      </w:r>
      <w:r w:rsidR="0053656A" w:rsidRPr="008C45AB">
        <w:rPr>
          <w:rFonts w:cs="Calibri"/>
          <w:sz w:val="24"/>
          <w:szCs w:val="24"/>
        </w:rPr>
        <w:fldChar w:fldCharType="separate"/>
      </w:r>
      <w:r w:rsidR="001F2834" w:rsidRPr="001F2834">
        <w:rPr>
          <w:rFonts w:cs="Calibri"/>
          <w:noProof/>
          <w:sz w:val="24"/>
          <w:szCs w:val="24"/>
        </w:rPr>
        <w:t>(Pilkonis et al., 2011)</w:t>
      </w:r>
      <w:r w:rsidR="0053656A" w:rsidRPr="008C45AB">
        <w:rPr>
          <w:rFonts w:cs="Calibri"/>
          <w:sz w:val="24"/>
          <w:szCs w:val="24"/>
        </w:rPr>
        <w:fldChar w:fldCharType="end"/>
      </w:r>
      <w:r w:rsidR="00073F49">
        <w:rPr>
          <w:rFonts w:cs="Calibri"/>
          <w:sz w:val="24"/>
          <w:szCs w:val="24"/>
        </w:rPr>
        <w:t>.</w:t>
      </w:r>
      <w:r w:rsidRPr="008C45AB">
        <w:rPr>
          <w:rFonts w:cs="Calibri"/>
          <w:sz w:val="24"/>
          <w:szCs w:val="24"/>
        </w:rPr>
        <w:t xml:space="preserve"> The PROMIS anxiety</w:t>
      </w:r>
      <w:r w:rsidR="009E150B">
        <w:rPr>
          <w:rFonts w:cs="Calibri"/>
          <w:sz w:val="24"/>
          <w:szCs w:val="24"/>
        </w:rPr>
        <w:t xml:space="preserve"> </w:t>
      </w:r>
      <w:r w:rsidRPr="008C45AB">
        <w:rPr>
          <w:rFonts w:cs="Calibri"/>
          <w:sz w:val="24"/>
          <w:szCs w:val="24"/>
        </w:rPr>
        <w:t xml:space="preserve">scale has been correlated and validated with other commonly used anxiety instruments, including the </w:t>
      </w:r>
      <w:r w:rsidR="004F6535" w:rsidRPr="008C45AB">
        <w:rPr>
          <w:rFonts w:cs="Calibri"/>
          <w:sz w:val="24"/>
          <w:szCs w:val="24"/>
        </w:rPr>
        <w:t>Mood and Anxiety Symptom Questionnaire (MASQ), the Positive and Negative Affect Schedule (PANAS), and Generalized Anxiety Disorder 7-item Scale (GAD-7)</w:t>
      </w:r>
      <w:r w:rsidR="00073F49">
        <w:rPr>
          <w:rFonts w:cs="Calibri"/>
          <w:sz w:val="24"/>
          <w:szCs w:val="24"/>
        </w:rPr>
        <w:t xml:space="preserve"> </w:t>
      </w:r>
      <w:r w:rsidR="0053656A" w:rsidRPr="008C45AB">
        <w:rPr>
          <w:rFonts w:cs="Calibri"/>
          <w:sz w:val="24"/>
          <w:szCs w:val="24"/>
        </w:rPr>
        <w:fldChar w:fldCharType="begin" w:fldLock="1"/>
      </w:r>
      <w:r w:rsidR="001F2834">
        <w:rPr>
          <w:rFonts w:cs="Calibri"/>
          <w:sz w:val="24"/>
          <w:szCs w:val="24"/>
        </w:rPr>
        <w:instrText>ADDIN CSL_CITATION { "citationItems" : [ { "id" : "ITEM-1", "itemData" : { "DOI" : "10.1016/j.janxdis.2013.11.006", "ISBN" : "1873-7897 (Electronic)\\r0887-6185 (Linking)", "ISSN" : "08876185", "PMID" : "24508596", "abstract" : "Researchers and clinicians wishing to assess anxiety must choose from among numerous assessment options, many of which purport to measure the same or a similar construct. A common reporting metric would have great value and can be achieved when similar instruments are administered to a single sample and then linked to each other to produce cross-walk score tables. Using item response theory (IRT), we produced cross-walk tables linking three popular \"legacy\" anxiety instruments - MASQ (N=743), GAD-7 (N=748), and PANAS (N=1120) - to the anxiety metric of the NIH Patient Reported Outcomes Measurement Information System (PROMIS??). The linking relationships were evaluated by resampling small subsets and estimating confidence intervals for the differences between the observed and linked PROMIS scores. Our results allow clinical researchers to retrofit existing data of three commonly used anxiety measures to the PROMIS Anxiety metric and to compare clinical cut-off scores. ?? 2013 Elsevier Ltd.", "author" : [ { "dropping-particle" : "", "family" : "Schalet", "given" : "B D", "non-dropping-particle" : "", "parse-names" : false, "suffix" : "" }, { "dropping-particle" : "", "family" : "Cook", "given" : "K F", "non-dropping-particle" : "", "parse-names" : false, "suffix" : "" }, { "dropping-particle" : "", "family" : "Choi", "given" : "S W", "non-dropping-particle" : "", "parse-names" : false, "suffix" : "" }, { "dropping-particle" : "", "family" : "Cella", "given" : "D", "non-dropping-particle" : "", "parse-names" : false, "suffix" : "" } ], "container-title" : "Journal of Anxiety Disorders", "id" : "ITEM-1", "issue" : "1", "issued" : { "date-parts" : [ [ "2014" ] ] }, "page" : "88-96", "title" : "Establishing a common metric for self-reported anxiety: Linking the MASQ, PANAS, and GAD-7 to PROMIS anxiety", "type" : "article-journal", "volume" : "28" }, "uris" : [ "http://www.mendeley.com/documents/?uuid=d713ad70-0974-4619-910f-5d66ca5649cd" ] } ], "mendeley" : { "formattedCitation" : "(Schalet, Cook, Choi, &amp; Cella, 2014)", "plainTextFormattedCitation" : "(Schalet, Cook, Choi, &amp; Cella, 2014)", "previouslyFormattedCitation" : "&lt;sup&gt;39&lt;/sup&gt;" }, "properties" : { "noteIndex" : 0 }, "schema" : "https://github.com/citation-style-language/schema/raw/master/csl-citation.json" }</w:instrText>
      </w:r>
      <w:r w:rsidR="0053656A" w:rsidRPr="008C45AB">
        <w:rPr>
          <w:rFonts w:cs="Calibri"/>
          <w:sz w:val="24"/>
          <w:szCs w:val="24"/>
        </w:rPr>
        <w:fldChar w:fldCharType="separate"/>
      </w:r>
      <w:r w:rsidR="001F2834" w:rsidRPr="001F2834">
        <w:rPr>
          <w:rFonts w:cs="Calibri"/>
          <w:noProof/>
          <w:sz w:val="24"/>
          <w:szCs w:val="24"/>
        </w:rPr>
        <w:t>(Schalet, Cook, Choi, &amp; Cella, 2014)</w:t>
      </w:r>
      <w:r w:rsidR="0053656A" w:rsidRPr="008C45AB">
        <w:rPr>
          <w:rFonts w:cs="Calibri"/>
          <w:sz w:val="24"/>
          <w:szCs w:val="24"/>
        </w:rPr>
        <w:fldChar w:fldCharType="end"/>
      </w:r>
      <w:r w:rsidR="00073F49">
        <w:rPr>
          <w:rFonts w:cs="Calibri"/>
          <w:sz w:val="24"/>
          <w:szCs w:val="24"/>
        </w:rPr>
        <w:t>.</w:t>
      </w:r>
      <w:r w:rsidRPr="008C45AB">
        <w:rPr>
          <w:rFonts w:cs="Calibri"/>
          <w:sz w:val="24"/>
          <w:szCs w:val="24"/>
        </w:rPr>
        <w:t xml:space="preserve"> The 4-item scale asked participants how frequently in the past 7 days they had experienced </w:t>
      </w:r>
      <w:r w:rsidR="00356676" w:rsidRPr="008C45AB">
        <w:rPr>
          <w:rFonts w:cs="Calibri"/>
          <w:sz w:val="24"/>
          <w:szCs w:val="24"/>
        </w:rPr>
        <w:t>the following anxious symptoms: “I felt fearful,” “I felt it was hard to focus on anything other than my anxiety,” “My worries overwhelmed me,” and “I felt uneasy”</w:t>
      </w:r>
      <w:r w:rsidR="00073F49">
        <w:rPr>
          <w:rFonts w:cs="Calibri"/>
          <w:sz w:val="24"/>
          <w:szCs w:val="24"/>
        </w:rPr>
        <w:t xml:space="preserve"> </w:t>
      </w:r>
      <w:r w:rsidR="0053656A" w:rsidRPr="008C45AB">
        <w:rPr>
          <w:rFonts w:cs="Calibri"/>
          <w:sz w:val="24"/>
          <w:szCs w:val="24"/>
        </w:rPr>
        <w:fldChar w:fldCharType="begin" w:fldLock="1"/>
      </w:r>
      <w:r w:rsidR="001F2834">
        <w:rPr>
          <w:rFonts w:cs="Calibri"/>
          <w:sz w:val="24"/>
          <w:szCs w:val="24"/>
        </w:rPr>
        <w:instrText>ADDIN CSL_CITATION { "citationItems" : [ { "id" : "ITEM-1", "itemData" : { "DOI" : "10.1016/j.janxdis.2013.11.006", "ISBN" : "1873-7897 (Electronic)\\r0887-6185 (Linking)", "ISSN" : "08876185", "PMID" : "24508596", "abstract" : "Researchers and clinicians wishing to assess anxiety must choose from among numerous assessment options, many of which purport to measure the same or a similar construct. A common reporting metric would have great value and can be achieved when similar instruments are administered to a single sample and then linked to each other to produce cross-walk score tables. Using item response theory (IRT), we produced cross-walk tables linking three popular \"legacy\" anxiety instruments - MASQ (N=743), GAD-7 (N=748), and PANAS (N=1120) - to the anxiety metric of the NIH Patient Reported Outcomes Measurement Information System (PROMIS??). The linking relationships were evaluated by resampling small subsets and estimating confidence intervals for the differences between the observed and linked PROMIS scores. Our results allow clinical researchers to retrofit existing data of three commonly used anxiety measures to the PROMIS Anxiety metric and to compare clinical cut-off scores. ?? 2013 Elsevier Ltd.", "author" : [ { "dropping-particle" : "", "family" : "Schalet", "given" : "B D", "non-dropping-particle" : "", "parse-names" : false, "suffix" : "" }, { "dropping-particle" : "", "family" : "Cook", "given" : "K F", "non-dropping-particle" : "", "parse-names" : false, "suffix" : "" }, { "dropping-particle" : "", "family" : "Choi", "given" : "S W", "non-dropping-particle" : "", "parse-names" : false, "suffix" : "" }, { "dropping-particle" : "", "family" : "Cella", "given" : "D", "non-dropping-particle" : "", "parse-names" : false, "suffix" : "" } ], "container-title" : "Journal of Anxiety Disorders", "id" : "ITEM-1", "issue" : "1", "issued" : { "date-parts" : [ [ "2014" ] ] }, "page" : "88-96", "title" : "Establishing a common metric for self-reported anxiety: Linking the MASQ, PANAS, and GAD-7 to PROMIS anxiety", "type" : "article-journal", "volume" : "28" }, "uris" : [ "http://www.mendeley.com/documents/?uuid=d713ad70-0974-4619-910f-5d66ca5649cd" ] }, { "id" : "ITEM-2", "itemData" : { "DOI" : "10.1177/1073191111411667", "ISSN" : "1552-3489", "PMID" : "21697139", "abstract" : "The authors report on the development and calibration of item banks for depression, anxiety, and anger as part of the Patient-Reported Outcomes Measurement Information System (PROMIS\u00ae). Comprehensive literature searches yielded an initial bank of 1,404 items from 305 instruments. After qualitative item analysis (including focus groups and cognitive interviewing), 168 items (56 for each construct) were written in a first person, past tense format with a 7-day time frame and five response options reflecting frequency. The calibration sample included nearly 15,000 respondents. Final banks of 28, 29, and 29 items were calibrated for depression, anxiety, and anger, respectively, using item response theory. Test information curves showed that the PROMIS item banks provided more information than conventional measures in a range of severity from approximately -1 to +3 standard deviations (with higher scores indicating greater distress). Short forms consisting of seven to eight items provided information comparable to legacy measures containing more items.", "author" : [ { "dropping-particle" : "", "family" : "Pilkonis", "given" : "P A", "non-dropping-particle" : "", "parse-names" : false, "suffix" : "" }, { "dropping-particle" : "", "family" : "Choi", "given" : "S W", "non-dropping-particle" : "", "parse-names" : false, "suffix" : "" }, { "dropping-particle" : "", "family" : "Reise", "given" : "S P", "non-dropping-particle" : "", "parse-names" : false, "suffix" : "" }, { "dropping-particle" : "", "family" : "Stover", "given" : "A M", "non-dropping-particle" : "", "parse-names" : false, "suffix" : "" }, { "dropping-particle" : "", "family" : "Riley", "given" : "W T", "non-dropping-particle" : "", "parse-names" : false, "suffix" : "" }, { "dropping-particle" : "", "family" : "Cella", "given" : "D", "non-dropping-particle" : "", "parse-names" : false, "suffix" : "" } ], "container-title" : "Assessment", "id" : "ITEM-2", "issue" : "3", "issued" : { "date-parts" : [ [ "2011", "9" ] ] }, "page" : "263-283", "title" : "Item banks for measuring emotional distress from the Patient-Reported Outcomes Measurement Information System (PROMIS\u00ae): Depression, anxiety, and anger", "type" : "article-journal", "volume" : "18" }, "uris" : [ "http://www.mendeley.com/documents/?uuid=438d2f9b-d045-40a6-8bd7-af2c2c7cc7e3" ] } ], "mendeley" : { "formattedCitation" : "(Pilkonis et al., 2011; Schalet et al., 2014)", "plainTextFormattedCitation" : "(Pilkonis et al., 2011; Schalet et al., 2014)", "previouslyFormattedCitation" : "&lt;sup&gt;38,39&lt;/sup&gt;" }, "properties" : { "noteIndex" : 0 }, "schema" : "https://github.com/citation-style-language/schema/raw/master/csl-citation.json" }</w:instrText>
      </w:r>
      <w:r w:rsidR="0053656A" w:rsidRPr="008C45AB">
        <w:rPr>
          <w:rFonts w:cs="Calibri"/>
          <w:sz w:val="24"/>
          <w:szCs w:val="24"/>
        </w:rPr>
        <w:fldChar w:fldCharType="separate"/>
      </w:r>
      <w:r w:rsidR="001F2834" w:rsidRPr="001F2834">
        <w:rPr>
          <w:rFonts w:cs="Calibri"/>
          <w:noProof/>
          <w:sz w:val="24"/>
          <w:szCs w:val="24"/>
        </w:rPr>
        <w:t>(Pilkonis et al., 2011; Schalet et al., 2014)</w:t>
      </w:r>
      <w:r w:rsidR="0053656A" w:rsidRPr="008C45AB">
        <w:rPr>
          <w:rFonts w:cs="Calibri"/>
          <w:sz w:val="24"/>
          <w:szCs w:val="24"/>
        </w:rPr>
        <w:fldChar w:fldCharType="end"/>
      </w:r>
      <w:r w:rsidR="00073F49">
        <w:rPr>
          <w:rFonts w:cs="Calibri"/>
          <w:sz w:val="24"/>
          <w:szCs w:val="24"/>
        </w:rPr>
        <w:t>.</w:t>
      </w:r>
      <w:r w:rsidRPr="008C45AB">
        <w:rPr>
          <w:rFonts w:cs="Calibri"/>
          <w:sz w:val="24"/>
          <w:szCs w:val="24"/>
        </w:rPr>
        <w:t xml:space="preserve"> These items were scored on a 5-point Likert scale ranging from 1 to 5, corresponding to responses of “Never,” “Rarely,” “Sometimes,” “Often” and “Always.” Thus, the total possible raw score was between 4 and 20. Based upon the non-normal distribution of data, the raw scores were collapsed into tertiles of </w:t>
      </w:r>
      <w:r w:rsidR="009E150B">
        <w:rPr>
          <w:rFonts w:cs="Calibri"/>
          <w:sz w:val="24"/>
          <w:szCs w:val="24"/>
        </w:rPr>
        <w:t>mild, moderate, and severe</w:t>
      </w:r>
      <w:r w:rsidRPr="008C45AB">
        <w:rPr>
          <w:rFonts w:cs="Calibri"/>
          <w:sz w:val="24"/>
          <w:szCs w:val="24"/>
        </w:rPr>
        <w:t xml:space="preserve"> for primary analysis. </w:t>
      </w:r>
      <w:r w:rsidR="002D711A" w:rsidRPr="008C45AB">
        <w:rPr>
          <w:rFonts w:cs="Calibri"/>
          <w:sz w:val="24"/>
          <w:szCs w:val="24"/>
        </w:rPr>
        <w:t>T</w:t>
      </w:r>
      <w:r w:rsidRPr="008C45AB">
        <w:rPr>
          <w:rFonts w:cs="Calibri"/>
          <w:sz w:val="24"/>
          <w:szCs w:val="24"/>
        </w:rPr>
        <w:t>his was appropriate because</w:t>
      </w:r>
      <w:r w:rsidR="00356676" w:rsidRPr="008C45AB">
        <w:rPr>
          <w:rFonts w:cs="Calibri"/>
          <w:sz w:val="24"/>
          <w:szCs w:val="24"/>
        </w:rPr>
        <w:t xml:space="preserve">, like the PROMIS depression scale, the </w:t>
      </w:r>
      <w:r w:rsidRPr="008C45AB">
        <w:rPr>
          <w:rFonts w:cs="Calibri"/>
          <w:sz w:val="24"/>
          <w:szCs w:val="24"/>
        </w:rPr>
        <w:t xml:space="preserve">PROMIS </w:t>
      </w:r>
      <w:r w:rsidR="00356676" w:rsidRPr="008C45AB">
        <w:rPr>
          <w:rFonts w:cs="Calibri"/>
          <w:sz w:val="24"/>
          <w:szCs w:val="24"/>
        </w:rPr>
        <w:t>anxiety</w:t>
      </w:r>
      <w:r w:rsidRPr="008C45AB">
        <w:rPr>
          <w:rFonts w:cs="Calibri"/>
          <w:sz w:val="24"/>
          <w:szCs w:val="24"/>
        </w:rPr>
        <w:t xml:space="preserve"> </w:t>
      </w:r>
      <w:r w:rsidR="00356676" w:rsidRPr="008C45AB">
        <w:rPr>
          <w:rFonts w:cs="Calibri"/>
          <w:sz w:val="24"/>
          <w:szCs w:val="24"/>
        </w:rPr>
        <w:t>scale aimed to</w:t>
      </w:r>
      <w:r w:rsidRPr="008C45AB">
        <w:rPr>
          <w:rFonts w:cs="Calibri"/>
          <w:sz w:val="24"/>
          <w:szCs w:val="24"/>
        </w:rPr>
        <w:t xml:space="preserve"> grade the severity of </w:t>
      </w:r>
      <w:r w:rsidR="00356676" w:rsidRPr="008C45AB">
        <w:rPr>
          <w:rFonts w:cs="Calibri"/>
          <w:sz w:val="24"/>
          <w:szCs w:val="24"/>
        </w:rPr>
        <w:t>anxiety</w:t>
      </w:r>
      <w:r w:rsidRPr="008C45AB">
        <w:rPr>
          <w:rFonts w:cs="Calibri"/>
          <w:sz w:val="24"/>
          <w:szCs w:val="24"/>
        </w:rPr>
        <w:t xml:space="preserve">. We classified those who did not endorse any depression as those in the </w:t>
      </w:r>
      <w:r w:rsidR="009E150B">
        <w:rPr>
          <w:rFonts w:cs="Calibri"/>
          <w:sz w:val="24"/>
          <w:szCs w:val="24"/>
        </w:rPr>
        <w:t>mild</w:t>
      </w:r>
      <w:r w:rsidRPr="008C45AB">
        <w:rPr>
          <w:rFonts w:cs="Calibri"/>
          <w:sz w:val="24"/>
          <w:szCs w:val="24"/>
        </w:rPr>
        <w:t xml:space="preserve"> group (raw score = 4), which represented </w:t>
      </w:r>
      <w:r w:rsidR="002D711A" w:rsidRPr="008C45AB">
        <w:rPr>
          <w:rFonts w:cs="Calibri"/>
          <w:sz w:val="24"/>
          <w:szCs w:val="24"/>
        </w:rPr>
        <w:t>33.7</w:t>
      </w:r>
      <w:r w:rsidRPr="008C45AB">
        <w:rPr>
          <w:rFonts w:cs="Calibri"/>
          <w:sz w:val="24"/>
          <w:szCs w:val="24"/>
        </w:rPr>
        <w:t xml:space="preserve">% of the population. We then classified a </w:t>
      </w:r>
      <w:r w:rsidR="009E150B">
        <w:rPr>
          <w:rFonts w:cs="Calibri"/>
          <w:sz w:val="24"/>
          <w:szCs w:val="24"/>
        </w:rPr>
        <w:t>severe</w:t>
      </w:r>
      <w:r w:rsidRPr="008C45AB">
        <w:rPr>
          <w:rFonts w:cs="Calibri"/>
          <w:sz w:val="24"/>
          <w:szCs w:val="24"/>
        </w:rPr>
        <w:t xml:space="preserve"> group </w:t>
      </w:r>
      <w:r w:rsidR="004F6535" w:rsidRPr="008C45AB">
        <w:rPr>
          <w:rFonts w:cs="Calibri"/>
          <w:sz w:val="24"/>
          <w:szCs w:val="24"/>
        </w:rPr>
        <w:t>with</w:t>
      </w:r>
      <w:r w:rsidRPr="008C45AB">
        <w:rPr>
          <w:rFonts w:cs="Calibri"/>
          <w:sz w:val="24"/>
          <w:szCs w:val="24"/>
        </w:rPr>
        <w:t xml:space="preserve"> a raw score of 9 or more (out of 20), which corresponds to a T-score of 57.</w:t>
      </w:r>
      <w:r w:rsidR="002D711A" w:rsidRPr="008C45AB">
        <w:rPr>
          <w:rFonts w:cs="Calibri"/>
          <w:sz w:val="24"/>
          <w:szCs w:val="24"/>
        </w:rPr>
        <w:t>7</w:t>
      </w:r>
      <w:r w:rsidR="00073F49">
        <w:rPr>
          <w:rFonts w:cs="Calibri"/>
          <w:sz w:val="24"/>
          <w:szCs w:val="24"/>
        </w:rPr>
        <w:t xml:space="preserve"> </w:t>
      </w:r>
      <w:r w:rsidR="0053656A" w:rsidRPr="008C45AB">
        <w:rPr>
          <w:rFonts w:cs="Calibri"/>
          <w:sz w:val="24"/>
          <w:szCs w:val="24"/>
        </w:rPr>
        <w:fldChar w:fldCharType="begin" w:fldLock="1"/>
      </w:r>
      <w:r w:rsidR="001F2834">
        <w:rPr>
          <w:rFonts w:cs="Calibri"/>
          <w:sz w:val="24"/>
          <w:szCs w:val="24"/>
        </w:rPr>
        <w:instrText>ADDIN CSL_CITATION { "citationItems" : [ { "id" : "ITEM-1", "itemData" : { "DOI" : "10.1007/s11136-015-1131-3", "ISSN" : "0962-9343", "abstract" : "PURPOSE: Our work as a primary research site of the Patient-Reported Outcomes Measurement Information System (PROMIS(\u00ae)), combined with support from the Patient-Centered Outcomes Research Institute, allowed us to evaluate the real-world applicability and acceptability of PROMIS measures in an addiction medicine setting. METHODS: As part of a 3-month prospective observational study, 225 outpatients at a substance abuse treatment clinic completed PROMIS item banks for alcohol use (as well as 15 additional item banks from 8 other PROMIS domains, including emotional distress, sleep, and pain), with assessments at intake, 1-month follow-up, and 3-month follow-up. A subsample of therapists and their patients completed health domain importance ratings and qualitative interviews to elicit feedback regarding the content and format of the patients' assessment results. RESULTS: The importance ratings revealed that depression, anxiety, and lack of emotional support were rated highest of the non-alcohol-related domains among both patients and clinicians. General alcohol use was considered most important by both patients and clinicians. Based on their suggestions, changes were made to item response feedback to facilitate comprehension and communication. CONCLUSIONS: Both therapists and patients agreed that their review of the graphical display of scores, as well as individual item responses, helped them to identify areas of greatest concern and was useful for treatment planning. The results of our pilot work demonstrated the value and practicality of incorporating a comprehensive health assessment within a substance abuse treatment setting.", "author" : [ { "dropping-particle" : "", "family" : "Johnston", "given" : "K L", "non-dropping-particle" : "", "parse-names" : false, "suffix" : "" }, { "dropping-particle" : "", "family" : "Lawrence", "given" : "S M", "non-dropping-particle" : "", "parse-names" : false, "suffix" : "" }, { "dropping-particle" : "", "family" : "Dodds", "given" : "N E", "non-dropping-particle" : "", "parse-names" : false, "suffix" : "" }, { "dropping-particle" : "", "family" : "Yu", "given" : "L", "non-dropping-particle" : "", "parse-names" : false, "suffix" : "" }, { "dropping-particle" : "", "family" : "Daley", "given" : "D C", "non-dropping-particle" : "", "parse-names" : false, "suffix" : "" }, { "dropping-particle" : "", "family" : "Pilkonis", "given" : "P A", "non-dropping-particle" : "", "parse-names" : false, "suffix" : "" } ], "container-title" : "Quality of Life Research", "id" : "ITEM-1", "issue" : "3", "issued" : { "date-parts" : [ [ "2016", "3", "9" ] ] }, "page" : "615-624", "title" : "Evaluating PROMIS\u00ae instruments and methods for patient-centered outcomes research: Patient and provider voices in a substance use treatment setting", "type" : "article-journal", "volume" : "25" }, "uris" : [ "http://www.mendeley.com/documents/?uuid=5fc33fcc-ba19-4938-a5d0-88a26e45a299" ] } ], "mendeley" : { "formattedCitation" : "(Johnston et al., 2016)", "plainTextFormattedCitation" : "(Johnston et al., 2016)", "previouslyFormattedCitation" : "&lt;sup&gt;40&lt;/sup&gt;" }, "properties" : { "noteIndex" : 0 }, "schema" : "https://github.com/citation-style-language/schema/raw/master/csl-citation.json" }</w:instrText>
      </w:r>
      <w:r w:rsidR="0053656A" w:rsidRPr="008C45AB">
        <w:rPr>
          <w:rFonts w:cs="Calibri"/>
          <w:sz w:val="24"/>
          <w:szCs w:val="24"/>
        </w:rPr>
        <w:fldChar w:fldCharType="separate"/>
      </w:r>
      <w:r w:rsidR="001F2834" w:rsidRPr="001F2834">
        <w:rPr>
          <w:rFonts w:cs="Calibri"/>
          <w:noProof/>
          <w:sz w:val="24"/>
          <w:szCs w:val="24"/>
        </w:rPr>
        <w:t>(Johnston et al., 2016)</w:t>
      </w:r>
      <w:r w:rsidR="0053656A" w:rsidRPr="008C45AB">
        <w:rPr>
          <w:rFonts w:cs="Calibri"/>
          <w:sz w:val="24"/>
          <w:szCs w:val="24"/>
        </w:rPr>
        <w:fldChar w:fldCharType="end"/>
      </w:r>
      <w:r w:rsidR="00073F49">
        <w:rPr>
          <w:rFonts w:cs="Calibri"/>
          <w:sz w:val="24"/>
          <w:szCs w:val="24"/>
        </w:rPr>
        <w:t>.</w:t>
      </w:r>
      <w:r w:rsidRPr="008C45AB">
        <w:rPr>
          <w:rFonts w:cs="Calibri"/>
          <w:sz w:val="24"/>
          <w:szCs w:val="24"/>
        </w:rPr>
        <w:t xml:space="preserve"> Because the APA uses 55 as a cutoff for diagnosing clinical </w:t>
      </w:r>
      <w:r w:rsidR="00DB5E0A" w:rsidRPr="008C45AB">
        <w:rPr>
          <w:rFonts w:cs="Calibri"/>
          <w:sz w:val="24"/>
          <w:szCs w:val="24"/>
        </w:rPr>
        <w:t>anxiety</w:t>
      </w:r>
      <w:r w:rsidR="009E150B">
        <w:rPr>
          <w:rFonts w:cs="Calibri"/>
          <w:sz w:val="24"/>
          <w:szCs w:val="24"/>
        </w:rPr>
        <w:t xml:space="preserve">, individuals in the severe </w:t>
      </w:r>
      <w:r w:rsidRPr="008C45AB">
        <w:rPr>
          <w:rFonts w:cs="Calibri"/>
          <w:sz w:val="24"/>
          <w:szCs w:val="24"/>
        </w:rPr>
        <w:t xml:space="preserve">group have a high likelihood of experiencing some </w:t>
      </w:r>
      <w:r w:rsidR="003B0728">
        <w:rPr>
          <w:rFonts w:cs="Calibri"/>
          <w:sz w:val="24"/>
          <w:szCs w:val="24"/>
        </w:rPr>
        <w:t xml:space="preserve">form of </w:t>
      </w:r>
      <w:r w:rsidR="00DB5E0A" w:rsidRPr="008C45AB">
        <w:rPr>
          <w:rFonts w:cs="Calibri"/>
          <w:sz w:val="24"/>
          <w:szCs w:val="24"/>
        </w:rPr>
        <w:t>anxiety</w:t>
      </w:r>
      <w:r w:rsidRPr="008C45AB">
        <w:rPr>
          <w:rFonts w:cs="Calibri"/>
          <w:sz w:val="24"/>
          <w:szCs w:val="24"/>
        </w:rPr>
        <w:t xml:space="preserve">. This group represented </w:t>
      </w:r>
      <w:r w:rsidR="004F6535" w:rsidRPr="008C45AB">
        <w:rPr>
          <w:rFonts w:cs="Calibri"/>
          <w:sz w:val="24"/>
          <w:szCs w:val="24"/>
        </w:rPr>
        <w:t>30.3</w:t>
      </w:r>
      <w:r w:rsidRPr="008C45AB">
        <w:rPr>
          <w:rFonts w:cs="Calibri"/>
          <w:sz w:val="24"/>
          <w:szCs w:val="24"/>
        </w:rPr>
        <w:t xml:space="preserve">% of the population. Those with raw scores between 5 and 8 were classified as </w:t>
      </w:r>
      <w:r w:rsidR="009E150B">
        <w:rPr>
          <w:rFonts w:cs="Calibri"/>
          <w:sz w:val="24"/>
          <w:szCs w:val="24"/>
        </w:rPr>
        <w:t>moderate</w:t>
      </w:r>
      <w:r w:rsidRPr="008C45AB">
        <w:rPr>
          <w:rFonts w:cs="Calibri"/>
          <w:sz w:val="24"/>
          <w:szCs w:val="24"/>
        </w:rPr>
        <w:t xml:space="preserve"> and comprised </w:t>
      </w:r>
      <w:r w:rsidR="004F6535" w:rsidRPr="008C45AB">
        <w:rPr>
          <w:rFonts w:cs="Calibri"/>
          <w:sz w:val="24"/>
          <w:szCs w:val="24"/>
        </w:rPr>
        <w:t>36.0</w:t>
      </w:r>
      <w:r w:rsidRPr="008C45AB">
        <w:rPr>
          <w:rFonts w:cs="Calibri"/>
          <w:sz w:val="24"/>
          <w:szCs w:val="24"/>
        </w:rPr>
        <w:t>% of the population. The scale exhibited excellent internal consistency reliability (Cronbach’s alpha = 0.9</w:t>
      </w:r>
      <w:r w:rsidR="002D711A" w:rsidRPr="008C45AB">
        <w:rPr>
          <w:rFonts w:cs="Calibri"/>
          <w:sz w:val="24"/>
          <w:szCs w:val="24"/>
        </w:rPr>
        <w:t>0</w:t>
      </w:r>
      <w:r w:rsidRPr="008C45AB">
        <w:rPr>
          <w:rFonts w:cs="Calibri"/>
          <w:sz w:val="24"/>
          <w:szCs w:val="24"/>
        </w:rPr>
        <w:t>).</w:t>
      </w:r>
    </w:p>
    <w:p w:rsidR="00C769D9" w:rsidRPr="008C45AB" w:rsidRDefault="00C769D9" w:rsidP="00C769D9">
      <w:pPr>
        <w:spacing w:line="480" w:lineRule="auto"/>
        <w:rPr>
          <w:rFonts w:ascii="Calibri" w:hAnsi="Calibri" w:cs="Calibri"/>
          <w:i/>
        </w:rPr>
      </w:pPr>
    </w:p>
    <w:p w:rsidR="004F6535" w:rsidRPr="008C45AB" w:rsidRDefault="00A52E98" w:rsidP="00C769D9">
      <w:pPr>
        <w:spacing w:line="480" w:lineRule="auto"/>
        <w:rPr>
          <w:rFonts w:ascii="Calibri" w:hAnsi="Calibri" w:cs="Calibri"/>
          <w:i/>
        </w:rPr>
      </w:pPr>
      <w:r>
        <w:rPr>
          <w:rFonts w:ascii="Calibri" w:hAnsi="Calibri" w:cs="Calibri"/>
          <w:i/>
          <w:u w:val="single"/>
        </w:rPr>
        <w:t xml:space="preserve"> Use of multiple social media platforms</w:t>
      </w:r>
      <w:r w:rsidR="004F6535" w:rsidRPr="003B0728">
        <w:rPr>
          <w:rFonts w:ascii="Calibri" w:hAnsi="Calibri" w:cs="Calibri"/>
          <w:i/>
        </w:rPr>
        <w:t>.</w:t>
      </w:r>
      <w:r w:rsidR="004F6535" w:rsidRPr="008C45AB">
        <w:rPr>
          <w:rFonts w:ascii="Calibri" w:hAnsi="Calibri" w:cs="Calibri"/>
          <w:i/>
        </w:rPr>
        <w:t xml:space="preserve"> </w:t>
      </w:r>
      <w:r w:rsidR="004F6535" w:rsidRPr="008C45AB">
        <w:rPr>
          <w:rFonts w:ascii="Calibri" w:hAnsi="Calibri" w:cs="Calibri"/>
          <w:color w:val="212121"/>
        </w:rPr>
        <w:t xml:space="preserve">We </w:t>
      </w:r>
      <w:r w:rsidR="006E0FAC" w:rsidRPr="008C45AB">
        <w:rPr>
          <w:rFonts w:ascii="Calibri" w:hAnsi="Calibri" w:cs="Calibri"/>
          <w:color w:val="212121"/>
        </w:rPr>
        <w:t>asked participants to report their use of each of 11 widely used social media platforms, including Facebook, Twitter, Google+, YouTube, LinkedIn, Instagram, Pinterest, Tum</w:t>
      </w:r>
      <w:r w:rsidR="00073F49">
        <w:rPr>
          <w:rFonts w:ascii="Calibri" w:hAnsi="Calibri" w:cs="Calibri"/>
          <w:color w:val="212121"/>
        </w:rPr>
        <w:t xml:space="preserve">blr, Vine, Snapchat, and Reddit </w:t>
      </w:r>
      <w:r w:rsidR="0053656A" w:rsidRPr="008C45AB">
        <w:rPr>
          <w:rFonts w:ascii="Calibri" w:hAnsi="Calibri" w:cs="Calibri"/>
          <w:color w:val="212121"/>
        </w:rPr>
        <w:fldChar w:fldCharType="begin" w:fldLock="1"/>
      </w:r>
      <w:r w:rsidR="001F2834">
        <w:rPr>
          <w:rFonts w:ascii="Calibri" w:hAnsi="Calibri" w:cs="Calibri"/>
          <w:color w:val="212121"/>
        </w:rPr>
        <w:instrText>ADDIN CSL_CITATION { "citationItems" : [ { "id" : "ITEM-1", "itemData" : { "URL" : "http://www.webcitation.org/6ajEhvS11", "accessed" : { "date-parts" : [ [ "2016", "6", "8" ] ] }, "author" : [ { "dropping-particle" : "", "family" : "Pew Research Center", "given" : "", "non-dropping-particle" : "", "parse-names" : false, "suffix" : "" } ], "id" : "ITEM-1", "issued" : { "date-parts" : [ [ "2015" ] ] }, "publisher-place" : "Washington DC", "title" : "Social media update 2015", "type" : "webpage" }, "uris" : [ "http://www.mendeley.com/documents/?uuid=df0f6d13-93d3-4769-83ea-683475cc9ef4" ] }, { "id" : "ITEM-2", "itemData" : { "URL" : "http://www.webcitation.org/6bXTvRwTJ", "accessed" : { "date-parts" : [ [ "2016", "6", "8" ] ] }, "author" : [ { "dropping-particle" : "", "family" : "Nielsen", "given" : "", "non-dropping-particle" : "", "parse-names" : false, "suffix" : "" } ], "id" : "ITEM-2", "issued" : { "date-parts" : [ [ "2012" ] ] }, "title" : "State of the media: The social media report 2012", "type" : "webpage" }, "uris" : [ "http://www.mendeley.com/documents/?uuid=6c70943a-0d96-42a7-80bf-4891c149a036" ] } ], "mendeley" : { "formattedCitation" : "(Nielsen, 2012; Pew Research Center, 2015)", "plainTextFormattedCitation" : "(Nielsen, 2012; Pew Research Center, 2015)", "previouslyFormattedCitation" : "&lt;sup&gt;5,41&lt;/sup&gt;" }, "properties" : { "noteIndex" : 0 }, "schema" : "https://github.com/citation-style-language/schema/raw/master/csl-citation.json" }</w:instrText>
      </w:r>
      <w:r w:rsidR="0053656A" w:rsidRPr="008C45AB">
        <w:rPr>
          <w:rFonts w:ascii="Calibri" w:hAnsi="Calibri" w:cs="Calibri"/>
          <w:color w:val="212121"/>
        </w:rPr>
        <w:fldChar w:fldCharType="separate"/>
      </w:r>
      <w:r w:rsidR="001F2834" w:rsidRPr="001F2834">
        <w:rPr>
          <w:rFonts w:ascii="Calibri" w:hAnsi="Calibri" w:cs="Calibri"/>
          <w:noProof/>
          <w:color w:val="212121"/>
        </w:rPr>
        <w:t>(Nielsen, 2012; Pew Research Center, 2015)</w:t>
      </w:r>
      <w:r w:rsidR="0053656A" w:rsidRPr="008C45AB">
        <w:rPr>
          <w:rFonts w:ascii="Calibri" w:hAnsi="Calibri" w:cs="Calibri"/>
          <w:color w:val="212121"/>
        </w:rPr>
        <w:fldChar w:fldCharType="end"/>
      </w:r>
      <w:r w:rsidR="00073F49">
        <w:rPr>
          <w:rFonts w:ascii="Calibri" w:hAnsi="Calibri" w:cs="Calibri"/>
          <w:color w:val="212121"/>
        </w:rPr>
        <w:t>.</w:t>
      </w:r>
      <w:r w:rsidR="006E0FAC" w:rsidRPr="008C45AB">
        <w:rPr>
          <w:rFonts w:ascii="Calibri" w:hAnsi="Calibri" w:cs="Calibri"/>
          <w:color w:val="212121"/>
        </w:rPr>
        <w:t xml:space="preserve"> Seven response choices ranged from “I do not use this platform” to “I use this </w:t>
      </w:r>
      <w:r w:rsidR="009E150B">
        <w:rPr>
          <w:rFonts w:ascii="Calibri" w:hAnsi="Calibri" w:cs="Calibri"/>
          <w:color w:val="212121"/>
        </w:rPr>
        <w:t>platform 5 or more times a day.”</w:t>
      </w:r>
      <w:r w:rsidR="006E0FAC" w:rsidRPr="008C45AB">
        <w:rPr>
          <w:rFonts w:ascii="Calibri" w:hAnsi="Calibri" w:cs="Calibri"/>
          <w:color w:val="212121"/>
        </w:rPr>
        <w:t xml:space="preserve"> We based these items on the measure</w:t>
      </w:r>
      <w:r w:rsidR="00073F49">
        <w:rPr>
          <w:rFonts w:ascii="Calibri" w:hAnsi="Calibri" w:cs="Calibri"/>
          <w:color w:val="212121"/>
        </w:rPr>
        <w:t xml:space="preserve">s used by Pew Internet Research </w:t>
      </w:r>
      <w:r w:rsidR="0053656A" w:rsidRPr="008C45AB">
        <w:rPr>
          <w:rFonts w:ascii="Calibri" w:hAnsi="Calibri" w:cs="Calibri"/>
          <w:color w:val="212121"/>
        </w:rPr>
        <w:fldChar w:fldCharType="begin" w:fldLock="1"/>
      </w:r>
      <w:r w:rsidR="001F2834">
        <w:rPr>
          <w:rFonts w:ascii="Calibri" w:hAnsi="Calibri" w:cs="Calibri"/>
          <w:color w:val="212121"/>
        </w:rPr>
        <w:instrText>ADDIN CSL_CITATION { "citationItems" : [ { "id" : "ITEM-1", "itemData" : { "URL" : "http://www.webcitation.org/6ajEhvS11", "accessed" : { "date-parts" : [ [ "2016", "6", "8" ] ] }, "author" : [ { "dropping-particle" : "", "family" : "Pew Research Center", "given" : "", "non-dropping-particle" : "", "parse-names" : false, "suffix" : "" } ], "id" : "ITEM-1", "issued" : { "date-parts" : [ [ "2015" ] ] }, "publisher-place" : "Washington DC", "title" : "Social media update 2015", "type" : "webpage" }, "uris" : [ "http://www.mendeley.com/documents/?uuid=df0f6d13-93d3-4769-83ea-683475cc9ef4" ] } ], "mendeley" : { "formattedCitation" : "(Pew Research Center, 2015)", "plainTextFormattedCitation" : "(Pew Research Center, 2015)", "previouslyFormattedCitation" : "&lt;sup&gt;5&lt;/sup&gt;" }, "properties" : { "noteIndex" : 0 }, "schema" : "https://github.com/citation-style-language/schema/raw/master/csl-citation.json" }</w:instrText>
      </w:r>
      <w:r w:rsidR="0053656A" w:rsidRPr="008C45AB">
        <w:rPr>
          <w:rFonts w:ascii="Calibri" w:hAnsi="Calibri" w:cs="Calibri"/>
          <w:color w:val="212121"/>
        </w:rPr>
        <w:fldChar w:fldCharType="separate"/>
      </w:r>
      <w:r w:rsidR="001F2834" w:rsidRPr="001F2834">
        <w:rPr>
          <w:rFonts w:ascii="Calibri" w:hAnsi="Calibri" w:cs="Calibri"/>
          <w:noProof/>
          <w:color w:val="212121"/>
        </w:rPr>
        <w:t>(Pew Research Center, 2015)</w:t>
      </w:r>
      <w:r w:rsidR="0053656A" w:rsidRPr="008C45AB">
        <w:rPr>
          <w:rFonts w:ascii="Calibri" w:hAnsi="Calibri" w:cs="Calibri"/>
          <w:color w:val="212121"/>
        </w:rPr>
        <w:fldChar w:fldCharType="end"/>
      </w:r>
      <w:r w:rsidR="00073F49">
        <w:rPr>
          <w:rFonts w:ascii="Calibri" w:hAnsi="Calibri" w:cs="Calibri"/>
          <w:color w:val="212121"/>
        </w:rPr>
        <w:t>.</w:t>
      </w:r>
      <w:r w:rsidR="006E0FAC" w:rsidRPr="008C45AB">
        <w:rPr>
          <w:rFonts w:ascii="Calibri" w:hAnsi="Calibri" w:cs="Calibri"/>
          <w:color w:val="212121"/>
        </w:rPr>
        <w:t xml:space="preserve"> To </w:t>
      </w:r>
      <w:r w:rsidR="003855AC" w:rsidRPr="008C45AB">
        <w:rPr>
          <w:rFonts w:ascii="Calibri" w:hAnsi="Calibri" w:cs="Calibri"/>
          <w:color w:val="212121"/>
        </w:rPr>
        <w:t>operationalize</w:t>
      </w:r>
      <w:r w:rsidR="006E0FAC" w:rsidRPr="008C45AB">
        <w:rPr>
          <w:rFonts w:ascii="Calibri" w:hAnsi="Calibri" w:cs="Calibri"/>
          <w:color w:val="212121"/>
        </w:rPr>
        <w:t xml:space="preserve"> </w:t>
      </w:r>
      <w:r>
        <w:rPr>
          <w:rFonts w:ascii="Calibri" w:hAnsi="Calibri" w:cs="Calibri"/>
          <w:color w:val="212121"/>
        </w:rPr>
        <w:t>this variable</w:t>
      </w:r>
      <w:r w:rsidR="006E0FAC" w:rsidRPr="008C45AB">
        <w:rPr>
          <w:rFonts w:ascii="Calibri" w:hAnsi="Calibri" w:cs="Calibri"/>
          <w:color w:val="212121"/>
        </w:rPr>
        <w:t>, we counted the number of different platforms that participants used with any frequency other than none. For primary analyses,</w:t>
      </w:r>
      <w:r>
        <w:rPr>
          <w:rFonts w:ascii="Calibri" w:hAnsi="Calibri" w:cs="Calibri"/>
          <w:color w:val="212121"/>
        </w:rPr>
        <w:t xml:space="preserve"> and</w:t>
      </w:r>
      <w:r w:rsidR="006E0FAC" w:rsidRPr="008C45AB">
        <w:rPr>
          <w:rFonts w:ascii="Calibri" w:hAnsi="Calibri" w:cs="Calibri"/>
          <w:color w:val="212121"/>
        </w:rPr>
        <w:t xml:space="preserve"> in order to improve interpretability of the ultimate results, we used the automated function within Stata to collapse these data into quartiles. Thus, SMD was quantified as 0-2 sites, 3-4 sites, 5-6 sites, or 7-11 sites. </w:t>
      </w:r>
      <w:r w:rsidR="003855AC" w:rsidRPr="008C45AB">
        <w:rPr>
          <w:rFonts w:ascii="Calibri" w:hAnsi="Calibri" w:cs="Calibri"/>
          <w:color w:val="212121"/>
        </w:rPr>
        <w:t>W</w:t>
      </w:r>
      <w:r w:rsidR="006E0FAC" w:rsidRPr="008C45AB">
        <w:rPr>
          <w:rFonts w:ascii="Calibri" w:hAnsi="Calibri" w:cs="Calibri"/>
          <w:color w:val="212121"/>
        </w:rPr>
        <w:t xml:space="preserve">e also performed sensitivity analyses </w:t>
      </w:r>
      <w:r w:rsidR="003855AC" w:rsidRPr="008C45AB">
        <w:rPr>
          <w:rFonts w:ascii="Calibri" w:hAnsi="Calibri" w:cs="Calibri"/>
          <w:color w:val="212121"/>
        </w:rPr>
        <w:t xml:space="preserve">treating </w:t>
      </w:r>
      <w:r w:rsidR="006E0FAC" w:rsidRPr="008C45AB">
        <w:rPr>
          <w:rFonts w:ascii="Calibri" w:hAnsi="Calibri" w:cs="Calibri"/>
          <w:color w:val="212121"/>
        </w:rPr>
        <w:t xml:space="preserve">this variable as continuous to </w:t>
      </w:r>
      <w:r w:rsidR="003855AC" w:rsidRPr="008C45AB">
        <w:rPr>
          <w:rFonts w:ascii="Calibri" w:hAnsi="Calibri" w:cs="Calibri"/>
          <w:color w:val="212121"/>
        </w:rPr>
        <w:t>make sure that results were similar</w:t>
      </w:r>
      <w:r w:rsidR="006E0FAC" w:rsidRPr="008C45AB">
        <w:rPr>
          <w:rFonts w:ascii="Calibri" w:hAnsi="Calibri" w:cs="Calibri"/>
          <w:color w:val="212121"/>
        </w:rPr>
        <w:t>.</w:t>
      </w:r>
    </w:p>
    <w:p w:rsidR="004F6535" w:rsidRPr="008C45AB" w:rsidRDefault="004F6535" w:rsidP="00C769D9">
      <w:pPr>
        <w:spacing w:line="480" w:lineRule="auto"/>
        <w:rPr>
          <w:rFonts w:ascii="Calibri" w:hAnsi="Calibri" w:cs="Calibri"/>
          <w:i/>
        </w:rPr>
      </w:pPr>
    </w:p>
    <w:p w:rsidR="006E0FAC" w:rsidRPr="008C45AB" w:rsidRDefault="006E0FAC" w:rsidP="006E0FAC">
      <w:pPr>
        <w:pStyle w:val="MediumShading1-Accent21"/>
        <w:spacing w:line="480" w:lineRule="auto"/>
        <w:outlineLvl w:val="0"/>
        <w:rPr>
          <w:rFonts w:cs="Calibri"/>
          <w:sz w:val="24"/>
          <w:szCs w:val="24"/>
        </w:rPr>
      </w:pPr>
      <w:r w:rsidRPr="008C45AB">
        <w:rPr>
          <w:rFonts w:cs="Calibri"/>
          <w:i/>
          <w:sz w:val="24"/>
          <w:szCs w:val="24"/>
          <w:u w:val="single"/>
        </w:rPr>
        <w:t>Covariates</w:t>
      </w:r>
      <w:r w:rsidRPr="008C45AB">
        <w:rPr>
          <w:rFonts w:cs="Calibri"/>
          <w:i/>
          <w:sz w:val="24"/>
          <w:szCs w:val="24"/>
        </w:rPr>
        <w:t xml:space="preserve">. </w:t>
      </w:r>
      <w:r w:rsidRPr="008C45AB">
        <w:rPr>
          <w:rFonts w:cs="Calibri"/>
          <w:sz w:val="24"/>
          <w:szCs w:val="24"/>
        </w:rPr>
        <w:t xml:space="preserve">For analysis, we divided the sample into three age groups (19-23; 24-26; 27-32) and race/ethnicity into </w:t>
      </w:r>
      <w:r w:rsidR="003B0728">
        <w:rPr>
          <w:rFonts w:cs="Calibri"/>
          <w:sz w:val="24"/>
          <w:szCs w:val="24"/>
        </w:rPr>
        <w:t xml:space="preserve">four </w:t>
      </w:r>
      <w:r w:rsidRPr="008C45AB">
        <w:rPr>
          <w:rFonts w:cs="Calibri"/>
          <w:sz w:val="24"/>
          <w:szCs w:val="24"/>
        </w:rPr>
        <w:t xml:space="preserve">mutually exclusive categories (White, non-Hispanic; Black, non-Hispanic; Hispanic; </w:t>
      </w:r>
      <w:r w:rsidR="003B0728">
        <w:rPr>
          <w:rFonts w:cs="Calibri"/>
          <w:sz w:val="24"/>
          <w:szCs w:val="24"/>
        </w:rPr>
        <w:t>and</w:t>
      </w:r>
      <w:r w:rsidR="009E150B">
        <w:rPr>
          <w:rFonts w:cs="Calibri"/>
          <w:sz w:val="24"/>
          <w:szCs w:val="24"/>
        </w:rPr>
        <w:t xml:space="preserve"> </w:t>
      </w:r>
      <w:r w:rsidR="002C063E" w:rsidRPr="008C45AB">
        <w:rPr>
          <w:rFonts w:cs="Calibri"/>
          <w:sz w:val="24"/>
          <w:szCs w:val="24"/>
        </w:rPr>
        <w:t>other)</w:t>
      </w:r>
      <w:r w:rsidRPr="008C45AB">
        <w:rPr>
          <w:rFonts w:cs="Calibri"/>
          <w:sz w:val="24"/>
          <w:szCs w:val="24"/>
        </w:rPr>
        <w:t>. We also assessed other environmental and personal factors that may affect social</w:t>
      </w:r>
      <w:r w:rsidR="00073F49">
        <w:rPr>
          <w:rFonts w:cs="Calibri"/>
          <w:sz w:val="24"/>
          <w:szCs w:val="24"/>
        </w:rPr>
        <w:t xml:space="preserve"> isolation and social media use </w:t>
      </w:r>
      <w:r w:rsidR="0053656A" w:rsidRPr="008C45AB">
        <w:rPr>
          <w:rFonts w:cs="Calibri"/>
          <w:sz w:val="24"/>
          <w:szCs w:val="24"/>
        </w:rPr>
        <w:fldChar w:fldCharType="begin" w:fldLock="1"/>
      </w:r>
      <w:r w:rsidR="001F2834">
        <w:rPr>
          <w:rFonts w:cs="Calibri"/>
          <w:sz w:val="24"/>
          <w:szCs w:val="24"/>
        </w:rPr>
        <w:instrText>ADDIN CSL_CITATION { "citationItems" : [ { "id" : "ITEM-1", "itemData" : { "URL" : "http://www.webcitation.org/6ajEhvS11", "accessed" : { "date-parts" : [ [ "2016", "6", "8" ] ] }, "author" : [ { "dropping-particle" : "", "family" : "Pew Research Center", "given" : "", "non-dropping-particle" : "", "parse-names" : false, "suffix" : "" } ], "id" : "ITEM-1", "issued" : { "date-parts" : [ [ "2015" ] ] }, "publisher-place" : "Washington DC", "title" : "Social media update 2015", "type" : "webpage" }, "uris" : [ "http://www.mendeley.com/documents/?uuid=df0f6d13-93d3-4769-83ea-683475cc9ef4" ] }, { "id" : "ITEM-2", "itemData" : { "DOI" : "10.1001/archpsyc.62.6.617", "ISBN" : "0003-990X", "ISSN" : "0003-990X", "PMID" : "15939839", "abstract" : "Little is known about the general population prevalence or severity of DSM-IV mental disorders.", "author" : [ { "dropping-particle" : "", "family" : "Kessler", "given" : "R C", "non-dropping-particle" : "", "parse-names" : false, "suffix" : "" }, { "dropping-particle" : "", "family" : "Chiu", "given" : "W T", "non-dropping-particle" : "", "parse-names" : false, "suffix" : "" }, { "dropping-particle" : "", "family" : "Demler", "given" : "O", "non-dropping-particle" : "", "parse-names" : false, "suffix" : "" }, { "dropping-particle" : "", "family" : "Merikangas", "given" : "K R", "non-dropping-particle" : "", "parse-names" : false, "suffix" : "" }, { "dropping-particle" : "", "family" : "Walters", "given" : "E E", "non-dropping-particle" : "", "parse-names" : false, "suffix" : "" } ], "container-title" : "Archives of General Psychiatry", "id" : "ITEM-2", "issue" : "6", "issued" : { "date-parts" : [ [ "2005" ] ] }, "page" : "617-627", "title" : "Prevalence, severity, and comorbidity of 12-month DSM-IV disorders in the National Comorbidity Survey Replication", "type" : "article-journal", "volume" : "62" }, "uris" : [ "http://www.mendeley.com/documents/?uuid=ec1ff2b1-e2d0-4174-9115-b5701c6c610f" ] } ], "mendeley" : { "formattedCitation" : "(Kessler, Chiu, Demler, Merikangas, &amp; Walters, 2005; Pew Research Center, 2015)", "plainTextFormattedCitation" : "(Kessler, Chiu, Demler, Merikangas, &amp; Walters, 2005; Pew Research Center, 2015)", "previouslyFormattedCitation" : "&lt;sup&gt;5,42&lt;/sup&gt;" }, "properties" : { "noteIndex" : 0 }, "schema" : "https://github.com/citation-style-language/schema/raw/master/csl-citation.json" }</w:instrText>
      </w:r>
      <w:r w:rsidR="0053656A" w:rsidRPr="008C45AB">
        <w:rPr>
          <w:rFonts w:cs="Calibri"/>
          <w:sz w:val="24"/>
          <w:szCs w:val="24"/>
        </w:rPr>
        <w:fldChar w:fldCharType="separate"/>
      </w:r>
      <w:r w:rsidR="001F2834" w:rsidRPr="001F2834">
        <w:rPr>
          <w:rFonts w:cs="Calibri"/>
          <w:noProof/>
          <w:sz w:val="24"/>
          <w:szCs w:val="24"/>
        </w:rPr>
        <w:t>(Kessler, Chiu, Demler, Merikangas, &amp; Walters, 2005; Pew Research Center, 2015)</w:t>
      </w:r>
      <w:r w:rsidR="0053656A" w:rsidRPr="008C45AB">
        <w:rPr>
          <w:rFonts w:cs="Calibri"/>
          <w:sz w:val="24"/>
          <w:szCs w:val="24"/>
        </w:rPr>
        <w:fldChar w:fldCharType="end"/>
      </w:r>
      <w:r w:rsidR="00073F49">
        <w:rPr>
          <w:rFonts w:cs="Calibri"/>
          <w:sz w:val="24"/>
          <w:szCs w:val="24"/>
        </w:rPr>
        <w:t>.</w:t>
      </w:r>
      <w:r w:rsidRPr="008C45AB">
        <w:rPr>
          <w:rFonts w:cs="Calibri"/>
          <w:sz w:val="24"/>
          <w:szCs w:val="24"/>
        </w:rPr>
        <w:t xml:space="preserve"> These factors included relationship status (single or in a committed relationship), living situation (with a parent or guardian; with a significant other; or other situation), household income (under $30,000; $30,000-$74,999; or $75,000 or more) and education level (high school or less; some college; or bachelor's degree or higher).</w:t>
      </w:r>
    </w:p>
    <w:p w:rsidR="001E2891" w:rsidRPr="008C45AB" w:rsidRDefault="001E2891" w:rsidP="006E0FAC">
      <w:pPr>
        <w:spacing w:line="480" w:lineRule="auto"/>
        <w:outlineLvl w:val="0"/>
        <w:rPr>
          <w:rFonts w:ascii="Calibri" w:hAnsi="Calibri" w:cs="Calibri"/>
          <w:color w:val="212121"/>
        </w:rPr>
      </w:pPr>
    </w:p>
    <w:p w:rsidR="00C769D9" w:rsidRPr="008C45AB" w:rsidRDefault="00C769D9" w:rsidP="006E0FAC">
      <w:pPr>
        <w:spacing w:line="480" w:lineRule="auto"/>
        <w:outlineLvl w:val="0"/>
        <w:rPr>
          <w:rFonts w:ascii="Calibri" w:hAnsi="Calibri" w:cs="Calibri"/>
          <w:color w:val="212121"/>
        </w:rPr>
      </w:pPr>
      <w:r w:rsidRPr="008C45AB">
        <w:rPr>
          <w:rFonts w:ascii="Calibri" w:hAnsi="Calibri" w:cs="Calibri"/>
          <w:color w:val="212121"/>
        </w:rPr>
        <w:lastRenderedPageBreak/>
        <w:t xml:space="preserve">We </w:t>
      </w:r>
      <w:r w:rsidR="00AE549B" w:rsidRPr="008C45AB">
        <w:rPr>
          <w:rFonts w:ascii="Calibri" w:hAnsi="Calibri" w:cs="Calibri"/>
          <w:color w:val="212121"/>
        </w:rPr>
        <w:t xml:space="preserve">also </w:t>
      </w:r>
      <w:r w:rsidR="006E0FAC" w:rsidRPr="008C45AB">
        <w:rPr>
          <w:rFonts w:ascii="Calibri" w:hAnsi="Calibri" w:cs="Calibri"/>
          <w:color w:val="212121"/>
        </w:rPr>
        <w:t>asked participants to</w:t>
      </w:r>
      <w:r w:rsidRPr="008C45AB">
        <w:rPr>
          <w:rFonts w:ascii="Calibri" w:hAnsi="Calibri" w:cs="Calibri"/>
          <w:color w:val="212121"/>
        </w:rPr>
        <w:t xml:space="preserve"> estimate </w:t>
      </w:r>
      <w:r w:rsidR="003B0728">
        <w:rPr>
          <w:rFonts w:ascii="Calibri" w:hAnsi="Calibri" w:cs="Calibri"/>
          <w:color w:val="212121"/>
        </w:rPr>
        <w:t xml:space="preserve">total </w:t>
      </w:r>
      <w:r w:rsidR="00185974" w:rsidRPr="008C45AB">
        <w:rPr>
          <w:rFonts w:ascii="Calibri" w:hAnsi="Calibri" w:cs="Calibri"/>
          <w:color w:val="212121"/>
        </w:rPr>
        <w:t>time spent</w:t>
      </w:r>
      <w:r w:rsidRPr="008C45AB">
        <w:rPr>
          <w:rFonts w:ascii="Calibri" w:hAnsi="Calibri" w:cs="Calibri"/>
          <w:color w:val="212121"/>
        </w:rPr>
        <w:t xml:space="preserve"> on social media for personal use</w:t>
      </w:r>
      <w:r w:rsidR="006E0FAC" w:rsidRPr="008C45AB">
        <w:rPr>
          <w:rFonts w:ascii="Calibri" w:hAnsi="Calibri" w:cs="Calibri"/>
          <w:color w:val="212121"/>
        </w:rPr>
        <w:t xml:space="preserve"> in order to use this as a covariate</w:t>
      </w:r>
      <w:r w:rsidR="00AE549B" w:rsidRPr="008C45AB">
        <w:rPr>
          <w:rFonts w:ascii="Calibri" w:hAnsi="Calibri" w:cs="Calibri"/>
          <w:color w:val="212121"/>
        </w:rPr>
        <w:t>. This is because we wanted to isolate our primary variable—the number of platforms used—beyond the overall amount of social media use</w:t>
      </w:r>
      <w:r w:rsidRPr="008C45AB">
        <w:rPr>
          <w:rFonts w:ascii="Calibri" w:hAnsi="Calibri" w:cs="Calibri"/>
          <w:color w:val="212121"/>
        </w:rPr>
        <w:t xml:space="preserve">. This item specifically instructed participants to not count any time spent on social media for work. Participants provided estimates in numerical fields for hours and minutes on an average </w:t>
      </w:r>
      <w:r w:rsidR="006E0FAC" w:rsidRPr="008C45AB">
        <w:rPr>
          <w:rFonts w:ascii="Calibri" w:hAnsi="Calibri" w:cs="Calibri"/>
          <w:color w:val="212121"/>
        </w:rPr>
        <w:t>day. Again, t</w:t>
      </w:r>
      <w:r w:rsidRPr="008C45AB">
        <w:rPr>
          <w:rFonts w:ascii="Calibri" w:hAnsi="Calibri" w:cs="Calibri"/>
          <w:color w:val="212121"/>
        </w:rPr>
        <w:t>o improve interpretability of results, we collapsed all independent variables into q</w:t>
      </w:r>
      <w:r w:rsidR="006E0FAC" w:rsidRPr="008C45AB">
        <w:rPr>
          <w:rFonts w:ascii="Calibri" w:hAnsi="Calibri" w:cs="Calibri"/>
          <w:color w:val="212121"/>
        </w:rPr>
        <w:t>uartiles for primary analyses. However, t</w:t>
      </w:r>
      <w:r w:rsidRPr="008C45AB">
        <w:rPr>
          <w:rFonts w:ascii="Calibri" w:hAnsi="Calibri" w:cs="Calibri"/>
          <w:color w:val="212121"/>
        </w:rPr>
        <w:t xml:space="preserve">o ensure robustness of results, we also conducted all analyses with </w:t>
      </w:r>
      <w:r w:rsidR="00AE549B" w:rsidRPr="008C45AB">
        <w:rPr>
          <w:rFonts w:ascii="Calibri" w:hAnsi="Calibri" w:cs="Calibri"/>
          <w:color w:val="212121"/>
        </w:rPr>
        <w:t>this covariate</w:t>
      </w:r>
      <w:r w:rsidRPr="008C45AB">
        <w:rPr>
          <w:rFonts w:ascii="Calibri" w:hAnsi="Calibri" w:cs="Calibri"/>
          <w:color w:val="212121"/>
        </w:rPr>
        <w:t xml:space="preserve"> as continuous.</w:t>
      </w:r>
    </w:p>
    <w:p w:rsidR="00C769D9" w:rsidRPr="008C45AB" w:rsidRDefault="00C769D9" w:rsidP="00C769D9">
      <w:pPr>
        <w:tabs>
          <w:tab w:val="left" w:pos="720"/>
        </w:tabs>
        <w:spacing w:line="480" w:lineRule="auto"/>
        <w:rPr>
          <w:rFonts w:ascii="Calibri" w:hAnsi="Calibri" w:cs="Calibri"/>
        </w:rPr>
      </w:pPr>
    </w:p>
    <w:p w:rsidR="00C769D9" w:rsidRPr="008C45AB" w:rsidRDefault="001F44D6" w:rsidP="001F44D6">
      <w:pPr>
        <w:tabs>
          <w:tab w:val="left" w:pos="720"/>
        </w:tabs>
        <w:spacing w:line="480" w:lineRule="auto"/>
        <w:outlineLvl w:val="0"/>
        <w:rPr>
          <w:rFonts w:ascii="Calibri" w:hAnsi="Calibri" w:cs="Calibri"/>
          <w:b/>
        </w:rPr>
      </w:pPr>
      <w:r>
        <w:rPr>
          <w:rFonts w:ascii="Calibri" w:hAnsi="Calibri" w:cs="Calibri"/>
          <w:b/>
        </w:rPr>
        <w:t xml:space="preserve">2.3. </w:t>
      </w:r>
      <w:r w:rsidR="00C769D9" w:rsidRPr="008C45AB">
        <w:rPr>
          <w:rFonts w:ascii="Calibri" w:hAnsi="Calibri" w:cs="Calibri"/>
          <w:b/>
        </w:rPr>
        <w:t>Data Analysis</w:t>
      </w:r>
    </w:p>
    <w:p w:rsidR="00C769D9" w:rsidRPr="008C45AB" w:rsidRDefault="00C769D9" w:rsidP="00C769D9">
      <w:pPr>
        <w:spacing w:line="480" w:lineRule="auto"/>
        <w:rPr>
          <w:rFonts w:ascii="Calibri" w:eastAsia="Calibri" w:hAnsi="Calibri" w:cs="Calibri"/>
        </w:rPr>
      </w:pPr>
    </w:p>
    <w:p w:rsidR="00C769D9" w:rsidRPr="008C45AB" w:rsidRDefault="00C769D9" w:rsidP="00C769D9">
      <w:pPr>
        <w:spacing w:line="480" w:lineRule="auto"/>
        <w:rPr>
          <w:rFonts w:ascii="Calibri" w:eastAsia="Calibri" w:hAnsi="Calibri" w:cs="Calibri"/>
        </w:rPr>
      </w:pPr>
      <w:r w:rsidRPr="008C45AB">
        <w:rPr>
          <w:rFonts w:ascii="Calibri" w:eastAsia="Calibri" w:hAnsi="Calibri" w:cs="Calibri"/>
        </w:rPr>
        <w:t xml:space="preserve">We included all participants who </w:t>
      </w:r>
      <w:r w:rsidR="006E0FAC" w:rsidRPr="008C45AB">
        <w:rPr>
          <w:rFonts w:ascii="Calibri" w:eastAsia="Calibri" w:hAnsi="Calibri" w:cs="Calibri"/>
        </w:rPr>
        <w:t>had complete data on the dependent and independent variables</w:t>
      </w:r>
      <w:r w:rsidRPr="008C45AB">
        <w:rPr>
          <w:rFonts w:ascii="Calibri" w:eastAsia="Calibri" w:hAnsi="Calibri" w:cs="Calibri"/>
        </w:rPr>
        <w:t xml:space="preserve">. Because only about 1% of participants had missing data for these variables, this did not affect our results. To describe our sample, we computed percentages of the </w:t>
      </w:r>
      <w:r w:rsidR="003855AC" w:rsidRPr="008C45AB">
        <w:rPr>
          <w:rFonts w:ascii="Calibri" w:eastAsia="Calibri" w:hAnsi="Calibri" w:cs="Calibri"/>
        </w:rPr>
        <w:t xml:space="preserve">two </w:t>
      </w:r>
      <w:r w:rsidRPr="008C45AB">
        <w:rPr>
          <w:rFonts w:ascii="Calibri" w:eastAsia="Calibri" w:hAnsi="Calibri" w:cs="Calibri"/>
        </w:rPr>
        <w:t>dependent variable</w:t>
      </w:r>
      <w:r w:rsidR="003855AC" w:rsidRPr="008C45AB">
        <w:rPr>
          <w:rFonts w:ascii="Calibri" w:eastAsia="Calibri" w:hAnsi="Calibri" w:cs="Calibri"/>
        </w:rPr>
        <w:t>s (depression and anxiety)</w:t>
      </w:r>
      <w:r w:rsidRPr="008C45AB">
        <w:rPr>
          <w:rFonts w:ascii="Calibri" w:eastAsia="Calibri" w:hAnsi="Calibri" w:cs="Calibri"/>
        </w:rPr>
        <w:t xml:space="preserve">, the </w:t>
      </w:r>
      <w:r w:rsidR="003855AC" w:rsidRPr="008C45AB">
        <w:rPr>
          <w:rFonts w:ascii="Calibri" w:eastAsia="Calibri" w:hAnsi="Calibri" w:cs="Calibri"/>
        </w:rPr>
        <w:t>independent variable</w:t>
      </w:r>
      <w:r w:rsidRPr="008C45AB">
        <w:rPr>
          <w:rFonts w:ascii="Calibri" w:eastAsia="Calibri" w:hAnsi="Calibri" w:cs="Calibri"/>
        </w:rPr>
        <w:t xml:space="preserve"> (</w:t>
      </w:r>
      <w:r w:rsidR="00A52E98">
        <w:rPr>
          <w:rFonts w:ascii="Calibri" w:eastAsia="Calibri" w:hAnsi="Calibri" w:cs="Calibri"/>
        </w:rPr>
        <w:t>use of multiple social media platforms</w:t>
      </w:r>
      <w:r w:rsidRPr="008C45AB">
        <w:rPr>
          <w:rFonts w:ascii="Calibri" w:eastAsia="Calibri" w:hAnsi="Calibri" w:cs="Calibri"/>
        </w:rPr>
        <w:t xml:space="preserve">), and the </w:t>
      </w:r>
      <w:r w:rsidR="003855AC" w:rsidRPr="008C45AB">
        <w:rPr>
          <w:rFonts w:ascii="Calibri" w:eastAsia="Calibri" w:hAnsi="Calibri" w:cs="Calibri"/>
        </w:rPr>
        <w:t>eight</w:t>
      </w:r>
      <w:r w:rsidRPr="008C45AB">
        <w:rPr>
          <w:rFonts w:ascii="Calibri" w:eastAsia="Calibri" w:hAnsi="Calibri" w:cs="Calibri"/>
        </w:rPr>
        <w:t xml:space="preserve"> covariates. Next, we used chi-square tests to determine bivariable associations between </w:t>
      </w:r>
      <w:r w:rsidR="003855AC" w:rsidRPr="008C45AB">
        <w:rPr>
          <w:rFonts w:ascii="Calibri" w:eastAsia="Calibri" w:hAnsi="Calibri" w:cs="Calibri"/>
        </w:rPr>
        <w:t xml:space="preserve">the independent variable and each of the </w:t>
      </w:r>
      <w:r w:rsidRPr="008C45AB">
        <w:rPr>
          <w:rFonts w:ascii="Calibri" w:eastAsia="Calibri" w:hAnsi="Calibri" w:cs="Calibri"/>
        </w:rPr>
        <w:t>dependent variables.</w:t>
      </w:r>
    </w:p>
    <w:p w:rsidR="00C769D9" w:rsidRPr="008C45AB" w:rsidRDefault="00C769D9" w:rsidP="00C769D9">
      <w:pPr>
        <w:spacing w:line="480" w:lineRule="auto"/>
        <w:rPr>
          <w:rFonts w:ascii="Calibri" w:eastAsia="Calibri" w:hAnsi="Calibri" w:cs="Calibri"/>
        </w:rPr>
      </w:pPr>
    </w:p>
    <w:p w:rsidR="00C769D9" w:rsidRPr="008C45AB" w:rsidRDefault="003E4313" w:rsidP="00C769D9">
      <w:pPr>
        <w:spacing w:line="480" w:lineRule="auto"/>
        <w:rPr>
          <w:rFonts w:ascii="Calibri" w:eastAsia="Calibri" w:hAnsi="Calibri" w:cs="Calibri"/>
        </w:rPr>
      </w:pPr>
      <w:r w:rsidRPr="008C45AB">
        <w:rPr>
          <w:rFonts w:ascii="Calibri" w:eastAsia="Calibri" w:hAnsi="Calibri" w:cs="Calibri"/>
        </w:rPr>
        <w:t>The outcome variables were ordered categorical. Therefore, a</w:t>
      </w:r>
      <w:r w:rsidR="00C769D9" w:rsidRPr="008C45AB">
        <w:rPr>
          <w:rFonts w:ascii="Calibri" w:eastAsia="Calibri" w:hAnsi="Calibri" w:cs="Calibri"/>
        </w:rPr>
        <w:t xml:space="preserve">fter confirming that the proportional odds assumption was met, we used ordered logistic regression to examine bivariable and multivariable associations between </w:t>
      </w:r>
      <w:r w:rsidR="00336480">
        <w:rPr>
          <w:rFonts w:ascii="Calibri" w:eastAsia="Calibri" w:hAnsi="Calibri" w:cs="Calibri"/>
        </w:rPr>
        <w:t>use of multiple social media platforms</w:t>
      </w:r>
      <w:r w:rsidR="00336480" w:rsidRPr="008C45AB">
        <w:rPr>
          <w:rFonts w:ascii="Calibri" w:eastAsia="Calibri" w:hAnsi="Calibri" w:cs="Calibri"/>
        </w:rPr>
        <w:t xml:space="preserve"> </w:t>
      </w:r>
      <w:r w:rsidR="00C769D9" w:rsidRPr="008C45AB">
        <w:rPr>
          <w:rFonts w:ascii="Calibri" w:eastAsia="Calibri" w:hAnsi="Calibri" w:cs="Calibri"/>
        </w:rPr>
        <w:t xml:space="preserve">and </w:t>
      </w:r>
      <w:r w:rsidR="00AE549B" w:rsidRPr="008C45AB">
        <w:rPr>
          <w:rFonts w:ascii="Calibri" w:eastAsia="Calibri" w:hAnsi="Calibri" w:cs="Calibri"/>
        </w:rPr>
        <w:t>each of the outcomes in separate models</w:t>
      </w:r>
      <w:r w:rsidR="00C769D9" w:rsidRPr="008C45AB">
        <w:rPr>
          <w:rFonts w:ascii="Calibri" w:eastAsia="Calibri" w:hAnsi="Calibri" w:cs="Calibri"/>
        </w:rPr>
        <w:t xml:space="preserve">. We decided </w:t>
      </w:r>
      <w:r w:rsidR="00C769D9" w:rsidRPr="008C45AB">
        <w:rPr>
          <w:rFonts w:ascii="Calibri" w:eastAsia="Calibri" w:hAnsi="Calibri" w:cs="Calibri"/>
          <w:i/>
        </w:rPr>
        <w:t>a priori</w:t>
      </w:r>
      <w:r w:rsidR="00C769D9" w:rsidRPr="008C45AB">
        <w:rPr>
          <w:rFonts w:ascii="Calibri" w:eastAsia="Calibri" w:hAnsi="Calibri" w:cs="Calibri"/>
        </w:rPr>
        <w:t xml:space="preserve"> to include all covariates in our </w:t>
      </w:r>
      <w:r w:rsidR="00C769D9" w:rsidRPr="008C45AB">
        <w:rPr>
          <w:rFonts w:ascii="Calibri" w:eastAsia="Calibri" w:hAnsi="Calibri" w:cs="Calibri"/>
        </w:rPr>
        <w:lastRenderedPageBreak/>
        <w:t xml:space="preserve">primary multivariable models. </w:t>
      </w:r>
      <w:r w:rsidRPr="008C45AB">
        <w:rPr>
          <w:rFonts w:ascii="Calibri" w:eastAsia="Calibri" w:hAnsi="Calibri" w:cs="Calibri"/>
        </w:rPr>
        <w:t>T</w:t>
      </w:r>
      <w:r w:rsidR="00C769D9" w:rsidRPr="008C45AB">
        <w:rPr>
          <w:rFonts w:ascii="Calibri" w:eastAsia="Calibri" w:hAnsi="Calibri" w:cs="Calibri"/>
        </w:rPr>
        <w:t xml:space="preserve">o take advantage of the nationally-representative nature of the data, all primary analyses were conducted using survey weights which took into account sex, age, race/ethnicity, education, household income, census region, metropolitan area, and internet access. We used similar regression analyses to examine whether there was an overall linear trend between each ordered categorical independent variable and the dependent variable. </w:t>
      </w:r>
    </w:p>
    <w:p w:rsidR="00C769D9" w:rsidRPr="008C45AB" w:rsidRDefault="00C769D9" w:rsidP="00C769D9">
      <w:pPr>
        <w:spacing w:line="480" w:lineRule="auto"/>
        <w:rPr>
          <w:rFonts w:ascii="Calibri" w:eastAsia="Calibri" w:hAnsi="Calibri" w:cs="Calibri"/>
        </w:rPr>
      </w:pPr>
    </w:p>
    <w:p w:rsidR="00C769D9" w:rsidRPr="008C45AB" w:rsidRDefault="00C769D9" w:rsidP="00C769D9">
      <w:pPr>
        <w:spacing w:line="480" w:lineRule="auto"/>
        <w:rPr>
          <w:rFonts w:ascii="Calibri" w:eastAsia="Calibri" w:hAnsi="Calibri" w:cs="Calibri"/>
        </w:rPr>
      </w:pPr>
      <w:r w:rsidRPr="008C45AB">
        <w:rPr>
          <w:rFonts w:ascii="Calibri" w:eastAsia="Calibri" w:hAnsi="Calibri" w:cs="Calibri"/>
        </w:rPr>
        <w:t xml:space="preserve">We also conducted </w:t>
      </w:r>
      <w:r w:rsidR="00AE549B" w:rsidRPr="008C45AB">
        <w:rPr>
          <w:rFonts w:ascii="Calibri" w:eastAsia="Calibri" w:hAnsi="Calibri" w:cs="Calibri"/>
        </w:rPr>
        <w:t>four</w:t>
      </w:r>
      <w:r w:rsidRPr="008C45AB">
        <w:rPr>
          <w:rFonts w:ascii="Calibri" w:eastAsia="Calibri" w:hAnsi="Calibri" w:cs="Calibri"/>
        </w:rPr>
        <w:t xml:space="preserve"> sets of sensitivity analyses to examine the robustness of our results. First, we conducted all analyses with </w:t>
      </w:r>
      <w:r w:rsidR="00336480">
        <w:rPr>
          <w:rFonts w:ascii="Calibri" w:eastAsia="Calibri" w:hAnsi="Calibri" w:cs="Calibri"/>
        </w:rPr>
        <w:t>use of multiple social media platforms</w:t>
      </w:r>
      <w:r w:rsidR="00336480" w:rsidRPr="008C45AB">
        <w:rPr>
          <w:rFonts w:ascii="Calibri" w:eastAsia="Calibri" w:hAnsi="Calibri" w:cs="Calibri"/>
        </w:rPr>
        <w:t xml:space="preserve"> </w:t>
      </w:r>
      <w:r w:rsidRPr="008C45AB">
        <w:rPr>
          <w:rFonts w:ascii="Calibri" w:eastAsia="Calibri" w:hAnsi="Calibri" w:cs="Calibri"/>
        </w:rPr>
        <w:t xml:space="preserve">as continuous instead of ordered categorical. </w:t>
      </w:r>
      <w:r w:rsidR="00AE549B" w:rsidRPr="008C45AB">
        <w:rPr>
          <w:rFonts w:ascii="Calibri" w:eastAsia="Calibri" w:hAnsi="Calibri" w:cs="Calibri"/>
        </w:rPr>
        <w:t>Second, we conducted additional analyses treating all covariates as continuous instead of categorical when possible (such as to assess the total social media use). Third</w:t>
      </w:r>
      <w:r w:rsidRPr="008C45AB">
        <w:rPr>
          <w:rFonts w:ascii="Calibri" w:eastAsia="Calibri" w:hAnsi="Calibri" w:cs="Calibri"/>
        </w:rPr>
        <w:t xml:space="preserve">, we conducted all analyses using only covariates that had a bivariable association of </w:t>
      </w:r>
      <w:r w:rsidR="00282FC8" w:rsidRPr="001F2834">
        <w:rPr>
          <w:rFonts w:ascii="Calibri" w:eastAsia="Calibri" w:hAnsi="Calibri" w:cs="Calibri"/>
        </w:rPr>
        <w:t>p</w:t>
      </w:r>
      <w:r w:rsidRPr="008C45AB">
        <w:rPr>
          <w:rFonts w:ascii="Calibri" w:eastAsia="Calibri" w:hAnsi="Calibri" w:cs="Calibri"/>
          <w:i/>
        </w:rPr>
        <w:t xml:space="preserve"> </w:t>
      </w:r>
      <w:r w:rsidRPr="008C45AB">
        <w:rPr>
          <w:rFonts w:ascii="Calibri" w:eastAsia="Calibri" w:hAnsi="Calibri" w:cs="Calibri"/>
        </w:rPr>
        <w:t xml:space="preserve">&lt; </w:t>
      </w:r>
      <w:r w:rsidR="001F2834">
        <w:rPr>
          <w:rFonts w:ascii="Calibri" w:eastAsia="Calibri" w:hAnsi="Calibri" w:cs="Calibri"/>
        </w:rPr>
        <w:t>0</w:t>
      </w:r>
      <w:r w:rsidRPr="008C45AB">
        <w:rPr>
          <w:rFonts w:ascii="Calibri" w:eastAsia="Calibri" w:hAnsi="Calibri" w:cs="Calibri"/>
        </w:rPr>
        <w:t xml:space="preserve">.15 with the outcome. </w:t>
      </w:r>
      <w:r w:rsidR="00AE549B" w:rsidRPr="008C45AB">
        <w:rPr>
          <w:rFonts w:ascii="Calibri" w:eastAsia="Calibri" w:hAnsi="Calibri" w:cs="Calibri"/>
        </w:rPr>
        <w:t>Fourth</w:t>
      </w:r>
      <w:r w:rsidRPr="008C45AB">
        <w:rPr>
          <w:rFonts w:ascii="Calibri" w:eastAsia="Calibri" w:hAnsi="Calibri" w:cs="Calibri"/>
        </w:rPr>
        <w:t>, we conducted all analyses without survey weights. Results from all sensitivity analyses showed similar levels of significance and magnitude to the primary analyses described here.</w:t>
      </w:r>
    </w:p>
    <w:p w:rsidR="00C769D9" w:rsidRPr="008C45AB" w:rsidRDefault="00C769D9" w:rsidP="00C769D9">
      <w:pPr>
        <w:spacing w:line="480" w:lineRule="auto"/>
        <w:rPr>
          <w:rFonts w:ascii="Calibri" w:eastAsia="Calibri" w:hAnsi="Calibri" w:cs="Calibri"/>
        </w:rPr>
      </w:pPr>
    </w:p>
    <w:p w:rsidR="001423EF" w:rsidRPr="008C45AB" w:rsidRDefault="00C769D9" w:rsidP="00C769D9">
      <w:pPr>
        <w:spacing w:line="480" w:lineRule="auto"/>
        <w:rPr>
          <w:rFonts w:ascii="Calibri" w:eastAsia="Calibri" w:hAnsi="Calibri" w:cs="Arial"/>
          <w:bCs/>
          <w:color w:val="000000"/>
        </w:rPr>
      </w:pPr>
      <w:r w:rsidRPr="008C45AB">
        <w:rPr>
          <w:rFonts w:ascii="Calibri" w:eastAsia="Calibri" w:hAnsi="Calibri" w:cs="Calibri"/>
        </w:rPr>
        <w:t>Statistical analy</w:t>
      </w:r>
      <w:r w:rsidR="00A23159" w:rsidRPr="008C45AB">
        <w:rPr>
          <w:rFonts w:ascii="Calibri" w:eastAsia="Calibri" w:hAnsi="Calibri" w:cs="Calibri"/>
        </w:rPr>
        <w:t>ses were performed with Stata 13</w:t>
      </w:r>
      <w:r w:rsidRPr="008C45AB">
        <w:rPr>
          <w:rFonts w:ascii="Calibri" w:eastAsia="Calibri" w:hAnsi="Calibri" w:cs="Calibri"/>
        </w:rPr>
        <w:t xml:space="preserve">.1 (Stata Corp, College Station, Texas), and two-tailed </w:t>
      </w:r>
      <w:r w:rsidR="00282FC8" w:rsidRPr="001F2834">
        <w:rPr>
          <w:rFonts w:ascii="Calibri" w:eastAsia="Calibri" w:hAnsi="Calibri" w:cs="Calibri"/>
        </w:rPr>
        <w:t>p</w:t>
      </w:r>
      <w:r w:rsidRPr="008C45AB">
        <w:rPr>
          <w:rFonts w:ascii="Calibri" w:eastAsia="Calibri" w:hAnsi="Calibri" w:cs="Calibri"/>
        </w:rPr>
        <w:t xml:space="preserve">-values &lt; </w:t>
      </w:r>
      <w:r w:rsidR="001F2834">
        <w:rPr>
          <w:rFonts w:ascii="Calibri" w:eastAsia="Calibri" w:hAnsi="Calibri" w:cs="Calibri"/>
        </w:rPr>
        <w:t>0</w:t>
      </w:r>
      <w:r w:rsidRPr="008C45AB">
        <w:rPr>
          <w:rFonts w:ascii="Calibri" w:eastAsia="Calibri" w:hAnsi="Calibri" w:cs="Calibri"/>
        </w:rPr>
        <w:t>.05 were considered to be significant.</w:t>
      </w:r>
    </w:p>
    <w:p w:rsidR="008A1AB3" w:rsidRPr="001F44D6" w:rsidRDefault="008A1AB3" w:rsidP="001F44D6">
      <w:pPr>
        <w:tabs>
          <w:tab w:val="left" w:pos="-720"/>
        </w:tabs>
        <w:spacing w:line="480" w:lineRule="auto"/>
        <w:rPr>
          <w:rFonts w:ascii="Calibri" w:hAnsi="Calibri" w:cs="Arial"/>
          <w:b/>
        </w:rPr>
      </w:pPr>
      <w:r w:rsidRPr="008C45AB">
        <w:rPr>
          <w:rFonts w:ascii="Calibri" w:eastAsia="Calibri" w:hAnsi="Calibri" w:cs="Arial"/>
          <w:bCs/>
          <w:color w:val="000000"/>
        </w:rPr>
        <w:br w:type="page"/>
      </w:r>
      <w:r w:rsidR="001F44D6" w:rsidRPr="001F44D6">
        <w:rPr>
          <w:rFonts w:ascii="Calibri" w:eastAsia="Calibri" w:hAnsi="Calibri" w:cs="Arial"/>
          <w:b/>
          <w:bCs/>
          <w:color w:val="000000"/>
        </w:rPr>
        <w:lastRenderedPageBreak/>
        <w:t xml:space="preserve">3. </w:t>
      </w:r>
      <w:r w:rsidRPr="001F44D6">
        <w:rPr>
          <w:rFonts w:ascii="Calibri" w:hAnsi="Calibri" w:cs="Arial"/>
          <w:b/>
        </w:rPr>
        <w:t>RESULTS</w:t>
      </w:r>
    </w:p>
    <w:p w:rsidR="008A1AB3" w:rsidRPr="008C45AB" w:rsidRDefault="008A1AB3" w:rsidP="009F7A37">
      <w:pPr>
        <w:tabs>
          <w:tab w:val="left" w:pos="-720"/>
        </w:tabs>
        <w:spacing w:line="480" w:lineRule="auto"/>
        <w:ind w:left="360"/>
        <w:rPr>
          <w:rFonts w:ascii="Calibri" w:hAnsi="Calibri" w:cs="Arial"/>
          <w:b/>
        </w:rPr>
      </w:pPr>
    </w:p>
    <w:p w:rsidR="008A1AB3" w:rsidRPr="008C45AB" w:rsidRDefault="001F44D6" w:rsidP="001F44D6">
      <w:pPr>
        <w:tabs>
          <w:tab w:val="left" w:pos="-720"/>
        </w:tabs>
        <w:spacing w:line="480" w:lineRule="auto"/>
        <w:outlineLvl w:val="0"/>
        <w:rPr>
          <w:rFonts w:ascii="Calibri" w:hAnsi="Calibri" w:cs="Calibri"/>
          <w:b/>
          <w:bCs/>
        </w:rPr>
      </w:pPr>
      <w:r>
        <w:rPr>
          <w:rFonts w:ascii="Calibri" w:hAnsi="Calibri" w:cs="Calibri"/>
          <w:b/>
          <w:bCs/>
        </w:rPr>
        <w:t xml:space="preserve">3.1. </w:t>
      </w:r>
      <w:r w:rsidR="008A1AB3" w:rsidRPr="008C45AB">
        <w:rPr>
          <w:rFonts w:ascii="Calibri" w:hAnsi="Calibri" w:cs="Calibri"/>
          <w:b/>
          <w:bCs/>
        </w:rPr>
        <w:t>Participants</w:t>
      </w:r>
    </w:p>
    <w:p w:rsidR="008A1AB3" w:rsidRPr="008C45AB" w:rsidRDefault="008A1AB3" w:rsidP="008A1AB3">
      <w:pPr>
        <w:tabs>
          <w:tab w:val="left" w:pos="720"/>
        </w:tabs>
        <w:spacing w:line="480" w:lineRule="auto"/>
        <w:rPr>
          <w:rFonts w:ascii="Calibri" w:hAnsi="Calibri" w:cs="Calibri"/>
        </w:rPr>
      </w:pPr>
    </w:p>
    <w:p w:rsidR="00C178B0" w:rsidRPr="008C45AB" w:rsidRDefault="008A1AB3" w:rsidP="008A1AB3">
      <w:pPr>
        <w:tabs>
          <w:tab w:val="left" w:pos="720"/>
        </w:tabs>
        <w:spacing w:line="480" w:lineRule="auto"/>
        <w:rPr>
          <w:rFonts w:ascii="Calibri" w:hAnsi="Calibri" w:cs="Calibri"/>
        </w:rPr>
      </w:pPr>
      <w:r w:rsidRPr="008C45AB">
        <w:rPr>
          <w:rFonts w:ascii="Calibri" w:hAnsi="Calibri" w:cs="Calibri"/>
        </w:rPr>
        <w:t>A total of 1,7</w:t>
      </w:r>
      <w:r w:rsidR="00AE549B" w:rsidRPr="008C45AB">
        <w:rPr>
          <w:rFonts w:ascii="Calibri" w:hAnsi="Calibri" w:cs="Calibri"/>
        </w:rPr>
        <w:t>68</w:t>
      </w:r>
      <w:r w:rsidRPr="008C45AB">
        <w:rPr>
          <w:rFonts w:ascii="Calibri" w:hAnsi="Calibri" w:cs="Calibri"/>
        </w:rPr>
        <w:t xml:space="preserve"> participants </w:t>
      </w:r>
      <w:r w:rsidR="00AE549B" w:rsidRPr="008C45AB">
        <w:rPr>
          <w:rFonts w:ascii="Calibri" w:hAnsi="Calibri" w:cs="Calibri"/>
        </w:rPr>
        <w:t>had complete data for these analyses</w:t>
      </w:r>
      <w:r w:rsidRPr="008C45AB">
        <w:rPr>
          <w:rFonts w:ascii="Calibri" w:hAnsi="Calibri" w:cs="Calibri"/>
        </w:rPr>
        <w:t>. The weighted sample was 50.</w:t>
      </w:r>
      <w:r w:rsidR="00AE549B" w:rsidRPr="008C45AB">
        <w:rPr>
          <w:rFonts w:ascii="Calibri" w:hAnsi="Calibri" w:cs="Calibri"/>
        </w:rPr>
        <w:t>1</w:t>
      </w:r>
      <w:r w:rsidRPr="008C45AB">
        <w:rPr>
          <w:rFonts w:ascii="Calibri" w:hAnsi="Calibri" w:cs="Calibri"/>
        </w:rPr>
        <w:t>% female, 57.</w:t>
      </w:r>
      <w:r w:rsidR="00AE549B" w:rsidRPr="008C45AB">
        <w:rPr>
          <w:rFonts w:ascii="Calibri" w:hAnsi="Calibri" w:cs="Calibri"/>
        </w:rPr>
        <w:t>4</w:t>
      </w:r>
      <w:r w:rsidRPr="008C45AB">
        <w:rPr>
          <w:rFonts w:ascii="Calibri" w:hAnsi="Calibri" w:cs="Calibri"/>
        </w:rPr>
        <w:t>% White, 13.</w:t>
      </w:r>
      <w:r w:rsidR="00AE549B" w:rsidRPr="008C45AB">
        <w:rPr>
          <w:rFonts w:ascii="Calibri" w:hAnsi="Calibri" w:cs="Calibri"/>
        </w:rPr>
        <w:t>1</w:t>
      </w:r>
      <w:r w:rsidRPr="008C45AB">
        <w:rPr>
          <w:rFonts w:ascii="Calibri" w:hAnsi="Calibri" w:cs="Calibri"/>
        </w:rPr>
        <w:t>% African American, 20.6% Hispanic and 8.9% biracial/multiracial or other. Of these, slightly more than half (55.6%) were in a committed relationship and approximately a third (35.</w:t>
      </w:r>
      <w:r w:rsidR="00AE549B" w:rsidRPr="008C45AB">
        <w:rPr>
          <w:rFonts w:ascii="Calibri" w:hAnsi="Calibri" w:cs="Calibri"/>
        </w:rPr>
        <w:t>5</w:t>
      </w:r>
      <w:r w:rsidRPr="008C45AB">
        <w:rPr>
          <w:rFonts w:ascii="Calibri" w:hAnsi="Calibri" w:cs="Calibri"/>
        </w:rPr>
        <w:t>%) reported living with a significant other. In terms of household income, 22.</w:t>
      </w:r>
      <w:r w:rsidR="00AE549B" w:rsidRPr="008C45AB">
        <w:rPr>
          <w:rFonts w:ascii="Calibri" w:hAnsi="Calibri" w:cs="Calibri"/>
        </w:rPr>
        <w:t>7</w:t>
      </w:r>
      <w:r w:rsidRPr="008C45AB">
        <w:rPr>
          <w:rFonts w:ascii="Calibri" w:hAnsi="Calibri" w:cs="Calibri"/>
        </w:rPr>
        <w:t>% were in the “low” c</w:t>
      </w:r>
      <w:r w:rsidR="00DC21FC" w:rsidRPr="008C45AB">
        <w:rPr>
          <w:rFonts w:ascii="Calibri" w:hAnsi="Calibri" w:cs="Calibri"/>
        </w:rPr>
        <w:t>ategory (under $30,000) and 38.7</w:t>
      </w:r>
      <w:r w:rsidRPr="008C45AB">
        <w:rPr>
          <w:rFonts w:ascii="Calibri" w:hAnsi="Calibri" w:cs="Calibri"/>
        </w:rPr>
        <w:t>% were in the “high” category ($75,000 and above). About one-third (</w:t>
      </w:r>
      <w:r w:rsidR="00AE549B" w:rsidRPr="008C45AB">
        <w:rPr>
          <w:rFonts w:ascii="Calibri" w:hAnsi="Calibri" w:cs="Calibri"/>
        </w:rPr>
        <w:t>35.6</w:t>
      </w:r>
      <w:r w:rsidRPr="008C45AB">
        <w:rPr>
          <w:rFonts w:ascii="Calibri" w:hAnsi="Calibri" w:cs="Calibri"/>
        </w:rPr>
        <w:t>%) of participants had not attended any college, while a quarter (25.</w:t>
      </w:r>
      <w:r w:rsidR="00AE549B" w:rsidRPr="008C45AB">
        <w:rPr>
          <w:rFonts w:ascii="Calibri" w:hAnsi="Calibri" w:cs="Calibri"/>
        </w:rPr>
        <w:t>9</w:t>
      </w:r>
      <w:r w:rsidR="00B87EEC" w:rsidRPr="008C45AB">
        <w:rPr>
          <w:rFonts w:ascii="Calibri" w:hAnsi="Calibri" w:cs="Calibri"/>
        </w:rPr>
        <w:t>%</w:t>
      </w:r>
      <w:r w:rsidR="00C178B0" w:rsidRPr="008C45AB">
        <w:rPr>
          <w:rFonts w:ascii="Calibri" w:hAnsi="Calibri" w:cs="Calibri"/>
        </w:rPr>
        <w:t>) had a B.A. or higher.</w:t>
      </w:r>
      <w:r w:rsidRPr="008C45AB">
        <w:rPr>
          <w:rFonts w:ascii="Calibri" w:hAnsi="Calibri" w:cs="Calibri"/>
        </w:rPr>
        <w:t xml:space="preserve"> There were no differences between responders and non-</w:t>
      </w:r>
      <w:r w:rsidRPr="001F2834">
        <w:rPr>
          <w:rFonts w:ascii="Calibri" w:hAnsi="Calibri" w:cs="Calibri"/>
        </w:rPr>
        <w:t>responders in terms of age (</w:t>
      </w:r>
      <w:r w:rsidR="001F2834" w:rsidRPr="001F2834">
        <w:rPr>
          <w:rFonts w:ascii="Calibri" w:hAnsi="Calibri" w:cs="Calibri"/>
        </w:rPr>
        <w:t>p</w:t>
      </w:r>
      <w:r w:rsidR="002C2BF6" w:rsidRPr="001F2834">
        <w:rPr>
          <w:rFonts w:ascii="Calibri" w:hAnsi="Calibri" w:cs="Calibri"/>
        </w:rPr>
        <w:t xml:space="preserve"> </w:t>
      </w:r>
      <w:r w:rsidR="0002381E" w:rsidRPr="001F2834">
        <w:rPr>
          <w:rFonts w:ascii="Calibri" w:hAnsi="Calibri" w:cs="Calibri"/>
        </w:rPr>
        <w:t>=</w:t>
      </w:r>
      <w:r w:rsidR="002C2BF6" w:rsidRPr="001F2834">
        <w:rPr>
          <w:rFonts w:ascii="Calibri" w:hAnsi="Calibri" w:cs="Calibri"/>
        </w:rPr>
        <w:t xml:space="preserve"> </w:t>
      </w:r>
      <w:r w:rsidR="001F2834" w:rsidRPr="001F2834">
        <w:rPr>
          <w:rFonts w:ascii="Calibri" w:hAnsi="Calibri" w:cs="Calibri"/>
        </w:rPr>
        <w:t>0</w:t>
      </w:r>
      <w:r w:rsidRPr="001F2834">
        <w:rPr>
          <w:rFonts w:ascii="Calibri" w:hAnsi="Calibri" w:cs="Calibri"/>
        </w:rPr>
        <w:t>.12), sex (</w:t>
      </w:r>
      <w:r w:rsidR="001F2834" w:rsidRPr="001F2834">
        <w:rPr>
          <w:rFonts w:ascii="Calibri" w:hAnsi="Calibri" w:cs="Calibri"/>
        </w:rPr>
        <w:t>p</w:t>
      </w:r>
      <w:r w:rsidR="002C2BF6" w:rsidRPr="001F2834">
        <w:rPr>
          <w:rFonts w:ascii="Calibri" w:hAnsi="Calibri" w:cs="Calibri"/>
        </w:rPr>
        <w:t xml:space="preserve"> </w:t>
      </w:r>
      <w:r w:rsidR="0002381E" w:rsidRPr="001F2834">
        <w:rPr>
          <w:rFonts w:ascii="Calibri" w:hAnsi="Calibri" w:cs="Calibri"/>
        </w:rPr>
        <w:t>=</w:t>
      </w:r>
      <w:r w:rsidR="002C2BF6" w:rsidRPr="001F2834">
        <w:rPr>
          <w:rFonts w:ascii="Calibri" w:hAnsi="Calibri" w:cs="Calibri"/>
        </w:rPr>
        <w:t xml:space="preserve"> </w:t>
      </w:r>
      <w:r w:rsidR="001F2834" w:rsidRPr="001F2834">
        <w:rPr>
          <w:rFonts w:ascii="Calibri" w:hAnsi="Calibri" w:cs="Calibri"/>
        </w:rPr>
        <w:t>0</w:t>
      </w:r>
      <w:r w:rsidRPr="001F2834">
        <w:rPr>
          <w:rFonts w:ascii="Calibri" w:hAnsi="Calibri" w:cs="Calibri"/>
        </w:rPr>
        <w:t>.07), or race (</w:t>
      </w:r>
      <w:r w:rsidR="001F2834" w:rsidRPr="001F2834">
        <w:rPr>
          <w:rFonts w:ascii="Calibri" w:hAnsi="Calibri" w:cs="Calibri"/>
        </w:rPr>
        <w:t>p</w:t>
      </w:r>
      <w:r w:rsidR="002C2BF6" w:rsidRPr="001F2834">
        <w:rPr>
          <w:rFonts w:ascii="Calibri" w:hAnsi="Calibri" w:cs="Calibri"/>
        </w:rPr>
        <w:t xml:space="preserve"> </w:t>
      </w:r>
      <w:r w:rsidR="0002381E" w:rsidRPr="001F2834">
        <w:rPr>
          <w:rFonts w:ascii="Calibri" w:hAnsi="Calibri" w:cs="Calibri"/>
        </w:rPr>
        <w:t>=</w:t>
      </w:r>
      <w:r w:rsidR="002C2BF6" w:rsidRPr="001F2834">
        <w:rPr>
          <w:rFonts w:ascii="Calibri" w:hAnsi="Calibri" w:cs="Calibri"/>
        </w:rPr>
        <w:t xml:space="preserve"> </w:t>
      </w:r>
      <w:r w:rsidR="001F2834" w:rsidRPr="001F2834">
        <w:rPr>
          <w:rFonts w:ascii="Calibri" w:hAnsi="Calibri" w:cs="Calibri"/>
        </w:rPr>
        <w:t>0</w:t>
      </w:r>
      <w:r w:rsidRPr="001F2834">
        <w:rPr>
          <w:rFonts w:ascii="Calibri" w:hAnsi="Calibri" w:cs="Calibri"/>
        </w:rPr>
        <w:t>.21</w:t>
      </w:r>
      <w:r w:rsidRPr="008C45AB">
        <w:rPr>
          <w:rFonts w:ascii="Calibri" w:hAnsi="Calibri" w:cs="Calibri"/>
        </w:rPr>
        <w:t>).</w:t>
      </w:r>
      <w:r w:rsidR="00C178B0" w:rsidRPr="008C45AB">
        <w:rPr>
          <w:rFonts w:ascii="Calibri" w:hAnsi="Calibri" w:cs="Calibri"/>
        </w:rPr>
        <w:t xml:space="preserve"> All descriptions of covariates, including bivariable associations with outcome variables, are </w:t>
      </w:r>
      <w:r w:rsidR="000C1729" w:rsidRPr="008C45AB">
        <w:rPr>
          <w:rFonts w:ascii="Calibri" w:hAnsi="Calibri" w:cs="Calibri"/>
        </w:rPr>
        <w:t xml:space="preserve">noted in </w:t>
      </w:r>
      <w:r w:rsidR="000C1729" w:rsidRPr="008C45AB">
        <w:rPr>
          <w:rFonts w:ascii="Calibri" w:hAnsi="Calibri" w:cs="Calibri"/>
          <w:b/>
        </w:rPr>
        <w:t>Tables 1 and 2</w:t>
      </w:r>
      <w:r w:rsidR="000C1729" w:rsidRPr="008C45AB">
        <w:rPr>
          <w:rFonts w:ascii="Calibri" w:hAnsi="Calibri" w:cs="Calibri"/>
        </w:rPr>
        <w:t>.</w:t>
      </w:r>
    </w:p>
    <w:p w:rsidR="008A1AB3" w:rsidRPr="008C45AB" w:rsidRDefault="008A1AB3" w:rsidP="008A1AB3">
      <w:pPr>
        <w:tabs>
          <w:tab w:val="left" w:pos="720"/>
        </w:tabs>
        <w:spacing w:line="480" w:lineRule="auto"/>
        <w:rPr>
          <w:rFonts w:ascii="Calibri" w:hAnsi="Calibri" w:cs="Calibri"/>
        </w:rPr>
      </w:pPr>
    </w:p>
    <w:p w:rsidR="008A1AB3" w:rsidRPr="008C45AB" w:rsidRDefault="001F44D6" w:rsidP="001F44D6">
      <w:pPr>
        <w:tabs>
          <w:tab w:val="left" w:pos="720"/>
        </w:tabs>
        <w:spacing w:line="480" w:lineRule="auto"/>
        <w:outlineLvl w:val="0"/>
        <w:rPr>
          <w:rFonts w:ascii="Calibri" w:hAnsi="Calibri" w:cs="Calibri"/>
          <w:b/>
        </w:rPr>
      </w:pPr>
      <w:r>
        <w:rPr>
          <w:rFonts w:ascii="Calibri" w:hAnsi="Calibri" w:cs="Calibri"/>
          <w:b/>
        </w:rPr>
        <w:t xml:space="preserve">3.2. </w:t>
      </w:r>
      <w:r w:rsidR="00AE549B" w:rsidRPr="008C45AB">
        <w:rPr>
          <w:rFonts w:ascii="Calibri" w:hAnsi="Calibri" w:cs="Calibri"/>
          <w:b/>
        </w:rPr>
        <w:t>Depression</w:t>
      </w:r>
      <w:r w:rsidR="003E4313" w:rsidRPr="008C45AB">
        <w:rPr>
          <w:rFonts w:ascii="Calibri" w:hAnsi="Calibri" w:cs="Calibri"/>
          <w:b/>
        </w:rPr>
        <w:t xml:space="preserve"> and Anxiety</w:t>
      </w:r>
    </w:p>
    <w:p w:rsidR="008A1AB3" w:rsidRPr="008C45AB" w:rsidRDefault="008A1AB3" w:rsidP="008A1AB3">
      <w:pPr>
        <w:tabs>
          <w:tab w:val="left" w:pos="720"/>
        </w:tabs>
        <w:spacing w:line="480" w:lineRule="auto"/>
        <w:rPr>
          <w:rFonts w:ascii="Calibri" w:hAnsi="Calibri" w:cs="Calibri"/>
          <w:b/>
        </w:rPr>
      </w:pPr>
    </w:p>
    <w:p w:rsidR="008A1AB3" w:rsidRPr="008C45AB" w:rsidRDefault="003E4313" w:rsidP="008A1AB3">
      <w:pPr>
        <w:tabs>
          <w:tab w:val="left" w:pos="720"/>
        </w:tabs>
        <w:spacing w:line="480" w:lineRule="auto"/>
        <w:rPr>
          <w:rFonts w:ascii="Calibri" w:hAnsi="Calibri" w:cs="Calibri"/>
        </w:rPr>
      </w:pPr>
      <w:r w:rsidRPr="008C45AB">
        <w:rPr>
          <w:rFonts w:ascii="Calibri" w:hAnsi="Calibri" w:cs="Calibri"/>
        </w:rPr>
        <w:t xml:space="preserve">Accounting for survey weights, 41%, 30%, and 29% of respondents were classified as having </w:t>
      </w:r>
      <w:r w:rsidR="003B0728">
        <w:rPr>
          <w:rFonts w:ascii="Calibri" w:hAnsi="Calibri" w:cs="Calibri"/>
        </w:rPr>
        <w:t xml:space="preserve">mild, moderate, and severe levels </w:t>
      </w:r>
      <w:r w:rsidRPr="008C45AB">
        <w:rPr>
          <w:rFonts w:ascii="Calibri" w:hAnsi="Calibri" w:cs="Calibri"/>
        </w:rPr>
        <w:t xml:space="preserve">of </w:t>
      </w:r>
      <w:r w:rsidR="003B0728">
        <w:rPr>
          <w:rFonts w:ascii="Calibri" w:hAnsi="Calibri" w:cs="Calibri"/>
        </w:rPr>
        <w:t xml:space="preserve">self-reported </w:t>
      </w:r>
      <w:r w:rsidRPr="008C45AB">
        <w:rPr>
          <w:rFonts w:ascii="Calibri" w:hAnsi="Calibri" w:cs="Calibri"/>
        </w:rPr>
        <w:t>depression, respectively. Also a</w:t>
      </w:r>
      <w:r w:rsidR="008A1AB3" w:rsidRPr="008C45AB">
        <w:rPr>
          <w:rFonts w:ascii="Calibri" w:hAnsi="Calibri" w:cs="Calibri"/>
        </w:rPr>
        <w:t xml:space="preserve">ccounting for survey weights, </w:t>
      </w:r>
      <w:r w:rsidR="00AE549B" w:rsidRPr="008C45AB">
        <w:rPr>
          <w:rFonts w:ascii="Calibri" w:hAnsi="Calibri" w:cs="Calibri"/>
        </w:rPr>
        <w:t>34</w:t>
      </w:r>
      <w:r w:rsidR="008A1AB3" w:rsidRPr="008C45AB">
        <w:rPr>
          <w:rFonts w:ascii="Calibri" w:hAnsi="Calibri" w:cs="Calibri"/>
        </w:rPr>
        <w:t>%</w:t>
      </w:r>
      <w:r w:rsidR="00DC032F" w:rsidRPr="008C45AB">
        <w:rPr>
          <w:rFonts w:ascii="Calibri" w:hAnsi="Calibri" w:cs="Calibri"/>
        </w:rPr>
        <w:t>, 36%, and 30%</w:t>
      </w:r>
      <w:r w:rsidR="008A1AB3" w:rsidRPr="008C45AB">
        <w:rPr>
          <w:rFonts w:ascii="Calibri" w:hAnsi="Calibri" w:cs="Calibri"/>
        </w:rPr>
        <w:t xml:space="preserve"> of </w:t>
      </w:r>
      <w:r w:rsidR="0002381E" w:rsidRPr="008C45AB">
        <w:rPr>
          <w:rFonts w:ascii="Calibri" w:hAnsi="Calibri" w:cs="Calibri"/>
        </w:rPr>
        <w:t>respondents</w:t>
      </w:r>
      <w:r w:rsidR="00D35B97" w:rsidRPr="008C45AB">
        <w:rPr>
          <w:rFonts w:ascii="Calibri" w:hAnsi="Calibri" w:cs="Calibri"/>
        </w:rPr>
        <w:t xml:space="preserve"> </w:t>
      </w:r>
      <w:r w:rsidR="008A1AB3" w:rsidRPr="008C45AB">
        <w:rPr>
          <w:rFonts w:ascii="Calibri" w:hAnsi="Calibri" w:cs="Calibri"/>
        </w:rPr>
        <w:t xml:space="preserve">were </w:t>
      </w:r>
      <w:r w:rsidR="004507D1" w:rsidRPr="008C45AB">
        <w:rPr>
          <w:rFonts w:ascii="Calibri" w:hAnsi="Calibri" w:cs="Calibri"/>
        </w:rPr>
        <w:t>classified as</w:t>
      </w:r>
      <w:r w:rsidR="00AE549B" w:rsidRPr="008C45AB">
        <w:rPr>
          <w:rFonts w:ascii="Calibri" w:hAnsi="Calibri" w:cs="Calibri"/>
        </w:rPr>
        <w:t xml:space="preserve"> having</w:t>
      </w:r>
      <w:r w:rsidR="00DC032F" w:rsidRPr="008C45AB">
        <w:rPr>
          <w:rFonts w:ascii="Calibri" w:hAnsi="Calibri" w:cs="Calibri"/>
        </w:rPr>
        <w:t xml:space="preserve"> </w:t>
      </w:r>
      <w:r w:rsidR="003B0728">
        <w:rPr>
          <w:rFonts w:ascii="Calibri" w:hAnsi="Calibri" w:cs="Calibri"/>
        </w:rPr>
        <w:t xml:space="preserve">mild, moderate, severe levels </w:t>
      </w:r>
      <w:r w:rsidR="00DC032F" w:rsidRPr="008C45AB">
        <w:rPr>
          <w:rFonts w:ascii="Calibri" w:hAnsi="Calibri" w:cs="Calibri"/>
        </w:rPr>
        <w:t>of anxiety</w:t>
      </w:r>
      <w:r w:rsidR="003B0728">
        <w:rPr>
          <w:rFonts w:ascii="Calibri" w:hAnsi="Calibri" w:cs="Calibri"/>
        </w:rPr>
        <w:t xml:space="preserve"> symptoms</w:t>
      </w:r>
      <w:r w:rsidR="00DC032F" w:rsidRPr="008C45AB">
        <w:rPr>
          <w:rFonts w:ascii="Calibri" w:hAnsi="Calibri" w:cs="Calibri"/>
        </w:rPr>
        <w:t>, respectively</w:t>
      </w:r>
      <w:r w:rsidR="008A1AB3" w:rsidRPr="008C45AB">
        <w:rPr>
          <w:rFonts w:ascii="Calibri" w:hAnsi="Calibri" w:cs="Calibri"/>
        </w:rPr>
        <w:t>.</w:t>
      </w:r>
      <w:r w:rsidR="00AE549B" w:rsidRPr="008C45AB">
        <w:rPr>
          <w:rFonts w:ascii="Calibri" w:hAnsi="Calibri" w:cs="Calibri"/>
        </w:rPr>
        <w:t xml:space="preserve"> </w:t>
      </w:r>
    </w:p>
    <w:p w:rsidR="00DC032F" w:rsidRPr="00336480" w:rsidRDefault="008A1AB3" w:rsidP="001F44D6">
      <w:pPr>
        <w:tabs>
          <w:tab w:val="left" w:pos="720"/>
        </w:tabs>
        <w:spacing w:line="480" w:lineRule="auto"/>
        <w:rPr>
          <w:rFonts w:ascii="Calibri" w:hAnsi="Calibri" w:cs="Calibri"/>
          <w:b/>
        </w:rPr>
      </w:pPr>
      <w:r w:rsidRPr="008C45AB">
        <w:rPr>
          <w:rFonts w:ascii="Calibri" w:hAnsi="Calibri" w:cs="Calibri"/>
        </w:rPr>
        <w:br w:type="page"/>
      </w:r>
      <w:r w:rsidR="001F44D6" w:rsidRPr="001F44D6">
        <w:rPr>
          <w:rFonts w:ascii="Calibri" w:hAnsi="Calibri" w:cs="Calibri"/>
          <w:b/>
        </w:rPr>
        <w:lastRenderedPageBreak/>
        <w:t xml:space="preserve">3.3. </w:t>
      </w:r>
      <w:r w:rsidR="00336480" w:rsidRPr="001F44D6">
        <w:rPr>
          <w:rFonts w:ascii="Calibri" w:hAnsi="Calibri" w:cs="Calibri"/>
          <w:b/>
        </w:rPr>
        <w:t>Use</w:t>
      </w:r>
      <w:r w:rsidR="00336480" w:rsidRPr="00336480">
        <w:rPr>
          <w:rFonts w:ascii="Calibri" w:hAnsi="Calibri" w:cs="Calibri"/>
          <w:b/>
        </w:rPr>
        <w:t xml:space="preserve"> of Multiple Social Media Platforms </w:t>
      </w:r>
    </w:p>
    <w:p w:rsidR="00DC032F" w:rsidRPr="008C45AB" w:rsidRDefault="00DC032F" w:rsidP="00DC032F">
      <w:pPr>
        <w:tabs>
          <w:tab w:val="left" w:pos="720"/>
        </w:tabs>
        <w:spacing w:line="480" w:lineRule="auto"/>
        <w:rPr>
          <w:rFonts w:ascii="Calibri" w:hAnsi="Calibri" w:cs="Calibri"/>
          <w:b/>
        </w:rPr>
      </w:pPr>
    </w:p>
    <w:p w:rsidR="008A1AB3" w:rsidRPr="008C45AB" w:rsidRDefault="00DC032F" w:rsidP="00DC032F">
      <w:pPr>
        <w:tabs>
          <w:tab w:val="left" w:pos="720"/>
        </w:tabs>
        <w:spacing w:line="480" w:lineRule="auto"/>
        <w:rPr>
          <w:rFonts w:ascii="Calibri" w:hAnsi="Calibri" w:cs="Calibri"/>
        </w:rPr>
      </w:pPr>
      <w:r w:rsidRPr="008C45AB">
        <w:rPr>
          <w:rFonts w:ascii="Calibri" w:hAnsi="Calibri" w:cs="Calibri"/>
        </w:rPr>
        <w:t xml:space="preserve">Only 55 (3%) of individuals reported using none of the 11 social media platforms, and 52 (3%) reported using all of them. </w:t>
      </w:r>
      <w:r w:rsidR="00336480">
        <w:rPr>
          <w:rFonts w:ascii="Calibri" w:hAnsi="Calibri" w:cs="Calibri"/>
        </w:rPr>
        <w:t>Usage of multiple platforms</w:t>
      </w:r>
      <w:r w:rsidRPr="008C45AB">
        <w:rPr>
          <w:rFonts w:ascii="Calibri" w:hAnsi="Calibri" w:cs="Calibri"/>
        </w:rPr>
        <w:t xml:space="preserve"> was normally distributed, </w:t>
      </w:r>
      <w:r w:rsidR="00326D3A" w:rsidRPr="008C45AB">
        <w:rPr>
          <w:rFonts w:ascii="Calibri" w:hAnsi="Calibri" w:cs="Calibri"/>
        </w:rPr>
        <w:t>with</w:t>
      </w:r>
      <w:r w:rsidRPr="008C45AB">
        <w:rPr>
          <w:rFonts w:ascii="Calibri" w:hAnsi="Calibri" w:cs="Calibri"/>
        </w:rPr>
        <w:t xml:space="preserve"> a mean of 4.2 and a standard deviation of 2.5</w:t>
      </w:r>
      <w:r w:rsidR="00326D3A" w:rsidRPr="008C45AB">
        <w:rPr>
          <w:rFonts w:ascii="Calibri" w:hAnsi="Calibri" w:cs="Calibri"/>
        </w:rPr>
        <w:t xml:space="preserve"> on a scale ranging from 0 to 11</w:t>
      </w:r>
      <w:r w:rsidRPr="008C45AB">
        <w:rPr>
          <w:rFonts w:ascii="Calibri" w:hAnsi="Calibri" w:cs="Calibri"/>
        </w:rPr>
        <w:t>. As noted above</w:t>
      </w:r>
      <w:r w:rsidR="00336480" w:rsidRPr="008C45AB">
        <w:rPr>
          <w:rFonts w:ascii="Calibri" w:hAnsi="Calibri" w:cs="Calibri"/>
        </w:rPr>
        <w:t>, we</w:t>
      </w:r>
      <w:r w:rsidR="00336480">
        <w:rPr>
          <w:rFonts w:ascii="Calibri" w:hAnsi="Calibri" w:cs="Calibri"/>
        </w:rPr>
        <w:t xml:space="preserve"> collapsed this variable </w:t>
      </w:r>
      <w:r w:rsidRPr="008C45AB">
        <w:rPr>
          <w:rFonts w:ascii="Calibri" w:hAnsi="Calibri" w:cs="Calibri"/>
        </w:rPr>
        <w:t>into quartiles for primary analyses to improve interpretability of results. Thus</w:t>
      </w:r>
      <w:r w:rsidR="003D4509" w:rsidRPr="008C45AB">
        <w:rPr>
          <w:rFonts w:ascii="Calibri" w:hAnsi="Calibri" w:cs="Calibri"/>
        </w:rPr>
        <w:t xml:space="preserve">, </w:t>
      </w:r>
      <w:r w:rsidR="003D4509">
        <w:rPr>
          <w:rFonts w:ascii="Calibri" w:hAnsi="Calibri" w:cs="Calibri"/>
        </w:rPr>
        <w:t>use</w:t>
      </w:r>
      <w:r w:rsidR="00336480">
        <w:rPr>
          <w:rFonts w:ascii="Calibri" w:hAnsi="Calibri" w:cs="Calibri"/>
        </w:rPr>
        <w:t xml:space="preserve"> of multiple social media platforms</w:t>
      </w:r>
      <w:r w:rsidRPr="008C45AB">
        <w:rPr>
          <w:rFonts w:ascii="Calibri" w:hAnsi="Calibri" w:cs="Calibri"/>
        </w:rPr>
        <w:t xml:space="preserve"> was classified as 0-2, 3-4, 5-6, or 7-11. </w:t>
      </w:r>
      <w:r w:rsidR="00326D3A" w:rsidRPr="008C45AB">
        <w:rPr>
          <w:rFonts w:ascii="Calibri" w:hAnsi="Calibri" w:cs="Calibri"/>
        </w:rPr>
        <w:t>However</w:t>
      </w:r>
      <w:r w:rsidR="003D4509" w:rsidRPr="008C45AB">
        <w:rPr>
          <w:rFonts w:ascii="Calibri" w:hAnsi="Calibri" w:cs="Calibri"/>
        </w:rPr>
        <w:t xml:space="preserve">, </w:t>
      </w:r>
      <w:r w:rsidR="003D4509">
        <w:rPr>
          <w:rFonts w:ascii="Calibri" w:hAnsi="Calibri" w:cs="Calibri"/>
        </w:rPr>
        <w:t>we</w:t>
      </w:r>
      <w:r w:rsidR="00336480">
        <w:rPr>
          <w:rFonts w:ascii="Calibri" w:hAnsi="Calibri" w:cs="Calibri"/>
        </w:rPr>
        <w:t xml:space="preserve"> also</w:t>
      </w:r>
      <w:r w:rsidR="00326D3A" w:rsidRPr="008C45AB">
        <w:rPr>
          <w:rFonts w:ascii="Calibri" w:hAnsi="Calibri" w:cs="Calibri"/>
        </w:rPr>
        <w:t xml:space="preserve"> treated</w:t>
      </w:r>
      <w:r w:rsidR="00336480">
        <w:rPr>
          <w:rFonts w:ascii="Calibri" w:hAnsi="Calibri" w:cs="Calibri"/>
        </w:rPr>
        <w:t xml:space="preserve"> this variable</w:t>
      </w:r>
      <w:r w:rsidR="00326D3A" w:rsidRPr="008C45AB">
        <w:rPr>
          <w:rFonts w:ascii="Calibri" w:hAnsi="Calibri" w:cs="Calibri"/>
        </w:rPr>
        <w:t xml:space="preserve"> as continuous in sensitivity analyses.</w:t>
      </w:r>
    </w:p>
    <w:p w:rsidR="008A1AB3" w:rsidRPr="008C45AB" w:rsidRDefault="008A1AB3" w:rsidP="008A1AB3">
      <w:pPr>
        <w:tabs>
          <w:tab w:val="left" w:pos="720"/>
        </w:tabs>
        <w:spacing w:line="480" w:lineRule="auto"/>
        <w:outlineLvl w:val="0"/>
        <w:rPr>
          <w:rFonts w:ascii="Calibri" w:hAnsi="Calibri" w:cs="Calibri"/>
          <w:b/>
        </w:rPr>
      </w:pPr>
    </w:p>
    <w:p w:rsidR="008A1AB3" w:rsidRPr="008C45AB" w:rsidRDefault="001F44D6" w:rsidP="001F44D6">
      <w:pPr>
        <w:tabs>
          <w:tab w:val="left" w:pos="720"/>
        </w:tabs>
        <w:spacing w:line="480" w:lineRule="auto"/>
        <w:outlineLvl w:val="0"/>
        <w:rPr>
          <w:rFonts w:ascii="Calibri" w:hAnsi="Calibri" w:cs="Calibri"/>
          <w:b/>
        </w:rPr>
      </w:pPr>
      <w:r>
        <w:rPr>
          <w:rFonts w:ascii="Calibri" w:hAnsi="Calibri" w:cs="Calibri"/>
          <w:b/>
        </w:rPr>
        <w:t xml:space="preserve">3.4. </w:t>
      </w:r>
      <w:r w:rsidR="008A1AB3" w:rsidRPr="008C45AB">
        <w:rPr>
          <w:rFonts w:ascii="Calibri" w:hAnsi="Calibri" w:cs="Calibri"/>
          <w:b/>
        </w:rPr>
        <w:t>Bivariable Analyses</w:t>
      </w:r>
    </w:p>
    <w:p w:rsidR="008A1AB3" w:rsidRPr="008C45AB" w:rsidRDefault="008A1AB3" w:rsidP="008A1AB3">
      <w:pPr>
        <w:tabs>
          <w:tab w:val="left" w:pos="720"/>
        </w:tabs>
        <w:spacing w:line="480" w:lineRule="auto"/>
        <w:rPr>
          <w:rFonts w:ascii="Calibri" w:hAnsi="Calibri" w:cs="Calibri"/>
          <w:b/>
        </w:rPr>
      </w:pPr>
    </w:p>
    <w:p w:rsidR="00D75208" w:rsidRPr="008C45AB" w:rsidRDefault="00C178B0" w:rsidP="006E27DA">
      <w:pPr>
        <w:tabs>
          <w:tab w:val="left" w:pos="720"/>
        </w:tabs>
        <w:spacing w:line="480" w:lineRule="auto"/>
        <w:rPr>
          <w:rFonts w:ascii="Calibri" w:hAnsi="Calibri" w:cs="Calibri"/>
        </w:rPr>
      </w:pPr>
      <w:r w:rsidRPr="008C45AB">
        <w:rPr>
          <w:rFonts w:ascii="Calibri" w:hAnsi="Calibri" w:cs="Calibri"/>
        </w:rPr>
        <w:t xml:space="preserve">Unadjusted bivariable odds ratios </w:t>
      </w:r>
      <w:r w:rsidR="00BC6017" w:rsidRPr="008C45AB">
        <w:rPr>
          <w:rFonts w:ascii="Calibri" w:hAnsi="Calibri" w:cs="Calibri"/>
        </w:rPr>
        <w:t xml:space="preserve">for outcomes of depression and anxiety </w:t>
      </w:r>
      <w:r w:rsidRPr="008C45AB">
        <w:rPr>
          <w:rFonts w:ascii="Calibri" w:hAnsi="Calibri" w:cs="Calibri"/>
        </w:rPr>
        <w:t xml:space="preserve">are presented in the first columns of </w:t>
      </w:r>
      <w:r w:rsidRPr="008C45AB">
        <w:rPr>
          <w:rFonts w:ascii="Calibri" w:hAnsi="Calibri" w:cs="Calibri"/>
          <w:b/>
        </w:rPr>
        <w:t>Tables 3 and 4</w:t>
      </w:r>
      <w:r w:rsidRPr="008C45AB">
        <w:rPr>
          <w:rFonts w:ascii="Calibri" w:hAnsi="Calibri" w:cs="Calibri"/>
        </w:rPr>
        <w:t xml:space="preserve">, respectively. </w:t>
      </w:r>
      <w:r w:rsidR="00BC6017" w:rsidRPr="008C45AB">
        <w:rPr>
          <w:rFonts w:ascii="Calibri" w:hAnsi="Calibri" w:cs="Calibri"/>
        </w:rPr>
        <w:t>Both</w:t>
      </w:r>
      <w:r w:rsidR="00A24E0B" w:rsidRPr="008C45AB">
        <w:rPr>
          <w:rFonts w:ascii="Calibri" w:hAnsi="Calibri" w:cs="Calibri"/>
        </w:rPr>
        <w:t xml:space="preserve"> </w:t>
      </w:r>
      <w:r w:rsidR="003D4509" w:rsidRPr="001F2834">
        <w:rPr>
          <w:rFonts w:ascii="Calibri" w:hAnsi="Calibri" w:cs="Calibri"/>
        </w:rPr>
        <w:t>high use of multiple social media platforms (</w:t>
      </w:r>
      <w:r w:rsidR="00282FC8" w:rsidRPr="001F2834">
        <w:rPr>
          <w:rFonts w:ascii="Calibri" w:hAnsi="Calibri" w:cs="Calibri"/>
        </w:rPr>
        <w:t>p</w:t>
      </w:r>
      <w:r w:rsidR="00326D3A" w:rsidRPr="001F2834">
        <w:rPr>
          <w:rFonts w:ascii="Calibri" w:hAnsi="Calibri" w:cs="Calibri"/>
        </w:rPr>
        <w:t xml:space="preserve"> &lt; .001) and</w:t>
      </w:r>
      <w:r w:rsidR="003E4313" w:rsidRPr="001F2834">
        <w:rPr>
          <w:rFonts w:ascii="Calibri" w:hAnsi="Calibri" w:cs="Calibri"/>
        </w:rPr>
        <w:t xml:space="preserve"> higher total minutes per day using social media (</w:t>
      </w:r>
      <w:r w:rsidR="00282FC8" w:rsidRPr="001F2834">
        <w:rPr>
          <w:rFonts w:ascii="Calibri" w:hAnsi="Calibri" w:cs="Calibri"/>
        </w:rPr>
        <w:t>p</w:t>
      </w:r>
      <w:r w:rsidR="003E4313" w:rsidRPr="001F2834">
        <w:rPr>
          <w:rFonts w:ascii="Calibri" w:hAnsi="Calibri" w:cs="Calibri"/>
        </w:rPr>
        <w:t xml:space="preserve"> = .00</w:t>
      </w:r>
      <w:r w:rsidRPr="001F2834">
        <w:rPr>
          <w:rFonts w:ascii="Calibri" w:hAnsi="Calibri" w:cs="Calibri"/>
        </w:rPr>
        <w:t>1</w:t>
      </w:r>
      <w:r w:rsidR="003E4313" w:rsidRPr="001F2834">
        <w:rPr>
          <w:rFonts w:ascii="Calibri" w:hAnsi="Calibri" w:cs="Calibri"/>
        </w:rPr>
        <w:t>)</w:t>
      </w:r>
      <w:r w:rsidR="00BC6017" w:rsidRPr="001F2834">
        <w:rPr>
          <w:rFonts w:ascii="Calibri" w:hAnsi="Calibri" w:cs="Calibri"/>
        </w:rPr>
        <w:t xml:space="preserve"> were associated with increased </w:t>
      </w:r>
      <w:r w:rsidR="003D4509" w:rsidRPr="001F2834">
        <w:rPr>
          <w:rFonts w:ascii="Calibri" w:hAnsi="Calibri" w:cs="Calibri"/>
        </w:rPr>
        <w:t xml:space="preserve">self-reported </w:t>
      </w:r>
      <w:r w:rsidR="00BC6017" w:rsidRPr="001F2834">
        <w:rPr>
          <w:rFonts w:ascii="Calibri" w:hAnsi="Calibri" w:cs="Calibri"/>
        </w:rPr>
        <w:t>depression (</w:t>
      </w:r>
      <w:r w:rsidR="00BC6017" w:rsidRPr="001F2834">
        <w:rPr>
          <w:rFonts w:ascii="Calibri" w:hAnsi="Calibri" w:cs="Calibri"/>
          <w:b/>
        </w:rPr>
        <w:t>Table 3</w:t>
      </w:r>
      <w:r w:rsidR="00BC6017" w:rsidRPr="001F2834">
        <w:rPr>
          <w:rFonts w:ascii="Calibri" w:hAnsi="Calibri" w:cs="Calibri"/>
        </w:rPr>
        <w:t>)</w:t>
      </w:r>
      <w:r w:rsidR="00326D3A" w:rsidRPr="001F2834">
        <w:rPr>
          <w:rFonts w:ascii="Calibri" w:hAnsi="Calibri" w:cs="Calibri"/>
        </w:rPr>
        <w:t xml:space="preserve">. Other covariates associated with </w:t>
      </w:r>
      <w:r w:rsidR="00BC6017" w:rsidRPr="001F2834">
        <w:rPr>
          <w:rFonts w:ascii="Calibri" w:hAnsi="Calibri" w:cs="Calibri"/>
        </w:rPr>
        <w:t>increased depression included female sex, multiracial status, being single, having lower income, and being less educated (</w:t>
      </w:r>
      <w:r w:rsidR="00BC6017" w:rsidRPr="001F2834">
        <w:rPr>
          <w:rFonts w:ascii="Calibri" w:hAnsi="Calibri" w:cs="Calibri"/>
          <w:b/>
        </w:rPr>
        <w:t>Table 3</w:t>
      </w:r>
      <w:r w:rsidR="00BC6017" w:rsidRPr="001F2834">
        <w:rPr>
          <w:rFonts w:ascii="Calibri" w:hAnsi="Calibri" w:cs="Calibri"/>
        </w:rPr>
        <w:t xml:space="preserve">). Similarly, </w:t>
      </w:r>
      <w:r w:rsidR="003D4509" w:rsidRPr="001F2834">
        <w:rPr>
          <w:rFonts w:ascii="Calibri" w:hAnsi="Calibri" w:cs="Calibri"/>
        </w:rPr>
        <w:t>high use of multiple social media platforms</w:t>
      </w:r>
      <w:r w:rsidR="00BC6017" w:rsidRPr="001F2834">
        <w:rPr>
          <w:rFonts w:ascii="Calibri" w:hAnsi="Calibri" w:cs="Calibri"/>
        </w:rPr>
        <w:t xml:space="preserve"> (</w:t>
      </w:r>
      <w:r w:rsidR="00282FC8" w:rsidRPr="001F2834">
        <w:rPr>
          <w:rFonts w:ascii="Calibri" w:hAnsi="Calibri" w:cs="Calibri"/>
        </w:rPr>
        <w:t>p</w:t>
      </w:r>
      <w:r w:rsidR="00BC6017" w:rsidRPr="001F2834">
        <w:rPr>
          <w:rFonts w:ascii="Calibri" w:hAnsi="Calibri" w:cs="Calibri"/>
        </w:rPr>
        <w:t xml:space="preserve"> &lt; .001) and higher total minutes per day using social media (</w:t>
      </w:r>
      <w:r w:rsidR="00282FC8" w:rsidRPr="001F2834">
        <w:rPr>
          <w:rFonts w:ascii="Calibri" w:hAnsi="Calibri" w:cs="Calibri"/>
        </w:rPr>
        <w:t>p</w:t>
      </w:r>
      <w:r w:rsidR="00BC6017" w:rsidRPr="001F2834">
        <w:rPr>
          <w:rFonts w:ascii="Calibri" w:hAnsi="Calibri" w:cs="Calibri"/>
        </w:rPr>
        <w:t xml:space="preserve"> &lt; .001) were</w:t>
      </w:r>
      <w:r w:rsidR="00BC6017" w:rsidRPr="008C45AB">
        <w:rPr>
          <w:rFonts w:ascii="Calibri" w:hAnsi="Calibri" w:cs="Calibri"/>
        </w:rPr>
        <w:t xml:space="preserve"> associated with increased </w:t>
      </w:r>
      <w:r w:rsidR="003D4509">
        <w:rPr>
          <w:rFonts w:ascii="Calibri" w:hAnsi="Calibri" w:cs="Calibri"/>
        </w:rPr>
        <w:t xml:space="preserve">self-report of </w:t>
      </w:r>
      <w:r w:rsidR="00BC6017" w:rsidRPr="008C45AB">
        <w:rPr>
          <w:rFonts w:ascii="Calibri" w:hAnsi="Calibri" w:cs="Calibri"/>
        </w:rPr>
        <w:t>anxiety (</w:t>
      </w:r>
      <w:r w:rsidR="00BC6017" w:rsidRPr="008C45AB">
        <w:rPr>
          <w:rFonts w:ascii="Calibri" w:hAnsi="Calibri" w:cs="Calibri"/>
          <w:b/>
        </w:rPr>
        <w:t>Table 4</w:t>
      </w:r>
      <w:r w:rsidR="00BC6017" w:rsidRPr="008C45AB">
        <w:rPr>
          <w:rFonts w:ascii="Calibri" w:hAnsi="Calibri" w:cs="Calibri"/>
        </w:rPr>
        <w:t>). In bivariable analyses, other covariates associated with increased anxiety also included female sex, multiracial status, being single, having lower income, and being less educated (</w:t>
      </w:r>
      <w:r w:rsidR="00BC6017" w:rsidRPr="008C45AB">
        <w:rPr>
          <w:rFonts w:ascii="Calibri" w:hAnsi="Calibri" w:cs="Calibri"/>
          <w:b/>
        </w:rPr>
        <w:t>Table 4</w:t>
      </w:r>
      <w:r w:rsidR="00BC6017" w:rsidRPr="008C45AB">
        <w:rPr>
          <w:rFonts w:ascii="Calibri" w:hAnsi="Calibri" w:cs="Calibri"/>
        </w:rPr>
        <w:t>).</w:t>
      </w:r>
    </w:p>
    <w:p w:rsidR="00BC6017" w:rsidRPr="008C45AB" w:rsidRDefault="00D75208" w:rsidP="001F44D6">
      <w:pPr>
        <w:tabs>
          <w:tab w:val="left" w:pos="720"/>
        </w:tabs>
        <w:spacing w:line="480" w:lineRule="auto"/>
        <w:rPr>
          <w:rFonts w:ascii="Calibri" w:hAnsi="Calibri" w:cs="Calibri"/>
        </w:rPr>
      </w:pPr>
      <w:r w:rsidRPr="008C45AB">
        <w:rPr>
          <w:rFonts w:ascii="Calibri" w:hAnsi="Calibri" w:cs="Calibri"/>
        </w:rPr>
        <w:br w:type="page"/>
      </w:r>
      <w:r w:rsidR="001F44D6" w:rsidRPr="001F44D6">
        <w:rPr>
          <w:rFonts w:ascii="Calibri" w:hAnsi="Calibri" w:cs="Calibri"/>
          <w:b/>
        </w:rPr>
        <w:lastRenderedPageBreak/>
        <w:t xml:space="preserve">3.5. </w:t>
      </w:r>
      <w:r w:rsidR="00BC6017" w:rsidRPr="001F44D6">
        <w:rPr>
          <w:rFonts w:ascii="Calibri" w:hAnsi="Calibri" w:cs="Calibri"/>
          <w:b/>
        </w:rPr>
        <w:t>Multivariable</w:t>
      </w:r>
      <w:r w:rsidR="00BC6017" w:rsidRPr="008C45AB">
        <w:rPr>
          <w:rFonts w:ascii="Calibri" w:hAnsi="Calibri" w:cs="Calibri"/>
          <w:b/>
        </w:rPr>
        <w:t xml:space="preserve"> Analyses</w:t>
      </w:r>
    </w:p>
    <w:p w:rsidR="00BC6017" w:rsidRPr="008C45AB" w:rsidRDefault="00BC6017" w:rsidP="006E27DA">
      <w:pPr>
        <w:tabs>
          <w:tab w:val="left" w:pos="720"/>
        </w:tabs>
        <w:spacing w:line="480" w:lineRule="auto"/>
        <w:rPr>
          <w:rFonts w:ascii="Calibri" w:hAnsi="Calibri" w:cs="Calibri"/>
        </w:rPr>
      </w:pPr>
    </w:p>
    <w:p w:rsidR="006E27DA" w:rsidRPr="008C45AB" w:rsidRDefault="00620644" w:rsidP="006E27DA">
      <w:pPr>
        <w:tabs>
          <w:tab w:val="left" w:pos="720"/>
        </w:tabs>
        <w:spacing w:line="480" w:lineRule="auto"/>
        <w:rPr>
          <w:rFonts w:ascii="Calibri" w:hAnsi="Calibri" w:cs="Calibri"/>
        </w:rPr>
      </w:pPr>
      <w:r w:rsidRPr="008C45AB">
        <w:rPr>
          <w:rFonts w:ascii="Calibri" w:hAnsi="Calibri" w:cs="Calibri"/>
          <w:b/>
          <w:i/>
          <w:u w:val="single"/>
        </w:rPr>
        <w:t>Depression.</w:t>
      </w:r>
      <w:r w:rsidRPr="008C45AB">
        <w:rPr>
          <w:rFonts w:ascii="Calibri" w:hAnsi="Calibri" w:cs="Calibri"/>
        </w:rPr>
        <w:t xml:space="preserve"> </w:t>
      </w:r>
      <w:r w:rsidR="00BC6017" w:rsidRPr="008C45AB">
        <w:rPr>
          <w:rFonts w:ascii="Calibri" w:hAnsi="Calibri" w:cs="Calibri"/>
        </w:rPr>
        <w:t>In a fully-adjusted multivariable model that controlled for all covariates and SMU, c</w:t>
      </w:r>
      <w:r w:rsidR="006E27DA" w:rsidRPr="008C45AB">
        <w:rPr>
          <w:rFonts w:ascii="Calibri" w:hAnsi="Calibri" w:cs="Calibri"/>
        </w:rPr>
        <w:t xml:space="preserve">ompared with those who used </w:t>
      </w:r>
      <w:r w:rsidR="00A24E0B" w:rsidRPr="008C45AB">
        <w:rPr>
          <w:rFonts w:ascii="Calibri" w:hAnsi="Calibri" w:cs="Calibri"/>
        </w:rPr>
        <w:t>0-2 platforms</w:t>
      </w:r>
      <w:r w:rsidR="006E27DA" w:rsidRPr="008C45AB">
        <w:rPr>
          <w:rFonts w:ascii="Calibri" w:hAnsi="Calibri" w:cs="Calibri"/>
        </w:rPr>
        <w:t xml:space="preserve">, those who used </w:t>
      </w:r>
      <w:r w:rsidR="00A24E0B" w:rsidRPr="008C45AB">
        <w:rPr>
          <w:rFonts w:ascii="Calibri" w:hAnsi="Calibri" w:cs="Calibri"/>
        </w:rPr>
        <w:t>7-11 platforms</w:t>
      </w:r>
      <w:r w:rsidR="006E27DA" w:rsidRPr="008C45AB">
        <w:rPr>
          <w:rFonts w:ascii="Calibri" w:hAnsi="Calibri" w:cs="Calibri"/>
        </w:rPr>
        <w:t xml:space="preserve"> had about </w:t>
      </w:r>
      <w:r w:rsidR="009B3FAA">
        <w:rPr>
          <w:rFonts w:ascii="Calibri" w:hAnsi="Calibri" w:cs="Calibri"/>
        </w:rPr>
        <w:t>three times</w:t>
      </w:r>
      <w:r w:rsidR="009E150B">
        <w:rPr>
          <w:rFonts w:ascii="Calibri" w:hAnsi="Calibri" w:cs="Calibri"/>
        </w:rPr>
        <w:t xml:space="preserve"> </w:t>
      </w:r>
      <w:r w:rsidR="00A24E0B" w:rsidRPr="008C45AB">
        <w:rPr>
          <w:rFonts w:ascii="Calibri" w:hAnsi="Calibri" w:cs="Calibri"/>
        </w:rPr>
        <w:t xml:space="preserve">the odds </w:t>
      </w:r>
      <w:r w:rsidR="009B3FAA">
        <w:rPr>
          <w:rFonts w:ascii="Calibri" w:hAnsi="Calibri" w:cs="Calibri"/>
        </w:rPr>
        <w:t>of</w:t>
      </w:r>
      <w:r w:rsidR="009E150B">
        <w:rPr>
          <w:rFonts w:ascii="Calibri" w:hAnsi="Calibri" w:cs="Calibri"/>
        </w:rPr>
        <w:t xml:space="preserve"> </w:t>
      </w:r>
      <w:r w:rsidR="00D0733A">
        <w:rPr>
          <w:rFonts w:ascii="Calibri" w:hAnsi="Calibri" w:cs="Calibri"/>
        </w:rPr>
        <w:t>reporting high levels of</w:t>
      </w:r>
      <w:r w:rsidR="003B0728">
        <w:rPr>
          <w:rFonts w:ascii="Calibri" w:hAnsi="Calibri" w:cs="Calibri"/>
        </w:rPr>
        <w:t xml:space="preserve"> </w:t>
      </w:r>
      <w:r w:rsidR="00A24E0B" w:rsidRPr="008C45AB">
        <w:rPr>
          <w:rFonts w:ascii="Calibri" w:hAnsi="Calibri" w:cs="Calibri"/>
        </w:rPr>
        <w:t>depressi</w:t>
      </w:r>
      <w:r w:rsidR="00D0733A">
        <w:rPr>
          <w:rFonts w:ascii="Calibri" w:hAnsi="Calibri" w:cs="Calibri"/>
        </w:rPr>
        <w:t>ve symptoms</w:t>
      </w:r>
      <w:r w:rsidR="009E150B">
        <w:rPr>
          <w:rFonts w:ascii="Calibri" w:hAnsi="Calibri" w:cs="Calibri"/>
        </w:rPr>
        <w:t xml:space="preserve"> </w:t>
      </w:r>
      <w:r w:rsidR="006E27DA" w:rsidRPr="008C45AB">
        <w:rPr>
          <w:rFonts w:ascii="Calibri" w:hAnsi="Calibri" w:cs="Calibri"/>
        </w:rPr>
        <w:t xml:space="preserve">(OR = </w:t>
      </w:r>
      <w:r w:rsidR="00BC6017" w:rsidRPr="008C45AB">
        <w:rPr>
          <w:rFonts w:ascii="Calibri" w:hAnsi="Calibri" w:cs="Calibri"/>
        </w:rPr>
        <w:t>3.1, 95% CI = 1.9, 5.0</w:t>
      </w:r>
      <w:r w:rsidR="006E27DA" w:rsidRPr="008C45AB">
        <w:rPr>
          <w:rFonts w:ascii="Calibri" w:hAnsi="Calibri" w:cs="Calibri"/>
        </w:rPr>
        <w:t>) (</w:t>
      </w:r>
      <w:r w:rsidR="006E27DA" w:rsidRPr="008C45AB">
        <w:rPr>
          <w:rFonts w:ascii="Calibri" w:hAnsi="Calibri" w:cs="Calibri"/>
          <w:b/>
        </w:rPr>
        <w:t xml:space="preserve">Table </w:t>
      </w:r>
      <w:r w:rsidR="00BC6017" w:rsidRPr="008C45AB">
        <w:rPr>
          <w:rFonts w:ascii="Calibri" w:hAnsi="Calibri" w:cs="Calibri"/>
          <w:b/>
        </w:rPr>
        <w:t>3</w:t>
      </w:r>
      <w:r w:rsidR="006E27DA" w:rsidRPr="008C45AB">
        <w:rPr>
          <w:rFonts w:ascii="Calibri" w:hAnsi="Calibri" w:cs="Calibri"/>
        </w:rPr>
        <w:t>).</w:t>
      </w:r>
      <w:r w:rsidR="00BC6017" w:rsidRPr="008C45AB">
        <w:rPr>
          <w:rFonts w:ascii="Calibri" w:hAnsi="Calibri" w:cs="Calibri"/>
        </w:rPr>
        <w:t xml:space="preserve"> There was a linear association bet</w:t>
      </w:r>
      <w:r w:rsidRPr="008C45AB">
        <w:rPr>
          <w:rFonts w:ascii="Calibri" w:hAnsi="Calibri" w:cs="Calibri"/>
        </w:rPr>
        <w:t xml:space="preserve">ween </w:t>
      </w:r>
      <w:r w:rsidR="003D4509">
        <w:rPr>
          <w:rFonts w:ascii="Calibri" w:hAnsi="Calibri" w:cs="Calibri"/>
        </w:rPr>
        <w:t xml:space="preserve">use of multiple platforms </w:t>
      </w:r>
      <w:r w:rsidRPr="008C45AB">
        <w:rPr>
          <w:rFonts w:ascii="Calibri" w:hAnsi="Calibri" w:cs="Calibri"/>
        </w:rPr>
        <w:t xml:space="preserve"> and depression in this</w:t>
      </w:r>
      <w:r w:rsidR="00BC6017" w:rsidRPr="008C45AB">
        <w:rPr>
          <w:rFonts w:ascii="Calibri" w:hAnsi="Calibri" w:cs="Calibri"/>
        </w:rPr>
        <w:t xml:space="preserve"> multivariable analyses; for increasing quartiles of </w:t>
      </w:r>
      <w:r w:rsidR="003D4509">
        <w:rPr>
          <w:rFonts w:ascii="Calibri" w:hAnsi="Calibri" w:cs="Calibri"/>
        </w:rPr>
        <w:t>multiple platforms use</w:t>
      </w:r>
      <w:r w:rsidR="009B3FAA">
        <w:rPr>
          <w:rFonts w:ascii="Calibri" w:hAnsi="Calibri" w:cs="Calibri"/>
        </w:rPr>
        <w:t>,</w:t>
      </w:r>
      <w:r w:rsidR="00BC6017" w:rsidRPr="008C45AB">
        <w:rPr>
          <w:rFonts w:ascii="Calibri" w:hAnsi="Calibri" w:cs="Calibri"/>
        </w:rPr>
        <w:t xml:space="preserve"> odds ratios for increased </w:t>
      </w:r>
      <w:r w:rsidR="00D0733A">
        <w:rPr>
          <w:rFonts w:ascii="Calibri" w:hAnsi="Calibri" w:cs="Calibri"/>
        </w:rPr>
        <w:t xml:space="preserve">level of </w:t>
      </w:r>
      <w:r w:rsidR="00BC6017" w:rsidRPr="008C45AB">
        <w:rPr>
          <w:rFonts w:ascii="Calibri" w:hAnsi="Calibri" w:cs="Calibri"/>
        </w:rPr>
        <w:t>depressi</w:t>
      </w:r>
      <w:r w:rsidR="001F2834">
        <w:rPr>
          <w:rFonts w:ascii="Calibri" w:hAnsi="Calibri" w:cs="Calibri"/>
        </w:rPr>
        <w:t>ve symptoms</w:t>
      </w:r>
      <w:r w:rsidR="009E150B">
        <w:rPr>
          <w:rFonts w:ascii="Calibri" w:hAnsi="Calibri" w:cs="Calibri"/>
        </w:rPr>
        <w:t xml:space="preserve"> </w:t>
      </w:r>
      <w:r w:rsidR="00BC6017" w:rsidRPr="008C45AB">
        <w:rPr>
          <w:rFonts w:ascii="Calibri" w:hAnsi="Calibri" w:cs="Calibri"/>
        </w:rPr>
        <w:t>were 1.0 (reference), 1.6, 2.2, and 3.1 respectively (</w:t>
      </w:r>
      <w:r w:rsidR="00282FC8" w:rsidRPr="00F01CDE">
        <w:rPr>
          <w:rFonts w:ascii="Calibri" w:hAnsi="Calibri" w:cs="Calibri"/>
        </w:rPr>
        <w:t>p</w:t>
      </w:r>
      <w:r w:rsidRPr="008C45AB">
        <w:rPr>
          <w:rFonts w:ascii="Calibri" w:hAnsi="Calibri" w:cs="Calibri"/>
        </w:rPr>
        <w:t xml:space="preserve"> </w:t>
      </w:r>
      <w:r w:rsidR="00BC6017" w:rsidRPr="008C45AB">
        <w:rPr>
          <w:rFonts w:ascii="Calibri" w:hAnsi="Calibri" w:cs="Calibri"/>
        </w:rPr>
        <w:t>&lt;</w:t>
      </w:r>
      <w:r w:rsidRPr="008C45AB">
        <w:rPr>
          <w:rFonts w:ascii="Calibri" w:hAnsi="Calibri" w:cs="Calibri"/>
        </w:rPr>
        <w:t xml:space="preserve"> </w:t>
      </w:r>
      <w:r w:rsidR="00BC6017" w:rsidRPr="008C45AB">
        <w:rPr>
          <w:rFonts w:ascii="Calibri" w:hAnsi="Calibri" w:cs="Calibri"/>
        </w:rPr>
        <w:t>.001 for overall linear association) (</w:t>
      </w:r>
      <w:r w:rsidR="00BC6017" w:rsidRPr="008C45AB">
        <w:rPr>
          <w:rFonts w:ascii="Calibri" w:hAnsi="Calibri" w:cs="Calibri"/>
          <w:b/>
        </w:rPr>
        <w:t>Table 3</w:t>
      </w:r>
      <w:r w:rsidR="00BC6017" w:rsidRPr="008C45AB">
        <w:rPr>
          <w:rFonts w:ascii="Calibri" w:hAnsi="Calibri" w:cs="Calibri"/>
        </w:rPr>
        <w:t>).</w:t>
      </w:r>
      <w:r w:rsidRPr="008C45AB">
        <w:rPr>
          <w:rFonts w:ascii="Calibri" w:hAnsi="Calibri" w:cs="Calibri"/>
        </w:rPr>
        <w:t xml:space="preserve"> </w:t>
      </w:r>
      <w:r w:rsidR="00113959">
        <w:rPr>
          <w:rFonts w:ascii="Calibri" w:hAnsi="Calibri" w:cs="Calibri"/>
        </w:rPr>
        <w:t xml:space="preserve">Therefore, Hypothesis 1 was upheld. </w:t>
      </w:r>
      <w:r w:rsidRPr="008C45AB">
        <w:rPr>
          <w:rFonts w:ascii="Calibri" w:hAnsi="Calibri" w:cs="Calibri"/>
        </w:rPr>
        <w:t>However, in this multivariable model SMU, female sex, and being single were no longer independently associated with depression (</w:t>
      </w:r>
      <w:r w:rsidRPr="008C45AB">
        <w:rPr>
          <w:rFonts w:ascii="Calibri" w:hAnsi="Calibri" w:cs="Calibri"/>
          <w:b/>
        </w:rPr>
        <w:t>Table 3</w:t>
      </w:r>
      <w:r w:rsidRPr="008C45AB">
        <w:rPr>
          <w:rFonts w:ascii="Calibri" w:hAnsi="Calibri" w:cs="Calibri"/>
        </w:rPr>
        <w:t>). Multiracial status, lower income, and less education remained significantly associated with depression.</w:t>
      </w:r>
    </w:p>
    <w:p w:rsidR="00620644" w:rsidRPr="008C45AB" w:rsidRDefault="00620644" w:rsidP="006E27DA">
      <w:pPr>
        <w:tabs>
          <w:tab w:val="left" w:pos="720"/>
        </w:tabs>
        <w:spacing w:line="480" w:lineRule="auto"/>
        <w:rPr>
          <w:rFonts w:ascii="Calibri" w:hAnsi="Calibri" w:cs="Calibri"/>
        </w:rPr>
      </w:pPr>
    </w:p>
    <w:p w:rsidR="009F7A37" w:rsidRPr="009F7A37" w:rsidRDefault="00620644" w:rsidP="009F7A37">
      <w:pPr>
        <w:tabs>
          <w:tab w:val="left" w:pos="720"/>
        </w:tabs>
        <w:spacing w:line="480" w:lineRule="auto"/>
        <w:rPr>
          <w:rFonts w:ascii="Calibri" w:hAnsi="Calibri" w:cs="Calibri"/>
        </w:rPr>
      </w:pPr>
      <w:r w:rsidRPr="008C45AB">
        <w:rPr>
          <w:rFonts w:ascii="Calibri" w:hAnsi="Calibri" w:cs="Calibri"/>
          <w:b/>
          <w:i/>
          <w:u w:val="single"/>
        </w:rPr>
        <w:t>Anxiety.</w:t>
      </w:r>
      <w:r w:rsidRPr="008C45AB">
        <w:rPr>
          <w:rFonts w:ascii="Calibri" w:hAnsi="Calibri" w:cs="Calibri"/>
        </w:rPr>
        <w:t xml:space="preserve"> In a fully-adjusted multivariable model that controlled for all covariates and SMU, compared with those who used 0-2 platforms, those who used 7-11 platforms had more than </w:t>
      </w:r>
      <w:r w:rsidR="009B3FAA">
        <w:rPr>
          <w:rFonts w:ascii="Calibri" w:hAnsi="Calibri" w:cs="Calibri"/>
        </w:rPr>
        <w:t>three times</w:t>
      </w:r>
      <w:r w:rsidR="009E150B">
        <w:rPr>
          <w:rFonts w:ascii="Calibri" w:hAnsi="Calibri" w:cs="Calibri"/>
        </w:rPr>
        <w:t xml:space="preserve"> </w:t>
      </w:r>
      <w:r w:rsidRPr="008C45AB">
        <w:rPr>
          <w:rFonts w:ascii="Calibri" w:hAnsi="Calibri" w:cs="Calibri"/>
        </w:rPr>
        <w:t>the odds</w:t>
      </w:r>
      <w:r w:rsidR="009E150B">
        <w:rPr>
          <w:rFonts w:ascii="Calibri" w:hAnsi="Calibri" w:cs="Calibri"/>
        </w:rPr>
        <w:t xml:space="preserve"> </w:t>
      </w:r>
      <w:r w:rsidR="00D0733A">
        <w:rPr>
          <w:rFonts w:ascii="Calibri" w:hAnsi="Calibri" w:cs="Calibri"/>
        </w:rPr>
        <w:t xml:space="preserve"> of reporting high levels of </w:t>
      </w:r>
      <w:r w:rsidRPr="008C45AB">
        <w:rPr>
          <w:rFonts w:ascii="Calibri" w:hAnsi="Calibri" w:cs="Calibri"/>
        </w:rPr>
        <w:t xml:space="preserve">anxiety </w:t>
      </w:r>
      <w:r w:rsidR="00D0733A">
        <w:rPr>
          <w:rFonts w:ascii="Calibri" w:hAnsi="Calibri" w:cs="Calibri"/>
        </w:rPr>
        <w:t xml:space="preserve">symptoms </w:t>
      </w:r>
      <w:r w:rsidRPr="008C45AB">
        <w:rPr>
          <w:rFonts w:ascii="Calibri" w:hAnsi="Calibri" w:cs="Calibri"/>
        </w:rPr>
        <w:t>(OR = 3.3, 95% CI = 2.0, 5.3) (</w:t>
      </w:r>
      <w:r w:rsidRPr="008C45AB">
        <w:rPr>
          <w:rFonts w:ascii="Calibri" w:hAnsi="Calibri" w:cs="Calibri"/>
          <w:b/>
        </w:rPr>
        <w:t>Table 3</w:t>
      </w:r>
      <w:r w:rsidRPr="008C45AB">
        <w:rPr>
          <w:rFonts w:ascii="Calibri" w:hAnsi="Calibri" w:cs="Calibri"/>
        </w:rPr>
        <w:t xml:space="preserve">). Again, there was a linear association between </w:t>
      </w:r>
      <w:r w:rsidR="003D4509">
        <w:rPr>
          <w:rFonts w:ascii="Calibri" w:hAnsi="Calibri" w:cs="Calibri"/>
        </w:rPr>
        <w:t>use of multiple social media platforms</w:t>
      </w:r>
      <w:r w:rsidR="00417029">
        <w:rPr>
          <w:rFonts w:ascii="Calibri" w:hAnsi="Calibri" w:cs="Calibri"/>
        </w:rPr>
        <w:t xml:space="preserve"> </w:t>
      </w:r>
      <w:r w:rsidRPr="008C45AB">
        <w:rPr>
          <w:rFonts w:ascii="Calibri" w:hAnsi="Calibri" w:cs="Calibri"/>
        </w:rPr>
        <w:t xml:space="preserve">and </w:t>
      </w:r>
      <w:r w:rsidR="009B3FAA">
        <w:rPr>
          <w:rFonts w:ascii="Calibri" w:hAnsi="Calibri" w:cs="Calibri"/>
        </w:rPr>
        <w:t>anxiety</w:t>
      </w:r>
      <w:r w:rsidR="009E150B">
        <w:rPr>
          <w:rFonts w:ascii="Calibri" w:hAnsi="Calibri" w:cs="Calibri"/>
        </w:rPr>
        <w:t xml:space="preserve"> </w:t>
      </w:r>
      <w:r w:rsidRPr="008C45AB">
        <w:rPr>
          <w:rFonts w:ascii="Calibri" w:hAnsi="Calibri" w:cs="Calibri"/>
        </w:rPr>
        <w:t xml:space="preserve">in this multivariable analyses; for increasing quartiles of </w:t>
      </w:r>
      <w:r w:rsidR="00417029">
        <w:rPr>
          <w:rFonts w:ascii="Calibri" w:hAnsi="Calibri" w:cs="Calibri"/>
        </w:rPr>
        <w:t xml:space="preserve"> multiple platforms use</w:t>
      </w:r>
      <w:r w:rsidRPr="008C45AB">
        <w:rPr>
          <w:rFonts w:ascii="Calibri" w:hAnsi="Calibri" w:cs="Calibri"/>
        </w:rPr>
        <w:t xml:space="preserve"> odds ratios for increased </w:t>
      </w:r>
      <w:r w:rsidR="00D0733A">
        <w:rPr>
          <w:rFonts w:ascii="Calibri" w:hAnsi="Calibri" w:cs="Calibri"/>
        </w:rPr>
        <w:t xml:space="preserve">level </w:t>
      </w:r>
      <w:r w:rsidR="009B3FAA">
        <w:rPr>
          <w:rFonts w:ascii="Calibri" w:hAnsi="Calibri" w:cs="Calibri"/>
        </w:rPr>
        <w:t>of anxiety</w:t>
      </w:r>
      <w:r w:rsidR="00D0733A">
        <w:rPr>
          <w:rFonts w:ascii="Calibri" w:hAnsi="Calibri" w:cs="Calibri"/>
        </w:rPr>
        <w:t xml:space="preserve"> symptomology</w:t>
      </w:r>
      <w:r w:rsidR="009E150B">
        <w:rPr>
          <w:rFonts w:ascii="Calibri" w:hAnsi="Calibri" w:cs="Calibri"/>
        </w:rPr>
        <w:t xml:space="preserve"> </w:t>
      </w:r>
      <w:r w:rsidRPr="008C45AB">
        <w:rPr>
          <w:rFonts w:ascii="Calibri" w:hAnsi="Calibri" w:cs="Calibri"/>
        </w:rPr>
        <w:t xml:space="preserve"> were 1.0 (reference), 1.4, 1.9, and 3.3 respectively (</w:t>
      </w:r>
      <w:r w:rsidR="00282FC8" w:rsidRPr="00F01CDE">
        <w:rPr>
          <w:rFonts w:ascii="Calibri" w:hAnsi="Calibri" w:cs="Calibri"/>
        </w:rPr>
        <w:t>p</w:t>
      </w:r>
      <w:r w:rsidRPr="008C45AB">
        <w:rPr>
          <w:rFonts w:ascii="Calibri" w:hAnsi="Calibri" w:cs="Calibri"/>
        </w:rPr>
        <w:t xml:space="preserve"> &lt; .001 for overall linear association) (</w:t>
      </w:r>
      <w:r w:rsidRPr="008C45AB">
        <w:rPr>
          <w:rFonts w:ascii="Calibri" w:hAnsi="Calibri" w:cs="Calibri"/>
          <w:b/>
        </w:rPr>
        <w:t>Table 4</w:t>
      </w:r>
      <w:r w:rsidRPr="008C45AB">
        <w:rPr>
          <w:rFonts w:ascii="Calibri" w:hAnsi="Calibri" w:cs="Calibri"/>
        </w:rPr>
        <w:t xml:space="preserve">). </w:t>
      </w:r>
      <w:r w:rsidR="00113959">
        <w:rPr>
          <w:rFonts w:ascii="Calibri" w:hAnsi="Calibri" w:cs="Calibri"/>
        </w:rPr>
        <w:t xml:space="preserve">Therefore, Hypothesis 2 was upheld. </w:t>
      </w:r>
      <w:r w:rsidRPr="008C45AB">
        <w:rPr>
          <w:rFonts w:ascii="Calibri" w:hAnsi="Calibri" w:cs="Calibri"/>
        </w:rPr>
        <w:t xml:space="preserve">In this multivariable analysis, SMU and being single were no longer independently </w:t>
      </w:r>
      <w:r w:rsidRPr="008C45AB">
        <w:rPr>
          <w:rFonts w:ascii="Calibri" w:hAnsi="Calibri" w:cs="Calibri"/>
        </w:rPr>
        <w:lastRenderedPageBreak/>
        <w:t>associated with</w:t>
      </w:r>
      <w:r w:rsidR="009E150B">
        <w:rPr>
          <w:rFonts w:ascii="Calibri" w:hAnsi="Calibri" w:cs="Calibri"/>
        </w:rPr>
        <w:t xml:space="preserve"> </w:t>
      </w:r>
      <w:r w:rsidR="009B3FAA">
        <w:rPr>
          <w:rFonts w:ascii="Calibri" w:hAnsi="Calibri" w:cs="Calibri"/>
        </w:rPr>
        <w:t>anxiety</w:t>
      </w:r>
      <w:r w:rsidR="00D0733A">
        <w:rPr>
          <w:rFonts w:ascii="Calibri" w:hAnsi="Calibri" w:cs="Calibri"/>
        </w:rPr>
        <w:t xml:space="preserve"> symptoms</w:t>
      </w:r>
      <w:r w:rsidR="009B3FAA">
        <w:rPr>
          <w:rFonts w:ascii="Calibri" w:hAnsi="Calibri" w:cs="Calibri"/>
        </w:rPr>
        <w:t xml:space="preserve"> </w:t>
      </w:r>
      <w:r w:rsidRPr="008C45AB">
        <w:rPr>
          <w:rFonts w:ascii="Calibri" w:hAnsi="Calibri" w:cs="Calibri"/>
        </w:rPr>
        <w:t>(</w:t>
      </w:r>
      <w:r w:rsidRPr="008C45AB">
        <w:rPr>
          <w:rFonts w:ascii="Calibri" w:hAnsi="Calibri" w:cs="Calibri"/>
          <w:b/>
        </w:rPr>
        <w:t>Table 4</w:t>
      </w:r>
      <w:r w:rsidRPr="008C45AB">
        <w:rPr>
          <w:rFonts w:ascii="Calibri" w:hAnsi="Calibri" w:cs="Calibri"/>
        </w:rPr>
        <w:t xml:space="preserve">). However, female sex, multiracial status, </w:t>
      </w:r>
      <w:r w:rsidR="00B40ED0">
        <w:rPr>
          <w:rFonts w:ascii="Calibri" w:hAnsi="Calibri" w:cs="Calibri"/>
        </w:rPr>
        <w:t xml:space="preserve">lower </w:t>
      </w:r>
      <w:r w:rsidRPr="008C45AB">
        <w:rPr>
          <w:rFonts w:ascii="Calibri" w:hAnsi="Calibri" w:cs="Calibri"/>
        </w:rPr>
        <w:t>income, and less education remained significantly associated with anxiety.</w:t>
      </w:r>
      <w:r w:rsidR="009F7A37">
        <w:rPr>
          <w:rFonts w:ascii="Calibri" w:hAnsi="Calibri" w:cs="Arial"/>
          <w:b/>
          <w:bCs/>
        </w:rPr>
        <w:br w:type="page"/>
      </w:r>
    </w:p>
    <w:p w:rsidR="001B5E72" w:rsidRPr="008C45AB" w:rsidRDefault="001F44D6" w:rsidP="001F44D6">
      <w:pPr>
        <w:tabs>
          <w:tab w:val="left" w:pos="-720"/>
        </w:tabs>
        <w:spacing w:line="480" w:lineRule="auto"/>
        <w:rPr>
          <w:rFonts w:ascii="Calibri" w:hAnsi="Calibri" w:cs="Calibri"/>
        </w:rPr>
      </w:pPr>
      <w:r>
        <w:rPr>
          <w:rFonts w:ascii="Calibri" w:hAnsi="Calibri" w:cs="Arial"/>
          <w:b/>
          <w:bCs/>
        </w:rPr>
        <w:lastRenderedPageBreak/>
        <w:t xml:space="preserve">4. </w:t>
      </w:r>
      <w:r w:rsidR="001B5E72" w:rsidRPr="008C45AB">
        <w:rPr>
          <w:rFonts w:ascii="Calibri" w:hAnsi="Calibri" w:cs="Arial"/>
          <w:b/>
          <w:bCs/>
        </w:rPr>
        <w:t>DISCUSSION</w:t>
      </w:r>
    </w:p>
    <w:p w:rsidR="001B5E72" w:rsidRPr="008C45AB" w:rsidRDefault="001B5E72" w:rsidP="001B5E72">
      <w:pPr>
        <w:spacing w:line="480" w:lineRule="auto"/>
        <w:rPr>
          <w:rFonts w:ascii="Calibri" w:hAnsi="Calibri" w:cs="Arial"/>
        </w:rPr>
      </w:pPr>
    </w:p>
    <w:p w:rsidR="001B5E72" w:rsidRPr="008C45AB" w:rsidRDefault="001B5E72" w:rsidP="001B5E72">
      <w:pPr>
        <w:spacing w:line="480" w:lineRule="auto"/>
        <w:rPr>
          <w:rFonts w:ascii="Calibri" w:eastAsia="Calibri" w:hAnsi="Calibri" w:cs="Arial"/>
          <w:bCs/>
          <w:color w:val="000000"/>
        </w:rPr>
      </w:pPr>
      <w:r w:rsidRPr="008C45AB">
        <w:rPr>
          <w:rFonts w:ascii="Calibri" w:eastAsia="Calibri" w:hAnsi="Calibri" w:cs="Arial"/>
          <w:bCs/>
          <w:color w:val="000000"/>
        </w:rPr>
        <w:t>Among a nationally-representative cohort of individuals ages 19-32, w</w:t>
      </w:r>
      <w:r w:rsidR="00512AC4" w:rsidRPr="008C45AB">
        <w:rPr>
          <w:rFonts w:ascii="Calibri" w:eastAsia="Calibri" w:hAnsi="Calibri" w:cs="Arial"/>
          <w:bCs/>
          <w:color w:val="000000"/>
        </w:rPr>
        <w:t>e found robust</w:t>
      </w:r>
      <w:r w:rsidRPr="008C45AB">
        <w:rPr>
          <w:rFonts w:ascii="Calibri" w:eastAsia="Calibri" w:hAnsi="Calibri" w:cs="Arial"/>
          <w:bCs/>
          <w:color w:val="000000"/>
        </w:rPr>
        <w:t xml:space="preserve"> linear associations between increase</w:t>
      </w:r>
      <w:r w:rsidR="00512AC4" w:rsidRPr="008C45AB">
        <w:rPr>
          <w:rFonts w:ascii="Calibri" w:eastAsia="Calibri" w:hAnsi="Calibri" w:cs="Arial"/>
          <w:bCs/>
          <w:color w:val="000000"/>
        </w:rPr>
        <w:t>d</w:t>
      </w:r>
      <w:r w:rsidRPr="008C45AB">
        <w:rPr>
          <w:rFonts w:ascii="Calibri" w:eastAsia="Calibri" w:hAnsi="Calibri" w:cs="Arial"/>
          <w:bCs/>
          <w:color w:val="000000"/>
        </w:rPr>
        <w:t xml:space="preserve"> </w:t>
      </w:r>
      <w:r w:rsidR="00417029">
        <w:rPr>
          <w:rFonts w:ascii="Calibri" w:eastAsia="Calibri" w:hAnsi="Calibri" w:cs="Arial"/>
          <w:bCs/>
          <w:color w:val="000000"/>
        </w:rPr>
        <w:t>use of multiple social media platforms</w:t>
      </w:r>
      <w:r w:rsidRPr="008C45AB">
        <w:rPr>
          <w:rFonts w:ascii="Calibri" w:eastAsia="Calibri" w:hAnsi="Calibri" w:cs="Arial"/>
          <w:bCs/>
          <w:color w:val="000000"/>
        </w:rPr>
        <w:t xml:space="preserve"> and </w:t>
      </w:r>
      <w:r w:rsidR="00620644" w:rsidRPr="008C45AB">
        <w:rPr>
          <w:rFonts w:ascii="Calibri" w:eastAsia="Calibri" w:hAnsi="Calibri" w:cs="Arial"/>
          <w:bCs/>
          <w:color w:val="000000"/>
        </w:rPr>
        <w:t xml:space="preserve">both </w:t>
      </w:r>
      <w:r w:rsidR="00417029">
        <w:rPr>
          <w:rFonts w:ascii="Calibri" w:eastAsia="Calibri" w:hAnsi="Calibri" w:cs="Arial"/>
          <w:bCs/>
          <w:color w:val="000000"/>
        </w:rPr>
        <w:t xml:space="preserve">self-reported </w:t>
      </w:r>
      <w:r w:rsidR="00620644" w:rsidRPr="008C45AB">
        <w:rPr>
          <w:rFonts w:ascii="Calibri" w:eastAsia="Calibri" w:hAnsi="Calibri" w:cs="Arial"/>
          <w:bCs/>
          <w:color w:val="000000"/>
        </w:rPr>
        <w:t>depression and anxiety</w:t>
      </w:r>
      <w:r w:rsidRPr="008C45AB">
        <w:rPr>
          <w:rFonts w:ascii="Calibri" w:eastAsia="Calibri" w:hAnsi="Calibri" w:cs="Arial"/>
          <w:bCs/>
          <w:color w:val="000000"/>
        </w:rPr>
        <w:t>, even after adjusting for a comprehensive set of covariates</w:t>
      </w:r>
      <w:r w:rsidR="00620644" w:rsidRPr="008C45AB">
        <w:rPr>
          <w:rFonts w:ascii="Calibri" w:eastAsia="Calibri" w:hAnsi="Calibri" w:cs="Arial"/>
          <w:bCs/>
          <w:color w:val="000000"/>
        </w:rPr>
        <w:t xml:space="preserve"> that included overall </w:t>
      </w:r>
      <w:r w:rsidR="00E57173" w:rsidRPr="008C45AB">
        <w:rPr>
          <w:rFonts w:ascii="Calibri" w:eastAsia="Calibri" w:hAnsi="Calibri" w:cs="Arial"/>
          <w:bCs/>
          <w:color w:val="000000"/>
        </w:rPr>
        <w:t>SMU</w:t>
      </w:r>
      <w:r w:rsidRPr="008C45AB">
        <w:rPr>
          <w:rFonts w:ascii="Calibri" w:eastAsia="Calibri" w:hAnsi="Calibri" w:cs="Arial"/>
          <w:bCs/>
          <w:color w:val="000000"/>
        </w:rPr>
        <w:t xml:space="preserve">. </w:t>
      </w:r>
      <w:r w:rsidR="00620644" w:rsidRPr="008C45AB">
        <w:rPr>
          <w:rFonts w:ascii="Calibri" w:eastAsia="Calibri" w:hAnsi="Calibri" w:cs="Arial"/>
          <w:bCs/>
          <w:color w:val="000000"/>
        </w:rPr>
        <w:t xml:space="preserve">Notably, in </w:t>
      </w:r>
      <w:r w:rsidR="00E57173" w:rsidRPr="008C45AB">
        <w:rPr>
          <w:rFonts w:ascii="Calibri" w:eastAsia="Calibri" w:hAnsi="Calibri" w:cs="Arial"/>
          <w:bCs/>
          <w:color w:val="000000"/>
        </w:rPr>
        <w:t xml:space="preserve">both multivariable models, the initially significant association between SMU and </w:t>
      </w:r>
      <w:r w:rsidR="009B3FAA">
        <w:rPr>
          <w:rFonts w:ascii="Calibri" w:eastAsia="Calibri" w:hAnsi="Calibri" w:cs="Arial"/>
          <w:bCs/>
          <w:color w:val="000000"/>
        </w:rPr>
        <w:t>depressive and anxiety symptoms</w:t>
      </w:r>
      <w:r w:rsidR="009E150B">
        <w:rPr>
          <w:rFonts w:ascii="Calibri" w:eastAsia="Calibri" w:hAnsi="Calibri" w:cs="Arial"/>
          <w:bCs/>
          <w:color w:val="000000"/>
        </w:rPr>
        <w:t xml:space="preserve"> </w:t>
      </w:r>
      <w:r w:rsidR="00E57173" w:rsidRPr="008C45AB">
        <w:rPr>
          <w:rFonts w:ascii="Calibri" w:eastAsia="Calibri" w:hAnsi="Calibri" w:cs="Arial"/>
          <w:bCs/>
          <w:color w:val="000000"/>
        </w:rPr>
        <w:t>did not remain significant.</w:t>
      </w:r>
    </w:p>
    <w:p w:rsidR="00E57173" w:rsidRPr="008C45AB" w:rsidRDefault="00E57173" w:rsidP="001B5E72">
      <w:pPr>
        <w:spacing w:line="480" w:lineRule="auto"/>
        <w:rPr>
          <w:rFonts w:ascii="Calibri" w:eastAsia="Calibri" w:hAnsi="Calibri" w:cs="Arial"/>
          <w:bCs/>
          <w:color w:val="000000"/>
        </w:rPr>
      </w:pPr>
    </w:p>
    <w:p w:rsidR="00E57173" w:rsidRPr="008C45AB" w:rsidRDefault="00E57173" w:rsidP="001B5E72">
      <w:pPr>
        <w:spacing w:line="480" w:lineRule="auto"/>
        <w:rPr>
          <w:rFonts w:ascii="Calibri" w:eastAsia="Calibri" w:hAnsi="Calibri" w:cs="Arial"/>
          <w:bCs/>
          <w:color w:val="000000"/>
        </w:rPr>
      </w:pPr>
      <w:r w:rsidRPr="008C45AB">
        <w:rPr>
          <w:rFonts w:ascii="Calibri" w:eastAsia="Calibri" w:hAnsi="Calibri" w:cs="Arial"/>
          <w:bCs/>
          <w:color w:val="000000"/>
        </w:rPr>
        <w:t xml:space="preserve">Our results </w:t>
      </w:r>
      <w:r w:rsidR="00EC4A52">
        <w:rPr>
          <w:rFonts w:ascii="Calibri" w:eastAsia="Calibri" w:hAnsi="Calibri" w:cs="Arial"/>
          <w:bCs/>
          <w:color w:val="000000"/>
        </w:rPr>
        <w:t xml:space="preserve">are </w:t>
      </w:r>
      <w:r w:rsidRPr="008C45AB">
        <w:rPr>
          <w:rFonts w:ascii="Calibri" w:eastAsia="Calibri" w:hAnsi="Calibri" w:cs="Arial"/>
          <w:bCs/>
          <w:color w:val="000000"/>
        </w:rPr>
        <w:t xml:space="preserve">broadly consistent with </w:t>
      </w:r>
      <w:r w:rsidR="00EC4A52">
        <w:rPr>
          <w:rFonts w:ascii="Calibri" w:eastAsia="Calibri" w:hAnsi="Calibri" w:cs="Arial"/>
          <w:bCs/>
          <w:color w:val="000000"/>
        </w:rPr>
        <w:t>previous</w:t>
      </w:r>
      <w:r w:rsidR="009E150B">
        <w:rPr>
          <w:rFonts w:ascii="Calibri" w:eastAsia="Calibri" w:hAnsi="Calibri" w:cs="Arial"/>
          <w:bCs/>
          <w:color w:val="000000"/>
        </w:rPr>
        <w:t xml:space="preserve"> </w:t>
      </w:r>
      <w:r w:rsidRPr="008C45AB">
        <w:rPr>
          <w:rFonts w:ascii="Calibri" w:eastAsia="Calibri" w:hAnsi="Calibri" w:cs="Arial"/>
          <w:bCs/>
          <w:color w:val="000000"/>
        </w:rPr>
        <w:t xml:space="preserve">research that has suggested associations between overall </w:t>
      </w:r>
      <w:r w:rsidR="008E46DA" w:rsidRPr="008C45AB">
        <w:rPr>
          <w:rFonts w:ascii="Calibri" w:eastAsia="Calibri" w:hAnsi="Calibri" w:cs="Arial"/>
          <w:bCs/>
          <w:color w:val="000000"/>
        </w:rPr>
        <w:t>SMU</w:t>
      </w:r>
      <w:r w:rsidRPr="008C45AB">
        <w:rPr>
          <w:rFonts w:ascii="Calibri" w:eastAsia="Calibri" w:hAnsi="Calibri" w:cs="Arial"/>
          <w:bCs/>
          <w:color w:val="000000"/>
        </w:rPr>
        <w:t xml:space="preserve"> </w:t>
      </w:r>
      <w:r w:rsidR="00073F49">
        <w:rPr>
          <w:rFonts w:ascii="Calibri" w:eastAsia="Calibri" w:hAnsi="Calibri" w:cs="Arial"/>
          <w:bCs/>
          <w:color w:val="000000"/>
        </w:rPr>
        <w:t xml:space="preserve">and both depression and anxiety </w:t>
      </w:r>
      <w:r w:rsidR="0053656A" w:rsidRPr="008C45AB">
        <w:rPr>
          <w:rFonts w:ascii="Calibri" w:eastAsia="Calibri" w:hAnsi="Calibri" w:cs="Arial"/>
          <w:bCs/>
          <w:color w:val="000000"/>
        </w:rPr>
        <w:fldChar w:fldCharType="begin" w:fldLock="1"/>
      </w:r>
      <w:r w:rsidR="001F2834">
        <w:rPr>
          <w:rFonts w:ascii="Calibri" w:eastAsia="Calibri" w:hAnsi="Calibri" w:cs="Arial"/>
          <w:bCs/>
          <w:color w:val="000000"/>
        </w:rPr>
        <w:instrText>ADDIN CSL_CITATION { "citationItems" : [ { "id" : "ITEM-1", "itemData" : { "DOI" : "10.1007/s10900-015-0128-8", "ISSN" : "0094-5145", "PMID" : "26613936", "abstract" : "Low emotional support is associated with poor health outcomes. Engagement with face-to-face social networks is one way of increasing emotional support. However, it is not yet known whether engagement with proliferating electronic social networks is similarly associated with increased emotional support. Thus, the purpose of this study was to assess associations between social media use and perceived emotional support in a large, nationally-representative sample. In October 2014, we collected data from 1796 U.S. adults ages 19\u201332. We assessed social media use using both total time spent and frequency of visits to each of the 11 most popular social media platforms. Our dependent variable was perceived emotional support as measured by the brief Patient-Reported Outcomes Measurement Information System (PROMIS) emotional support scale. A multivariable model including all sociodemographic covariates and accounting for survey weights demonstrated that, compared with the lowest quartile of time on social media, being in the highest quartile (spending two or more hours per day) was significantly associated with decreased odds of having higher perceived emotional support (AOR 0.62, 95 % CI 0.40, 0.94). However, compared with those in the lowest quartile, being in the highest quartile regarding frequency of social media use was not significantly associated with perceived emotional support (AOR 0.70, 95 % CI 0.45, 1.09). In conclusion, while the cross-sectional nature of these data hinder inference regarding directionality, it seems that heavy users of social media may actually feel less and not more emotional support.", "author" : [ { "dropping-particle" : "", "family" : "Shensa", "given" : "A", "non-dropping-particle" : "", "parse-names" : false, "suffix" : "" }, { "dropping-particle" : "", "family" : "Sidani", "given" : "J E", "non-dropping-particle" : "", "parse-names" : false, "suffix" : "" }, { "dropping-particle" : "", "family" : "Lin", "given" : "L", "non-dropping-particle" : "", "parse-names" : false, "suffix" : "" }, { "dropping-particle" : "", "family" : "Bowman", "given" : "N", "non-dropping-particle" : "", "parse-names" : false, "suffix" : "" }, { "dropping-particle" : "", "family" : "Primack", "given" : "B A", "non-dropping-particle" : "", "parse-names" : false, "suffix" : "" } ], "container-title" : "Journal of Community Health", "id" : "ITEM-1", "issue" : "3", "issued" : { "date-parts" : [ [ "2016", "6", "27" ] ] }, "page" : "541-549", "title" : "Social media use and perceived emotional support among US young adults", "type" : "article-journal", "volume" : "41" }, "uris" : [ "http://www.mendeley.com/documents/?uuid=5792898b-9eca-43b9-b221-3940205d79b4" ] }, { "id" : "ITEM-2", "itemData" : { "DOI" : "10.1371/journal.pone.0069841", "ISSN" : "1932-6203", "PMID" : "23967061", "abstract" : "Over 500 million people interact daily with Facebook. Yet, whether Facebook use influences subjective well-being over time is unknown. We addressed this issue using experience-sampling, the most reliable method for measuring in-vivo behavior and psychological experience. We text-messaged people five times per day for two-weeks to examine how Facebook use influences the two components of subjective well-being: how people feel moment-to-moment and how satisfied they are with their lives. Our results indicate that Facebook use predicts negative shifts on both of these variables over time. The more people used Facebook at one time point, the worse they felt the next time we text-messaged them; the more they used Facebook over two-weeks, the more their life satisfaction levels declined over time. Interacting with other people \"directly\" did not predict these negative outcomes. They were also not moderated by the size of people's Facebook networks, their perceived supportiveness, motivation for using Facebook, gender, loneliness, self-esteem, or depression. On the surface, Facebook provides an invaluable resource for fulfilling the basic human need for social connection. Rather than enhancing well-being, however, these findings suggest that Facebook may undermine it.", "author" : [ { "dropping-particle" : "", "family" : "Kross", "given" : "E", "non-dropping-particle" : "", "parse-names" : false, "suffix" : "" }, { "dropping-particle" : "", "family" : "Verduyn", "given" : "P", "non-dropping-particle" : "", "parse-names" : false, "suffix" : "" }, { "dropping-particle" : "", "family" : "Demiralp", "given" : "E", "non-dropping-particle" : "", "parse-names" : false, "suffix" : "" }, { "dropping-particle" : "", "family" : "Park", "given" : "J", "non-dropping-particle" : "", "parse-names" : false, "suffix" : "" }, { "dropping-particle" : "", "family" : "Lee", "given" : "D S", "non-dropping-particle" : "", "parse-names" : false, "suffix" : "" }, { "dropping-particle" : "", "family" : "Lin", "given" : "N", "non-dropping-particle" : "", "parse-names" : false, "suffix" : "" }, { "dropping-particle" : "", "family" : "Shablack", "given" : "H", "non-dropping-particle" : "", "parse-names" : false, "suffix" : "" }, { "dropping-particle" : "", "family" : "Jonides", "given" : "J", "non-dropping-particle" : "", "parse-names" : false, "suffix" : "" }, { "dropping-particle" : "", "family" : "Ybarra", "given" : "O", "non-dropping-particle" : "", "parse-names" : false, "suffix" : "" } ], "container-title" : "PLOS ONE", "id" : "ITEM-2", "issue" : "8", "issued" : { "date-parts" : [ [ "2013", "1" ] ] }, "title" : "Facebook use predicts declines in subjective well-being in young adults", "type" : "article-journal", "volume" : "8" }, "uris" : [ "http://www.mendeley.com/documents/?uuid=873515fa-d7e2-4b35-87c7-268dadc4db77" ] }, { "id" : "ITEM-3", "itemData" : { "DOI" : "10.1089/cyber.2011.0324", "ISSN" : "2152-2723", "PMID" : "22165917", "abstract" : "Facebook, as one of the most popular social networking sites among college students, provides a platform for people to manage others' impressions of them. People tend to present themselves in a favorable way on their Facebook profile. This research examines the impact of using Facebook on people's perceptions of others' lives. It is argued that those with deeper involvement with Facebook will have different perceptions of others than those less involved due to two reasons. First, Facebook users tend to base judgment on examples easily recalled (the availability heuristic). Second, Facebook users tend to attribute the positive content presented on Facebook to others' personality, rather than situational factors (correspondence bias), especially for those they do not know personally. Questionnaires, including items measuring years of using Facebook, time spent on Facebook each week, number of people listed as their Facebook \"friends,\" and perceptions about others' lives, were completed by 425 undergraduate students taking classes across various academic disciplines at a state university in Utah. Surveys were collected during regular class period, except for two online classes where surveys were submitted online. The multivariate analysis indicated that those who have used Facebook longer agreed more that others were happier, and agreed less that life is fair, and those spending more time on Facebook each week agreed more that others were happier and had better lives. Furthermore, those that included more people whom they did not personally know as their Facebook \"friends\" agreed more that others had better lives.", "author" : [ { "dropping-particle" : "", "family" : "Chou", "given" : "H T G", "non-dropping-particle" : "", "parse-names" : false, "suffix" : "" }, { "dropping-particle" : "", "family" : "Edge", "given" : "N", "non-dropping-particle" : "", "parse-names" : false, "suffix" : "" } ], "container-title" : "Cyberpsychology, Behavior and Social Networking", "id" : "ITEM-3", "issue" : "2", "issued" : { "date-parts" : [ [ "2012", "2" ] ] }, "page" : "117-21", "title" : "\"They are happier and having better lives than I am\": The impact of using Facebook on perceptions of others' lives.", "type" : "article-journal", "volume" : "15" }, "uris" : [ "http://www.mendeley.com/documents/?uuid=08282e10-493a-44d6-aaef-9dafcf34fe60" ] }, { "id" : "ITEM-4", "itemData" : { "DOI" : "10.1016/j.chb.2014.03.003", "ISSN" : "07475632", "abstract" : "Facebook is the world's most popular online social network and used by more than one billion people. In three studies, we explored the hypothesis that Facebook activity negatively affects people's emotional state. A first study shows that the longer people are active on Facebook, the more negative is their mood afterwards. The second study provides causal evidence for this effect by showing that Facebook activity leads to a deterioration of mood compared to two different control conditions. Furthermore, it was demonstrated that this effect is mediated by a feeling of not having done anything meaningful. With such negative outcomes for its users, the question arises as to why so many people continue to use Facebook on a daily basis. A third study suggests that this may be because people commit an affective forecasting error in that they expect to feel better after using Facebook, whereas, in fact, they feel worse. ?? 2014 Elsevier Ltd. All rights reserved.", "author" : [ { "dropping-particle" : "", "family" : "Sagioglou", "given" : "C", "non-dropping-particle" : "", "parse-names" : false, "suffix" : "" }, { "dropping-particle" : "", "family" : "Greitemeyer", "given" : "T", "non-dropping-particle" : "", "parse-names" : false, "suffix" : "" } ], "container-title" : "Computers in Human Behavior", "id" : "ITEM-4", "issued" : { "date-parts" : [ [ "2014" ] ] }, "page" : "359-363", "title" : "Facebook's emotional consequences: Why Facebook causes a decrease in mood and why people still use it", "type" : "article-journal", "volume" : "35" }, "uris" : [ "http://www.mendeley.com/documents/?uuid=ae944b7a-8a43-444c-a983-dd70da5165c4" ] }, { "id" : "ITEM-5", "itemData" : { "DOI" : "10.1002/da.22466", "ISSN" : "10914269", "abstract" : "Background Social media (SM) use is increasing among U.S. young adults, and its association with mental well-being remains unclear. This study assessed the association between SM use and depression in a nationally representative sample of young adults. Methods We surveyed 1,787 adults ages 19 to 32 about SM use and depression. Participants were recruited via random digit dialing and address-based sampling. SM use was assessed by self-reported total time per day spent on SM, visits per week, and a global frequency score based on the Pew Internet Research Questionnaire. Depression was assessed using the Patient-Reported Outcomes Measurement Information System (PROMIS) Depression Scale Short Form. Chi-squared tests and ordered logistic regressions were performed with sample weights. Results The weighted sample was 50.3% female and 57.5% White. Compared to those in the lowest quartile of total time per day spent on SM, participants in the highest quartile had significantly increased odds of depression (AOR = 1.66, 95% CI = 1.14\u20132.42) after controlling for all covariates. Compared with those in the lowest quartile, individuals in the highest quartile of SM site visits per week and those with a higher global frequency score had significantly increased odds of depression (AOR = 2.74, 95% CI = 1.86\u20134.04; AOR = 3.05, 95% CI = 2.03\u20134.59, respectively). All associations between independent variables and depression had strong, linear, dose\u2013response trends. Results were robust to all sensitivity analyses. Conclusions SM use was significantly associated with increased depression. Given the proliferation of SM, identifying the mechanisms and direction of this association is critical for informing interventions that address SM use and depression.", "author" : [ { "dropping-particle" : "", "family" : "Lin", "given" : "L Y", "non-dropping-particle" : "", "parse-names" : false, "suffix" : "" }, { "dropping-particle" : "", "family" : "Sidani", "given" : "J E", "non-dropping-particle" : "", "parse-names" : false, "suffix" : "" }, { "dropping-particle" : "", "family" : "Shensa", "given" : "A", "non-dropping-particle" : "", "parse-names" : false, "suffix" : "" }, { "dropping-particle" : "", "family" : "Radovic", "given" : "A", "non-dropping-particle" : "", "parse-names" : false, "suffix" : "" }, { "dropping-particle" : "", "family" : "Miller", "given" : "E", "non-dropping-particle" : "", "parse-names" : false, "suffix" : "" }, { "dropping-particle" : "", "family" : "Colditz", "given" : "J B", "non-dropping-particle" : "", "parse-names" : false, "suffix" : "" }, { "dropping-particle" : "", "family" : "Hoffman", "given" : "B H", "non-dropping-particle" : "", "parse-names" : false, "suffix" : "" }, { "dropping-particle" : "", "family" : "Giles", "given" : "L", "non-dropping-particle" : "", "parse-names" : false, "suffix" : "" }, { "dropping-particle" : "", "family" : "Primack", "given" : "B A", "non-dropping-particle" : "", "parse-names" : false, "suffix" : "" } ], "container-title" : "Depression and Anxiety", "id" : "ITEM-5", "issue" : "4", "issued" : { "date-parts" : [ [ "2016", "1" ] ] }, "page" : "323\u2013331", "title" : "Association between social media use and depression among U.S. young adults", "type" : "article-journal", "volume" : "33" }, "uris" : [ "http://www.mendeley.com/documents/?uuid=7a3bfbe4-9ba6-4699-a631-8c6c80a4f4aa" ] } ], "mendeley" : { "formattedCitation" : "(Chou &amp; Edge, 2012; Kross et al., 2013; L. Y. Lin et al., 2016; Sagioglou &amp; Greitemeyer, 2014; Shensa et al., 2016)", "plainTextFormattedCitation" : "(Chou &amp; Edge, 2012; Kross et al., 2013; L. Y. Lin et al., 2016; Sagioglou &amp; Greitemeyer, 2014; Shensa et al., 2016)", "previouslyFormattedCitation" : "&lt;sup&gt;12,16,19,43,44&lt;/sup&gt;" }, "properties" : { "noteIndex" : 0 }, "schema" : "https://github.com/citation-style-language/schema/raw/master/csl-citation.json" }</w:instrText>
      </w:r>
      <w:r w:rsidR="0053656A" w:rsidRPr="008C45AB">
        <w:rPr>
          <w:rFonts w:ascii="Calibri" w:eastAsia="Calibri" w:hAnsi="Calibri" w:cs="Arial"/>
          <w:bCs/>
          <w:color w:val="000000"/>
        </w:rPr>
        <w:fldChar w:fldCharType="separate"/>
      </w:r>
      <w:r w:rsidR="001F2834" w:rsidRPr="001F2834">
        <w:rPr>
          <w:rFonts w:ascii="Calibri" w:eastAsia="Calibri" w:hAnsi="Calibri" w:cs="Arial"/>
          <w:bCs/>
          <w:noProof/>
          <w:color w:val="000000"/>
        </w:rPr>
        <w:t>(Chou &amp; Edge, 2012; Kross et al., 2013; L. Y. Lin et al., 2016; Sagioglou &amp; Greitemeyer, 2014; Shensa et al., 2016)</w:t>
      </w:r>
      <w:r w:rsidR="0053656A" w:rsidRPr="008C45AB">
        <w:rPr>
          <w:rFonts w:ascii="Calibri" w:eastAsia="Calibri" w:hAnsi="Calibri" w:cs="Arial"/>
          <w:bCs/>
          <w:color w:val="000000"/>
        </w:rPr>
        <w:fldChar w:fldCharType="end"/>
      </w:r>
      <w:r w:rsidR="00073F49">
        <w:rPr>
          <w:rFonts w:ascii="Calibri" w:eastAsia="Calibri" w:hAnsi="Calibri" w:cs="Arial"/>
          <w:bCs/>
          <w:color w:val="000000"/>
        </w:rPr>
        <w:t>.</w:t>
      </w:r>
      <w:r w:rsidR="00A05362" w:rsidRPr="008C45AB">
        <w:rPr>
          <w:rFonts w:ascii="Calibri" w:eastAsia="Calibri" w:hAnsi="Calibri" w:cs="Arial"/>
          <w:bCs/>
          <w:color w:val="000000"/>
        </w:rPr>
        <w:t xml:space="preserve"> </w:t>
      </w:r>
      <w:r w:rsidR="001B5E72" w:rsidRPr="008C45AB">
        <w:rPr>
          <w:rFonts w:ascii="Calibri" w:eastAsia="Calibri" w:hAnsi="Calibri" w:cs="Arial"/>
          <w:bCs/>
          <w:color w:val="000000"/>
        </w:rPr>
        <w:t xml:space="preserve">However, </w:t>
      </w:r>
      <w:r w:rsidR="00CA404F">
        <w:rPr>
          <w:rFonts w:ascii="Calibri" w:eastAsia="Calibri" w:hAnsi="Calibri" w:cs="Arial"/>
          <w:bCs/>
          <w:color w:val="000000"/>
        </w:rPr>
        <w:t>our analyses</w:t>
      </w:r>
      <w:r w:rsidR="009E150B">
        <w:rPr>
          <w:rFonts w:ascii="Calibri" w:eastAsia="Calibri" w:hAnsi="Calibri" w:cs="Arial"/>
          <w:bCs/>
          <w:color w:val="000000"/>
        </w:rPr>
        <w:t xml:space="preserve"> </w:t>
      </w:r>
      <w:r w:rsidRPr="008C45AB">
        <w:rPr>
          <w:rFonts w:ascii="Calibri" w:eastAsia="Calibri" w:hAnsi="Calibri" w:cs="Arial"/>
          <w:bCs/>
          <w:color w:val="000000"/>
        </w:rPr>
        <w:t>make an important contribution to the literature</w:t>
      </w:r>
      <w:r w:rsidR="009E150B">
        <w:rPr>
          <w:rFonts w:ascii="Calibri" w:eastAsia="Calibri" w:hAnsi="Calibri" w:cs="Arial"/>
          <w:bCs/>
          <w:color w:val="000000"/>
        </w:rPr>
        <w:t xml:space="preserve"> </w:t>
      </w:r>
      <w:r w:rsidRPr="008C45AB">
        <w:rPr>
          <w:rFonts w:ascii="Calibri" w:eastAsia="Calibri" w:hAnsi="Calibri" w:cs="Arial"/>
          <w:bCs/>
          <w:color w:val="000000"/>
        </w:rPr>
        <w:t>suggest</w:t>
      </w:r>
      <w:r w:rsidR="00EC4A52">
        <w:rPr>
          <w:rFonts w:ascii="Calibri" w:eastAsia="Calibri" w:hAnsi="Calibri" w:cs="Arial"/>
          <w:bCs/>
          <w:color w:val="000000"/>
        </w:rPr>
        <w:t>ing</w:t>
      </w:r>
      <w:r w:rsidRPr="008C45AB">
        <w:rPr>
          <w:rFonts w:ascii="Calibri" w:eastAsia="Calibri" w:hAnsi="Calibri" w:cs="Arial"/>
          <w:bCs/>
          <w:color w:val="000000"/>
        </w:rPr>
        <w:t xml:space="preserve"> that the overall association between </w:t>
      </w:r>
      <w:r w:rsidR="008E46DA" w:rsidRPr="008C45AB">
        <w:rPr>
          <w:rFonts w:ascii="Calibri" w:eastAsia="Calibri" w:hAnsi="Calibri" w:cs="Arial"/>
          <w:bCs/>
          <w:color w:val="000000"/>
        </w:rPr>
        <w:t>SMU</w:t>
      </w:r>
      <w:r w:rsidRPr="008C45AB">
        <w:rPr>
          <w:rFonts w:ascii="Calibri" w:eastAsia="Calibri" w:hAnsi="Calibri" w:cs="Arial"/>
          <w:bCs/>
          <w:color w:val="000000"/>
        </w:rPr>
        <w:t xml:space="preserve"> and</w:t>
      </w:r>
      <w:r w:rsidR="009E150B">
        <w:rPr>
          <w:rFonts w:ascii="Calibri" w:eastAsia="Calibri" w:hAnsi="Calibri" w:cs="Arial"/>
          <w:bCs/>
          <w:color w:val="000000"/>
        </w:rPr>
        <w:t xml:space="preserve"> </w:t>
      </w:r>
      <w:r w:rsidR="00EC4A52">
        <w:rPr>
          <w:rFonts w:ascii="Calibri" w:eastAsia="Calibri" w:hAnsi="Calibri" w:cs="Arial"/>
          <w:bCs/>
          <w:color w:val="000000"/>
        </w:rPr>
        <w:t xml:space="preserve">symptoms of </w:t>
      </w:r>
      <w:r w:rsidRPr="008C45AB">
        <w:rPr>
          <w:rFonts w:ascii="Calibri" w:eastAsia="Calibri" w:hAnsi="Calibri" w:cs="Arial"/>
          <w:bCs/>
          <w:color w:val="000000"/>
        </w:rPr>
        <w:t xml:space="preserve">depression and anxiety may be driven less by the total amount of </w:t>
      </w:r>
      <w:r w:rsidR="008E46DA" w:rsidRPr="008C45AB">
        <w:rPr>
          <w:rFonts w:ascii="Calibri" w:eastAsia="Calibri" w:hAnsi="Calibri" w:cs="Arial"/>
          <w:bCs/>
          <w:color w:val="000000"/>
        </w:rPr>
        <w:t>SMU</w:t>
      </w:r>
      <w:r w:rsidRPr="008C45AB">
        <w:rPr>
          <w:rFonts w:ascii="Calibri" w:eastAsia="Calibri" w:hAnsi="Calibri" w:cs="Arial"/>
          <w:bCs/>
          <w:color w:val="000000"/>
        </w:rPr>
        <w:t xml:space="preserve"> and more by the number of different platforms used.</w:t>
      </w:r>
    </w:p>
    <w:p w:rsidR="001B5E72" w:rsidRPr="008C45AB" w:rsidRDefault="001B5E72" w:rsidP="001B5E72">
      <w:pPr>
        <w:spacing w:line="480" w:lineRule="auto"/>
        <w:rPr>
          <w:rFonts w:ascii="Calibri" w:hAnsi="Calibri" w:cs="Calibri"/>
        </w:rPr>
      </w:pPr>
    </w:p>
    <w:p w:rsidR="006F10E9" w:rsidRPr="008C45AB" w:rsidRDefault="001B5E72" w:rsidP="001B5E72">
      <w:pPr>
        <w:spacing w:line="480" w:lineRule="auto"/>
        <w:rPr>
          <w:rFonts w:ascii="Calibri" w:hAnsi="Calibri" w:cs="Calibri"/>
          <w:color w:val="000000"/>
        </w:rPr>
      </w:pPr>
      <w:r w:rsidRPr="008C45AB">
        <w:rPr>
          <w:rFonts w:ascii="Calibri" w:hAnsi="Calibri" w:cs="Calibri"/>
          <w:color w:val="000000"/>
        </w:rPr>
        <w:t xml:space="preserve">Because our data were cross-sectional, the directionality of this association </w:t>
      </w:r>
      <w:r w:rsidR="00E57173" w:rsidRPr="008C45AB">
        <w:rPr>
          <w:rFonts w:ascii="Calibri" w:hAnsi="Calibri" w:cs="Calibri"/>
          <w:color w:val="000000"/>
        </w:rPr>
        <w:t xml:space="preserve">is </w:t>
      </w:r>
      <w:r w:rsidR="008E46DA" w:rsidRPr="008C45AB">
        <w:rPr>
          <w:rFonts w:ascii="Calibri" w:hAnsi="Calibri" w:cs="Calibri"/>
          <w:color w:val="000000"/>
        </w:rPr>
        <w:t>unclear</w:t>
      </w:r>
      <w:r w:rsidRPr="008C45AB">
        <w:rPr>
          <w:rFonts w:ascii="Calibri" w:hAnsi="Calibri" w:cs="Calibri"/>
          <w:color w:val="000000"/>
        </w:rPr>
        <w:t xml:space="preserve">. It may be that individuals who </w:t>
      </w:r>
      <w:r w:rsidR="009E150B">
        <w:rPr>
          <w:rFonts w:ascii="Calibri" w:hAnsi="Calibri" w:cs="Calibri"/>
          <w:color w:val="000000"/>
        </w:rPr>
        <w:t>suffer from</w:t>
      </w:r>
      <w:r w:rsidRPr="008C45AB">
        <w:rPr>
          <w:rFonts w:ascii="Calibri" w:hAnsi="Calibri" w:cs="Calibri"/>
          <w:color w:val="000000"/>
        </w:rPr>
        <w:t xml:space="preserve"> </w:t>
      </w:r>
      <w:r w:rsidR="00E57173" w:rsidRPr="008C45AB">
        <w:rPr>
          <w:rFonts w:ascii="Calibri" w:hAnsi="Calibri" w:cs="Calibri"/>
          <w:color w:val="000000"/>
        </w:rPr>
        <w:t>depress</w:t>
      </w:r>
      <w:r w:rsidR="00EC4A52">
        <w:rPr>
          <w:rFonts w:ascii="Calibri" w:hAnsi="Calibri" w:cs="Calibri"/>
          <w:color w:val="000000"/>
        </w:rPr>
        <w:t>ive</w:t>
      </w:r>
      <w:r w:rsidR="00F46794">
        <w:rPr>
          <w:rFonts w:ascii="Calibri" w:hAnsi="Calibri" w:cs="Calibri"/>
          <w:color w:val="000000"/>
        </w:rPr>
        <w:t xml:space="preserve"> symptoms</w:t>
      </w:r>
      <w:r w:rsidR="009E150B">
        <w:rPr>
          <w:rFonts w:ascii="Calibri" w:hAnsi="Calibri" w:cs="Calibri"/>
          <w:color w:val="000000"/>
        </w:rPr>
        <w:t xml:space="preserve"> </w:t>
      </w:r>
      <w:r w:rsidR="00E57173" w:rsidRPr="008C45AB">
        <w:rPr>
          <w:rFonts w:ascii="Calibri" w:hAnsi="Calibri" w:cs="Calibri"/>
          <w:color w:val="000000"/>
        </w:rPr>
        <w:t>and/or anxi</w:t>
      </w:r>
      <w:r w:rsidR="00EC4A52">
        <w:rPr>
          <w:rFonts w:ascii="Calibri" w:hAnsi="Calibri" w:cs="Calibri"/>
          <w:color w:val="000000"/>
        </w:rPr>
        <w:t>ety symptoms</w:t>
      </w:r>
      <w:r w:rsidR="009E150B">
        <w:rPr>
          <w:rFonts w:ascii="Calibri" w:hAnsi="Calibri" w:cs="Calibri"/>
          <w:color w:val="000000"/>
        </w:rPr>
        <w:t xml:space="preserve"> </w:t>
      </w:r>
      <w:r w:rsidRPr="008C45AB">
        <w:rPr>
          <w:rFonts w:ascii="Calibri" w:hAnsi="Calibri" w:cs="Calibri"/>
          <w:color w:val="000000"/>
        </w:rPr>
        <w:t xml:space="preserve">tend to </w:t>
      </w:r>
      <w:r w:rsidR="00E57173" w:rsidRPr="008C45AB">
        <w:rPr>
          <w:rFonts w:ascii="Calibri" w:hAnsi="Calibri" w:cs="Calibri"/>
          <w:color w:val="000000"/>
        </w:rPr>
        <w:t>subsequently use a broader range of social media outlets</w:t>
      </w:r>
      <w:r w:rsidRPr="008C45AB">
        <w:rPr>
          <w:rFonts w:ascii="Calibri" w:hAnsi="Calibri" w:cs="Calibri"/>
          <w:color w:val="000000"/>
        </w:rPr>
        <w:t>.</w:t>
      </w:r>
      <w:r w:rsidR="00E57173" w:rsidRPr="008C45AB">
        <w:rPr>
          <w:rFonts w:ascii="Calibri" w:hAnsi="Calibri" w:cs="Calibri"/>
          <w:color w:val="000000"/>
        </w:rPr>
        <w:t xml:space="preserve"> This may</w:t>
      </w:r>
      <w:r w:rsidR="008E46DA" w:rsidRPr="008C45AB">
        <w:rPr>
          <w:rFonts w:ascii="Calibri" w:hAnsi="Calibri" w:cs="Calibri"/>
          <w:color w:val="000000"/>
        </w:rPr>
        <w:t xml:space="preserve"> </w:t>
      </w:r>
      <w:r w:rsidR="00E57173" w:rsidRPr="008C45AB">
        <w:rPr>
          <w:rFonts w:ascii="Calibri" w:hAnsi="Calibri" w:cs="Calibri"/>
          <w:color w:val="000000"/>
        </w:rPr>
        <w:t>be because these individuals tend to search multiple avenues for a setting that feels mo</w:t>
      </w:r>
      <w:r w:rsidR="008E46DA" w:rsidRPr="008C45AB">
        <w:rPr>
          <w:rFonts w:ascii="Calibri" w:hAnsi="Calibri" w:cs="Calibri"/>
          <w:color w:val="000000"/>
        </w:rPr>
        <w:t>st</w:t>
      </w:r>
      <w:r w:rsidR="00E57173" w:rsidRPr="008C45AB">
        <w:rPr>
          <w:rFonts w:ascii="Calibri" w:hAnsi="Calibri" w:cs="Calibri"/>
          <w:color w:val="000000"/>
        </w:rPr>
        <w:t xml:space="preserve"> comfortable</w:t>
      </w:r>
      <w:r w:rsidR="002B465C" w:rsidRPr="008C45AB">
        <w:rPr>
          <w:rFonts w:ascii="Calibri" w:hAnsi="Calibri" w:cs="Calibri"/>
          <w:color w:val="000000"/>
        </w:rPr>
        <w:t xml:space="preserve"> and in which they feel mo</w:t>
      </w:r>
      <w:r w:rsidR="008E46DA" w:rsidRPr="008C45AB">
        <w:rPr>
          <w:rFonts w:ascii="Calibri" w:hAnsi="Calibri" w:cs="Calibri"/>
          <w:color w:val="000000"/>
        </w:rPr>
        <w:t>st</w:t>
      </w:r>
      <w:r w:rsidR="0039760B">
        <w:rPr>
          <w:rFonts w:ascii="Calibri" w:hAnsi="Calibri" w:cs="Calibri"/>
          <w:color w:val="000000"/>
        </w:rPr>
        <w:t xml:space="preserve"> accepted</w:t>
      </w:r>
      <w:r w:rsidR="00073F49">
        <w:rPr>
          <w:rFonts w:ascii="Calibri" w:hAnsi="Calibri" w:cs="Calibri"/>
          <w:color w:val="000000"/>
        </w:rPr>
        <w:t xml:space="preserve"> </w:t>
      </w:r>
      <w:r w:rsidR="0053656A">
        <w:rPr>
          <w:rFonts w:ascii="Calibri" w:hAnsi="Calibri" w:cs="Calibri"/>
          <w:color w:val="000000"/>
        </w:rPr>
        <w:fldChar w:fldCharType="begin" w:fldLock="1"/>
      </w:r>
      <w:r w:rsidR="001F2834">
        <w:rPr>
          <w:rFonts w:ascii="Calibri" w:hAnsi="Calibri" w:cs="Calibri"/>
          <w:color w:val="000000"/>
        </w:rPr>
        <w:instrText>ADDIN CSL_CITATION { "citationItems" : [ { "id" : "ITEM-1", "itemData" : { "DOI" : "http://dx.doi.org/10.1016/j.chb.2010.12.009", "ISSN" : "0747-5632", "abstract" : "Fast-developing social networking sites (SNS) have become the major media by which people develop their personal network online in recent years. To explore factors affecting user\u2019s joining SNS, this study applies network externalities and motivation theory to explain why people continue to join SNS. This study used an online questionnaire to conduct empirical research, and collected and analyzed data of 402 samples by structural equation modeling (SEM) approach. The findings show that enjoyment is the most influential factor in people\u2019s continued use of SNS, followed by number of peers, and usefulness. The number of peers and perceived complementarity have stronger influence than the number of members on perceived benefits (usefulness and enjoyment). This work also ran clustering analysis by gender, which found notable difference in both number of peers and number of members between men and women. The number of peers is an important factor affecting the continued intention to use for women but not for men; the number of members has no significant effect on enjoyment for men. The findings suggest that gender difference also produces different influences. The implication of research and discussions provides reference for SNS operators in marketing and operation.", "author" : [ { "dropping-particle" : "", "family" : "Lin", "given" : "K", "non-dropping-particle" : "", "parse-names" : false, "suffix" : "" }, { "dropping-particle" : "", "family" : "Lu", "given" : "H", "non-dropping-particle" : "", "parse-names" : false, "suffix" : "" } ], "container-title" : "Computers in Human Behavior", "id" : "ITEM-1", "issue" : "3", "issued" : { "date-parts" : [ [ "2011", "5" ] ] }, "page" : "1152-1161", "title" : "Why people use social networking sites: An empirical study integrating network externalities and motivation theory", "type" : "article-journal", "volume" : "27" }, "uris" : [ "http://www.mendeley.com/documents/?uuid=f22df862-7ddb-4b00-bfd5-6753b992d7fc" ] } ], "mendeley" : { "formattedCitation" : "(K. Lin &amp; Lu, 2011)", "plainTextFormattedCitation" : "(K. Lin &amp; Lu, 2011)", "previouslyFormattedCitation" : "&lt;sup&gt;45&lt;/sup&gt;" }, "properties" : { "noteIndex" : 0 }, "schema" : "https://github.com/citation-style-language/schema/raw/master/csl-citation.json" }</w:instrText>
      </w:r>
      <w:r w:rsidR="0053656A">
        <w:rPr>
          <w:rFonts w:ascii="Calibri" w:hAnsi="Calibri" w:cs="Calibri"/>
          <w:color w:val="000000"/>
        </w:rPr>
        <w:fldChar w:fldCharType="separate"/>
      </w:r>
      <w:r w:rsidR="001F2834" w:rsidRPr="001F2834">
        <w:rPr>
          <w:rFonts w:ascii="Calibri" w:hAnsi="Calibri" w:cs="Calibri"/>
          <w:noProof/>
          <w:color w:val="000000"/>
        </w:rPr>
        <w:t>(K. Lin &amp; Lu, 2011)</w:t>
      </w:r>
      <w:r w:rsidR="0053656A">
        <w:rPr>
          <w:rFonts w:ascii="Calibri" w:hAnsi="Calibri" w:cs="Calibri"/>
          <w:color w:val="000000"/>
        </w:rPr>
        <w:fldChar w:fldCharType="end"/>
      </w:r>
      <w:r w:rsidR="0039760B">
        <w:rPr>
          <w:rFonts w:ascii="Calibri" w:hAnsi="Calibri" w:cs="Calibri"/>
          <w:color w:val="000000"/>
        </w:rPr>
        <w:t>.</w:t>
      </w:r>
    </w:p>
    <w:p w:rsidR="006F10E9" w:rsidRPr="008C45AB" w:rsidRDefault="006F10E9" w:rsidP="001B5E72">
      <w:pPr>
        <w:spacing w:line="480" w:lineRule="auto"/>
        <w:rPr>
          <w:rFonts w:ascii="Calibri" w:hAnsi="Calibri" w:cs="Calibri"/>
          <w:color w:val="000000"/>
        </w:rPr>
      </w:pPr>
    </w:p>
    <w:p w:rsidR="00E57173" w:rsidRPr="008C45AB" w:rsidRDefault="008E46DA" w:rsidP="001B5E72">
      <w:pPr>
        <w:spacing w:line="480" w:lineRule="auto"/>
        <w:rPr>
          <w:rFonts w:ascii="Calibri" w:hAnsi="Calibri" w:cs="Calibri"/>
          <w:color w:val="000000"/>
        </w:rPr>
      </w:pPr>
      <w:r w:rsidRPr="008C45AB">
        <w:rPr>
          <w:rFonts w:ascii="Calibri" w:hAnsi="Calibri" w:cs="Calibri"/>
          <w:color w:val="000000"/>
        </w:rPr>
        <w:lastRenderedPageBreak/>
        <w:t>I</w:t>
      </w:r>
      <w:r w:rsidR="002B465C" w:rsidRPr="008C45AB">
        <w:rPr>
          <w:rFonts w:ascii="Calibri" w:hAnsi="Calibri" w:cs="Calibri"/>
          <w:color w:val="000000"/>
        </w:rPr>
        <w:t>t may also be that using a wide variety of different social media platforms subsequently leads to depressive and/or anxi</w:t>
      </w:r>
      <w:r w:rsidR="00EC4A52">
        <w:rPr>
          <w:rFonts w:ascii="Calibri" w:hAnsi="Calibri" w:cs="Calibri"/>
          <w:color w:val="000000"/>
        </w:rPr>
        <w:t xml:space="preserve">ety </w:t>
      </w:r>
      <w:r w:rsidR="001F2834">
        <w:rPr>
          <w:rFonts w:ascii="Calibri" w:hAnsi="Calibri" w:cs="Calibri"/>
          <w:color w:val="000000"/>
        </w:rPr>
        <w:t>symptoms</w:t>
      </w:r>
      <w:r w:rsidR="002B465C" w:rsidRPr="008C45AB">
        <w:rPr>
          <w:rFonts w:ascii="Calibri" w:hAnsi="Calibri" w:cs="Calibri"/>
          <w:color w:val="000000"/>
        </w:rPr>
        <w:t>.</w:t>
      </w:r>
      <w:r w:rsidR="006F10E9" w:rsidRPr="008C45AB">
        <w:rPr>
          <w:rFonts w:ascii="Calibri" w:hAnsi="Calibri" w:cs="Calibri"/>
          <w:color w:val="000000"/>
        </w:rPr>
        <w:t xml:space="preserve"> </w:t>
      </w:r>
      <w:r w:rsidR="002B465C" w:rsidRPr="008C45AB">
        <w:rPr>
          <w:rFonts w:ascii="Calibri" w:hAnsi="Calibri" w:cs="Calibri"/>
          <w:color w:val="000000"/>
        </w:rPr>
        <w:t xml:space="preserve">There are </w:t>
      </w:r>
      <w:r w:rsidR="005A4DE3">
        <w:rPr>
          <w:rFonts w:ascii="Calibri" w:hAnsi="Calibri" w:cs="Calibri"/>
          <w:color w:val="000000"/>
        </w:rPr>
        <w:t xml:space="preserve">a number of </w:t>
      </w:r>
      <w:r w:rsidR="002B465C" w:rsidRPr="008C45AB">
        <w:rPr>
          <w:rFonts w:ascii="Calibri" w:hAnsi="Calibri" w:cs="Calibri"/>
          <w:color w:val="000000"/>
        </w:rPr>
        <w:t xml:space="preserve">possible reasons for this. One is that participation in many different social media platforms may lead to multitasking, which is known to be related to poor </w:t>
      </w:r>
      <w:r w:rsidR="0039760B">
        <w:rPr>
          <w:rFonts w:ascii="Calibri" w:hAnsi="Calibri" w:cs="Calibri"/>
          <w:color w:val="000000"/>
        </w:rPr>
        <w:t xml:space="preserve">cognitive and </w:t>
      </w:r>
      <w:r w:rsidR="005A4DE3">
        <w:rPr>
          <w:rFonts w:ascii="Calibri" w:hAnsi="Calibri" w:cs="Calibri"/>
          <w:color w:val="000000"/>
        </w:rPr>
        <w:t xml:space="preserve">mental health </w:t>
      </w:r>
      <w:r w:rsidR="0039760B">
        <w:rPr>
          <w:rFonts w:ascii="Calibri" w:hAnsi="Calibri" w:cs="Calibri"/>
          <w:color w:val="000000"/>
        </w:rPr>
        <w:t xml:space="preserve">outcomes </w:t>
      </w:r>
      <w:r w:rsidR="0053656A" w:rsidRPr="008C45AB">
        <w:rPr>
          <w:rFonts w:ascii="Calibri" w:eastAsia="Calibri" w:hAnsi="Calibri" w:cs="Arial"/>
          <w:bCs/>
          <w:color w:val="000000"/>
        </w:rPr>
        <w:fldChar w:fldCharType="begin" w:fldLock="1"/>
      </w:r>
      <w:r w:rsidR="001F2834">
        <w:rPr>
          <w:rFonts w:ascii="Calibri" w:eastAsia="Calibri" w:hAnsi="Calibri" w:cs="Arial"/>
          <w:bCs/>
          <w:color w:val="000000"/>
        </w:rPr>
        <w:instrText>ADDIN CSL_CITATION { "citationItems" : [ { "id" : "ITEM-1", "itemData" : { "DOI" : "10.1073/pnas.0903620106", "ISSN" : "0027-8424", "abstract" : "Chronic media multitasking is quickly becoming ubiquitous, although processing multiple incoming streams of information is considered a challenge for human cognition. A series of experiments addressed whether there are systematic differences in information processing styles between chronically heavy and light media multitaskers. A trait media multitasking index was developed to identify groups of heavy and light media multitaskers. These two groups were then compared along established cognitive control dimensions. Results showed that heavy media multitaskers are more susceptible to interference from irrelevant environmental stimuli and from irrelevant representations in memory. This led to the surprising result that heavy media multitaskers performed worse on a test of task-switching ability, likely due to reduced ability to filter out interference from the irrelevant task set. These results demonstrate that media multitasking, a rapidly growing societal trend, is associated with a distinct approach to fundamental information processing.", "author" : [ { "dropping-particle" : "", "family" : "Ophir", "given" : "E", "non-dropping-particle" : "", "parse-names" : false, "suffix" : "" }, { "dropping-particle" : "", "family" : "Nass", "given" : "C", "non-dropping-particle" : "", "parse-names" : false, "suffix" : "" }, { "dropping-particle" : "", "family" : "Wagner", "given" : "A D", "non-dropping-particle" : "", "parse-names" : false, "suffix" : "" } ], "container-title" : "Proceedings of the National Academy of Sciences", "id" : "ITEM-1", "issue" : "37", "issued" : { "date-parts" : [ [ "2009", "9", "15" ] ] }, "page" : "15583-15587", "title" : "Cognitive control in media multitaskers", "type" : "article-journal", "volume" : "106" }, "uris" : [ "http://www.mendeley.com/documents/?uuid=3d755794-20cc-4352-9af9-f7653afff1fc" ] }, { "id" : "ITEM-2", "itemData" : { "DOI" : "10.1016/j.chb.2015.07.047", "abstract" : "Mobile phone multitasking is widely considered to be a major source of distraction in academic performance. This paper attempts to review the emerging literature by focusing on three questions concerning the influence of mobile phone multitasking on academic performance: (a) How does mobile phone multitasking impair learning? (b) Why does mobile phone use impair learning? (c) How to prevent from mobile phone distraction? We use multiple strategies to locate the existing research literature and identified 132 studies published during 1999\u20132014. The mobile phone multitasking and distractibility are reviewed in three major aspects: distraction sources (ring of mobile phone, texting, and social application), distraction targets (reading and attending), and distraction subjects (personality, gender, and culture). We also compare the results of these studies with the findings on mobile phone multitasking and driving, the earliest area of mobile phone multitasking research. Both limitations of existing research and future research directions are discussed.", "author" : [ { "dropping-particle" : "", "family" : "Chen", "given" : "Q", "non-dropping-particle" : "", "parse-names" : false, "suffix" : "" }, { "dropping-particle" : "", "family" : "Yan", "given" : "Z", "non-dropping-particle" : "", "parse-names" : false, "suffix" : "" } ], "container-title" : "Computers in Human Behavior", "id" : "ITEM-2", "issued" : { "date-parts" : [ [ "2016" ] ] }, "page" : "34-42", "title" : "Does multitasking with mobile phones affect learning? A review", "type" : "article-journal", "volume" : "54" }, "uris" : [ "http://www.mendeley.com/documents/?uuid=fcb3ea64-9882-41dd-98c6-6c5e5c25d338" ] }, { "id" : "ITEM-3", "itemData" : { "PMID" : "23126438", "abstract" : "We investigated whether multitasking with media was a unique predictor of depression and social anxiety symptoms. Participants (N=318) completed measures of their media use, personality characteristics, depression, and social anxiety. Regression analyses revealed that increased media multitasking was associated with higher depression and social anxiety symptoms, even after controlling for overall media use and the personality traits of neuroticism and extraversion. The unique association between media multitasking and these measures of psychosocial dysfunction suggests that the growing trend of multitasking with media may represent a unique risk factor for mental health problems related to mood and anxiety. Further, the results strongly suggest that future research investigating the impact of media use on mental health needs to consider the role that multitasking with media plays in the relationship.", "author" : [ { "dropping-particle" : "", "family" : "Becker", "given" : "M W", "non-dropping-particle" : "", "parse-names" : false, "suffix" : "" }, { "dropping-particle" : "", "family" : "Alzahabi", "given" : "R", "non-dropping-particle" : "", "parse-names" : false, "suffix" : "" }, { "dropping-particle" : "", "family" : "Hopwood", "given" : "C J", "non-dropping-particle" : "", "parse-names" : false, "suffix" : "" } ], "container-title" : "Cyberpsychology Behavior and Social Networking", "id" : "ITEM-3", "issue" : "2", "issued" : { "date-parts" : [ [ "2013" ] ] }, "page" : "132-135", "title" : "Media multitasking is associated with symptoms of depression and social anxiety", "type" : "article-journal", "volume" : "16" }, "uris" : [ "http://www.mendeley.com/documents/?uuid=c9d6fb89-8839-4b3e-873a-724fb8bfa644" ] }, { "id" : "ITEM-4", "itemData" : { "DOI" : "10.1111/jpc.13023", "ISBN" : "1034-4810", "PMID" : "26607861", "abstract" : "This paper reviews the literature on the impact of social media on the health of children and young people. Relevant papers were identified from Medline, Embase and PsycINFO databases. The studies identified that the health impact of social media on children and young people was greatest on mental health and specifically in the areas of self-esteem and well-being, with related issues around cyberbullying and 'Facebook Depression', with an association between the use of social media and self-esteem and body image. However, it is difficult to determine the cause and effect, which is likely to be related to the nature of the young person. There is little work on the impact of social media on younger children. More research is needed to identify those most at risk of harm from social media and risk mitigation strategies to assist health-care professionals to provide essential education for parents and young people.", "author" : [ { "dropping-particle" : "", "family" : "Richards", "given" : "D", "non-dropping-particle" : "", "parse-names" : false, "suffix" : "" }, { "dropping-particle" : "", "family" : "Caldwell", "given" : "P H Y", "non-dropping-particle" : "", "parse-names" : false, "suffix" : "" }, { "dropping-particle" : "", "family" : "Go", "given" : "H", "non-dropping-particle" : "", "parse-names" : false, "suffix" : "" } ], "container-title" : "Journal of Paediatrics and Child Health", "id" : "ITEM-4", "issue" : "12", "issued" : { "date-parts" : [ [ "2015" ] ] }, "page" : "1152-1157", "publisher-place" : "Melbourne", "title" : "Impact of social media on the health of children and young people", "type" : "article-journal", "volume" : "51" }, "uris" : [ "http://www.mendeley.com/documents/?uuid=b56cadbb-8974-430a-ab0b-17fe829492e5" ] }, { "id" : "ITEM-5", "itemData" : { "URL" : "http://www.forbes.com/sites/tykiisel/2012/01/25/is-social-media-shortening-our-attention-span/#4bfb2b486945", "abstract" : "It\u2019s probably unfair to blame social media specifically, but I think it\u2019s safe to say that the 24/7 media barrage of soundbites we face every day could be taking its toll. Twitter users need to make their point in 140 characters or less, USA Today, Fox News and others have shortened stories to be quickly digested and even media outlets like CNN rely on the pretty faces of their news anchors to keep our attention. As a result any substantive conversation lasting over five minutes is met with glazed eyes and shuffling feet. \u201cDidn\u2019t my iPhone just ring?\u201d", "author" : [ { "dropping-particle" : "", "family" : "Kiisel", "given" : "T", "non-dropping-particle" : "", "parse-names" : false, "suffix" : "" } ], "container-title" : "Forbes/Technology", "id" : "ITEM-5", "issued" : { "date-parts" : [ [ "2012" ] ] }, "title" : "Is Social Media Shortening Our Attention Span?", "type" : "webpage" }, "uris" : [ "http://www.mendeley.com/documents/?uuid=91a29225-ece9-4c65-b2ed-026c21724d1a" ] }, { "id" : "ITEM-6", "itemData" : { "URL" : "https://www.linkedin.com/pulse/20140519183028-114333012-how-social-media-affects-your-attention-span/", "abstract" : "We are surrounded by bits of information and content and it seems like time is never enough to read and watch anything we want. With the Internet explosion, it\u2019s almost impossible to avoid a distraction while working, with this distraction leading to the next one and the next one leading to a new one", "author" : [ { "dropping-particle" : "", "family" : "Litsa", "given" : "T", "non-dropping-particle" : "", "parse-names" : false, "suffix" : "" } ], "container-title" : "Linkedin", "id" : "ITEM-6", "issued" : { "date-parts" : [ [ "2014" ] ] }, "title" : "How Social Media Affects Your Attention Span", "type" : "webpage" }, "uris" : [ "http://www.mendeley.com/documents/?uuid=97ab970c-0fca-477b-b128-a72187dbfe4e" ] } ], "mendeley" : { "formattedCitation" : "(Becker et al., 2013; Chen &amp; Yan, 2016; Kiisel, 2012; Litsa, 2014; Ophir et al., 2009; Richards et al., 2015)", "plainTextFormattedCitation" : "(Becker et al., 2013; Chen &amp; Yan, 2016; Kiisel, 2012; Litsa, 2014; Ophir et al., 2009; Richards et al., 2015)", "previouslyFormattedCitation" : "&lt;sup&gt;22\u201325,30,31&lt;/sup&gt;" }, "properties" : { "noteIndex" : 0 }, "schema" : "https://github.com/citation-style-language/schema/raw/master/csl-citation.json" }</w:instrText>
      </w:r>
      <w:r w:rsidR="0053656A" w:rsidRPr="008C45AB">
        <w:rPr>
          <w:rFonts w:ascii="Calibri" w:eastAsia="Calibri" w:hAnsi="Calibri" w:cs="Arial"/>
          <w:bCs/>
          <w:color w:val="000000"/>
        </w:rPr>
        <w:fldChar w:fldCharType="separate"/>
      </w:r>
      <w:r w:rsidR="001F2834" w:rsidRPr="001F2834">
        <w:rPr>
          <w:rFonts w:ascii="Calibri" w:eastAsia="Calibri" w:hAnsi="Calibri" w:cs="Arial"/>
          <w:bCs/>
          <w:noProof/>
          <w:color w:val="000000"/>
        </w:rPr>
        <w:t>(Becker et al., 2013; Chen &amp; Yan, 2016; Kiisel, 2012; Litsa, 2014; Ophir et al., 2009; Richards et al., 2015)</w:t>
      </w:r>
      <w:r w:rsidR="0053656A" w:rsidRPr="008C45AB">
        <w:rPr>
          <w:rFonts w:ascii="Calibri" w:eastAsia="Calibri" w:hAnsi="Calibri" w:cs="Arial"/>
          <w:bCs/>
          <w:color w:val="000000"/>
        </w:rPr>
        <w:fldChar w:fldCharType="end"/>
      </w:r>
      <w:r w:rsidR="0039760B">
        <w:rPr>
          <w:rFonts w:ascii="Calibri" w:eastAsia="Calibri" w:hAnsi="Calibri" w:cs="Arial"/>
          <w:bCs/>
          <w:color w:val="000000"/>
        </w:rPr>
        <w:t>.</w:t>
      </w:r>
      <w:r w:rsidR="002B465C" w:rsidRPr="008C45AB">
        <w:rPr>
          <w:rFonts w:ascii="Calibri" w:eastAsia="Calibri" w:hAnsi="Calibri" w:cs="Arial"/>
          <w:bCs/>
          <w:color w:val="000000"/>
        </w:rPr>
        <w:t xml:space="preserve"> A second reason is that each social media platform has its own distinct set of unwritten rules, cultural assumptions, and idiosyncrasies. Therefore, an individual who uses only one or two platforms may easily learn these idiosyncrasies and succeed at leveraging that platform for positive social capital and positive interaction. However, </w:t>
      </w:r>
      <w:r w:rsidR="00EC4A52">
        <w:rPr>
          <w:rFonts w:ascii="Calibri" w:eastAsia="Calibri" w:hAnsi="Calibri" w:cs="Arial"/>
          <w:bCs/>
          <w:color w:val="000000"/>
        </w:rPr>
        <w:t xml:space="preserve">as </w:t>
      </w:r>
      <w:r w:rsidR="005B169E">
        <w:rPr>
          <w:rFonts w:ascii="Calibri" w:eastAsia="Calibri" w:hAnsi="Calibri" w:cs="Arial"/>
          <w:bCs/>
          <w:color w:val="000000"/>
        </w:rPr>
        <w:t xml:space="preserve">the number of platforms used </w:t>
      </w:r>
      <w:r w:rsidR="00EC4A52">
        <w:rPr>
          <w:rFonts w:ascii="Calibri" w:eastAsia="Calibri" w:hAnsi="Calibri" w:cs="Arial"/>
          <w:bCs/>
          <w:color w:val="000000"/>
        </w:rPr>
        <w:t xml:space="preserve">increases, </w:t>
      </w:r>
      <w:r w:rsidR="005B169E">
        <w:rPr>
          <w:rFonts w:ascii="Calibri" w:eastAsia="Calibri" w:hAnsi="Calibri" w:cs="Arial"/>
          <w:bCs/>
          <w:color w:val="000000"/>
        </w:rPr>
        <w:t xml:space="preserve">individuals </w:t>
      </w:r>
      <w:r w:rsidR="002B465C" w:rsidRPr="008C45AB">
        <w:rPr>
          <w:rFonts w:ascii="Calibri" w:eastAsia="Calibri" w:hAnsi="Calibri" w:cs="Arial"/>
          <w:bCs/>
          <w:color w:val="000000"/>
        </w:rPr>
        <w:t xml:space="preserve">may </w:t>
      </w:r>
      <w:r w:rsidR="005B169E">
        <w:rPr>
          <w:rFonts w:ascii="Calibri" w:eastAsia="Calibri" w:hAnsi="Calibri" w:cs="Arial"/>
          <w:bCs/>
          <w:color w:val="000000"/>
        </w:rPr>
        <w:t>experience</w:t>
      </w:r>
      <w:r w:rsidR="002B465C" w:rsidRPr="008C45AB">
        <w:rPr>
          <w:rFonts w:ascii="Calibri" w:eastAsia="Calibri" w:hAnsi="Calibri" w:cs="Arial"/>
          <w:bCs/>
          <w:color w:val="000000"/>
        </w:rPr>
        <w:t xml:space="preserve"> difficulty</w:t>
      </w:r>
      <w:r w:rsidR="006F10E9" w:rsidRPr="008C45AB">
        <w:rPr>
          <w:rFonts w:ascii="Calibri" w:eastAsia="Calibri" w:hAnsi="Calibri" w:cs="Arial"/>
          <w:bCs/>
          <w:color w:val="000000"/>
        </w:rPr>
        <w:t xml:space="preserve"> navigating these multiple different worlds successfully</w:t>
      </w:r>
      <w:r w:rsidR="00A21961">
        <w:rPr>
          <w:rFonts w:ascii="Calibri" w:eastAsia="Calibri" w:hAnsi="Calibri" w:cs="Arial"/>
          <w:bCs/>
          <w:color w:val="000000"/>
        </w:rPr>
        <w:t>, leading to potentially negative mood and emotions</w:t>
      </w:r>
      <w:r w:rsidR="006F10E9" w:rsidRPr="008C45AB">
        <w:rPr>
          <w:rFonts w:ascii="Calibri" w:eastAsia="Calibri" w:hAnsi="Calibri" w:cs="Arial"/>
          <w:bCs/>
          <w:color w:val="000000"/>
        </w:rPr>
        <w:t xml:space="preserve">. </w:t>
      </w:r>
      <w:r w:rsidR="00A21961">
        <w:rPr>
          <w:rFonts w:ascii="Calibri" w:eastAsia="Calibri" w:hAnsi="Calibri" w:cs="Arial"/>
          <w:bCs/>
          <w:color w:val="000000"/>
        </w:rPr>
        <w:t xml:space="preserve">Moreover, </w:t>
      </w:r>
      <w:r w:rsidR="006F10E9" w:rsidRPr="008C45AB">
        <w:rPr>
          <w:rFonts w:ascii="Calibri" w:eastAsia="Calibri" w:hAnsi="Calibri" w:cs="Arial"/>
          <w:bCs/>
          <w:color w:val="000000"/>
        </w:rPr>
        <w:t>, a third possible reason for use of multiple platforms leading to</w:t>
      </w:r>
      <w:r w:rsidR="009E150B">
        <w:rPr>
          <w:rFonts w:ascii="Calibri" w:eastAsia="Calibri" w:hAnsi="Calibri" w:cs="Arial"/>
          <w:bCs/>
          <w:color w:val="000000"/>
        </w:rPr>
        <w:t xml:space="preserve"> </w:t>
      </w:r>
      <w:r w:rsidR="005B169E">
        <w:rPr>
          <w:rFonts w:ascii="Calibri" w:eastAsia="Calibri" w:hAnsi="Calibri" w:cs="Arial"/>
          <w:bCs/>
          <w:color w:val="000000"/>
        </w:rPr>
        <w:t>depressive or anxiety symptoms</w:t>
      </w:r>
      <w:r w:rsidR="006F10E9" w:rsidRPr="008C45AB">
        <w:rPr>
          <w:rFonts w:ascii="Calibri" w:eastAsia="Calibri" w:hAnsi="Calibri" w:cs="Arial"/>
          <w:bCs/>
          <w:color w:val="000000"/>
        </w:rPr>
        <w:t xml:space="preserve"> may involve an increased risk of damaging gaffes. While in a</w:t>
      </w:r>
      <w:r w:rsidR="008C45AB" w:rsidRPr="008C45AB">
        <w:rPr>
          <w:rFonts w:ascii="Calibri" w:eastAsia="Calibri" w:hAnsi="Calibri" w:cs="Arial"/>
          <w:bCs/>
          <w:color w:val="000000"/>
        </w:rPr>
        <w:t xml:space="preserve"> personal</w:t>
      </w:r>
      <w:r w:rsidR="006F10E9" w:rsidRPr="008C45AB">
        <w:rPr>
          <w:rFonts w:ascii="Calibri" w:eastAsia="Calibri" w:hAnsi="Calibri" w:cs="Arial"/>
          <w:bCs/>
          <w:color w:val="000000"/>
        </w:rPr>
        <w:t xml:space="preserve"> social situation, an error of judgment </w:t>
      </w:r>
      <w:r w:rsidR="008C45AB" w:rsidRPr="008C45AB">
        <w:rPr>
          <w:rFonts w:ascii="Calibri" w:eastAsia="Calibri" w:hAnsi="Calibri" w:cs="Arial"/>
          <w:bCs/>
          <w:color w:val="000000"/>
        </w:rPr>
        <w:t xml:space="preserve">or miscommunication </w:t>
      </w:r>
      <w:r w:rsidR="006F10E9" w:rsidRPr="008C45AB">
        <w:rPr>
          <w:rFonts w:ascii="Calibri" w:eastAsia="Calibri" w:hAnsi="Calibri" w:cs="Arial"/>
          <w:bCs/>
          <w:color w:val="000000"/>
        </w:rPr>
        <w:t>may lead to a</w:t>
      </w:r>
      <w:r w:rsidR="008C45AB" w:rsidRPr="008C45AB">
        <w:rPr>
          <w:rFonts w:ascii="Calibri" w:eastAsia="Calibri" w:hAnsi="Calibri" w:cs="Arial"/>
          <w:bCs/>
          <w:color w:val="000000"/>
        </w:rPr>
        <w:t xml:space="preserve"> certain level of embarrassment</w:t>
      </w:r>
      <w:r w:rsidR="005B169E">
        <w:rPr>
          <w:rFonts w:ascii="Calibri" w:eastAsia="Calibri" w:hAnsi="Calibri" w:cs="Arial"/>
          <w:bCs/>
          <w:color w:val="000000"/>
        </w:rPr>
        <w:t>,</w:t>
      </w:r>
      <w:r w:rsidR="009E150B">
        <w:rPr>
          <w:rFonts w:ascii="Calibri" w:eastAsia="Calibri" w:hAnsi="Calibri" w:cs="Arial"/>
          <w:bCs/>
          <w:color w:val="000000"/>
        </w:rPr>
        <w:t xml:space="preserve"> </w:t>
      </w:r>
      <w:r w:rsidR="008C45AB" w:rsidRPr="008C45AB">
        <w:rPr>
          <w:rFonts w:ascii="Calibri" w:eastAsia="Calibri" w:hAnsi="Calibri" w:cs="Arial"/>
          <w:bCs/>
          <w:color w:val="000000"/>
        </w:rPr>
        <w:t>i</w:t>
      </w:r>
      <w:r w:rsidR="006F10E9" w:rsidRPr="008C45AB">
        <w:rPr>
          <w:rFonts w:ascii="Calibri" w:eastAsia="Calibri" w:hAnsi="Calibri" w:cs="Arial"/>
          <w:bCs/>
          <w:color w:val="000000"/>
        </w:rPr>
        <w:t xml:space="preserve">n social media circles there is the risk that misinterpreted or insensitive language may be magnified substantially. In extreme cases, these types of situations can lead to </w:t>
      </w:r>
      <w:r w:rsidR="008C45AB" w:rsidRPr="008C45AB">
        <w:rPr>
          <w:rFonts w:ascii="Calibri" w:eastAsia="Calibri" w:hAnsi="Calibri" w:cs="Arial"/>
          <w:bCs/>
          <w:color w:val="000000"/>
        </w:rPr>
        <w:t>severe</w:t>
      </w:r>
      <w:r w:rsidR="006F10E9" w:rsidRPr="008C45AB">
        <w:rPr>
          <w:rFonts w:ascii="Calibri" w:eastAsia="Calibri" w:hAnsi="Calibri" w:cs="Arial"/>
          <w:bCs/>
          <w:color w:val="000000"/>
        </w:rPr>
        <w:t xml:space="preserve"> distress and even self-harm</w:t>
      </w:r>
      <w:r w:rsidR="009E5F19">
        <w:rPr>
          <w:rFonts w:ascii="Calibri" w:eastAsia="Calibri" w:hAnsi="Calibri" w:cs="Arial"/>
          <w:bCs/>
          <w:color w:val="000000"/>
        </w:rPr>
        <w:t xml:space="preserve"> </w:t>
      </w:r>
      <w:r w:rsidR="0053656A">
        <w:rPr>
          <w:rFonts w:ascii="Calibri" w:eastAsia="Calibri" w:hAnsi="Calibri" w:cs="Arial"/>
          <w:bCs/>
          <w:color w:val="000000"/>
        </w:rPr>
        <w:fldChar w:fldCharType="begin" w:fldLock="1"/>
      </w:r>
      <w:r w:rsidR="001F2834">
        <w:rPr>
          <w:rFonts w:ascii="Calibri" w:eastAsia="Calibri" w:hAnsi="Calibri" w:cs="Arial"/>
          <w:bCs/>
          <w:color w:val="000000"/>
        </w:rPr>
        <w:instrText>ADDIN CSL_CITATION { "citationItems" : [ { "id" : "ITEM-1", "itemData" : { "DOI" : "10.2105/AJPH.2011.300608", "abstract" : "There is increasing evidence that the Internet and social media can influence suicide-related behavior. Important questions are whether this influence poses a significant risk to the public and how public health approaches might be used to address the issue. To address these questions, we provide an overview of ways that social media can influence suicidal behavior, both negatively and positively, and we evaluate the evidence of the risk. We also discuss the legal complexities of this important topic and propose future directions for research and prevention programs based on a public health perspective. Social media is a relatively new phenomenon that has swept the world during the past decade. Social media fuses technology with social interaction via Internet-based applications that allow the creation and exchange of user-generated content.1 Social media platforms, such as chat rooms, blogging Web sites (e.g., Blogspot), video sites (e.g., YouTube), social networking sites (e.g., Facebook, MySpace, Twitter, Google+), and electronic bulletin boards or forums, as well as e-mail, text messaging, and video chat, have transformed traditional methods of communication by allowing the instantaneous and interactive sharing of information created and controlled by individuals, groups, organizations, and governments. At the end of 2004, the popular social networking site Facebook had close to 1 million users;2 by June 2011, that number had risen to nearly 700 million users worldwide.3 Facebook2 has reported that an average of 30 billion pieces of content (e.g., Web links, news reports, photo albums, blog postings) are shared every month via the social media site. Social media has become fundamental in the way many people and organizations communicate and share opinions, ideas, and information. Suicide is a considerable public health problem; more than 30 000 suicide deaths in the United States and nearly 1 million suicide deaths worldwide occur every year.4,5 The role that the Internet, particularly social media, might have in suicide-related behavior is a topic of growing interest and debate.6 The recent increase in highly publicized cases of suicide that involve social media has drawn national attention to this topic.7\u20139 Researchers are also interested in whether the Internet in general primarily helps or hinders suicide prevention. Attempts to assess the extent of the Internet's influence on suicide behavior are difficult because of the indirect and complex as\u2026", "author" : [ { "dropping-particle" : "", "family" : "Luxton", "given" : "D", "non-dropping-particle" : "", "parse-names" : false, "suffix" : "" }, { "dropping-particle" : "", "family" : "June", "given" : "J", "non-dropping-particle" : "", "parse-names" : false, "suffix" : "" }, { "dropping-particle" : "", "family" : "Fairall", "given" : "J", "non-dropping-particle" : "", "parse-names" : false, "suffix" : "" } ], "container-title" : "American Journal of Public Health", "id" : "ITEM-1", "issue" : "2", "issued" : { "date-parts" : [ [ "2012" ] ] }, "page" : "S195-S200", "title" : "Social Media and Suicide: A Public Health Perspective", "type" : "article-journal", "volume" : "10" }, "uris" : [ "http://www.mendeley.com/documents/?uuid=b6643bb4-5ab7-4fe5-8df1-8c501b19c1e5" ] } ], "mendeley" : { "formattedCitation" : "(Luxton, June, &amp; Fairall, 2012)", "plainTextFormattedCitation" : "(Luxton, June, &amp; Fairall, 2012)", "previouslyFormattedCitation" : "&lt;sup&gt;46&lt;/sup&gt;" }, "properties" : { "noteIndex" : 0 }, "schema" : "https://github.com/citation-style-language/schema/raw/master/csl-citation.json" }</w:instrText>
      </w:r>
      <w:r w:rsidR="0053656A">
        <w:rPr>
          <w:rFonts w:ascii="Calibri" w:eastAsia="Calibri" w:hAnsi="Calibri" w:cs="Arial"/>
          <w:bCs/>
          <w:color w:val="000000"/>
        </w:rPr>
        <w:fldChar w:fldCharType="separate"/>
      </w:r>
      <w:r w:rsidR="001F2834" w:rsidRPr="001F2834">
        <w:rPr>
          <w:rFonts w:ascii="Calibri" w:eastAsia="Calibri" w:hAnsi="Calibri" w:cs="Arial"/>
          <w:bCs/>
          <w:noProof/>
          <w:color w:val="000000"/>
        </w:rPr>
        <w:t>(Luxton, June, &amp; Fairall, 2012)</w:t>
      </w:r>
      <w:r w:rsidR="0053656A">
        <w:rPr>
          <w:rFonts w:ascii="Calibri" w:eastAsia="Calibri" w:hAnsi="Calibri" w:cs="Arial"/>
          <w:bCs/>
          <w:color w:val="000000"/>
        </w:rPr>
        <w:fldChar w:fldCharType="end"/>
      </w:r>
      <w:r w:rsidR="006F10E9" w:rsidRPr="008C45AB">
        <w:rPr>
          <w:rFonts w:ascii="Calibri" w:eastAsia="Calibri" w:hAnsi="Calibri" w:cs="Arial"/>
          <w:bCs/>
          <w:color w:val="000000"/>
        </w:rPr>
        <w:t>.</w:t>
      </w:r>
      <w:r w:rsidR="009E150B">
        <w:rPr>
          <w:rFonts w:ascii="Calibri" w:eastAsia="Calibri" w:hAnsi="Calibri" w:cs="Arial"/>
          <w:bCs/>
          <w:color w:val="000000"/>
        </w:rPr>
        <w:t xml:space="preserve"> </w:t>
      </w:r>
      <w:r w:rsidR="008C45AB" w:rsidRPr="008C45AB">
        <w:rPr>
          <w:rFonts w:ascii="Calibri" w:eastAsia="Calibri" w:hAnsi="Calibri" w:cs="Arial"/>
          <w:bCs/>
          <w:color w:val="000000"/>
        </w:rPr>
        <w:t>Using</w:t>
      </w:r>
      <w:r w:rsidR="006F10E9" w:rsidRPr="008C45AB">
        <w:rPr>
          <w:rFonts w:ascii="Calibri" w:eastAsia="Calibri" w:hAnsi="Calibri" w:cs="Arial"/>
          <w:bCs/>
          <w:color w:val="000000"/>
        </w:rPr>
        <w:t xml:space="preserve"> multiple different platforms</w:t>
      </w:r>
      <w:r w:rsidR="009E150B">
        <w:rPr>
          <w:rFonts w:ascii="Calibri" w:eastAsia="Calibri" w:hAnsi="Calibri" w:cs="Arial"/>
          <w:bCs/>
          <w:color w:val="000000"/>
        </w:rPr>
        <w:t xml:space="preserve"> </w:t>
      </w:r>
      <w:r w:rsidR="005B169E">
        <w:rPr>
          <w:rFonts w:ascii="Calibri" w:eastAsia="Calibri" w:hAnsi="Calibri" w:cs="Arial"/>
          <w:bCs/>
          <w:color w:val="000000"/>
        </w:rPr>
        <w:t xml:space="preserve">enable a number of </w:t>
      </w:r>
      <w:r w:rsidR="006F10E9" w:rsidRPr="008C45AB">
        <w:rPr>
          <w:rFonts w:ascii="Calibri" w:eastAsia="Calibri" w:hAnsi="Calibri" w:cs="Arial"/>
          <w:bCs/>
          <w:color w:val="000000"/>
        </w:rPr>
        <w:t>potential sources of embarrassment</w:t>
      </w:r>
      <w:r w:rsidR="005B169E">
        <w:rPr>
          <w:rFonts w:ascii="Calibri" w:eastAsia="Calibri" w:hAnsi="Calibri" w:cs="Arial"/>
          <w:bCs/>
          <w:color w:val="000000"/>
        </w:rPr>
        <w:t>, thus</w:t>
      </w:r>
      <w:r w:rsidR="009E150B">
        <w:rPr>
          <w:rFonts w:ascii="Calibri" w:eastAsia="Calibri" w:hAnsi="Calibri" w:cs="Arial"/>
          <w:bCs/>
          <w:color w:val="000000"/>
        </w:rPr>
        <w:t xml:space="preserve"> </w:t>
      </w:r>
      <w:r w:rsidR="006F10E9" w:rsidRPr="008C45AB">
        <w:rPr>
          <w:rFonts w:ascii="Calibri" w:eastAsia="Calibri" w:hAnsi="Calibri" w:cs="Arial"/>
          <w:bCs/>
          <w:color w:val="000000"/>
        </w:rPr>
        <w:t>increas</w:t>
      </w:r>
      <w:r w:rsidR="005B169E">
        <w:rPr>
          <w:rFonts w:ascii="Calibri" w:eastAsia="Calibri" w:hAnsi="Calibri" w:cs="Arial"/>
          <w:bCs/>
          <w:color w:val="000000"/>
        </w:rPr>
        <w:t>ing</w:t>
      </w:r>
      <w:r w:rsidR="006F10E9" w:rsidRPr="008C45AB">
        <w:rPr>
          <w:rFonts w:ascii="Calibri" w:eastAsia="Calibri" w:hAnsi="Calibri" w:cs="Arial"/>
          <w:bCs/>
          <w:color w:val="000000"/>
        </w:rPr>
        <w:t xml:space="preserve"> the</w:t>
      </w:r>
      <w:r w:rsidR="009E150B">
        <w:rPr>
          <w:rFonts w:ascii="Calibri" w:eastAsia="Calibri" w:hAnsi="Calibri" w:cs="Arial"/>
          <w:bCs/>
          <w:color w:val="000000"/>
        </w:rPr>
        <w:t xml:space="preserve"> </w:t>
      </w:r>
      <w:r w:rsidR="006F10E9" w:rsidRPr="008C45AB">
        <w:rPr>
          <w:rFonts w:ascii="Calibri" w:eastAsia="Calibri" w:hAnsi="Calibri" w:cs="Arial"/>
          <w:bCs/>
          <w:color w:val="000000"/>
        </w:rPr>
        <w:t>risk of an untoward event that</w:t>
      </w:r>
      <w:r w:rsidR="009E150B">
        <w:rPr>
          <w:rFonts w:ascii="Calibri" w:eastAsia="Calibri" w:hAnsi="Calibri" w:cs="Arial"/>
          <w:bCs/>
          <w:color w:val="000000"/>
        </w:rPr>
        <w:t xml:space="preserve"> </w:t>
      </w:r>
      <w:r w:rsidR="005B169E">
        <w:rPr>
          <w:rFonts w:ascii="Calibri" w:eastAsia="Calibri" w:hAnsi="Calibri" w:cs="Arial"/>
          <w:bCs/>
          <w:color w:val="000000"/>
        </w:rPr>
        <w:t xml:space="preserve">may </w:t>
      </w:r>
      <w:r w:rsidR="006F10E9" w:rsidRPr="008C45AB">
        <w:rPr>
          <w:rFonts w:ascii="Calibri" w:eastAsia="Calibri" w:hAnsi="Calibri" w:cs="Arial"/>
          <w:bCs/>
          <w:color w:val="000000"/>
        </w:rPr>
        <w:t xml:space="preserve">ultimately </w:t>
      </w:r>
      <w:r w:rsidR="00852217">
        <w:rPr>
          <w:rFonts w:ascii="Calibri" w:eastAsia="Calibri" w:hAnsi="Calibri" w:cs="Arial"/>
          <w:bCs/>
          <w:color w:val="000000"/>
        </w:rPr>
        <w:t>lead to</w:t>
      </w:r>
      <w:r w:rsidR="009E150B">
        <w:rPr>
          <w:rFonts w:ascii="Calibri" w:eastAsia="Calibri" w:hAnsi="Calibri" w:cs="Arial"/>
          <w:bCs/>
          <w:color w:val="000000"/>
        </w:rPr>
        <w:t xml:space="preserve"> </w:t>
      </w:r>
      <w:r w:rsidR="00830877">
        <w:rPr>
          <w:rFonts w:ascii="Calibri" w:eastAsia="Calibri" w:hAnsi="Calibri" w:cs="Arial"/>
          <w:bCs/>
          <w:color w:val="000000"/>
        </w:rPr>
        <w:t>symptoms of</w:t>
      </w:r>
      <w:r w:rsidR="006F10E9" w:rsidRPr="008C45AB">
        <w:rPr>
          <w:rFonts w:ascii="Calibri" w:eastAsia="Calibri" w:hAnsi="Calibri" w:cs="Arial"/>
          <w:bCs/>
          <w:color w:val="000000"/>
        </w:rPr>
        <w:t xml:space="preserve"> depression and/or anxiety.</w:t>
      </w:r>
    </w:p>
    <w:p w:rsidR="001B5E72" w:rsidRPr="008C45AB" w:rsidRDefault="001B5E72" w:rsidP="001B5E72">
      <w:pPr>
        <w:spacing w:line="480" w:lineRule="auto"/>
        <w:rPr>
          <w:rFonts w:ascii="Calibri" w:hAnsi="Calibri" w:cs="Calibri"/>
          <w:color w:val="000000"/>
        </w:rPr>
      </w:pPr>
    </w:p>
    <w:p w:rsidR="001B5E72" w:rsidRPr="008C45AB" w:rsidRDefault="001B5E72" w:rsidP="001B5E72">
      <w:pPr>
        <w:spacing w:line="480" w:lineRule="auto"/>
        <w:rPr>
          <w:rFonts w:ascii="Calibri" w:hAnsi="Calibri" w:cs="Calibri"/>
          <w:color w:val="000000"/>
        </w:rPr>
      </w:pPr>
      <w:r w:rsidRPr="008C45AB">
        <w:rPr>
          <w:rFonts w:ascii="Calibri" w:hAnsi="Calibri" w:cs="Calibri"/>
          <w:color w:val="000000"/>
        </w:rPr>
        <w:t>It is also possible that both directions of this association between</w:t>
      </w:r>
      <w:r w:rsidR="00F46794">
        <w:rPr>
          <w:rFonts w:ascii="Calibri" w:hAnsi="Calibri" w:cs="Calibri"/>
        </w:rPr>
        <w:t xml:space="preserve"> use of multiple social media platforms</w:t>
      </w:r>
      <w:r w:rsidRPr="008C45AB">
        <w:rPr>
          <w:rFonts w:ascii="Calibri" w:hAnsi="Calibri" w:cs="Calibri"/>
          <w:color w:val="000000"/>
        </w:rPr>
        <w:t xml:space="preserve"> and </w:t>
      </w:r>
      <w:r w:rsidR="006F10E9" w:rsidRPr="008C45AB">
        <w:rPr>
          <w:rFonts w:ascii="Calibri" w:hAnsi="Calibri" w:cs="Calibri"/>
          <w:color w:val="000000"/>
        </w:rPr>
        <w:t>depression and anxiety may be valid</w:t>
      </w:r>
      <w:r w:rsidRPr="008C45AB">
        <w:rPr>
          <w:rFonts w:ascii="Calibri" w:hAnsi="Calibri" w:cs="Calibri"/>
          <w:color w:val="000000"/>
        </w:rPr>
        <w:t xml:space="preserve">. For example, it may be that </w:t>
      </w:r>
      <w:r w:rsidR="006F10E9" w:rsidRPr="008C45AB">
        <w:rPr>
          <w:rFonts w:ascii="Calibri" w:hAnsi="Calibri" w:cs="Calibri"/>
          <w:color w:val="000000"/>
        </w:rPr>
        <w:t>depressed</w:t>
      </w:r>
      <w:r w:rsidRPr="008C45AB">
        <w:rPr>
          <w:rFonts w:ascii="Calibri" w:hAnsi="Calibri" w:cs="Calibri"/>
          <w:color w:val="000000"/>
        </w:rPr>
        <w:t xml:space="preserve"> </w:t>
      </w:r>
      <w:r w:rsidRPr="008C45AB">
        <w:rPr>
          <w:rFonts w:ascii="Calibri" w:hAnsi="Calibri" w:cs="Calibri"/>
          <w:color w:val="000000"/>
        </w:rPr>
        <w:lastRenderedPageBreak/>
        <w:t xml:space="preserve">individuals turn to </w:t>
      </w:r>
      <w:r w:rsidR="006F10E9" w:rsidRPr="008C45AB">
        <w:rPr>
          <w:rFonts w:ascii="Calibri" w:hAnsi="Calibri" w:cs="Calibri"/>
          <w:color w:val="000000"/>
        </w:rPr>
        <w:t>multiple different platforms for support</w:t>
      </w:r>
      <w:r w:rsidRPr="008C45AB">
        <w:rPr>
          <w:rFonts w:ascii="Calibri" w:hAnsi="Calibri" w:cs="Calibri"/>
          <w:color w:val="000000"/>
        </w:rPr>
        <w:t>, but that the subsequent</w:t>
      </w:r>
      <w:r w:rsidR="006F10E9" w:rsidRPr="008C45AB">
        <w:rPr>
          <w:rFonts w:ascii="Calibri" w:hAnsi="Calibri" w:cs="Calibri"/>
          <w:color w:val="000000"/>
        </w:rPr>
        <w:t xml:space="preserve"> increased interaction </w:t>
      </w:r>
      <w:r w:rsidR="008C45AB" w:rsidRPr="008C45AB">
        <w:rPr>
          <w:rFonts w:ascii="Calibri" w:hAnsi="Calibri" w:cs="Calibri"/>
          <w:color w:val="000000"/>
        </w:rPr>
        <w:t>does not fill that void. In fact, it</w:t>
      </w:r>
      <w:r w:rsidR="006F10E9" w:rsidRPr="008C45AB">
        <w:rPr>
          <w:rFonts w:ascii="Calibri" w:hAnsi="Calibri" w:cs="Calibri"/>
          <w:color w:val="000000"/>
        </w:rPr>
        <w:t xml:space="preserve"> may even lead to more feelings of exclusion</w:t>
      </w:r>
      <w:r w:rsidR="008C45AB" w:rsidRPr="008C45AB">
        <w:rPr>
          <w:rFonts w:ascii="Calibri" w:hAnsi="Calibri" w:cs="Calibri"/>
          <w:color w:val="000000"/>
        </w:rPr>
        <w:t xml:space="preserve"> and/</w:t>
      </w:r>
      <w:r w:rsidR="006F10E9" w:rsidRPr="008C45AB">
        <w:rPr>
          <w:rFonts w:ascii="Calibri" w:hAnsi="Calibri" w:cs="Calibri"/>
          <w:color w:val="000000"/>
        </w:rPr>
        <w:t>or disillusionment</w:t>
      </w:r>
      <w:r w:rsidRPr="008C45AB">
        <w:rPr>
          <w:rFonts w:ascii="Calibri" w:hAnsi="Calibri" w:cs="Calibri"/>
          <w:color w:val="000000"/>
        </w:rPr>
        <w:t xml:space="preserve">. </w:t>
      </w:r>
      <w:r w:rsidR="006F10E9" w:rsidRPr="008C45AB">
        <w:rPr>
          <w:rFonts w:ascii="Calibri" w:hAnsi="Calibri" w:cs="Calibri"/>
          <w:color w:val="000000"/>
        </w:rPr>
        <w:t>This may perpetuate</w:t>
      </w:r>
      <w:r w:rsidRPr="008C45AB">
        <w:rPr>
          <w:rFonts w:ascii="Calibri" w:hAnsi="Calibri" w:cs="Calibri"/>
          <w:color w:val="000000"/>
        </w:rPr>
        <w:t xml:space="preserve"> a cycle of </w:t>
      </w:r>
      <w:r w:rsidR="006F10E9" w:rsidRPr="008C45AB">
        <w:rPr>
          <w:rFonts w:ascii="Calibri" w:hAnsi="Calibri" w:cs="Calibri"/>
          <w:color w:val="000000"/>
        </w:rPr>
        <w:t xml:space="preserve">reliance on multiple social media platforms and </w:t>
      </w:r>
      <w:r w:rsidR="00852217">
        <w:rPr>
          <w:rFonts w:ascii="Calibri" w:hAnsi="Calibri" w:cs="Calibri"/>
          <w:color w:val="000000"/>
        </w:rPr>
        <w:t xml:space="preserve">negative </w:t>
      </w:r>
      <w:r w:rsidR="000C0558">
        <w:rPr>
          <w:rFonts w:ascii="Calibri" w:hAnsi="Calibri" w:cs="Calibri"/>
          <w:color w:val="000000"/>
        </w:rPr>
        <w:t>mental health outcome</w:t>
      </w:r>
      <w:r w:rsidR="009E150B">
        <w:rPr>
          <w:rFonts w:ascii="Calibri" w:hAnsi="Calibri" w:cs="Calibri"/>
          <w:color w:val="000000"/>
        </w:rPr>
        <w:t>s</w:t>
      </w:r>
      <w:r w:rsidR="006F10E9" w:rsidRPr="008C45AB">
        <w:rPr>
          <w:rFonts w:ascii="Calibri" w:hAnsi="Calibri" w:cs="Calibri"/>
          <w:color w:val="000000"/>
        </w:rPr>
        <w:t>.</w:t>
      </w:r>
    </w:p>
    <w:p w:rsidR="00D141EE" w:rsidRDefault="00D141EE" w:rsidP="001B5E72">
      <w:pPr>
        <w:spacing w:line="480" w:lineRule="auto"/>
        <w:rPr>
          <w:rFonts w:ascii="Calibri" w:hAnsi="Calibri" w:cs="Calibri"/>
          <w:color w:val="000000"/>
        </w:rPr>
      </w:pPr>
    </w:p>
    <w:p w:rsidR="002E2FF9" w:rsidRDefault="00BC2EFD" w:rsidP="001B5E72">
      <w:pPr>
        <w:spacing w:line="480" w:lineRule="auto"/>
        <w:rPr>
          <w:rFonts w:ascii="Calibri" w:hAnsi="Calibri" w:cs="Calibri"/>
          <w:color w:val="000000"/>
        </w:rPr>
      </w:pPr>
      <w:r>
        <w:rPr>
          <w:rFonts w:ascii="Calibri" w:hAnsi="Calibri" w:cs="Calibri"/>
          <w:color w:val="000000"/>
        </w:rPr>
        <w:t>It is noteworthy</w:t>
      </w:r>
      <w:r w:rsidR="009D597F">
        <w:rPr>
          <w:rFonts w:ascii="Calibri" w:hAnsi="Calibri" w:cs="Calibri"/>
          <w:color w:val="000000"/>
        </w:rPr>
        <w:t xml:space="preserve"> that our results present rates of self-reported depressive and anxiety symptoms. These may or may not translate into clinical diagnoses of depression or anxiety disorders. Related to this, both depression and anxiety symptoms surveyed for this research may correspond with a number of different psychiatric disorders</w:t>
      </w:r>
      <w:r w:rsidR="009E159E">
        <w:rPr>
          <w:rFonts w:ascii="Calibri" w:hAnsi="Calibri" w:cs="Calibri"/>
          <w:color w:val="000000"/>
        </w:rPr>
        <w:t xml:space="preserve"> (e.g. unipolar or bipolar depression, and dysthymia among depressive disorders, and panic, obsessive-compulsive, or posttraumatic stress disorder, among anxiety disorders).</w:t>
      </w:r>
      <w:r w:rsidR="009D597F">
        <w:rPr>
          <w:rFonts w:ascii="Calibri" w:hAnsi="Calibri" w:cs="Calibri"/>
          <w:color w:val="000000"/>
        </w:rPr>
        <w:t xml:space="preserve"> </w:t>
      </w:r>
      <w:r w:rsidR="00FA56A7">
        <w:rPr>
          <w:rFonts w:ascii="Calibri" w:hAnsi="Calibri" w:cs="Calibri"/>
          <w:color w:val="000000"/>
        </w:rPr>
        <w:t xml:space="preserve">This presents a rich field for future research. </w:t>
      </w:r>
      <w:r w:rsidR="009D597F">
        <w:rPr>
          <w:rFonts w:ascii="Calibri" w:hAnsi="Calibri" w:cs="Calibri"/>
          <w:color w:val="000000"/>
        </w:rPr>
        <w:t>While</w:t>
      </w:r>
      <w:r w:rsidR="009E159E">
        <w:rPr>
          <w:rFonts w:ascii="Calibri" w:hAnsi="Calibri" w:cs="Calibri"/>
          <w:color w:val="000000"/>
        </w:rPr>
        <w:t xml:space="preserve"> these conditions share a common ground of either a mood or an anxiety disorder, symptoms among them are different in nature, severity, cognitive impairment, </w:t>
      </w:r>
      <w:r w:rsidR="00F46794">
        <w:rPr>
          <w:rFonts w:ascii="Calibri" w:hAnsi="Calibri" w:cs="Calibri"/>
          <w:color w:val="000000"/>
        </w:rPr>
        <w:t xml:space="preserve">and </w:t>
      </w:r>
      <w:r w:rsidR="009E159E">
        <w:rPr>
          <w:rFonts w:ascii="Calibri" w:hAnsi="Calibri" w:cs="Calibri"/>
          <w:color w:val="000000"/>
        </w:rPr>
        <w:t xml:space="preserve">potential disability. </w:t>
      </w:r>
      <w:r w:rsidR="00D011C9">
        <w:rPr>
          <w:rFonts w:ascii="Calibri" w:hAnsi="Calibri" w:cs="Calibri"/>
          <w:color w:val="000000"/>
        </w:rPr>
        <w:t xml:space="preserve">These characteristics may shape different ways of individuals’ interactions with social media. For example, given the consistently depressive mood of individual with unipolar depression, this might use multiple social media platforms with a more consistent frequency and purpose. Meanwhile, given </w:t>
      </w:r>
      <w:r w:rsidR="0055676D">
        <w:rPr>
          <w:rFonts w:ascii="Calibri" w:hAnsi="Calibri" w:cs="Calibri"/>
          <w:color w:val="000000"/>
        </w:rPr>
        <w:t>the</w:t>
      </w:r>
      <w:r w:rsidR="00D011C9">
        <w:rPr>
          <w:rFonts w:ascii="Calibri" w:hAnsi="Calibri" w:cs="Calibri"/>
          <w:color w:val="000000"/>
        </w:rPr>
        <w:t xml:space="preserve"> cyclic nature</w:t>
      </w:r>
      <w:r w:rsidR="0055676D">
        <w:rPr>
          <w:rFonts w:ascii="Calibri" w:hAnsi="Calibri" w:cs="Calibri"/>
          <w:color w:val="000000"/>
        </w:rPr>
        <w:t xml:space="preserve"> of the condition (</w:t>
      </w:r>
      <w:r w:rsidR="00D011C9">
        <w:rPr>
          <w:rFonts w:ascii="Calibri" w:hAnsi="Calibri" w:cs="Calibri"/>
          <w:color w:val="000000"/>
        </w:rPr>
        <w:t>which makes part of a more complex co</w:t>
      </w:r>
      <w:r w:rsidR="0055676D">
        <w:rPr>
          <w:rFonts w:ascii="Calibri" w:hAnsi="Calibri" w:cs="Calibri"/>
          <w:color w:val="000000"/>
        </w:rPr>
        <w:t>ndition called bipolar disorder)</w:t>
      </w:r>
      <w:r w:rsidR="00D011C9">
        <w:rPr>
          <w:rFonts w:ascii="Calibri" w:hAnsi="Calibri" w:cs="Calibri"/>
          <w:color w:val="000000"/>
        </w:rPr>
        <w:t>,</w:t>
      </w:r>
      <w:r w:rsidR="0055676D">
        <w:rPr>
          <w:rFonts w:ascii="Calibri" w:hAnsi="Calibri" w:cs="Calibri"/>
          <w:color w:val="000000"/>
        </w:rPr>
        <w:t xml:space="preserve"> a person with bipolar depression may exhibit a changing pattern of social media use, both in frequency and number of platforms used, which might vary according the current phase of the individual’s </w:t>
      </w:r>
      <w:r w:rsidR="00FA56A7">
        <w:rPr>
          <w:rFonts w:ascii="Calibri" w:hAnsi="Calibri" w:cs="Calibri"/>
          <w:color w:val="000000"/>
        </w:rPr>
        <w:t>illness.</w:t>
      </w:r>
      <w:r w:rsidR="009E150B">
        <w:rPr>
          <w:rFonts w:ascii="Calibri" w:hAnsi="Calibri" w:cs="Calibri"/>
          <w:color w:val="000000"/>
        </w:rPr>
        <w:t xml:space="preserve"> </w:t>
      </w:r>
      <w:r w:rsidR="0055676D">
        <w:rPr>
          <w:rFonts w:ascii="Calibri" w:hAnsi="Calibri" w:cs="Calibri"/>
          <w:color w:val="000000"/>
        </w:rPr>
        <w:t xml:space="preserve">Understanding these variations may help in designing and implementing educational </w:t>
      </w:r>
      <w:r w:rsidR="00FA56A7">
        <w:rPr>
          <w:rFonts w:ascii="Calibri" w:hAnsi="Calibri" w:cs="Calibri"/>
          <w:color w:val="000000"/>
        </w:rPr>
        <w:t xml:space="preserve">public health </w:t>
      </w:r>
      <w:r w:rsidR="0055676D">
        <w:rPr>
          <w:rFonts w:ascii="Calibri" w:hAnsi="Calibri" w:cs="Calibri"/>
          <w:color w:val="000000"/>
        </w:rPr>
        <w:t xml:space="preserve">interventions that are as </w:t>
      </w:r>
      <w:r w:rsidR="00FA56A7">
        <w:rPr>
          <w:rFonts w:ascii="Calibri" w:hAnsi="Calibri" w:cs="Calibri"/>
          <w:color w:val="000000"/>
        </w:rPr>
        <w:t>personalized</w:t>
      </w:r>
      <w:r w:rsidR="0055676D">
        <w:rPr>
          <w:rFonts w:ascii="Calibri" w:hAnsi="Calibri" w:cs="Calibri"/>
          <w:color w:val="000000"/>
        </w:rPr>
        <w:t xml:space="preserve"> as possible.</w:t>
      </w:r>
    </w:p>
    <w:p w:rsidR="002E2FF9" w:rsidRDefault="002E2FF9" w:rsidP="001B5E72">
      <w:pPr>
        <w:spacing w:line="480" w:lineRule="auto"/>
        <w:rPr>
          <w:rFonts w:ascii="Calibri" w:hAnsi="Calibri" w:cs="Calibri"/>
          <w:color w:val="000000"/>
        </w:rPr>
      </w:pPr>
    </w:p>
    <w:p w:rsidR="00D141EE" w:rsidRDefault="00FA56A7" w:rsidP="001B5E72">
      <w:pPr>
        <w:spacing w:line="480" w:lineRule="auto"/>
        <w:rPr>
          <w:rFonts w:ascii="Calibri" w:hAnsi="Calibri" w:cs="Calibri"/>
          <w:color w:val="000000"/>
        </w:rPr>
      </w:pPr>
      <w:r>
        <w:rPr>
          <w:rFonts w:ascii="Calibri" w:hAnsi="Calibri" w:cs="Calibri"/>
          <w:color w:val="000000"/>
        </w:rPr>
        <w:t>For the same reason, i</w:t>
      </w:r>
      <w:r w:rsidR="00D141EE">
        <w:rPr>
          <w:rFonts w:ascii="Calibri" w:hAnsi="Calibri" w:cs="Calibri"/>
          <w:color w:val="000000"/>
        </w:rPr>
        <w:t>t may also be valuable for future research to look at the role of urban and rural environments in the impact of</w:t>
      </w:r>
      <w:r w:rsidR="00F46794">
        <w:rPr>
          <w:rFonts w:ascii="Calibri" w:hAnsi="Calibri" w:cs="Calibri"/>
          <w:color w:val="000000"/>
        </w:rPr>
        <w:t xml:space="preserve"> usage of multiple social media platforms</w:t>
      </w:r>
      <w:r w:rsidR="00D141EE">
        <w:rPr>
          <w:rFonts w:ascii="Calibri" w:hAnsi="Calibri" w:cs="Calibri"/>
          <w:color w:val="000000"/>
        </w:rPr>
        <w:t xml:space="preserve"> on levels of depressive and/or anxiety symptoms. While Pew</w:t>
      </w:r>
      <w:r w:rsidR="00B40ED0">
        <w:rPr>
          <w:rFonts w:ascii="Calibri" w:hAnsi="Calibri" w:cs="Calibri"/>
          <w:color w:val="000000"/>
        </w:rPr>
        <w:t xml:space="preserve"> Research Center</w:t>
      </w:r>
      <w:r w:rsidR="00D141EE">
        <w:rPr>
          <w:rFonts w:ascii="Calibri" w:hAnsi="Calibri" w:cs="Calibri"/>
          <w:color w:val="000000"/>
        </w:rPr>
        <w:t xml:space="preserve"> has reported that, compared to their urban counterparts, rural young adults lag behind in their use of social media</w:t>
      </w:r>
      <w:r w:rsidR="009F7A37">
        <w:rPr>
          <w:rFonts w:ascii="Calibri" w:hAnsi="Calibri" w:cs="Calibri"/>
          <w:color w:val="000000"/>
        </w:rPr>
        <w:t xml:space="preserve"> </w:t>
      </w:r>
      <w:r w:rsidR="0053656A">
        <w:rPr>
          <w:rFonts w:ascii="Calibri" w:hAnsi="Calibri" w:cs="Calibri"/>
          <w:color w:val="000000"/>
        </w:rPr>
        <w:fldChar w:fldCharType="begin" w:fldLock="1"/>
      </w:r>
      <w:r w:rsidR="001F2834">
        <w:rPr>
          <w:rFonts w:ascii="Calibri" w:hAnsi="Calibri" w:cs="Calibri"/>
          <w:color w:val="000000"/>
        </w:rPr>
        <w:instrText>ADDIN CSL_CITATION { "citationItems" : [ { "id" : "ITEM-1", "itemData" : { "URL" : "http://www.webcitation.org/6ajEhvS11", "accessed" : { "date-parts" : [ [ "2016", "6", "8" ] ] }, "author" : [ { "dropping-particle" : "", "family" : "Pew Research Center", "given" : "", "non-dropping-particle" : "", "parse-names" : false, "suffix" : "" } ], "id" : "ITEM-1", "issued" : { "date-parts" : [ [ "2015" ] ] }, "publisher-place" : "Washington DC", "title" : "Social media update 2015", "type" : "webpage" }, "uris" : [ "http://www.mendeley.com/documents/?uuid=df0f6d13-93d3-4769-83ea-683475cc9ef4" ] } ], "mendeley" : { "formattedCitation" : "(Pew Research Center, 2015)", "plainTextFormattedCitation" : "(Pew Research Center, 2015)", "previouslyFormattedCitation" : "&lt;sup&gt;5&lt;/sup&gt;" }, "properties" : { "noteIndex" : 0 }, "schema" : "https://github.com/citation-style-language/schema/raw/master/csl-citation.json" }</w:instrText>
      </w:r>
      <w:r w:rsidR="0053656A">
        <w:rPr>
          <w:rFonts w:ascii="Calibri" w:hAnsi="Calibri" w:cs="Calibri"/>
          <w:color w:val="000000"/>
        </w:rPr>
        <w:fldChar w:fldCharType="separate"/>
      </w:r>
      <w:r w:rsidR="001F2834" w:rsidRPr="001F2834">
        <w:rPr>
          <w:rFonts w:ascii="Calibri" w:hAnsi="Calibri" w:cs="Calibri"/>
          <w:noProof/>
          <w:color w:val="000000"/>
        </w:rPr>
        <w:t>(Pew Research Center, 2015)</w:t>
      </w:r>
      <w:r w:rsidR="0053656A">
        <w:rPr>
          <w:rFonts w:ascii="Calibri" w:hAnsi="Calibri" w:cs="Calibri"/>
          <w:color w:val="000000"/>
        </w:rPr>
        <w:fldChar w:fldCharType="end"/>
      </w:r>
      <w:r w:rsidR="00D141EE">
        <w:rPr>
          <w:rFonts w:ascii="Calibri" w:hAnsi="Calibri" w:cs="Calibri"/>
          <w:color w:val="000000"/>
        </w:rPr>
        <w:t xml:space="preserve">, some researchers have found a lightly higher level of self-reported depression among rural young adults, perhaps due to geographic isolation of these </w:t>
      </w:r>
      <w:r w:rsidR="00354C3C">
        <w:rPr>
          <w:rFonts w:ascii="Calibri" w:hAnsi="Calibri" w:cs="Calibri"/>
          <w:color w:val="000000"/>
        </w:rPr>
        <w:t>areas</w:t>
      </w:r>
      <w:r w:rsidR="009E3AD7">
        <w:rPr>
          <w:rFonts w:ascii="Calibri" w:hAnsi="Calibri" w:cs="Calibri"/>
          <w:color w:val="000000"/>
        </w:rPr>
        <w:t xml:space="preserve"> </w:t>
      </w:r>
      <w:r w:rsidR="0053656A">
        <w:rPr>
          <w:rFonts w:ascii="Calibri" w:hAnsi="Calibri" w:cs="Calibri"/>
          <w:color w:val="000000"/>
        </w:rPr>
        <w:fldChar w:fldCharType="begin" w:fldLock="1"/>
      </w:r>
      <w:r w:rsidR="001F2834">
        <w:rPr>
          <w:rFonts w:ascii="Calibri" w:hAnsi="Calibri" w:cs="Calibri"/>
          <w:color w:val="000000"/>
        </w:rPr>
        <w:instrText>ADDIN CSL_CITATION { "citationItems" : [ { "id" : "ITEM-1", "itemData" : { "DOI" : "10.3389/fnhum.2014.00712", "ISSN" : "1662-5161 (Electronic)", "PMID" : "25309388", "abstract" : "Depression is a debilitating condition that adversely affects many aspects of a person's life and general health. Earlier work has supported the idea that there may be a relationship between the use of certain media and depression. In this study, we tested if self-report of depression (SRD), which is not a clinically based diagnosis, was associated with increased internet, television, and social media usage by using data collected in the Media Behavior and Influence Study (MBIS) database (N = 19,776 subjects). We further assessed the relationship of demographic variables to this association. These analyses found that SRD rates were in the range of published rates of clinically diagnosed major depression. It found that those who tended to use more media also tended to be more depressed, and that segmentation of SRD subjects was weighted toward internet and television usage, which was not the case with non-SRD subjects, who were segmented along social media use. This study found that those who have suffered either economic or physical life setbacks are orders of magnitude more likely to be depressed, even without disproportionately high levels of media use. However, among those that have suffered major life setbacks, high media users-particularly television watchers-were even more likely to report experiencing depression, which suggests that these effects were not just due to individuals having more time for media consumption. These findings provide an example of how Big Data can be used for medical and mental health research, helping to elucidate issues not traditionally tested in the fields of psychiatry or experimental psychology.", "author" : [ { "dropping-particle" : "", "family" : "Block", "given" : "Martin", "non-dropping-particle" : "", "parse-names" : false, "suffix" : "" }, { "dropping-particle" : "", "family" : "Stern", "given" : "Daniel B", "non-dropping-particle" : "", "parse-names" : false, "suffix" : "" }, { "dropping-particle" : "", "family" : "Raman", "given" : "Kalyan", "non-dropping-particle" : "", "parse-names" : false, "suffix" : "" }, { "dropping-particle" : "", "family" : "Lee", "given" : "Sang", "non-dropping-particle" : "", "parse-names" : false, "suffix" : "" }, { "dropping-particle" : "", "family" : "Carey", "given" : "Jim", "non-dropping-particle" : "", "parse-names" : false, "suffix" : "" }, { "dropping-particle" : "", "family" : "Humphreys", "given" : "Ashlee A", "non-dropping-particle" : "", "parse-names" : false, "suffix" : "" }, { "dropping-particle" : "", "family" : "Mulhern", "given" : "Frank", "non-dropping-particle" : "", "parse-names" : false, "suffix" : "" }, { "dropping-particle" : "", "family" : "Calder", "given" : "Bobby", "non-dropping-particle" : "", "parse-names" : false, "suffix" : "" }, { "dropping-particle" : "", "family" : "Schultz", "given" : "Don", "non-dropping-particle" : "", "parse-names" : false, "suffix" : "" }, { "dropping-particle" : "", "family" : "Rudick", "given" : "Charles N", "non-dropping-particle" : "", "parse-names" : false, "suffix" : "" }, { "dropping-particle" : "", "family" : "Blood", "given" : "Anne J", "non-dropping-particle" : "", "parse-names" : false, "suffix" : "" }, { "dropping-particle" : "", "family" : "Breiter", "given" : "Hans C", "non-dropping-particle" : "", "parse-names" : false, "suffix" : "" } ], "container-title" : "Frontiers in human neuroscience", "id" : "ITEM-1", "issued" : { "date-parts" : [ [ "2014" ] ] }, "language" : "eng", "page" : "712", "publisher-place" : "Switzerland", "title" : "The relationship between self-report of depression and media usage", "type" : "article-journal", "volume" : "8" }, "uris" : [ "http://www.mendeley.com/documents/?uuid=f13a7673-7fef-4ea1-8bd4-1f24c5596236" ] } ], "mendeley" : { "formattedCitation" : "(Block et al., 2014)", "plainTextFormattedCitation" : "(Block et al., 2014)", "previouslyFormattedCitation" : "&lt;sup&gt;15&lt;/sup&gt;" }, "properties" : { "noteIndex" : 0 }, "schema" : "https://github.com/citation-style-language/schema/raw/master/csl-citation.json" }</w:instrText>
      </w:r>
      <w:r w:rsidR="0053656A">
        <w:rPr>
          <w:rFonts w:ascii="Calibri" w:hAnsi="Calibri" w:cs="Calibri"/>
          <w:color w:val="000000"/>
        </w:rPr>
        <w:fldChar w:fldCharType="separate"/>
      </w:r>
      <w:r w:rsidR="001F2834" w:rsidRPr="001F2834">
        <w:rPr>
          <w:rFonts w:ascii="Calibri" w:hAnsi="Calibri" w:cs="Calibri"/>
          <w:noProof/>
          <w:color w:val="000000"/>
        </w:rPr>
        <w:t>(Block et al., 2014)</w:t>
      </w:r>
      <w:r w:rsidR="0053656A">
        <w:rPr>
          <w:rFonts w:ascii="Calibri" w:hAnsi="Calibri" w:cs="Calibri"/>
          <w:color w:val="000000"/>
        </w:rPr>
        <w:fldChar w:fldCharType="end"/>
      </w:r>
      <w:r w:rsidR="00D141EE">
        <w:rPr>
          <w:rFonts w:ascii="Calibri" w:hAnsi="Calibri" w:cs="Calibri"/>
          <w:color w:val="000000"/>
        </w:rPr>
        <w:t xml:space="preserve">. </w:t>
      </w:r>
      <w:r w:rsidR="007C028C">
        <w:rPr>
          <w:rFonts w:ascii="Calibri" w:hAnsi="Calibri" w:cs="Calibri"/>
          <w:color w:val="000000"/>
        </w:rPr>
        <w:t>A possible</w:t>
      </w:r>
      <w:r w:rsidR="00C16A24">
        <w:rPr>
          <w:rFonts w:ascii="Calibri" w:hAnsi="Calibri" w:cs="Calibri"/>
          <w:color w:val="000000"/>
        </w:rPr>
        <w:t xml:space="preserve"> reason</w:t>
      </w:r>
      <w:r w:rsidR="002E2FF9">
        <w:rPr>
          <w:rFonts w:ascii="Calibri" w:hAnsi="Calibri" w:cs="Calibri"/>
          <w:color w:val="000000"/>
        </w:rPr>
        <w:t xml:space="preserve"> for this to happen is </w:t>
      </w:r>
      <w:r w:rsidR="00374697">
        <w:rPr>
          <w:rFonts w:ascii="Calibri" w:hAnsi="Calibri" w:cs="Calibri"/>
          <w:color w:val="000000"/>
        </w:rPr>
        <w:t>that social</w:t>
      </w:r>
      <w:r w:rsidR="002E2FF9">
        <w:rPr>
          <w:rFonts w:ascii="Calibri" w:hAnsi="Calibri" w:cs="Calibri"/>
          <w:color w:val="000000"/>
        </w:rPr>
        <w:t xml:space="preserve"> media </w:t>
      </w:r>
      <w:r w:rsidR="00C16A24">
        <w:rPr>
          <w:rFonts w:ascii="Calibri" w:hAnsi="Calibri" w:cs="Calibri"/>
          <w:color w:val="000000"/>
        </w:rPr>
        <w:t xml:space="preserve">might be a potential enabler </w:t>
      </w:r>
      <w:r w:rsidR="00374697">
        <w:rPr>
          <w:rFonts w:ascii="Calibri" w:hAnsi="Calibri" w:cs="Calibri"/>
          <w:color w:val="000000"/>
        </w:rPr>
        <w:t>of social</w:t>
      </w:r>
      <w:r w:rsidR="002E2FF9">
        <w:rPr>
          <w:rFonts w:ascii="Calibri" w:hAnsi="Calibri" w:cs="Calibri"/>
          <w:color w:val="000000"/>
        </w:rPr>
        <w:t xml:space="preserve"> interactions, networking, and support in areas where otherwise these would be difficult for individuals to have access to, due to geography.</w:t>
      </w:r>
      <w:r w:rsidR="009E150B">
        <w:rPr>
          <w:rFonts w:ascii="Calibri" w:hAnsi="Calibri" w:cs="Calibri"/>
          <w:color w:val="000000"/>
        </w:rPr>
        <w:t xml:space="preserve"> </w:t>
      </w:r>
    </w:p>
    <w:p w:rsidR="00D141EE" w:rsidRPr="008C45AB" w:rsidRDefault="00D141EE" w:rsidP="001B5E72">
      <w:pPr>
        <w:spacing w:line="480" w:lineRule="auto"/>
        <w:rPr>
          <w:rFonts w:ascii="Calibri" w:hAnsi="Calibri" w:cs="Calibri"/>
          <w:color w:val="000000"/>
        </w:rPr>
      </w:pPr>
    </w:p>
    <w:p w:rsidR="006F10E9" w:rsidRPr="008C45AB" w:rsidRDefault="006F10E9" w:rsidP="001B5E72">
      <w:pPr>
        <w:spacing w:line="480" w:lineRule="auto"/>
        <w:rPr>
          <w:rFonts w:ascii="Calibri" w:hAnsi="Calibri" w:cs="Calibri"/>
          <w:color w:val="000000"/>
        </w:rPr>
      </w:pPr>
      <w:r w:rsidRPr="008C45AB">
        <w:rPr>
          <w:rFonts w:ascii="Calibri" w:hAnsi="Calibri" w:cs="Calibri"/>
          <w:color w:val="000000"/>
        </w:rPr>
        <w:t xml:space="preserve">While more research </w:t>
      </w:r>
      <w:r w:rsidR="006C1F32">
        <w:rPr>
          <w:rFonts w:ascii="Calibri" w:hAnsi="Calibri" w:cs="Calibri"/>
          <w:color w:val="000000"/>
        </w:rPr>
        <w:t xml:space="preserve">is </w:t>
      </w:r>
      <w:r w:rsidRPr="008C45AB">
        <w:rPr>
          <w:rFonts w:ascii="Calibri" w:hAnsi="Calibri" w:cs="Calibri"/>
          <w:color w:val="000000"/>
        </w:rPr>
        <w:t xml:space="preserve">necessary to confirm and better understand these associations, </w:t>
      </w:r>
      <w:r w:rsidR="008C45AB" w:rsidRPr="008C45AB">
        <w:rPr>
          <w:rFonts w:ascii="Calibri" w:hAnsi="Calibri" w:cs="Calibri"/>
          <w:color w:val="000000"/>
        </w:rPr>
        <w:t>it may not be too soon to suggest that</w:t>
      </w:r>
      <w:r w:rsidRPr="008C45AB">
        <w:rPr>
          <w:rFonts w:ascii="Calibri" w:hAnsi="Calibri" w:cs="Calibri"/>
          <w:color w:val="000000"/>
        </w:rPr>
        <w:t xml:space="preserve"> individuals </w:t>
      </w:r>
      <w:r w:rsidR="006C1F32">
        <w:rPr>
          <w:rFonts w:ascii="Calibri" w:hAnsi="Calibri" w:cs="Calibri"/>
          <w:color w:val="000000"/>
        </w:rPr>
        <w:t>with</w:t>
      </w:r>
      <w:r w:rsidRPr="008C45AB">
        <w:rPr>
          <w:rFonts w:ascii="Calibri" w:hAnsi="Calibri" w:cs="Calibri"/>
          <w:color w:val="000000"/>
        </w:rPr>
        <w:t xml:space="preserve"> depress</w:t>
      </w:r>
      <w:r w:rsidR="006C1F32">
        <w:rPr>
          <w:rFonts w:ascii="Calibri" w:hAnsi="Calibri" w:cs="Calibri"/>
          <w:color w:val="000000"/>
        </w:rPr>
        <w:t>ive</w:t>
      </w:r>
      <w:r w:rsidR="009E150B">
        <w:rPr>
          <w:rFonts w:ascii="Calibri" w:hAnsi="Calibri" w:cs="Calibri"/>
          <w:color w:val="000000"/>
        </w:rPr>
        <w:t xml:space="preserve"> </w:t>
      </w:r>
      <w:r w:rsidRPr="008C45AB">
        <w:rPr>
          <w:rFonts w:ascii="Calibri" w:hAnsi="Calibri" w:cs="Calibri"/>
          <w:color w:val="000000"/>
        </w:rPr>
        <w:t>and/or anxi</w:t>
      </w:r>
      <w:r w:rsidR="006C1F32">
        <w:rPr>
          <w:rFonts w:ascii="Calibri" w:hAnsi="Calibri" w:cs="Calibri"/>
          <w:color w:val="000000"/>
        </w:rPr>
        <w:t>ety symptoms, and who</w:t>
      </w:r>
      <w:r w:rsidR="009E150B">
        <w:rPr>
          <w:rFonts w:ascii="Calibri" w:hAnsi="Calibri" w:cs="Calibri"/>
          <w:color w:val="000000"/>
        </w:rPr>
        <w:t xml:space="preserve"> </w:t>
      </w:r>
      <w:r w:rsidR="002B4EE6" w:rsidRPr="008C45AB">
        <w:rPr>
          <w:rFonts w:ascii="Calibri" w:hAnsi="Calibri" w:cs="Calibri"/>
          <w:color w:val="000000"/>
        </w:rPr>
        <w:t>use a</w:t>
      </w:r>
      <w:r w:rsidR="006C1F32">
        <w:rPr>
          <w:rFonts w:ascii="Calibri" w:hAnsi="Calibri" w:cs="Calibri"/>
          <w:color w:val="000000"/>
        </w:rPr>
        <w:t xml:space="preserve"> high</w:t>
      </w:r>
      <w:r w:rsidR="002B4EE6" w:rsidRPr="008C45AB">
        <w:rPr>
          <w:rFonts w:ascii="Calibri" w:hAnsi="Calibri" w:cs="Calibri"/>
          <w:color w:val="000000"/>
        </w:rPr>
        <w:t xml:space="preserve"> number of different social media platforms may wish to </w:t>
      </w:r>
      <w:r w:rsidR="008C45AB" w:rsidRPr="008C45AB">
        <w:rPr>
          <w:rFonts w:ascii="Calibri" w:hAnsi="Calibri" w:cs="Calibri"/>
          <w:color w:val="000000"/>
        </w:rPr>
        <w:t>decrease the</w:t>
      </w:r>
      <w:r w:rsidR="002B4EE6" w:rsidRPr="008C45AB">
        <w:rPr>
          <w:rFonts w:ascii="Calibri" w:hAnsi="Calibri" w:cs="Calibri"/>
          <w:color w:val="000000"/>
        </w:rPr>
        <w:t xml:space="preserve"> number of platforms used</w:t>
      </w:r>
      <w:r w:rsidR="008C45AB" w:rsidRPr="008C45AB">
        <w:rPr>
          <w:rFonts w:ascii="Calibri" w:hAnsi="Calibri" w:cs="Calibri"/>
          <w:color w:val="000000"/>
        </w:rPr>
        <w:t>, especially given the strength of the associations we found</w:t>
      </w:r>
      <w:r w:rsidR="002B4EE6" w:rsidRPr="008C45AB">
        <w:rPr>
          <w:rFonts w:ascii="Calibri" w:hAnsi="Calibri" w:cs="Calibri"/>
          <w:color w:val="000000"/>
        </w:rPr>
        <w:t>. While</w:t>
      </w:r>
      <w:r w:rsidR="009E150B">
        <w:rPr>
          <w:rFonts w:ascii="Calibri" w:hAnsi="Calibri" w:cs="Calibri"/>
          <w:color w:val="000000"/>
        </w:rPr>
        <w:t xml:space="preserve"> </w:t>
      </w:r>
      <w:r w:rsidR="008C45AB" w:rsidRPr="008C45AB">
        <w:rPr>
          <w:rFonts w:ascii="Calibri" w:hAnsi="Calibri" w:cs="Calibri"/>
          <w:color w:val="000000"/>
        </w:rPr>
        <w:t>this research is in its early stages, this</w:t>
      </w:r>
      <w:r w:rsidR="002B4EE6" w:rsidRPr="008C45AB">
        <w:rPr>
          <w:rFonts w:ascii="Calibri" w:hAnsi="Calibri" w:cs="Calibri"/>
          <w:color w:val="000000"/>
        </w:rPr>
        <w:t xml:space="preserve"> may be worth considering especially because the risk</w:t>
      </w:r>
      <w:r w:rsidR="00852217">
        <w:rPr>
          <w:rFonts w:ascii="Calibri" w:hAnsi="Calibri" w:cs="Calibri"/>
          <w:color w:val="000000"/>
        </w:rPr>
        <w:t xml:space="preserve"> of adverse mental health outcomes</w:t>
      </w:r>
      <w:r w:rsidR="002B4EE6" w:rsidRPr="008C45AB">
        <w:rPr>
          <w:rFonts w:ascii="Calibri" w:hAnsi="Calibri" w:cs="Calibri"/>
          <w:color w:val="000000"/>
        </w:rPr>
        <w:t xml:space="preserve"> associated with </w:t>
      </w:r>
      <w:r w:rsidR="005630BA" w:rsidRPr="008C45AB">
        <w:rPr>
          <w:rFonts w:ascii="Calibri" w:hAnsi="Calibri" w:cs="Calibri"/>
          <w:color w:val="000000"/>
        </w:rPr>
        <w:t xml:space="preserve">decreasing </w:t>
      </w:r>
      <w:r w:rsidR="000E0806">
        <w:rPr>
          <w:rFonts w:ascii="Calibri" w:hAnsi="Calibri" w:cs="Calibri"/>
          <w:color w:val="000000"/>
        </w:rPr>
        <w:t xml:space="preserve">the </w:t>
      </w:r>
      <w:r w:rsidR="005630BA" w:rsidRPr="008C45AB">
        <w:rPr>
          <w:rFonts w:ascii="Calibri" w:hAnsi="Calibri" w:cs="Calibri"/>
          <w:color w:val="000000"/>
        </w:rPr>
        <w:t>number of platforms used</w:t>
      </w:r>
      <w:r w:rsidR="002B4EE6" w:rsidRPr="008C45AB">
        <w:rPr>
          <w:rFonts w:ascii="Calibri" w:hAnsi="Calibri" w:cs="Calibri"/>
          <w:color w:val="000000"/>
        </w:rPr>
        <w:t xml:space="preserve"> </w:t>
      </w:r>
      <w:r w:rsidR="008C45AB" w:rsidRPr="008C45AB">
        <w:rPr>
          <w:rFonts w:ascii="Calibri" w:hAnsi="Calibri" w:cs="Calibri"/>
          <w:color w:val="000000"/>
        </w:rPr>
        <w:t>should</w:t>
      </w:r>
      <w:r w:rsidR="002B4EE6" w:rsidRPr="008C45AB">
        <w:rPr>
          <w:rFonts w:ascii="Calibri" w:hAnsi="Calibri" w:cs="Calibri"/>
          <w:color w:val="000000"/>
        </w:rPr>
        <w:t xml:space="preserve"> be low.</w:t>
      </w:r>
    </w:p>
    <w:p w:rsidR="002B4EE6" w:rsidRPr="008C45AB" w:rsidRDefault="002B4EE6" w:rsidP="001B5E72">
      <w:pPr>
        <w:spacing w:line="480" w:lineRule="auto"/>
        <w:rPr>
          <w:rFonts w:ascii="Calibri" w:hAnsi="Calibri" w:cs="Calibri"/>
          <w:color w:val="000000"/>
        </w:rPr>
      </w:pPr>
    </w:p>
    <w:p w:rsidR="002B4EE6" w:rsidRPr="008C45AB" w:rsidRDefault="002B4EE6" w:rsidP="001B5E72">
      <w:pPr>
        <w:spacing w:line="480" w:lineRule="auto"/>
        <w:rPr>
          <w:rFonts w:ascii="Calibri" w:hAnsi="Calibri" w:cs="Calibri"/>
          <w:color w:val="000000"/>
        </w:rPr>
      </w:pPr>
      <w:r w:rsidRPr="008C45AB">
        <w:rPr>
          <w:rFonts w:ascii="Calibri" w:hAnsi="Calibri" w:cs="Calibri"/>
          <w:color w:val="000000"/>
        </w:rPr>
        <w:t xml:space="preserve">However, it is important to note that, in today’s world, and especially among young adults, it may be more difficult than it sounds to decrease the number of </w:t>
      </w:r>
      <w:r w:rsidR="006C1F32">
        <w:rPr>
          <w:rFonts w:ascii="Calibri" w:hAnsi="Calibri" w:cs="Calibri"/>
          <w:color w:val="000000"/>
        </w:rPr>
        <w:t xml:space="preserve">social media </w:t>
      </w:r>
      <w:r w:rsidRPr="008C45AB">
        <w:rPr>
          <w:rFonts w:ascii="Calibri" w:hAnsi="Calibri" w:cs="Calibri"/>
          <w:color w:val="000000"/>
        </w:rPr>
        <w:t>platforms used. This is because young people tend to use different platforms for different reasons</w:t>
      </w:r>
      <w:r w:rsidR="009E3AD7">
        <w:rPr>
          <w:rFonts w:ascii="Calibri" w:hAnsi="Calibri" w:cs="Calibri"/>
          <w:color w:val="000000"/>
        </w:rPr>
        <w:t xml:space="preserve"> </w:t>
      </w:r>
      <w:r w:rsidR="0053656A">
        <w:rPr>
          <w:rFonts w:ascii="Calibri" w:hAnsi="Calibri" w:cs="Calibri"/>
          <w:color w:val="000000"/>
        </w:rPr>
        <w:fldChar w:fldCharType="begin" w:fldLock="1"/>
      </w:r>
      <w:r w:rsidR="001F2834">
        <w:rPr>
          <w:rFonts w:ascii="Calibri" w:hAnsi="Calibri" w:cs="Calibri"/>
          <w:color w:val="000000"/>
        </w:rPr>
        <w:instrText>ADDIN CSL_CITATION { "citationItems" : [ { "id" : "ITEM-1", "itemData" : { "DOI" : "10.1089/cyber.2014.0070", "ISSN" : "2152-2715", "PMID" : "25192305", "abstract" : "During the past decade, online social networking has caused profound changes in the way people communicate and interact. It is unclear, however, whether some of these changes may affect certain normal aspects of human behavior and cause psychiatric disorders. Several studies have indicated that the prolonged use of social networking sites (SNS), such as Facebook, may be related to signs and symptoms of depression. In addition, some authors have indicated that certain SNS activities might be associated with low self-esteem, especially in children and adolescents. Other studies have presented opposite results in terms of positive impact of social networking on self-esteem. The relationship between SNS use and mental problems to this day remains controversial, and research on this issue is faced with numerous challenges. This concise review focuses on the recent findings regarding the suggested connection between SNS and mental health issues such as depressive symptoms, changes in self-esteem, and Internet addiction.", "author" : [ { "dropping-particle" : "", "family" : "Pantic", "given" : "I", "non-dropping-particle" : "", "parse-names" : false, "suffix" : "" } ], "container-title" : "Cyberpsychology, Behavior, and Social Networking", "id" : "ITEM-1", "issue" : "10", "issued" : { "date-parts" : [ [ "2014", "10" ] ] }, "page" : "652-657", "title" : "Online social networking and mental health", "type" : "article-journal", "volume" : "17" }, "uris" : [ "http://www.mendeley.com/documents/?uuid=b5a7a96e-c9e2-45df-b6f0-1c2cfbeca6b6" ] } ], "mendeley" : { "formattedCitation" : "(Pantic, 2014)", "plainTextFormattedCitation" : "(Pantic, 2014)", "previouslyFormattedCitation" : "&lt;sup&gt;47&lt;/sup&gt;" }, "properties" : { "noteIndex" : 0 }, "schema" : "https://github.com/citation-style-language/schema/raw/master/csl-citation.json" }</w:instrText>
      </w:r>
      <w:r w:rsidR="0053656A">
        <w:rPr>
          <w:rFonts w:ascii="Calibri" w:hAnsi="Calibri" w:cs="Calibri"/>
          <w:color w:val="000000"/>
        </w:rPr>
        <w:fldChar w:fldCharType="separate"/>
      </w:r>
      <w:r w:rsidR="001F2834" w:rsidRPr="001F2834">
        <w:rPr>
          <w:rFonts w:ascii="Calibri" w:hAnsi="Calibri" w:cs="Calibri"/>
          <w:noProof/>
          <w:color w:val="000000"/>
        </w:rPr>
        <w:t xml:space="preserve">(Pantic, </w:t>
      </w:r>
      <w:r w:rsidR="001F2834" w:rsidRPr="001F2834">
        <w:rPr>
          <w:rFonts w:ascii="Calibri" w:hAnsi="Calibri" w:cs="Calibri"/>
          <w:noProof/>
          <w:color w:val="000000"/>
        </w:rPr>
        <w:lastRenderedPageBreak/>
        <w:t>2014)</w:t>
      </w:r>
      <w:r w:rsidR="0053656A">
        <w:rPr>
          <w:rFonts w:ascii="Calibri" w:hAnsi="Calibri" w:cs="Calibri"/>
          <w:color w:val="000000"/>
        </w:rPr>
        <w:fldChar w:fldCharType="end"/>
      </w:r>
      <w:r w:rsidRPr="008C45AB">
        <w:rPr>
          <w:rFonts w:ascii="Calibri" w:hAnsi="Calibri" w:cs="Calibri"/>
          <w:color w:val="000000"/>
        </w:rPr>
        <w:t>, and thus they may be reluctant to give up any one of these. For example, many people in this age range maintain Facebook accounts but use them primarily for posting photos and receiving information from formal groups such as college related activities.</w:t>
      </w:r>
      <w:r w:rsidR="00852217">
        <w:rPr>
          <w:rFonts w:ascii="Calibri" w:hAnsi="Calibri" w:cs="Calibri"/>
          <w:color w:val="000000"/>
        </w:rPr>
        <w:t xml:space="preserve"> </w:t>
      </w:r>
      <w:r w:rsidR="00AA6309">
        <w:rPr>
          <w:rFonts w:ascii="Calibri" w:hAnsi="Calibri" w:cs="Calibri"/>
          <w:color w:val="000000"/>
        </w:rPr>
        <w:t>T</w:t>
      </w:r>
      <w:r w:rsidR="005630BA" w:rsidRPr="008C45AB">
        <w:rPr>
          <w:rFonts w:ascii="Calibri" w:hAnsi="Calibri" w:cs="Calibri"/>
          <w:color w:val="000000"/>
        </w:rPr>
        <w:t>hese individuals</w:t>
      </w:r>
      <w:r w:rsidRPr="008C45AB">
        <w:rPr>
          <w:rFonts w:ascii="Calibri" w:hAnsi="Calibri" w:cs="Calibri"/>
          <w:color w:val="000000"/>
        </w:rPr>
        <w:t xml:space="preserve"> may use Snapchat instead for private conversations with close friends. Meanwhile, Twitter and Reddit are common sources of news, while LinkedIn can be important occupationally. Finally, sites such as Tumblr</w:t>
      </w:r>
      <w:r w:rsidR="0039760B">
        <w:rPr>
          <w:rFonts w:ascii="Calibri" w:hAnsi="Calibri" w:cs="Calibri"/>
          <w:color w:val="000000"/>
        </w:rPr>
        <w:t>, Instagram</w:t>
      </w:r>
      <w:r w:rsidRPr="008C45AB">
        <w:rPr>
          <w:rFonts w:ascii="Calibri" w:hAnsi="Calibri" w:cs="Calibri"/>
          <w:color w:val="000000"/>
        </w:rPr>
        <w:t xml:space="preserve"> and Pinterest tend to be more popular among individuals with artistic and or craft related aspirations.</w:t>
      </w:r>
      <w:r w:rsidR="0039760B">
        <w:rPr>
          <w:rFonts w:ascii="Calibri" w:hAnsi="Calibri" w:cs="Calibri"/>
          <w:color w:val="000000"/>
        </w:rPr>
        <w:t xml:space="preserve"> </w:t>
      </w:r>
    </w:p>
    <w:p w:rsidR="002B4EE6" w:rsidRPr="008C45AB" w:rsidRDefault="002B4EE6" w:rsidP="001B5E72">
      <w:pPr>
        <w:spacing w:line="480" w:lineRule="auto"/>
        <w:rPr>
          <w:rFonts w:ascii="Calibri" w:hAnsi="Calibri" w:cs="Calibri"/>
          <w:color w:val="000000"/>
        </w:rPr>
      </w:pPr>
    </w:p>
    <w:p w:rsidR="002B4EE6" w:rsidRPr="008C45AB" w:rsidRDefault="002B4EE6" w:rsidP="001B5E72">
      <w:pPr>
        <w:spacing w:line="480" w:lineRule="auto"/>
        <w:rPr>
          <w:rFonts w:ascii="Calibri" w:hAnsi="Calibri" w:cs="Calibri"/>
          <w:color w:val="000000"/>
        </w:rPr>
      </w:pPr>
      <w:r w:rsidRPr="008C45AB">
        <w:rPr>
          <w:rFonts w:ascii="Calibri" w:hAnsi="Calibri" w:cs="Calibri"/>
          <w:color w:val="000000"/>
        </w:rPr>
        <w:t xml:space="preserve">Therefore, understanding that many people may not </w:t>
      </w:r>
      <w:r w:rsidR="008E46DA" w:rsidRPr="008C45AB">
        <w:rPr>
          <w:rFonts w:ascii="Calibri" w:hAnsi="Calibri" w:cs="Calibri"/>
          <w:color w:val="000000"/>
        </w:rPr>
        <w:t>wish</w:t>
      </w:r>
      <w:r w:rsidRPr="008C45AB">
        <w:rPr>
          <w:rFonts w:ascii="Calibri" w:hAnsi="Calibri" w:cs="Calibri"/>
          <w:color w:val="000000"/>
        </w:rPr>
        <w:t xml:space="preserve"> to significantly decrease the total number of platforms used, another potential solution may be to utilize educational interventions that specifically help individuals </w:t>
      </w:r>
      <w:r w:rsidR="00AA6309">
        <w:rPr>
          <w:rFonts w:ascii="Calibri" w:hAnsi="Calibri" w:cs="Calibri"/>
          <w:color w:val="000000"/>
        </w:rPr>
        <w:t xml:space="preserve">to </w:t>
      </w:r>
      <w:r w:rsidR="008E46DA" w:rsidRPr="008C45AB">
        <w:rPr>
          <w:rFonts w:ascii="Calibri" w:hAnsi="Calibri" w:cs="Calibri"/>
          <w:color w:val="000000"/>
        </w:rPr>
        <w:t>manage social network use</w:t>
      </w:r>
      <w:r w:rsidRPr="008C45AB">
        <w:rPr>
          <w:rFonts w:ascii="Calibri" w:hAnsi="Calibri" w:cs="Calibri"/>
          <w:color w:val="000000"/>
        </w:rPr>
        <w:t xml:space="preserve">. This type of education may help </w:t>
      </w:r>
      <w:r w:rsidR="008E46DA" w:rsidRPr="008C45AB">
        <w:rPr>
          <w:rFonts w:ascii="Calibri" w:hAnsi="Calibri" w:cs="Calibri"/>
          <w:color w:val="000000"/>
        </w:rPr>
        <w:t>individuals—especially those just beginning to use social media—to</w:t>
      </w:r>
      <w:r w:rsidRPr="008C45AB">
        <w:rPr>
          <w:rFonts w:ascii="Calibri" w:hAnsi="Calibri" w:cs="Calibri"/>
          <w:color w:val="000000"/>
        </w:rPr>
        <w:t xml:space="preserve"> better understand the unwritten rules and idiosyncrasies of </w:t>
      </w:r>
      <w:r w:rsidR="008E46DA" w:rsidRPr="008C45AB">
        <w:rPr>
          <w:rFonts w:ascii="Calibri" w:hAnsi="Calibri" w:cs="Calibri"/>
          <w:color w:val="000000"/>
        </w:rPr>
        <w:t>various</w:t>
      </w:r>
      <w:r w:rsidRPr="008C45AB">
        <w:rPr>
          <w:rFonts w:ascii="Calibri" w:hAnsi="Calibri" w:cs="Calibri"/>
          <w:color w:val="000000"/>
        </w:rPr>
        <w:t xml:space="preserve"> platform</w:t>
      </w:r>
      <w:r w:rsidR="008E46DA" w:rsidRPr="008C45AB">
        <w:rPr>
          <w:rFonts w:ascii="Calibri" w:hAnsi="Calibri" w:cs="Calibri"/>
          <w:color w:val="000000"/>
        </w:rPr>
        <w:t xml:space="preserve">s, which may help them </w:t>
      </w:r>
      <w:r w:rsidRPr="008C45AB">
        <w:rPr>
          <w:rFonts w:ascii="Calibri" w:hAnsi="Calibri" w:cs="Calibri"/>
          <w:color w:val="000000"/>
        </w:rPr>
        <w:t>to potentially avoid embarrassing posts that may ultimately lead to anxiety or depression. This type of education may also help people to consider which platforms are truly necessary to their lives and valuable for their goals, and which ones may not be.</w:t>
      </w:r>
    </w:p>
    <w:p w:rsidR="005C4AAE" w:rsidRPr="008C45AB" w:rsidRDefault="005C4AAE" w:rsidP="001B5E72">
      <w:pPr>
        <w:spacing w:line="480" w:lineRule="auto"/>
        <w:rPr>
          <w:rFonts w:ascii="Calibri" w:hAnsi="Calibri" w:cs="Calibri"/>
        </w:rPr>
      </w:pPr>
    </w:p>
    <w:p w:rsidR="001B5E72" w:rsidRPr="008C45AB" w:rsidRDefault="00E8285C" w:rsidP="009F7A37">
      <w:pPr>
        <w:spacing w:line="480" w:lineRule="auto"/>
        <w:ind w:left="360" w:hanging="360"/>
        <w:rPr>
          <w:rFonts w:ascii="Calibri" w:hAnsi="Calibri" w:cs="Calibri"/>
          <w:b/>
        </w:rPr>
      </w:pPr>
      <w:r>
        <w:rPr>
          <w:rFonts w:ascii="Calibri" w:hAnsi="Calibri" w:cs="Calibri"/>
          <w:b/>
        </w:rPr>
        <w:t xml:space="preserve">4.1. </w:t>
      </w:r>
      <w:r w:rsidR="001B5E72" w:rsidRPr="008C45AB">
        <w:rPr>
          <w:rFonts w:ascii="Calibri" w:hAnsi="Calibri" w:cs="Calibri"/>
          <w:b/>
        </w:rPr>
        <w:t>Limitations</w:t>
      </w:r>
    </w:p>
    <w:p w:rsidR="001B5E72" w:rsidRPr="008C45AB" w:rsidRDefault="001B5E72" w:rsidP="001B5E72">
      <w:pPr>
        <w:spacing w:line="480" w:lineRule="auto"/>
        <w:rPr>
          <w:rFonts w:ascii="Calibri" w:hAnsi="Calibri" w:cs="Calibri"/>
        </w:rPr>
      </w:pPr>
    </w:p>
    <w:p w:rsidR="008C45AB" w:rsidRPr="008C45AB" w:rsidRDefault="008C45AB" w:rsidP="008C45AB">
      <w:pPr>
        <w:spacing w:line="480" w:lineRule="auto"/>
        <w:rPr>
          <w:rFonts w:ascii="Calibri" w:hAnsi="Calibri" w:cs="Calibri"/>
        </w:rPr>
      </w:pPr>
      <w:r w:rsidRPr="008C45AB">
        <w:rPr>
          <w:rFonts w:ascii="Calibri" w:hAnsi="Calibri" w:cs="Calibri"/>
        </w:rPr>
        <w:t>As discussed above,</w:t>
      </w:r>
      <w:r w:rsidR="009E150B">
        <w:rPr>
          <w:rFonts w:ascii="Calibri" w:hAnsi="Calibri" w:cs="Calibri"/>
        </w:rPr>
        <w:t xml:space="preserve"> </w:t>
      </w:r>
      <w:r w:rsidRPr="008C45AB">
        <w:rPr>
          <w:rFonts w:ascii="Calibri" w:hAnsi="Calibri" w:cs="Calibri"/>
        </w:rPr>
        <w:t xml:space="preserve">our data were cross-sectional. Therefore, </w:t>
      </w:r>
      <w:r w:rsidRPr="008C45AB">
        <w:rPr>
          <w:rFonts w:ascii="Calibri" w:hAnsi="Calibri" w:cs="Calibri"/>
          <w:color w:val="000000"/>
        </w:rPr>
        <w:t xml:space="preserve">longitudinal studies and/or qualitative data may be valuable to explore in the future. It should be reiterated that we </w:t>
      </w:r>
      <w:r w:rsidRPr="008C45AB">
        <w:rPr>
          <w:rFonts w:ascii="Calibri" w:hAnsi="Calibri" w:cs="Calibri"/>
          <w:color w:val="000000"/>
        </w:rPr>
        <w:lastRenderedPageBreak/>
        <w:t>studied young adults ages 19-32; therefore, these results cannot be generalized to other populations.</w:t>
      </w:r>
    </w:p>
    <w:p w:rsidR="008C45AB" w:rsidRPr="008C45AB" w:rsidRDefault="008C45AB" w:rsidP="001B5E72">
      <w:pPr>
        <w:spacing w:line="480" w:lineRule="auto"/>
        <w:rPr>
          <w:rFonts w:ascii="Calibri" w:hAnsi="Calibri" w:cs="Calibri"/>
          <w:color w:val="000000"/>
        </w:rPr>
      </w:pPr>
    </w:p>
    <w:p w:rsidR="009F7A37" w:rsidRPr="009F7A37" w:rsidRDefault="008C45AB" w:rsidP="009F7A37">
      <w:pPr>
        <w:spacing w:line="480" w:lineRule="auto"/>
        <w:rPr>
          <w:rFonts w:ascii="Calibri" w:hAnsi="Calibri" w:cs="Calibri"/>
          <w:color w:val="000000"/>
        </w:rPr>
      </w:pPr>
      <w:r w:rsidRPr="008C45AB">
        <w:rPr>
          <w:rFonts w:ascii="Calibri" w:hAnsi="Calibri" w:cs="Calibri"/>
          <w:color w:val="000000"/>
        </w:rPr>
        <w:t>It is also</w:t>
      </w:r>
      <w:r w:rsidR="005C4AAE" w:rsidRPr="008C45AB">
        <w:rPr>
          <w:rFonts w:ascii="Calibri" w:hAnsi="Calibri" w:cs="Calibri"/>
          <w:color w:val="000000"/>
        </w:rPr>
        <w:t xml:space="preserve"> important to note that our primary independent variable was simply the number of sites used. A site was coded as being used if it was used with any frequency, even just once a month. Therefore, i</w:t>
      </w:r>
      <w:r w:rsidR="005C4AAE" w:rsidRPr="008C45AB">
        <w:rPr>
          <w:rFonts w:ascii="Calibri" w:hAnsi="Calibri" w:cs="Calibri"/>
        </w:rPr>
        <w:t xml:space="preserve">t may be valuable for future studies to use more </w:t>
      </w:r>
      <w:r w:rsidR="009D5659">
        <w:rPr>
          <w:rFonts w:ascii="Calibri" w:hAnsi="Calibri" w:cs="Calibri"/>
        </w:rPr>
        <w:t>granular</w:t>
      </w:r>
      <w:r w:rsidR="009E150B">
        <w:rPr>
          <w:rFonts w:ascii="Calibri" w:hAnsi="Calibri" w:cs="Calibri"/>
        </w:rPr>
        <w:t xml:space="preserve"> </w:t>
      </w:r>
      <w:r w:rsidR="005C4AAE" w:rsidRPr="008C45AB">
        <w:rPr>
          <w:rFonts w:ascii="Calibri" w:hAnsi="Calibri" w:cs="Calibri"/>
        </w:rPr>
        <w:t xml:space="preserve">measures related to frequency. </w:t>
      </w:r>
      <w:r w:rsidRPr="008C45AB">
        <w:rPr>
          <w:rFonts w:ascii="Calibri" w:hAnsi="Calibri" w:cs="Calibri"/>
          <w:color w:val="000000"/>
        </w:rPr>
        <w:t>Related to this, our study did not examine more nuanced usage patterns. For example, some users tend to passively consume social media content while others engage in more active communication. Thus, i</w:t>
      </w:r>
      <w:r w:rsidRPr="008C45AB">
        <w:rPr>
          <w:rFonts w:ascii="Calibri" w:hAnsi="Calibri" w:cs="Calibri"/>
        </w:rPr>
        <w:t xml:space="preserve">t may be that those who use only a couple of social media platforms are more empowered to engage in active social media interactions, which may reduce their likelihood of feeling </w:t>
      </w:r>
      <w:r w:rsidR="0039760B">
        <w:rPr>
          <w:rFonts w:ascii="Calibri" w:hAnsi="Calibri" w:cs="Calibri"/>
        </w:rPr>
        <w:t xml:space="preserve">isolated, depressed, or anxious </w:t>
      </w:r>
      <w:r w:rsidR="0053656A" w:rsidRPr="008C45AB">
        <w:rPr>
          <w:rFonts w:ascii="Calibri" w:hAnsi="Calibri" w:cs="Calibri"/>
        </w:rPr>
        <w:fldChar w:fldCharType="begin" w:fldLock="1"/>
      </w:r>
      <w:r w:rsidR="001F2834">
        <w:rPr>
          <w:rFonts w:ascii="Calibri" w:hAnsi="Calibri" w:cs="Calibri"/>
        </w:rPr>
        <w:instrText>ADDIN CSL_CITATION { "citationItems" : [ { "id" : "ITEM-1", "itemData" : { "DOI" : "10.1111/j.1083-6101.2007.00367.x", "ISSN" : "10836101", "abstract" : "This study examines the relationship between use of Facebook, a popular online social network site, and the formation and maintenance of social capital. In addition to assessing bonding and bridging social capital, we explore a dimension of social capital that assesses one\u2019s ability to stay connected with members of a previously inhabited community, which we call maintained social capital. Regression analyses conducted on results from a survey of undergraduate students (N = 286) suggest a strong association between use of Facebook and the three types of social capital, with the strongest relationship being to bridging social capital. In addition, Facebook usage was found to interact with measures of psychological well-being, suggesting that it might provide greater", "author" : [ { "dropping-particle" : "", "family" : "Ellison", "given" : "N. B.", "non-dropping-particle" : "", "parse-names" : false, "suffix" : "" }, { "dropping-particle" : "", "family" : "Steinfield", "given" : "C", "non-dropping-particle" : "", "parse-names" : false, "suffix" : "" }, { "dropping-particle" : "", "family" : "Lampe", "given" : "C", "non-dropping-particle" : "", "parse-names" : false, "suffix" : "" } ], "container-title" : "Journal of Computer-Mediated Communication", "id" : "ITEM-1", "issue" : "4", "issued" : { "date-parts" : [ [ "2007", "7" ] ] }, "page" : "1143-1168", "title" : "The benefits of Facebook \u201cfriends:\u201d Social capital and college students\u2019 use of online social network sites", "type" : "article-journal", "volume" : "12" }, "uris" : [ "http://www.mendeley.com/documents/?uuid=02a954d4-6cee-416a-923b-9a5c0764d1d0" ] } ], "mendeley" : { "formattedCitation" : "(Ellison et al., 2007)", "plainTextFormattedCitation" : "(Ellison et al., 2007)", "previouslyFormattedCitation" : "&lt;sup&gt;6&lt;/sup&gt;" }, "properties" : { "noteIndex" : 0 }, "schema" : "https://github.com/citation-style-language/schema/raw/master/csl-citation.json" }</w:instrText>
      </w:r>
      <w:r w:rsidR="0053656A" w:rsidRPr="008C45AB">
        <w:rPr>
          <w:rFonts w:ascii="Calibri" w:hAnsi="Calibri" w:cs="Calibri"/>
        </w:rPr>
        <w:fldChar w:fldCharType="separate"/>
      </w:r>
      <w:r w:rsidR="001F2834" w:rsidRPr="001F2834">
        <w:rPr>
          <w:rFonts w:ascii="Calibri" w:hAnsi="Calibri" w:cs="Calibri"/>
          <w:noProof/>
        </w:rPr>
        <w:t>(Ellison et al., 2007)</w:t>
      </w:r>
      <w:r w:rsidR="0053656A" w:rsidRPr="008C45AB">
        <w:rPr>
          <w:rFonts w:ascii="Calibri" w:hAnsi="Calibri" w:cs="Calibri"/>
        </w:rPr>
        <w:fldChar w:fldCharType="end"/>
      </w:r>
      <w:r w:rsidR="0039760B">
        <w:rPr>
          <w:rFonts w:ascii="Calibri" w:hAnsi="Calibri" w:cs="Calibri"/>
        </w:rPr>
        <w:t>.</w:t>
      </w:r>
      <w:r w:rsidRPr="008C45AB">
        <w:rPr>
          <w:rFonts w:ascii="Calibri" w:hAnsi="Calibri" w:cs="Calibri"/>
        </w:rPr>
        <w:t xml:space="preserve"> However, it may also be that active users are more prone to having negative experiences such as arguments, which ultimately can be detrimental. Therefore, future work in this area should more comprehensively assess character of usage.</w:t>
      </w:r>
      <w:r w:rsidRPr="008C45AB">
        <w:rPr>
          <w:rFonts w:ascii="Calibri" w:hAnsi="Calibri" w:cs="Calibri"/>
          <w:color w:val="000000"/>
        </w:rPr>
        <w:t xml:space="preserve"> </w:t>
      </w:r>
      <w:r w:rsidR="005C4AAE" w:rsidRPr="008C45AB">
        <w:rPr>
          <w:rFonts w:ascii="Calibri" w:hAnsi="Calibri" w:cs="Calibri"/>
        </w:rPr>
        <w:t>We also did not assess a comprehensive set of intrinsic factors such as personality, which may be relevant to these questions. For example, highly extroverted individuals may have less difficulty navigating multiple social media platforms, while those who are introverted may find this more challenging.</w:t>
      </w:r>
      <w:r w:rsidR="009F7A37">
        <w:rPr>
          <w:rFonts w:ascii="Calibri" w:hAnsi="Calibri" w:cs="Arial"/>
          <w:b/>
        </w:rPr>
        <w:br w:type="page"/>
      </w:r>
    </w:p>
    <w:p w:rsidR="001B5E72" w:rsidRPr="008C45AB" w:rsidRDefault="00E8285C" w:rsidP="001B5E72">
      <w:pPr>
        <w:spacing w:line="480" w:lineRule="auto"/>
        <w:rPr>
          <w:rFonts w:ascii="Calibri" w:hAnsi="Calibri" w:cs="Calibri"/>
          <w:color w:val="000000"/>
        </w:rPr>
      </w:pPr>
      <w:r>
        <w:rPr>
          <w:rFonts w:ascii="Calibri" w:hAnsi="Calibri" w:cs="Arial"/>
          <w:b/>
        </w:rPr>
        <w:lastRenderedPageBreak/>
        <w:t xml:space="preserve">5. </w:t>
      </w:r>
      <w:r w:rsidR="001B5E72" w:rsidRPr="008C45AB">
        <w:rPr>
          <w:rFonts w:ascii="Calibri" w:hAnsi="Calibri" w:cs="Arial"/>
          <w:b/>
        </w:rPr>
        <w:t>C</w:t>
      </w:r>
      <w:r>
        <w:rPr>
          <w:rFonts w:ascii="Calibri" w:hAnsi="Calibri" w:cs="Arial"/>
          <w:b/>
        </w:rPr>
        <w:t>ONCLUSION</w:t>
      </w:r>
    </w:p>
    <w:p w:rsidR="001B5E72" w:rsidRPr="008C45AB" w:rsidRDefault="001B5E72" w:rsidP="001B5E72">
      <w:pPr>
        <w:spacing w:line="480" w:lineRule="auto"/>
        <w:rPr>
          <w:rFonts w:ascii="Calibri" w:hAnsi="Calibri" w:cs="Arial"/>
        </w:rPr>
      </w:pPr>
    </w:p>
    <w:p w:rsidR="001B5E72" w:rsidRPr="008C45AB" w:rsidRDefault="001B5E72" w:rsidP="001B5E72">
      <w:pPr>
        <w:spacing w:line="480" w:lineRule="auto"/>
        <w:rPr>
          <w:rFonts w:ascii="Calibri" w:hAnsi="Calibri" w:cs="Arial"/>
        </w:rPr>
      </w:pPr>
      <w:r w:rsidRPr="008C45AB">
        <w:rPr>
          <w:rFonts w:ascii="Calibri" w:hAnsi="Calibri" w:cs="Arial"/>
        </w:rPr>
        <w:t xml:space="preserve">Despite these limitations, it is noteworthy that </w:t>
      </w:r>
      <w:r w:rsidR="00FB36A0" w:rsidRPr="008C45AB">
        <w:rPr>
          <w:rFonts w:ascii="Calibri" w:hAnsi="Calibri" w:cs="Arial"/>
        </w:rPr>
        <w:t xml:space="preserve">we found </w:t>
      </w:r>
      <w:r w:rsidRPr="008C45AB">
        <w:rPr>
          <w:rFonts w:ascii="Calibri" w:hAnsi="Calibri" w:cs="Arial"/>
        </w:rPr>
        <w:t xml:space="preserve">increased </w:t>
      </w:r>
      <w:r w:rsidR="000E0806">
        <w:rPr>
          <w:rFonts w:ascii="Calibri" w:hAnsi="Calibri" w:cs="Calibri"/>
        </w:rPr>
        <w:t>use of multiple social media platforms</w:t>
      </w:r>
      <w:r w:rsidR="000E0806" w:rsidRPr="008C45AB">
        <w:rPr>
          <w:rFonts w:ascii="Calibri" w:hAnsi="Calibri" w:cs="Arial"/>
        </w:rPr>
        <w:t xml:space="preserve"> </w:t>
      </w:r>
      <w:r w:rsidRPr="008C45AB">
        <w:rPr>
          <w:rFonts w:ascii="Calibri" w:hAnsi="Calibri" w:cs="Arial"/>
        </w:rPr>
        <w:t xml:space="preserve"> </w:t>
      </w:r>
      <w:r w:rsidR="00FB36A0" w:rsidRPr="008C45AB">
        <w:rPr>
          <w:rFonts w:ascii="Calibri" w:hAnsi="Calibri" w:cs="Arial"/>
        </w:rPr>
        <w:t>to be</w:t>
      </w:r>
      <w:r w:rsidRPr="008C45AB">
        <w:rPr>
          <w:rFonts w:ascii="Calibri" w:hAnsi="Calibri" w:cs="Arial"/>
        </w:rPr>
        <w:t xml:space="preserve"> strongly and independently associated with </w:t>
      </w:r>
      <w:r w:rsidR="00FB36A0" w:rsidRPr="008C45AB">
        <w:rPr>
          <w:rFonts w:ascii="Calibri" w:hAnsi="Calibri" w:cs="Arial"/>
        </w:rPr>
        <w:t>both depressi</w:t>
      </w:r>
      <w:r w:rsidR="009D5659">
        <w:rPr>
          <w:rFonts w:ascii="Calibri" w:hAnsi="Calibri" w:cs="Arial"/>
        </w:rPr>
        <w:t>ve</w:t>
      </w:r>
      <w:r w:rsidR="009E150B">
        <w:rPr>
          <w:rFonts w:ascii="Calibri" w:hAnsi="Calibri" w:cs="Arial"/>
        </w:rPr>
        <w:t xml:space="preserve"> </w:t>
      </w:r>
      <w:r w:rsidR="00FB36A0" w:rsidRPr="008C45AB">
        <w:rPr>
          <w:rFonts w:ascii="Calibri" w:hAnsi="Calibri" w:cs="Arial"/>
        </w:rPr>
        <w:t>and anxiety</w:t>
      </w:r>
      <w:r w:rsidR="009D5659">
        <w:rPr>
          <w:rFonts w:ascii="Calibri" w:hAnsi="Calibri" w:cs="Arial"/>
        </w:rPr>
        <w:t xml:space="preserve"> symptoms</w:t>
      </w:r>
      <w:r w:rsidR="0023579D" w:rsidRPr="008C45AB">
        <w:rPr>
          <w:rFonts w:ascii="Calibri" w:hAnsi="Calibri" w:cs="Arial"/>
        </w:rPr>
        <w:t xml:space="preserve"> in a nationally representative sample of young adults</w:t>
      </w:r>
      <w:r w:rsidR="00FB36A0" w:rsidRPr="008C45AB">
        <w:rPr>
          <w:rFonts w:ascii="Calibri" w:hAnsi="Calibri" w:cs="Arial"/>
        </w:rPr>
        <w:t>—even when controlling for overall SMU</w:t>
      </w:r>
      <w:r w:rsidRPr="008C45AB">
        <w:rPr>
          <w:rFonts w:ascii="Calibri" w:hAnsi="Calibri" w:cs="Arial"/>
        </w:rPr>
        <w:t xml:space="preserve">. </w:t>
      </w:r>
      <w:r w:rsidR="00FB36A0" w:rsidRPr="008C45AB">
        <w:rPr>
          <w:rFonts w:ascii="Calibri" w:hAnsi="Calibri" w:cs="Arial"/>
        </w:rPr>
        <w:t xml:space="preserve">In fact, </w:t>
      </w:r>
      <w:r w:rsidR="000E0806">
        <w:rPr>
          <w:rFonts w:ascii="Calibri" w:hAnsi="Calibri" w:cs="Calibri"/>
        </w:rPr>
        <w:t>use of multiple social media platforms</w:t>
      </w:r>
      <w:r w:rsidR="00FB36A0" w:rsidRPr="008C45AB">
        <w:rPr>
          <w:rFonts w:ascii="Calibri" w:hAnsi="Calibri" w:cs="Arial"/>
        </w:rPr>
        <w:t xml:space="preserve"> ultimately turned out to have stronger associations with outcomes than did overall SMU. These are important findings, especially considering the fact that use of multiple platforms is increasing over time. Future assessments with </w:t>
      </w:r>
      <w:r w:rsidR="0002381E" w:rsidRPr="008C45AB">
        <w:rPr>
          <w:rFonts w:ascii="Calibri" w:hAnsi="Calibri" w:cs="Arial"/>
        </w:rPr>
        <w:t>more fine-grained measurements</w:t>
      </w:r>
      <w:r w:rsidR="00FB36A0" w:rsidRPr="008C45AB">
        <w:rPr>
          <w:rFonts w:ascii="Calibri" w:hAnsi="Calibri" w:cs="Arial"/>
        </w:rPr>
        <w:t xml:space="preserve"> will help us to appropriately develop and target interventions</w:t>
      </w:r>
      <w:r w:rsidR="0002381E" w:rsidRPr="008C45AB">
        <w:rPr>
          <w:rFonts w:ascii="Calibri" w:hAnsi="Calibri" w:cs="Arial"/>
        </w:rPr>
        <w:t>.</w:t>
      </w:r>
      <w:r w:rsidR="00FC61FA" w:rsidRPr="008C45AB">
        <w:rPr>
          <w:rFonts w:ascii="Calibri" w:hAnsi="Calibri" w:cs="Arial"/>
        </w:rPr>
        <w:t xml:space="preserve"> </w:t>
      </w:r>
    </w:p>
    <w:p w:rsidR="00724CD7" w:rsidRPr="008C45AB" w:rsidRDefault="00724CD7" w:rsidP="008A1AB3">
      <w:pPr>
        <w:tabs>
          <w:tab w:val="left" w:pos="720"/>
        </w:tabs>
        <w:spacing w:line="480" w:lineRule="auto"/>
        <w:rPr>
          <w:rFonts w:ascii="Calibri" w:hAnsi="Calibri" w:cs="Calibri"/>
          <w:b/>
        </w:rPr>
      </w:pPr>
      <w:r w:rsidRPr="008C45AB">
        <w:rPr>
          <w:rFonts w:ascii="Calibri" w:hAnsi="Calibri" w:cs="Calibri"/>
          <w:b/>
        </w:rPr>
        <w:br w:type="page"/>
      </w:r>
      <w:r w:rsidRPr="008C45AB">
        <w:rPr>
          <w:rFonts w:ascii="Calibri" w:hAnsi="Calibri" w:cs="Calibri"/>
          <w:b/>
        </w:rPr>
        <w:lastRenderedPageBreak/>
        <w:t>REFERENCES</w:t>
      </w:r>
    </w:p>
    <w:p w:rsidR="00724CD7" w:rsidRPr="008C45AB" w:rsidRDefault="00724CD7" w:rsidP="008A1AB3">
      <w:pPr>
        <w:tabs>
          <w:tab w:val="left" w:pos="720"/>
        </w:tabs>
        <w:spacing w:line="480" w:lineRule="auto"/>
        <w:rPr>
          <w:rFonts w:ascii="Calibri" w:hAnsi="Calibri" w:cs="Calibri"/>
        </w:rPr>
      </w:pPr>
    </w:p>
    <w:p w:rsidR="001F2834" w:rsidRPr="001F2834" w:rsidRDefault="0053656A" w:rsidP="001F2834">
      <w:pPr>
        <w:widowControl w:val="0"/>
        <w:autoSpaceDE w:val="0"/>
        <w:autoSpaceDN w:val="0"/>
        <w:adjustRightInd w:val="0"/>
        <w:spacing w:before="100" w:after="100" w:line="480" w:lineRule="auto"/>
        <w:ind w:left="480" w:hanging="480"/>
        <w:rPr>
          <w:rFonts w:ascii="Calibri" w:hAnsi="Calibri" w:cs="Calibri"/>
          <w:noProof/>
        </w:rPr>
      </w:pPr>
      <w:r w:rsidRPr="008C45AB">
        <w:rPr>
          <w:rFonts w:ascii="Calibri" w:hAnsi="Calibri"/>
        </w:rPr>
        <w:fldChar w:fldCharType="begin" w:fldLock="1"/>
      </w:r>
      <w:r w:rsidR="001423EF" w:rsidRPr="008C45AB">
        <w:rPr>
          <w:rFonts w:ascii="Calibri" w:hAnsi="Calibri"/>
        </w:rPr>
        <w:instrText xml:space="preserve">ADDIN Mendeley Bibliography CSL_BIBLIOGRAPHY </w:instrText>
      </w:r>
      <w:r w:rsidRPr="008C45AB">
        <w:rPr>
          <w:rFonts w:ascii="Calibri" w:hAnsi="Calibri"/>
        </w:rPr>
        <w:fldChar w:fldCharType="separate"/>
      </w:r>
      <w:r w:rsidR="001F2834" w:rsidRPr="001F2834">
        <w:rPr>
          <w:rFonts w:ascii="Calibri" w:hAnsi="Calibri" w:cs="Calibri"/>
          <w:noProof/>
        </w:rPr>
        <w:t xml:space="preserve">American Psychiatric Association. (2013). </w:t>
      </w:r>
      <w:r w:rsidR="001F2834" w:rsidRPr="001F2834">
        <w:rPr>
          <w:rFonts w:ascii="Calibri" w:hAnsi="Calibri" w:cs="Calibri"/>
          <w:i/>
          <w:iCs/>
          <w:noProof/>
        </w:rPr>
        <w:t>LEVEL 2—Depression—Adult (PROMIS emotional distress—depression—Short form)</w:t>
      </w:r>
      <w:r w:rsidR="001F2834" w:rsidRPr="001F2834">
        <w:rPr>
          <w:rFonts w:ascii="Calibri" w:hAnsi="Calibri" w:cs="Calibri"/>
          <w:noProof/>
        </w:rPr>
        <w:t>. Retrieved from http://www.webcitation.org/6eVeBFb6E</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Andreassen, C. S., Billieux, J., Griffiths, M. D., Kuss, D. J., Demetrovics, Z., Mazzoni, E., &amp; Pallesen, S. (2016). The relationship between addictive use of social media and video games and symptoms of psychiatric disorders: A large-scale cross-sectional study. </w:t>
      </w:r>
      <w:r w:rsidRPr="001F2834">
        <w:rPr>
          <w:rFonts w:ascii="Calibri" w:hAnsi="Calibri" w:cs="Calibri"/>
          <w:i/>
          <w:iCs/>
          <w:noProof/>
        </w:rPr>
        <w:t>Psychology of Addictive Behaviors</w:t>
      </w:r>
      <w:r w:rsidRPr="001F2834">
        <w:rPr>
          <w:rFonts w:ascii="Calibri" w:hAnsi="Calibri" w:cs="Calibri"/>
          <w:noProof/>
        </w:rPr>
        <w:t xml:space="preserve">, </w:t>
      </w:r>
      <w:r w:rsidRPr="001F2834">
        <w:rPr>
          <w:rFonts w:ascii="Calibri" w:hAnsi="Calibri" w:cs="Calibri"/>
          <w:i/>
          <w:iCs/>
          <w:noProof/>
        </w:rPr>
        <w:t>30</w:t>
      </w:r>
      <w:r w:rsidRPr="001F2834">
        <w:rPr>
          <w:rFonts w:ascii="Calibri" w:hAnsi="Calibri" w:cs="Calibri"/>
          <w:noProof/>
        </w:rPr>
        <w:t>(2), 252–262. doi:10.1037/adb0000160</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Arnett, J. J. (1995). Adolescents’ uses of media for self-socialization. </w:t>
      </w:r>
      <w:r w:rsidRPr="001F2834">
        <w:rPr>
          <w:rFonts w:ascii="Calibri" w:hAnsi="Calibri" w:cs="Calibri"/>
          <w:i/>
          <w:iCs/>
          <w:noProof/>
        </w:rPr>
        <w:t>Journal of Youth and Adolescence</w:t>
      </w:r>
      <w:r w:rsidRPr="001F2834">
        <w:rPr>
          <w:rFonts w:ascii="Calibri" w:hAnsi="Calibri" w:cs="Calibri"/>
          <w:noProof/>
        </w:rPr>
        <w:t xml:space="preserve">, </w:t>
      </w:r>
      <w:r w:rsidRPr="001F2834">
        <w:rPr>
          <w:rFonts w:ascii="Calibri" w:hAnsi="Calibri" w:cs="Calibri"/>
          <w:i/>
          <w:iCs/>
          <w:noProof/>
        </w:rPr>
        <w:t>24</w:t>
      </w:r>
      <w:r w:rsidRPr="001F2834">
        <w:rPr>
          <w:rFonts w:ascii="Calibri" w:hAnsi="Calibri" w:cs="Calibri"/>
          <w:noProof/>
        </w:rPr>
        <w:t>(5), 519–533. doi:10.1007/BF01537054</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Baek, Y. M., Bae, Y., &amp; Jang, H. (2013). Social and parasocial relationships on social network sites and their differential relationships with users’ psychological well-being. </w:t>
      </w:r>
      <w:r w:rsidRPr="001F2834">
        <w:rPr>
          <w:rFonts w:ascii="Calibri" w:hAnsi="Calibri" w:cs="Calibri"/>
          <w:i/>
          <w:iCs/>
          <w:noProof/>
        </w:rPr>
        <w:t>Cyberpsychology, Behavior and Social Networking</w:t>
      </w:r>
      <w:r w:rsidRPr="001F2834">
        <w:rPr>
          <w:rFonts w:ascii="Calibri" w:hAnsi="Calibri" w:cs="Calibri"/>
          <w:noProof/>
        </w:rPr>
        <w:t xml:space="preserve">, </w:t>
      </w:r>
      <w:r w:rsidRPr="001F2834">
        <w:rPr>
          <w:rFonts w:ascii="Calibri" w:hAnsi="Calibri" w:cs="Calibri"/>
          <w:i/>
          <w:iCs/>
          <w:noProof/>
        </w:rPr>
        <w:t>16</w:t>
      </w:r>
      <w:r w:rsidRPr="001F2834">
        <w:rPr>
          <w:rFonts w:ascii="Calibri" w:hAnsi="Calibri" w:cs="Calibri"/>
          <w:noProof/>
        </w:rPr>
        <w:t>(7), 512–517. doi:10.1089/cyber.2012.0510</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Becker, M. W., Alzahabi, R., &amp; Hopwood, C. J. (2013). Media multitasking is associated with symptoms of depression and social anxiety. </w:t>
      </w:r>
      <w:r w:rsidRPr="001F2834">
        <w:rPr>
          <w:rFonts w:ascii="Calibri" w:hAnsi="Calibri" w:cs="Calibri"/>
          <w:i/>
          <w:iCs/>
          <w:noProof/>
        </w:rPr>
        <w:t>Cyberpsychology Behavior and Social Networking</w:t>
      </w:r>
      <w:r w:rsidRPr="001F2834">
        <w:rPr>
          <w:rFonts w:ascii="Calibri" w:hAnsi="Calibri" w:cs="Calibri"/>
          <w:noProof/>
        </w:rPr>
        <w:t xml:space="preserve">, </w:t>
      </w:r>
      <w:r w:rsidRPr="001F2834">
        <w:rPr>
          <w:rFonts w:ascii="Calibri" w:hAnsi="Calibri" w:cs="Calibri"/>
          <w:i/>
          <w:iCs/>
          <w:noProof/>
        </w:rPr>
        <w:t>16</w:t>
      </w:r>
      <w:r w:rsidRPr="001F2834">
        <w:rPr>
          <w:rFonts w:ascii="Calibri" w:hAnsi="Calibri" w:cs="Calibri"/>
          <w:noProof/>
        </w:rPr>
        <w:t>(2), 132–135. Retrieved from http://online.liebertpub.com/doi/pdf/10.1089/cyber.2012.0291</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Bessière, K., Pressman, S., Kiesler, S., &amp; Kraut, R. (2010). Effects of internet use on health and depression: A longitudinal study. </w:t>
      </w:r>
      <w:r w:rsidRPr="001F2834">
        <w:rPr>
          <w:rFonts w:ascii="Calibri" w:hAnsi="Calibri" w:cs="Calibri"/>
          <w:i/>
          <w:iCs/>
          <w:noProof/>
        </w:rPr>
        <w:t>Journal of Medical Internet Research</w:t>
      </w:r>
      <w:r w:rsidRPr="001F2834">
        <w:rPr>
          <w:rFonts w:ascii="Calibri" w:hAnsi="Calibri" w:cs="Calibri"/>
          <w:noProof/>
        </w:rPr>
        <w:t xml:space="preserve">, </w:t>
      </w:r>
      <w:r w:rsidRPr="001F2834">
        <w:rPr>
          <w:rFonts w:ascii="Calibri" w:hAnsi="Calibri" w:cs="Calibri"/>
          <w:i/>
          <w:iCs/>
          <w:noProof/>
        </w:rPr>
        <w:t>12</w:t>
      </w:r>
      <w:r w:rsidRPr="001F2834">
        <w:rPr>
          <w:rFonts w:ascii="Calibri" w:hAnsi="Calibri" w:cs="Calibri"/>
          <w:noProof/>
        </w:rPr>
        <w:t>(1). doi:10.2196/jmir.1149</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lastRenderedPageBreak/>
        <w:t xml:space="preserve">Block, M., Stern, D. B., Raman, K., Lee, S., Carey, J., Humphreys, A. A., … Breiter, H. C. (2014). The relationship between self-report of depression and media usage. </w:t>
      </w:r>
      <w:r w:rsidRPr="001F2834">
        <w:rPr>
          <w:rFonts w:ascii="Calibri" w:hAnsi="Calibri" w:cs="Calibri"/>
          <w:i/>
          <w:iCs/>
          <w:noProof/>
        </w:rPr>
        <w:t>Frontiers in Human Neuroscience</w:t>
      </w:r>
      <w:r w:rsidRPr="001F2834">
        <w:rPr>
          <w:rFonts w:ascii="Calibri" w:hAnsi="Calibri" w:cs="Calibri"/>
          <w:noProof/>
        </w:rPr>
        <w:t xml:space="preserve">, </w:t>
      </w:r>
      <w:r w:rsidRPr="001F2834">
        <w:rPr>
          <w:rFonts w:ascii="Calibri" w:hAnsi="Calibri" w:cs="Calibri"/>
          <w:i/>
          <w:iCs/>
          <w:noProof/>
        </w:rPr>
        <w:t>8</w:t>
      </w:r>
      <w:r w:rsidRPr="001F2834">
        <w:rPr>
          <w:rFonts w:ascii="Calibri" w:hAnsi="Calibri" w:cs="Calibri"/>
          <w:noProof/>
        </w:rPr>
        <w:t>, 712. doi:10.3389/fnhum.2014.00712</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Cain, M. S., Leonard, J. A., Gabrieli, J. D. E., &amp; Finn, A. S. (2016). Media multitasking in adolescence. </w:t>
      </w:r>
      <w:r w:rsidRPr="001F2834">
        <w:rPr>
          <w:rFonts w:ascii="Calibri" w:hAnsi="Calibri" w:cs="Calibri"/>
          <w:i/>
          <w:iCs/>
          <w:noProof/>
        </w:rPr>
        <w:t>Psychonomic Bulletin &amp; Review</w:t>
      </w:r>
      <w:r w:rsidRPr="001F2834">
        <w:rPr>
          <w:rFonts w:ascii="Calibri" w:hAnsi="Calibri" w:cs="Calibri"/>
          <w:noProof/>
        </w:rPr>
        <w:t>, 1–10. doi:10.3758/s13423-016-1036-3</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Cella, D., Riley, W., Stone, A., Rothrock, N., Reeve, B., Yount, S., … Hays, R. (2010). The Patient-Reported Outcomes Measurement Information System (PROMIS) developed and tested its first wave of adult self-reported health outcome item banks: 2005-2008. </w:t>
      </w:r>
      <w:r w:rsidRPr="001F2834">
        <w:rPr>
          <w:rFonts w:ascii="Calibri" w:hAnsi="Calibri" w:cs="Calibri"/>
          <w:i/>
          <w:iCs/>
          <w:noProof/>
        </w:rPr>
        <w:t>Journal of Clinical Epidemiology</w:t>
      </w:r>
      <w:r w:rsidRPr="001F2834">
        <w:rPr>
          <w:rFonts w:ascii="Calibri" w:hAnsi="Calibri" w:cs="Calibri"/>
          <w:noProof/>
        </w:rPr>
        <w:t xml:space="preserve">, </w:t>
      </w:r>
      <w:r w:rsidRPr="001F2834">
        <w:rPr>
          <w:rFonts w:ascii="Calibri" w:hAnsi="Calibri" w:cs="Calibri"/>
          <w:i/>
          <w:iCs/>
          <w:noProof/>
        </w:rPr>
        <w:t>63</w:t>
      </w:r>
      <w:r w:rsidRPr="001F2834">
        <w:rPr>
          <w:rFonts w:ascii="Calibri" w:hAnsi="Calibri" w:cs="Calibri"/>
          <w:noProof/>
        </w:rPr>
        <w:t>(11), 1179–1194. doi:10.1016/j.jclinepi.2010.04.011</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Chen, Q., &amp; Yan, Z. (2016). Does multitasking with mobile phones affect learning? A review. </w:t>
      </w:r>
      <w:r w:rsidRPr="001F2834">
        <w:rPr>
          <w:rFonts w:ascii="Calibri" w:hAnsi="Calibri" w:cs="Calibri"/>
          <w:i/>
          <w:iCs/>
          <w:noProof/>
        </w:rPr>
        <w:t>Computers in Human Behavior</w:t>
      </w:r>
      <w:r w:rsidRPr="001F2834">
        <w:rPr>
          <w:rFonts w:ascii="Calibri" w:hAnsi="Calibri" w:cs="Calibri"/>
          <w:noProof/>
        </w:rPr>
        <w:t xml:space="preserve">, </w:t>
      </w:r>
      <w:r w:rsidRPr="001F2834">
        <w:rPr>
          <w:rFonts w:ascii="Calibri" w:hAnsi="Calibri" w:cs="Calibri"/>
          <w:i/>
          <w:iCs/>
          <w:noProof/>
        </w:rPr>
        <w:t>54</w:t>
      </w:r>
      <w:r w:rsidRPr="001F2834">
        <w:rPr>
          <w:rFonts w:ascii="Calibri" w:hAnsi="Calibri" w:cs="Calibri"/>
          <w:noProof/>
        </w:rPr>
        <w:t>, 34–42. doi:10.1016/j.chb.2015.07.047</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Choi, S., Schalet, B., Cook, K., &amp; Cella, D. (2014). Establishing a common metric for depressive symptoms: Linking the BDI-II, CES-D, and PHQ-9 to PROMIS Depression. </w:t>
      </w:r>
      <w:r w:rsidRPr="001F2834">
        <w:rPr>
          <w:rFonts w:ascii="Calibri" w:hAnsi="Calibri" w:cs="Calibri"/>
          <w:i/>
          <w:iCs/>
          <w:noProof/>
        </w:rPr>
        <w:t>Psychological Assessment</w:t>
      </w:r>
      <w:r w:rsidRPr="001F2834">
        <w:rPr>
          <w:rFonts w:ascii="Calibri" w:hAnsi="Calibri" w:cs="Calibri"/>
          <w:noProof/>
        </w:rPr>
        <w:t>.</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Chou, H. T. G., &amp; Edge, N. (2012). “They are happier and having better lives than I am”: The impact of using Facebook on perceptions of others’ lives. </w:t>
      </w:r>
      <w:r w:rsidRPr="001F2834">
        <w:rPr>
          <w:rFonts w:ascii="Calibri" w:hAnsi="Calibri" w:cs="Calibri"/>
          <w:i/>
          <w:iCs/>
          <w:noProof/>
        </w:rPr>
        <w:t>Cyberpsychology, Behavior and Social Networking</w:t>
      </w:r>
      <w:r w:rsidRPr="001F2834">
        <w:rPr>
          <w:rFonts w:ascii="Calibri" w:hAnsi="Calibri" w:cs="Calibri"/>
          <w:noProof/>
        </w:rPr>
        <w:t xml:space="preserve">, </w:t>
      </w:r>
      <w:r w:rsidRPr="001F2834">
        <w:rPr>
          <w:rFonts w:ascii="Calibri" w:hAnsi="Calibri" w:cs="Calibri"/>
          <w:i/>
          <w:iCs/>
          <w:noProof/>
        </w:rPr>
        <w:t>15</w:t>
      </w:r>
      <w:r w:rsidRPr="001F2834">
        <w:rPr>
          <w:rFonts w:ascii="Calibri" w:hAnsi="Calibri" w:cs="Calibri"/>
          <w:noProof/>
        </w:rPr>
        <w:t>(2), 117–21. doi:10.1089/cyber.2011.0324</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Curtin, S. C., Warner, M., &amp; Hedegaard, H. (2016). </w:t>
      </w:r>
      <w:r w:rsidRPr="001F2834">
        <w:rPr>
          <w:rFonts w:ascii="Calibri" w:hAnsi="Calibri" w:cs="Calibri"/>
          <w:i/>
          <w:iCs/>
          <w:noProof/>
        </w:rPr>
        <w:t>Increase in Suicide in the United States, 1999–2014</w:t>
      </w:r>
      <w:r w:rsidRPr="001F2834">
        <w:rPr>
          <w:rFonts w:ascii="Calibri" w:hAnsi="Calibri" w:cs="Calibri"/>
          <w:noProof/>
        </w:rPr>
        <w:t>. Atlanta, GA. Retrieved from http://www.cdc.gov/nchs/products/databriefs/db241.htm</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A068E9">
        <w:rPr>
          <w:rFonts w:ascii="Calibri" w:hAnsi="Calibri" w:cs="Calibri"/>
          <w:noProof/>
          <w:lang w:val="es-PY"/>
        </w:rPr>
        <w:t xml:space="preserve">de la Pena, A., &amp; Quintanilla, C. (2015). </w:t>
      </w:r>
      <w:r w:rsidRPr="001F2834">
        <w:rPr>
          <w:rFonts w:ascii="Calibri" w:hAnsi="Calibri" w:cs="Calibri"/>
          <w:noProof/>
        </w:rPr>
        <w:t xml:space="preserve">Share, like and achieve: The power of Facebook to reach </w:t>
      </w:r>
      <w:r w:rsidRPr="001F2834">
        <w:rPr>
          <w:rFonts w:ascii="Calibri" w:hAnsi="Calibri" w:cs="Calibri"/>
          <w:noProof/>
        </w:rPr>
        <w:lastRenderedPageBreak/>
        <w:t xml:space="preserve">health-related goals. </w:t>
      </w:r>
      <w:r w:rsidRPr="001F2834">
        <w:rPr>
          <w:rFonts w:ascii="Calibri" w:hAnsi="Calibri" w:cs="Calibri"/>
          <w:i/>
          <w:iCs/>
          <w:noProof/>
        </w:rPr>
        <w:t>International Journal of Consumer Studies</w:t>
      </w:r>
      <w:r w:rsidRPr="001F2834">
        <w:rPr>
          <w:rFonts w:ascii="Calibri" w:hAnsi="Calibri" w:cs="Calibri"/>
          <w:noProof/>
        </w:rPr>
        <w:t xml:space="preserve">, </w:t>
      </w:r>
      <w:r w:rsidRPr="001F2834">
        <w:rPr>
          <w:rFonts w:ascii="Calibri" w:hAnsi="Calibri" w:cs="Calibri"/>
          <w:i/>
          <w:iCs/>
          <w:noProof/>
        </w:rPr>
        <w:t>39</w:t>
      </w:r>
      <w:r w:rsidRPr="001F2834">
        <w:rPr>
          <w:rFonts w:ascii="Calibri" w:hAnsi="Calibri" w:cs="Calibri"/>
          <w:noProof/>
        </w:rPr>
        <w:t>(5), 495–505. Retrieved from http://ovidsp.ovid.com/ovidweb.cgi?T=JS&amp;PAGE=reference&amp;D=psyc11&amp;NEWS=N&amp;AN=2015-39457-011</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Duggan, M., Ellison, N. B., Lampe, C., Lenhart, A., &amp; Madden, M. (2014). Social Media Update 2014. </w:t>
      </w:r>
      <w:r w:rsidRPr="001F2834">
        <w:rPr>
          <w:rFonts w:ascii="Calibri" w:hAnsi="Calibri" w:cs="Calibri"/>
          <w:i/>
          <w:iCs/>
          <w:noProof/>
        </w:rPr>
        <w:t>Pew Research Center</w:t>
      </w:r>
      <w:r w:rsidRPr="001F2834">
        <w:rPr>
          <w:rFonts w:ascii="Calibri" w:hAnsi="Calibri" w:cs="Calibri"/>
          <w:noProof/>
        </w:rPr>
        <w:t>. Retrieved from http://www.pewinternet.org/2015/01/09/social-media-update-2014/</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Ellison, N. B., Steinfield, C., &amp; Lampe, C. (2007). The benefits of Facebook “friends:” Social capital and college students’ use of online social network sites. </w:t>
      </w:r>
      <w:r w:rsidRPr="001F2834">
        <w:rPr>
          <w:rFonts w:ascii="Calibri" w:hAnsi="Calibri" w:cs="Calibri"/>
          <w:i/>
          <w:iCs/>
          <w:noProof/>
        </w:rPr>
        <w:t>Journal of Computer-Mediated Communication</w:t>
      </w:r>
      <w:r w:rsidRPr="001F2834">
        <w:rPr>
          <w:rFonts w:ascii="Calibri" w:hAnsi="Calibri" w:cs="Calibri"/>
          <w:noProof/>
        </w:rPr>
        <w:t xml:space="preserve">, </w:t>
      </w:r>
      <w:r w:rsidRPr="001F2834">
        <w:rPr>
          <w:rFonts w:ascii="Calibri" w:hAnsi="Calibri" w:cs="Calibri"/>
          <w:i/>
          <w:iCs/>
          <w:noProof/>
        </w:rPr>
        <w:t>12</w:t>
      </w:r>
      <w:r w:rsidRPr="001F2834">
        <w:rPr>
          <w:rFonts w:ascii="Calibri" w:hAnsi="Calibri" w:cs="Calibri"/>
          <w:noProof/>
        </w:rPr>
        <w:t>(4), 1143–1168. doi:10.1111/j.1083-6101.2007.00367.x</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Evans, W. D. (2008). Social marketing campaigns and children’s media use. </w:t>
      </w:r>
      <w:r w:rsidRPr="001F2834">
        <w:rPr>
          <w:rFonts w:ascii="Calibri" w:hAnsi="Calibri" w:cs="Calibri"/>
          <w:i/>
          <w:iCs/>
          <w:noProof/>
        </w:rPr>
        <w:t>Future Child</w:t>
      </w:r>
      <w:r w:rsidRPr="001F2834">
        <w:rPr>
          <w:rFonts w:ascii="Calibri" w:hAnsi="Calibri" w:cs="Calibri"/>
          <w:noProof/>
        </w:rPr>
        <w:t xml:space="preserve">, </w:t>
      </w:r>
      <w:r w:rsidRPr="001F2834">
        <w:rPr>
          <w:rFonts w:ascii="Calibri" w:hAnsi="Calibri" w:cs="Calibri"/>
          <w:i/>
          <w:iCs/>
          <w:noProof/>
        </w:rPr>
        <w:t>18</w:t>
      </w:r>
      <w:r w:rsidRPr="001F2834">
        <w:rPr>
          <w:rFonts w:ascii="Calibri" w:hAnsi="Calibri" w:cs="Calibri"/>
          <w:noProof/>
        </w:rPr>
        <w:t>(1), 181–203.</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GfK KnowledgePanel®. (2013). KnowledgePanel Design Summary. Retrieved from http://www.webcitation.org/6ajEWO5mb</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Johnston, K. L., Lawrence, S. M., Dodds, N. E., Yu, L., Daley, D. C., &amp; Pilkonis, P. A. (2016). Evaluating PROMIS® instruments and methods for patient-centered outcomes research: Patient and provider voices in a substance use treatment setting. </w:t>
      </w:r>
      <w:r w:rsidRPr="001F2834">
        <w:rPr>
          <w:rFonts w:ascii="Calibri" w:hAnsi="Calibri" w:cs="Calibri"/>
          <w:i/>
          <w:iCs/>
          <w:noProof/>
        </w:rPr>
        <w:t>Quality of Life Research</w:t>
      </w:r>
      <w:r w:rsidRPr="001F2834">
        <w:rPr>
          <w:rFonts w:ascii="Calibri" w:hAnsi="Calibri" w:cs="Calibri"/>
          <w:noProof/>
        </w:rPr>
        <w:t xml:space="preserve">, </w:t>
      </w:r>
      <w:r w:rsidRPr="001F2834">
        <w:rPr>
          <w:rFonts w:ascii="Calibri" w:hAnsi="Calibri" w:cs="Calibri"/>
          <w:i/>
          <w:iCs/>
          <w:noProof/>
        </w:rPr>
        <w:t>25</w:t>
      </w:r>
      <w:r w:rsidRPr="001F2834">
        <w:rPr>
          <w:rFonts w:ascii="Calibri" w:hAnsi="Calibri" w:cs="Calibri"/>
          <w:noProof/>
        </w:rPr>
        <w:t>(3), 615–624. doi:10.1007/s11136-015-1131-3</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Junco, R., &amp; Cotten, S. R. (2012). The relationship between multitasking and academic performance. </w:t>
      </w:r>
      <w:r w:rsidRPr="001F2834">
        <w:rPr>
          <w:rFonts w:ascii="Calibri" w:hAnsi="Calibri" w:cs="Calibri"/>
          <w:i/>
          <w:iCs/>
          <w:noProof/>
        </w:rPr>
        <w:t>Computers &amp; Education</w:t>
      </w:r>
      <w:r w:rsidRPr="001F2834">
        <w:rPr>
          <w:rFonts w:ascii="Calibri" w:hAnsi="Calibri" w:cs="Calibri"/>
          <w:noProof/>
        </w:rPr>
        <w:t xml:space="preserve">, </w:t>
      </w:r>
      <w:r w:rsidRPr="001F2834">
        <w:rPr>
          <w:rFonts w:ascii="Calibri" w:hAnsi="Calibri" w:cs="Calibri"/>
          <w:i/>
          <w:iCs/>
          <w:noProof/>
        </w:rPr>
        <w:t>58</w:t>
      </w:r>
      <w:r w:rsidRPr="001F2834">
        <w:rPr>
          <w:rFonts w:ascii="Calibri" w:hAnsi="Calibri" w:cs="Calibri"/>
          <w:noProof/>
        </w:rPr>
        <w:t>(1), 505–514. doi:10.1016/j.compedu.2011.12.023</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lastRenderedPageBreak/>
        <w:t xml:space="preserve">Keitzmann, J. H., Hermkens, K., McCarthy, I. P., &amp; Silvestre, B. S. (2011). Social media? Get serious! Understanding the functional building blocks of social media. </w:t>
      </w:r>
      <w:r w:rsidRPr="001F2834">
        <w:rPr>
          <w:rFonts w:ascii="Calibri" w:hAnsi="Calibri" w:cs="Calibri"/>
          <w:i/>
          <w:iCs/>
          <w:noProof/>
        </w:rPr>
        <w:t>Business Horizons</w:t>
      </w:r>
      <w:r w:rsidRPr="001F2834">
        <w:rPr>
          <w:rFonts w:ascii="Calibri" w:hAnsi="Calibri" w:cs="Calibri"/>
          <w:noProof/>
        </w:rPr>
        <w:t xml:space="preserve">, </w:t>
      </w:r>
      <w:r w:rsidRPr="001F2834">
        <w:rPr>
          <w:rFonts w:ascii="Calibri" w:hAnsi="Calibri" w:cs="Calibri"/>
          <w:i/>
          <w:iCs/>
          <w:noProof/>
        </w:rPr>
        <w:t>54</w:t>
      </w:r>
      <w:r w:rsidRPr="001F2834">
        <w:rPr>
          <w:rFonts w:ascii="Calibri" w:hAnsi="Calibri" w:cs="Calibri"/>
          <w:noProof/>
        </w:rPr>
        <w:t>, 241–251. doi:10.1016/j.bushor.2011.01.005</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Kessler, R. C., Birnbaum, H. G., Shahly, V., Bromet, E., Hwang, I., McLaughlin, K. A., … Stein, D. J. (2010). Age differences in the prevalence and co-morbidity of DSM-IV major depressive episodes: Results from the WHO World Mental Health Survey Initiative. </w:t>
      </w:r>
      <w:r w:rsidRPr="001F2834">
        <w:rPr>
          <w:rFonts w:ascii="Calibri" w:hAnsi="Calibri" w:cs="Calibri"/>
          <w:i/>
          <w:iCs/>
          <w:noProof/>
        </w:rPr>
        <w:t>Depression and Anxiety</w:t>
      </w:r>
      <w:r w:rsidRPr="001F2834">
        <w:rPr>
          <w:rFonts w:ascii="Calibri" w:hAnsi="Calibri" w:cs="Calibri"/>
          <w:noProof/>
        </w:rPr>
        <w:t xml:space="preserve">, </w:t>
      </w:r>
      <w:r w:rsidRPr="001F2834">
        <w:rPr>
          <w:rFonts w:ascii="Calibri" w:hAnsi="Calibri" w:cs="Calibri"/>
          <w:i/>
          <w:iCs/>
          <w:noProof/>
        </w:rPr>
        <w:t>27</w:t>
      </w:r>
      <w:r w:rsidRPr="001F2834">
        <w:rPr>
          <w:rFonts w:ascii="Calibri" w:hAnsi="Calibri" w:cs="Calibri"/>
          <w:noProof/>
        </w:rPr>
        <w:t>(4), 351–64. doi:10.1002/da.20634</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Kessler, R. C., Chiu, W. T., Demler, O., Merikangas, K. R., &amp; Walters, E. E. (2005). Prevalence, severity, and comorbidity of 12-month DSM-IV disorders in the National Comorbidity Survey Replication. </w:t>
      </w:r>
      <w:r w:rsidRPr="001F2834">
        <w:rPr>
          <w:rFonts w:ascii="Calibri" w:hAnsi="Calibri" w:cs="Calibri"/>
          <w:i/>
          <w:iCs/>
          <w:noProof/>
        </w:rPr>
        <w:t>Archives of General Psychiatry</w:t>
      </w:r>
      <w:r w:rsidRPr="001F2834">
        <w:rPr>
          <w:rFonts w:ascii="Calibri" w:hAnsi="Calibri" w:cs="Calibri"/>
          <w:noProof/>
        </w:rPr>
        <w:t xml:space="preserve">, </w:t>
      </w:r>
      <w:r w:rsidRPr="001F2834">
        <w:rPr>
          <w:rFonts w:ascii="Calibri" w:hAnsi="Calibri" w:cs="Calibri"/>
          <w:i/>
          <w:iCs/>
          <w:noProof/>
        </w:rPr>
        <w:t>62</w:t>
      </w:r>
      <w:r w:rsidRPr="001F2834">
        <w:rPr>
          <w:rFonts w:ascii="Calibri" w:hAnsi="Calibri" w:cs="Calibri"/>
          <w:noProof/>
        </w:rPr>
        <w:t>(6), 617–627. doi:10.1001/archpsyc.62.6.617</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Kiisel, T. (2012). Is Social Media Shortening Our Attention Span? </w:t>
      </w:r>
      <w:r w:rsidRPr="001F2834">
        <w:rPr>
          <w:rFonts w:ascii="Calibri" w:hAnsi="Calibri" w:cs="Calibri"/>
          <w:i/>
          <w:iCs/>
          <w:noProof/>
        </w:rPr>
        <w:t>Forbes/Technology</w:t>
      </w:r>
      <w:r w:rsidRPr="001F2834">
        <w:rPr>
          <w:rFonts w:ascii="Calibri" w:hAnsi="Calibri" w:cs="Calibri"/>
          <w:noProof/>
        </w:rPr>
        <w:t>. Retrieved from http://www.forbes.com/sites/tykiisel/2012/01/25/is-social-media-shortening-our-attention-span/#4bfb2b486945</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Kramer, A. D. I., Guillory, J. E., &amp; Hancock, J. T. (2014). Experimental evidence of massive-scale emotional contagion through social networks. </w:t>
      </w:r>
      <w:r w:rsidRPr="001F2834">
        <w:rPr>
          <w:rFonts w:ascii="Calibri" w:hAnsi="Calibri" w:cs="Calibri"/>
          <w:i/>
          <w:iCs/>
          <w:noProof/>
        </w:rPr>
        <w:t>Proceedings of the National Academy of Sciences of the United States of America</w:t>
      </w:r>
      <w:r w:rsidRPr="001F2834">
        <w:rPr>
          <w:rFonts w:ascii="Calibri" w:hAnsi="Calibri" w:cs="Calibri"/>
          <w:noProof/>
        </w:rPr>
        <w:t xml:space="preserve">, </w:t>
      </w:r>
      <w:r w:rsidRPr="001F2834">
        <w:rPr>
          <w:rFonts w:ascii="Calibri" w:hAnsi="Calibri" w:cs="Calibri"/>
          <w:i/>
          <w:iCs/>
          <w:noProof/>
        </w:rPr>
        <w:t>111</w:t>
      </w:r>
      <w:r w:rsidRPr="001F2834">
        <w:rPr>
          <w:rFonts w:ascii="Calibri" w:hAnsi="Calibri" w:cs="Calibri"/>
          <w:noProof/>
        </w:rPr>
        <w:t>(24), 8788–8790. doi:10.1073/pnas.1320040111</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Kross, E., Verduyn, P., Demiralp, E., Park, J., Lee, D. S., Lin, N., … Ybarra, O. (2013). Facebook use predicts declines in subjective well-being in young adults. </w:t>
      </w:r>
      <w:r w:rsidRPr="001F2834">
        <w:rPr>
          <w:rFonts w:ascii="Calibri" w:hAnsi="Calibri" w:cs="Calibri"/>
          <w:i/>
          <w:iCs/>
          <w:noProof/>
        </w:rPr>
        <w:t>PLOS ONE</w:t>
      </w:r>
      <w:r w:rsidRPr="001F2834">
        <w:rPr>
          <w:rFonts w:ascii="Calibri" w:hAnsi="Calibri" w:cs="Calibri"/>
          <w:noProof/>
        </w:rPr>
        <w:t xml:space="preserve">, </w:t>
      </w:r>
      <w:r w:rsidRPr="001F2834">
        <w:rPr>
          <w:rFonts w:ascii="Calibri" w:hAnsi="Calibri" w:cs="Calibri"/>
          <w:i/>
          <w:iCs/>
          <w:noProof/>
        </w:rPr>
        <w:t>8</w:t>
      </w:r>
      <w:r w:rsidRPr="001F2834">
        <w:rPr>
          <w:rFonts w:ascii="Calibri" w:hAnsi="Calibri" w:cs="Calibri"/>
          <w:noProof/>
        </w:rPr>
        <w:t>(8). doi:10.1371/journal.pone.0069841</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lastRenderedPageBreak/>
        <w:t xml:space="preserve">Lin, K., &amp; Lu, H. (2011). Why people use social networking sites: An empirical study integrating network externalities and motivation theory. </w:t>
      </w:r>
      <w:r w:rsidRPr="001F2834">
        <w:rPr>
          <w:rFonts w:ascii="Calibri" w:hAnsi="Calibri" w:cs="Calibri"/>
          <w:i/>
          <w:iCs/>
          <w:noProof/>
        </w:rPr>
        <w:t>Computers in Human Behavior</w:t>
      </w:r>
      <w:r w:rsidRPr="001F2834">
        <w:rPr>
          <w:rFonts w:ascii="Calibri" w:hAnsi="Calibri" w:cs="Calibri"/>
          <w:noProof/>
        </w:rPr>
        <w:t xml:space="preserve">, </w:t>
      </w:r>
      <w:r w:rsidRPr="001F2834">
        <w:rPr>
          <w:rFonts w:ascii="Calibri" w:hAnsi="Calibri" w:cs="Calibri"/>
          <w:i/>
          <w:iCs/>
          <w:noProof/>
        </w:rPr>
        <w:t>27</w:t>
      </w:r>
      <w:r w:rsidRPr="001F2834">
        <w:rPr>
          <w:rFonts w:ascii="Calibri" w:hAnsi="Calibri" w:cs="Calibri"/>
          <w:noProof/>
        </w:rPr>
        <w:t>(3), 1152–1161. doi:http://dx.doi.org/10.1016/j.chb.2010.12.009</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Lin, L. Y., Sidani, J. E., Shensa, A., Radovic, A., Miller, E., Colditz, J. B., … Primack, B. A. (2016). Association between social media use and depression among U.S. young adults. </w:t>
      </w:r>
      <w:r w:rsidRPr="001F2834">
        <w:rPr>
          <w:rFonts w:ascii="Calibri" w:hAnsi="Calibri" w:cs="Calibri"/>
          <w:i/>
          <w:iCs/>
          <w:noProof/>
        </w:rPr>
        <w:t>Depression and Anxiety</w:t>
      </w:r>
      <w:r w:rsidRPr="001F2834">
        <w:rPr>
          <w:rFonts w:ascii="Calibri" w:hAnsi="Calibri" w:cs="Calibri"/>
          <w:noProof/>
        </w:rPr>
        <w:t xml:space="preserve">, </w:t>
      </w:r>
      <w:r w:rsidRPr="001F2834">
        <w:rPr>
          <w:rFonts w:ascii="Calibri" w:hAnsi="Calibri" w:cs="Calibri"/>
          <w:i/>
          <w:iCs/>
          <w:noProof/>
        </w:rPr>
        <w:t>33</w:t>
      </w:r>
      <w:r w:rsidRPr="001F2834">
        <w:rPr>
          <w:rFonts w:ascii="Calibri" w:hAnsi="Calibri" w:cs="Calibri"/>
          <w:noProof/>
        </w:rPr>
        <w:t>(4), 323–331. doi:10.1002/da.22466</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Litsa, T. (2014). How Social Media Affects Your Attention Span. </w:t>
      </w:r>
      <w:r w:rsidRPr="001F2834">
        <w:rPr>
          <w:rFonts w:ascii="Calibri" w:hAnsi="Calibri" w:cs="Calibri"/>
          <w:i/>
          <w:iCs/>
          <w:noProof/>
        </w:rPr>
        <w:t>Linkedin</w:t>
      </w:r>
      <w:r w:rsidRPr="001F2834">
        <w:rPr>
          <w:rFonts w:ascii="Calibri" w:hAnsi="Calibri" w:cs="Calibri"/>
          <w:noProof/>
        </w:rPr>
        <w:t>. Retrieved from https://www.linkedin.com/pulse/20140519183028-114333012-how-social-media-affects-your-attention-span/</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Luxton, D., June, J., &amp; Fairall, J. (2012). Social Media and Suicide: A Public Health Perspective. </w:t>
      </w:r>
      <w:r w:rsidRPr="001F2834">
        <w:rPr>
          <w:rFonts w:ascii="Calibri" w:hAnsi="Calibri" w:cs="Calibri"/>
          <w:i/>
          <w:iCs/>
          <w:noProof/>
        </w:rPr>
        <w:t>American Journal of Public Health</w:t>
      </w:r>
      <w:r w:rsidRPr="001F2834">
        <w:rPr>
          <w:rFonts w:ascii="Calibri" w:hAnsi="Calibri" w:cs="Calibri"/>
          <w:noProof/>
        </w:rPr>
        <w:t xml:space="preserve">, </w:t>
      </w:r>
      <w:r w:rsidRPr="001F2834">
        <w:rPr>
          <w:rFonts w:ascii="Calibri" w:hAnsi="Calibri" w:cs="Calibri"/>
          <w:i/>
          <w:iCs/>
          <w:noProof/>
        </w:rPr>
        <w:t>10</w:t>
      </w:r>
      <w:r w:rsidRPr="001F2834">
        <w:rPr>
          <w:rFonts w:ascii="Calibri" w:hAnsi="Calibri" w:cs="Calibri"/>
          <w:noProof/>
        </w:rPr>
        <w:t>(2), S195–S200. doi:10.2105/AJPH.2011.300608</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Marar, Z. (2012). </w:t>
      </w:r>
      <w:r w:rsidRPr="001F2834">
        <w:rPr>
          <w:rFonts w:ascii="Calibri" w:hAnsi="Calibri" w:cs="Calibri"/>
          <w:i/>
          <w:iCs/>
          <w:noProof/>
        </w:rPr>
        <w:t>Intimacy: Understanding the subtle power of human connection</w:t>
      </w:r>
      <w:r w:rsidRPr="001F2834">
        <w:rPr>
          <w:rFonts w:ascii="Calibri" w:hAnsi="Calibri" w:cs="Calibri"/>
          <w:noProof/>
        </w:rPr>
        <w:t>. Durham, United Kingdom: Acumen Publishing. Retrieved from http://ovidsp.ovid.com/ovidweb.cgi?T=JS&amp;PAGE=reference&amp;D=psyc9&amp;NEWS=N&amp;AN=2012-18831-000</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Marcia, J. E. (1980). Identity in adolescence. In J. Adelson (Ed.), </w:t>
      </w:r>
      <w:r w:rsidRPr="001F2834">
        <w:rPr>
          <w:rFonts w:ascii="Calibri" w:hAnsi="Calibri" w:cs="Calibri"/>
          <w:i/>
          <w:iCs/>
          <w:noProof/>
        </w:rPr>
        <w:t>Handbook of adolescent psychology</w:t>
      </w:r>
      <w:r w:rsidRPr="001F2834">
        <w:rPr>
          <w:rFonts w:ascii="Calibri" w:hAnsi="Calibri" w:cs="Calibri"/>
          <w:noProof/>
        </w:rPr>
        <w:t xml:space="preserve"> (pp. 159–187). New York, NY: Wiley.</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Mathers, C. D., &amp; Loncar, D. (2006). Projections of global mortality and burden of disease from 2002 to 2030. </w:t>
      </w:r>
      <w:r w:rsidRPr="001F2834">
        <w:rPr>
          <w:rFonts w:ascii="Calibri" w:hAnsi="Calibri" w:cs="Calibri"/>
          <w:i/>
          <w:iCs/>
          <w:noProof/>
        </w:rPr>
        <w:t>PLoS Medicine</w:t>
      </w:r>
      <w:r w:rsidRPr="001F2834">
        <w:rPr>
          <w:rFonts w:ascii="Calibri" w:hAnsi="Calibri" w:cs="Calibri"/>
          <w:noProof/>
        </w:rPr>
        <w:t xml:space="preserve">, </w:t>
      </w:r>
      <w:r w:rsidRPr="001F2834">
        <w:rPr>
          <w:rFonts w:ascii="Calibri" w:hAnsi="Calibri" w:cs="Calibri"/>
          <w:i/>
          <w:iCs/>
          <w:noProof/>
        </w:rPr>
        <w:t>3</w:t>
      </w:r>
      <w:r w:rsidRPr="001F2834">
        <w:rPr>
          <w:rFonts w:ascii="Calibri" w:hAnsi="Calibri" w:cs="Calibri"/>
          <w:noProof/>
        </w:rPr>
        <w:t>(11), e442. doi:10.1371/journal.pmed.0030442</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Merolli, M., Gray, K., &amp; Martin-Sanchez, F. (2014). Therapeutic affordances of social media: Emergent themes from a global online survey of people with chronic pain. </w:t>
      </w:r>
      <w:r w:rsidRPr="001F2834">
        <w:rPr>
          <w:rFonts w:ascii="Calibri" w:hAnsi="Calibri" w:cs="Calibri"/>
          <w:i/>
          <w:iCs/>
          <w:noProof/>
        </w:rPr>
        <w:t xml:space="preserve">Journal of </w:t>
      </w:r>
      <w:r w:rsidRPr="001F2834">
        <w:rPr>
          <w:rFonts w:ascii="Calibri" w:hAnsi="Calibri" w:cs="Calibri"/>
          <w:i/>
          <w:iCs/>
          <w:noProof/>
        </w:rPr>
        <w:lastRenderedPageBreak/>
        <w:t>Medical Internet Research</w:t>
      </w:r>
      <w:r w:rsidRPr="001F2834">
        <w:rPr>
          <w:rFonts w:ascii="Calibri" w:hAnsi="Calibri" w:cs="Calibri"/>
          <w:noProof/>
        </w:rPr>
        <w:t xml:space="preserve">, </w:t>
      </w:r>
      <w:r w:rsidRPr="001F2834">
        <w:rPr>
          <w:rFonts w:ascii="Calibri" w:hAnsi="Calibri" w:cs="Calibri"/>
          <w:i/>
          <w:iCs/>
          <w:noProof/>
        </w:rPr>
        <w:t>16</w:t>
      </w:r>
      <w:r w:rsidRPr="001F2834">
        <w:rPr>
          <w:rFonts w:ascii="Calibri" w:hAnsi="Calibri" w:cs="Calibri"/>
          <w:noProof/>
        </w:rPr>
        <w:t>(12), e284. doi:10.2196/jmir.3494</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Nielsen. (2012). State of the media: The social media report 2012. Retrieved June 8, 2016, from http://www.webcitation.org/6bXTvRwTJ</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Ophir, E., Nass, C., &amp; Wagner, A. D. (2009). Cognitive control in media multitaskers. </w:t>
      </w:r>
      <w:r w:rsidRPr="001F2834">
        <w:rPr>
          <w:rFonts w:ascii="Calibri" w:hAnsi="Calibri" w:cs="Calibri"/>
          <w:i/>
          <w:iCs/>
          <w:noProof/>
        </w:rPr>
        <w:t>Proceedings of the National Academy of Sciences</w:t>
      </w:r>
      <w:r w:rsidRPr="001F2834">
        <w:rPr>
          <w:rFonts w:ascii="Calibri" w:hAnsi="Calibri" w:cs="Calibri"/>
          <w:noProof/>
        </w:rPr>
        <w:t xml:space="preserve">, </w:t>
      </w:r>
      <w:r w:rsidRPr="001F2834">
        <w:rPr>
          <w:rFonts w:ascii="Calibri" w:hAnsi="Calibri" w:cs="Calibri"/>
          <w:i/>
          <w:iCs/>
          <w:noProof/>
        </w:rPr>
        <w:t>106</w:t>
      </w:r>
      <w:r w:rsidRPr="001F2834">
        <w:rPr>
          <w:rFonts w:ascii="Calibri" w:hAnsi="Calibri" w:cs="Calibri"/>
          <w:noProof/>
        </w:rPr>
        <w:t>(37), 15583–15587. doi:10.1073/pnas.0903620106</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Pantic, I. (2014). Online social networking and mental health. </w:t>
      </w:r>
      <w:r w:rsidRPr="001F2834">
        <w:rPr>
          <w:rFonts w:ascii="Calibri" w:hAnsi="Calibri" w:cs="Calibri"/>
          <w:i/>
          <w:iCs/>
          <w:noProof/>
        </w:rPr>
        <w:t>Cyberpsychology, Behavior, and Social Networking</w:t>
      </w:r>
      <w:r w:rsidRPr="001F2834">
        <w:rPr>
          <w:rFonts w:ascii="Calibri" w:hAnsi="Calibri" w:cs="Calibri"/>
          <w:noProof/>
        </w:rPr>
        <w:t xml:space="preserve">, </w:t>
      </w:r>
      <w:r w:rsidRPr="001F2834">
        <w:rPr>
          <w:rFonts w:ascii="Calibri" w:hAnsi="Calibri" w:cs="Calibri"/>
          <w:i/>
          <w:iCs/>
          <w:noProof/>
        </w:rPr>
        <w:t>17</w:t>
      </w:r>
      <w:r w:rsidRPr="001F2834">
        <w:rPr>
          <w:rFonts w:ascii="Calibri" w:hAnsi="Calibri" w:cs="Calibri"/>
          <w:noProof/>
        </w:rPr>
        <w:t>(10), 652–657. doi:10.1089/cyber.2014.0070</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Pew Research Center. (2015). Social media update 2015. Washington DC. Retrieved June 8, 2016, from http://www.webcitation.org/6ajEhvS11</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Pilkonis, P. A., Choi, S. W., Reise, S. P., Stover, A. M., Riley, W. T., &amp; Cella, D. (2011). Item banks for measuring emotional distress from the Patient-Reported Outcomes Measurement Information System (PROMIS®): Depression, anxiety, and anger. </w:t>
      </w:r>
      <w:r w:rsidRPr="001F2834">
        <w:rPr>
          <w:rFonts w:ascii="Calibri" w:hAnsi="Calibri" w:cs="Calibri"/>
          <w:i/>
          <w:iCs/>
          <w:noProof/>
        </w:rPr>
        <w:t>Assessment</w:t>
      </w:r>
      <w:r w:rsidRPr="001F2834">
        <w:rPr>
          <w:rFonts w:ascii="Calibri" w:hAnsi="Calibri" w:cs="Calibri"/>
          <w:noProof/>
        </w:rPr>
        <w:t xml:space="preserve">, </w:t>
      </w:r>
      <w:r w:rsidRPr="001F2834">
        <w:rPr>
          <w:rFonts w:ascii="Calibri" w:hAnsi="Calibri" w:cs="Calibri"/>
          <w:i/>
          <w:iCs/>
          <w:noProof/>
        </w:rPr>
        <w:t>18</w:t>
      </w:r>
      <w:r w:rsidRPr="001F2834">
        <w:rPr>
          <w:rFonts w:ascii="Calibri" w:hAnsi="Calibri" w:cs="Calibri"/>
          <w:noProof/>
        </w:rPr>
        <w:t>(3), 263–283. doi:10.1177/1073191111411667</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Richards, D., Caldwell, P. H. Y., &amp; Go, H. (2015). Impact of social media on the health of children and young people. </w:t>
      </w:r>
      <w:r w:rsidRPr="001F2834">
        <w:rPr>
          <w:rFonts w:ascii="Calibri" w:hAnsi="Calibri" w:cs="Calibri"/>
          <w:i/>
          <w:iCs/>
          <w:noProof/>
        </w:rPr>
        <w:t>Journal of Paediatrics and Child Health</w:t>
      </w:r>
      <w:r w:rsidRPr="001F2834">
        <w:rPr>
          <w:rFonts w:ascii="Calibri" w:hAnsi="Calibri" w:cs="Calibri"/>
          <w:noProof/>
        </w:rPr>
        <w:t xml:space="preserve">, </w:t>
      </w:r>
      <w:r w:rsidRPr="001F2834">
        <w:rPr>
          <w:rFonts w:ascii="Calibri" w:hAnsi="Calibri" w:cs="Calibri"/>
          <w:i/>
          <w:iCs/>
          <w:noProof/>
        </w:rPr>
        <w:t>51</w:t>
      </w:r>
      <w:r w:rsidRPr="001F2834">
        <w:rPr>
          <w:rFonts w:ascii="Calibri" w:hAnsi="Calibri" w:cs="Calibri"/>
          <w:noProof/>
        </w:rPr>
        <w:t>(12), 1152–1157. doi:10.1111/jpc.13023</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Rosen, L., Carrier, L. M., &amp; Cheever, N. A. (2013). Facebook and texting made me do it: Media-induced task-switching while studying. </w:t>
      </w:r>
      <w:r w:rsidRPr="001F2834">
        <w:rPr>
          <w:rFonts w:ascii="Calibri" w:hAnsi="Calibri" w:cs="Calibri"/>
          <w:i/>
          <w:iCs/>
          <w:noProof/>
        </w:rPr>
        <w:t>Computers in Human Behavior</w:t>
      </w:r>
      <w:r w:rsidRPr="001F2834">
        <w:rPr>
          <w:rFonts w:ascii="Calibri" w:hAnsi="Calibri" w:cs="Calibri"/>
          <w:noProof/>
        </w:rPr>
        <w:t xml:space="preserve">, </w:t>
      </w:r>
      <w:r w:rsidRPr="001F2834">
        <w:rPr>
          <w:rFonts w:ascii="Calibri" w:hAnsi="Calibri" w:cs="Calibri"/>
          <w:i/>
          <w:iCs/>
          <w:noProof/>
        </w:rPr>
        <w:t>29</w:t>
      </w:r>
      <w:r w:rsidRPr="001F2834">
        <w:rPr>
          <w:rFonts w:ascii="Calibri" w:hAnsi="Calibri" w:cs="Calibri"/>
          <w:noProof/>
        </w:rPr>
        <w:t>, 948–958. doi:10.1016/j.chb.2012.12.001</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Sagioglou, C., &amp; Greitemeyer, T. (2014). Facebook’s emotional consequences: Why Facebook </w:t>
      </w:r>
      <w:r w:rsidRPr="001F2834">
        <w:rPr>
          <w:rFonts w:ascii="Calibri" w:hAnsi="Calibri" w:cs="Calibri"/>
          <w:noProof/>
        </w:rPr>
        <w:lastRenderedPageBreak/>
        <w:t xml:space="preserve">causes a decrease in mood and why people still use it. </w:t>
      </w:r>
      <w:r w:rsidRPr="001F2834">
        <w:rPr>
          <w:rFonts w:ascii="Calibri" w:hAnsi="Calibri" w:cs="Calibri"/>
          <w:i/>
          <w:iCs/>
          <w:noProof/>
        </w:rPr>
        <w:t>Computers in Human Behavior</w:t>
      </w:r>
      <w:r w:rsidRPr="001F2834">
        <w:rPr>
          <w:rFonts w:ascii="Calibri" w:hAnsi="Calibri" w:cs="Calibri"/>
          <w:noProof/>
        </w:rPr>
        <w:t xml:space="preserve">, </w:t>
      </w:r>
      <w:r w:rsidRPr="001F2834">
        <w:rPr>
          <w:rFonts w:ascii="Calibri" w:hAnsi="Calibri" w:cs="Calibri"/>
          <w:i/>
          <w:iCs/>
          <w:noProof/>
        </w:rPr>
        <w:t>35</w:t>
      </w:r>
      <w:r w:rsidRPr="001F2834">
        <w:rPr>
          <w:rFonts w:ascii="Calibri" w:hAnsi="Calibri" w:cs="Calibri"/>
          <w:noProof/>
        </w:rPr>
        <w:t>, 359–363. doi:10.1016/j.chb.2014.03.003</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Schalet, B. D., Cook, K. F., Choi, S. W., &amp; Cella, D. (2014). Establishing a common metric for self-reported anxiety: Linking the MASQ, PANAS, and GAD-7 to PROMIS anxiety. </w:t>
      </w:r>
      <w:r w:rsidRPr="001F2834">
        <w:rPr>
          <w:rFonts w:ascii="Calibri" w:hAnsi="Calibri" w:cs="Calibri"/>
          <w:i/>
          <w:iCs/>
          <w:noProof/>
        </w:rPr>
        <w:t>Journal of Anxiety Disorders</w:t>
      </w:r>
      <w:r w:rsidRPr="001F2834">
        <w:rPr>
          <w:rFonts w:ascii="Calibri" w:hAnsi="Calibri" w:cs="Calibri"/>
          <w:noProof/>
        </w:rPr>
        <w:t xml:space="preserve">, </w:t>
      </w:r>
      <w:r w:rsidRPr="001F2834">
        <w:rPr>
          <w:rFonts w:ascii="Calibri" w:hAnsi="Calibri" w:cs="Calibri"/>
          <w:i/>
          <w:iCs/>
          <w:noProof/>
        </w:rPr>
        <w:t>28</w:t>
      </w:r>
      <w:r w:rsidRPr="001F2834">
        <w:rPr>
          <w:rFonts w:ascii="Calibri" w:hAnsi="Calibri" w:cs="Calibri"/>
          <w:noProof/>
        </w:rPr>
        <w:t>(1), 88–96. doi:10.1016/j.janxdis.2013.11.006</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Shensa, A., Sidani, J. E., Lin, L., Bowman, N., &amp; Primack, B. A. (2016). Social media use and perceived emotional support among US young adults. </w:t>
      </w:r>
      <w:r w:rsidRPr="001F2834">
        <w:rPr>
          <w:rFonts w:ascii="Calibri" w:hAnsi="Calibri" w:cs="Calibri"/>
          <w:i/>
          <w:iCs/>
          <w:noProof/>
        </w:rPr>
        <w:t>Journal of Community Health</w:t>
      </w:r>
      <w:r w:rsidRPr="001F2834">
        <w:rPr>
          <w:rFonts w:ascii="Calibri" w:hAnsi="Calibri" w:cs="Calibri"/>
          <w:noProof/>
        </w:rPr>
        <w:t xml:space="preserve">, </w:t>
      </w:r>
      <w:r w:rsidRPr="001F2834">
        <w:rPr>
          <w:rFonts w:ascii="Calibri" w:hAnsi="Calibri" w:cs="Calibri"/>
          <w:i/>
          <w:iCs/>
          <w:noProof/>
        </w:rPr>
        <w:t>41</w:t>
      </w:r>
      <w:r w:rsidRPr="001F2834">
        <w:rPr>
          <w:rFonts w:ascii="Calibri" w:hAnsi="Calibri" w:cs="Calibri"/>
          <w:noProof/>
        </w:rPr>
        <w:t>(3), 541–549. doi:10.1007/s10900-015-0128-8</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van der Schuur, W. A., Baumgartner, S. E., Sumter, S. R., &amp; Valkenburg, P. M. (2015). The consequences of media multitasking for youth: A review. </w:t>
      </w:r>
      <w:r w:rsidRPr="001F2834">
        <w:rPr>
          <w:rFonts w:ascii="Calibri" w:hAnsi="Calibri" w:cs="Calibri"/>
          <w:i/>
          <w:iCs/>
          <w:noProof/>
        </w:rPr>
        <w:t>Computers in Human Behavior</w:t>
      </w:r>
      <w:r w:rsidRPr="001F2834">
        <w:rPr>
          <w:rFonts w:ascii="Calibri" w:hAnsi="Calibri" w:cs="Calibri"/>
          <w:noProof/>
        </w:rPr>
        <w:t xml:space="preserve">, </w:t>
      </w:r>
      <w:r w:rsidRPr="001F2834">
        <w:rPr>
          <w:rFonts w:ascii="Calibri" w:hAnsi="Calibri" w:cs="Calibri"/>
          <w:i/>
          <w:iCs/>
          <w:noProof/>
        </w:rPr>
        <w:t>53</w:t>
      </w:r>
      <w:r w:rsidRPr="001F2834">
        <w:rPr>
          <w:rFonts w:ascii="Calibri" w:hAnsi="Calibri" w:cs="Calibri"/>
          <w:noProof/>
        </w:rPr>
        <w:t>, 204–215. doi:http://dx.doi.org/10.1016/j.chb.2015.06.035</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Woods, H. C., &amp; Scott, H. (2016). #Sleepyteens: Social media use in adolescence is associated with poor sleep quality, anxiety, depression and low self-esteem. </w:t>
      </w:r>
      <w:r w:rsidRPr="001F2834">
        <w:rPr>
          <w:rFonts w:ascii="Calibri" w:hAnsi="Calibri" w:cs="Calibri"/>
          <w:i/>
          <w:iCs/>
          <w:noProof/>
        </w:rPr>
        <w:t>Journal of Adolescence</w:t>
      </w:r>
      <w:r w:rsidRPr="001F2834">
        <w:rPr>
          <w:rFonts w:ascii="Calibri" w:hAnsi="Calibri" w:cs="Calibri"/>
          <w:noProof/>
        </w:rPr>
        <w:t xml:space="preserve">, </w:t>
      </w:r>
      <w:r w:rsidRPr="001F2834">
        <w:rPr>
          <w:rFonts w:ascii="Calibri" w:hAnsi="Calibri" w:cs="Calibri"/>
          <w:i/>
          <w:iCs/>
          <w:noProof/>
        </w:rPr>
        <w:t>51</w:t>
      </w:r>
      <w:r w:rsidRPr="001F2834">
        <w:rPr>
          <w:rFonts w:ascii="Calibri" w:hAnsi="Calibri" w:cs="Calibri"/>
          <w:noProof/>
        </w:rPr>
        <w:t>, 41–49. doi:http://dx.doi.org/10.1016/j.adolescence.2016.05.008</w:t>
      </w:r>
    </w:p>
    <w:p w:rsidR="001F2834" w:rsidRPr="001F2834" w:rsidRDefault="001F2834" w:rsidP="001F2834">
      <w:pPr>
        <w:widowControl w:val="0"/>
        <w:autoSpaceDE w:val="0"/>
        <w:autoSpaceDN w:val="0"/>
        <w:adjustRightInd w:val="0"/>
        <w:spacing w:before="100" w:after="100" w:line="480" w:lineRule="auto"/>
        <w:ind w:left="480" w:hanging="480"/>
        <w:rPr>
          <w:rFonts w:ascii="Calibri" w:hAnsi="Calibri" w:cs="Calibri"/>
          <w:noProof/>
        </w:rPr>
      </w:pPr>
      <w:r w:rsidRPr="001F2834">
        <w:rPr>
          <w:rFonts w:ascii="Calibri" w:hAnsi="Calibri" w:cs="Calibri"/>
          <w:noProof/>
        </w:rPr>
        <w:t xml:space="preserve">World Health Organization. (2016). </w:t>
      </w:r>
      <w:r w:rsidRPr="001F2834">
        <w:rPr>
          <w:rFonts w:ascii="Calibri" w:hAnsi="Calibri" w:cs="Calibri"/>
          <w:i/>
          <w:iCs/>
          <w:noProof/>
        </w:rPr>
        <w:t>Depression Fact Sheet</w:t>
      </w:r>
      <w:r w:rsidRPr="001F2834">
        <w:rPr>
          <w:rFonts w:ascii="Calibri" w:hAnsi="Calibri" w:cs="Calibri"/>
          <w:noProof/>
        </w:rPr>
        <w:t>. Geneva, Switzerland. Retrieved from http://www.who.int/mediacentre/factsheets/fs369/en/</w:t>
      </w:r>
    </w:p>
    <w:p w:rsidR="00D810A6" w:rsidRDefault="0053656A" w:rsidP="001F2834">
      <w:pPr>
        <w:widowControl w:val="0"/>
        <w:autoSpaceDE w:val="0"/>
        <w:autoSpaceDN w:val="0"/>
        <w:adjustRightInd w:val="0"/>
        <w:spacing w:before="100" w:after="100" w:line="480" w:lineRule="auto"/>
        <w:ind w:left="640" w:hanging="640"/>
        <w:rPr>
          <w:rFonts w:ascii="Calibri" w:hAnsi="Calibri"/>
        </w:rPr>
        <w:sectPr w:rsidR="00D810A6" w:rsidSect="00B741E7">
          <w:headerReference w:type="default" r:id="rId9"/>
          <w:footerReference w:type="default" r:id="rId10"/>
          <w:pgSz w:w="12240" w:h="15840"/>
          <w:pgMar w:top="1440" w:right="1440" w:bottom="1440" w:left="1440" w:header="708" w:footer="708" w:gutter="0"/>
          <w:cols w:space="708"/>
          <w:docGrid w:linePitch="360"/>
        </w:sectPr>
      </w:pPr>
      <w:r w:rsidRPr="008C45AB">
        <w:rPr>
          <w:rFonts w:ascii="Calibri" w:hAnsi="Calibri"/>
        </w:rPr>
        <w:fldChar w:fldCharType="end"/>
      </w:r>
    </w:p>
    <w:p w:rsidR="001F44D6" w:rsidRDefault="001F44D6" w:rsidP="001F44D6">
      <w:pPr>
        <w:pStyle w:val="NoSpacing"/>
        <w:ind w:hanging="90"/>
        <w:rPr>
          <w:rFonts w:asciiTheme="minorHAnsi" w:hAnsiTheme="minorHAnsi" w:cstheme="minorHAnsi"/>
          <w:b/>
        </w:rPr>
      </w:pPr>
      <w:r>
        <w:rPr>
          <w:rFonts w:asciiTheme="minorHAnsi" w:hAnsiTheme="minorHAnsi" w:cstheme="minorHAnsi"/>
          <w:b/>
        </w:rPr>
        <w:lastRenderedPageBreak/>
        <w:t>TABLES</w:t>
      </w:r>
    </w:p>
    <w:p w:rsidR="001F44D6" w:rsidRDefault="001F44D6" w:rsidP="001F44D6">
      <w:pPr>
        <w:pStyle w:val="NoSpacing"/>
        <w:ind w:hanging="90"/>
        <w:rPr>
          <w:rFonts w:asciiTheme="minorHAnsi" w:hAnsiTheme="minorHAnsi" w:cstheme="minorHAnsi"/>
          <w:b/>
        </w:rPr>
      </w:pPr>
    </w:p>
    <w:p w:rsidR="001F44D6" w:rsidRDefault="00F01CDE" w:rsidP="001F44D6">
      <w:pPr>
        <w:pStyle w:val="NoSpacing"/>
        <w:ind w:hanging="90"/>
        <w:rPr>
          <w:rFonts w:asciiTheme="minorHAnsi" w:hAnsiTheme="minorHAnsi" w:cstheme="minorHAnsi"/>
        </w:rPr>
      </w:pPr>
      <w:r>
        <w:rPr>
          <w:rFonts w:asciiTheme="minorHAnsi" w:hAnsiTheme="minorHAnsi" w:cstheme="minorHAnsi"/>
          <w:b/>
        </w:rPr>
        <w:t xml:space="preserve">Table 1. </w:t>
      </w:r>
      <w:r w:rsidR="001F44D6" w:rsidRPr="001F44D6">
        <w:rPr>
          <w:rFonts w:asciiTheme="minorHAnsi" w:hAnsiTheme="minorHAnsi" w:cstheme="minorHAnsi"/>
        </w:rPr>
        <w:t xml:space="preserve">Whole Sample Characteristics and Bivariable Associations between Social Media Use, Sociodemographic Covariates, and </w:t>
      </w:r>
      <w:r w:rsidR="001F44D6">
        <w:rPr>
          <w:rFonts w:asciiTheme="minorHAnsi" w:hAnsiTheme="minorHAnsi" w:cstheme="minorHAnsi"/>
        </w:rPr>
        <w:t xml:space="preserve">Depressive Symptoms </w:t>
      </w:r>
    </w:p>
    <w:p w:rsidR="001F44D6" w:rsidRPr="001F44D6" w:rsidRDefault="001F44D6" w:rsidP="001F44D6">
      <w:pPr>
        <w:pStyle w:val="NoSpacing"/>
        <w:ind w:hanging="9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557"/>
        <w:gridCol w:w="2144"/>
        <w:gridCol w:w="1744"/>
        <w:gridCol w:w="1928"/>
        <w:gridCol w:w="1747"/>
        <w:gridCol w:w="1840"/>
      </w:tblGrid>
      <w:tr w:rsidR="001F44D6" w:rsidRPr="001F44D6" w:rsidTr="001F44D6">
        <w:trPr>
          <w:trHeight w:val="547"/>
        </w:trPr>
        <w:tc>
          <w:tcPr>
            <w:tcW w:w="1372" w:type="pct"/>
            <w:vMerge w:val="restart"/>
            <w:tcBorders>
              <w:left w:val="nil"/>
              <w:right w:val="nil"/>
            </w:tcBorders>
            <w:shd w:val="clear" w:color="auto" w:fill="auto"/>
            <w:vAlign w:val="center"/>
          </w:tcPr>
          <w:p w:rsidR="001F44D6" w:rsidRPr="001F44D6" w:rsidRDefault="001F44D6" w:rsidP="001F44D6">
            <w:pPr>
              <w:jc w:val="center"/>
              <w:rPr>
                <w:rFonts w:asciiTheme="minorHAnsi" w:hAnsiTheme="minorHAnsi" w:cstheme="minorHAnsi"/>
                <w:b/>
              </w:rPr>
            </w:pPr>
            <w:r w:rsidRPr="001F44D6">
              <w:rPr>
                <w:rFonts w:asciiTheme="minorHAnsi" w:hAnsiTheme="minorHAnsi" w:cstheme="minorHAnsi"/>
                <w:b/>
              </w:rPr>
              <w:t>Independent Variables</w:t>
            </w:r>
          </w:p>
        </w:tc>
        <w:tc>
          <w:tcPr>
            <w:tcW w:w="827" w:type="pct"/>
            <w:vMerge w:val="restart"/>
            <w:tcBorders>
              <w:left w:val="nil"/>
              <w:right w:val="nil"/>
            </w:tcBorders>
            <w:shd w:val="clear" w:color="auto" w:fill="auto"/>
            <w:vAlign w:val="center"/>
          </w:tcPr>
          <w:p w:rsidR="001F44D6" w:rsidRPr="001F44D6" w:rsidRDefault="001F44D6" w:rsidP="001F44D6">
            <w:pPr>
              <w:jc w:val="center"/>
              <w:rPr>
                <w:rFonts w:asciiTheme="minorHAnsi" w:hAnsiTheme="minorHAnsi" w:cstheme="minorHAnsi"/>
                <w:b/>
              </w:rPr>
            </w:pPr>
            <w:r w:rsidRPr="001F44D6">
              <w:rPr>
                <w:rFonts w:asciiTheme="minorHAnsi" w:hAnsiTheme="minorHAnsi" w:cstheme="minorHAnsi"/>
                <w:b/>
              </w:rPr>
              <w:t>Whole Sample</w:t>
            </w:r>
          </w:p>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(N = 1,768)</w:t>
            </w:r>
          </w:p>
        </w:tc>
        <w:tc>
          <w:tcPr>
            <w:tcW w:w="2091" w:type="pct"/>
            <w:gridSpan w:val="3"/>
            <w:tcBorders>
              <w:left w:val="nil"/>
              <w:right w:val="nil"/>
            </w:tcBorders>
            <w:shd w:val="clear" w:color="auto" w:fill="auto"/>
            <w:vAlign w:val="center"/>
          </w:tcPr>
          <w:p w:rsidR="001F44D6" w:rsidRPr="001F44D6" w:rsidRDefault="001F44D6" w:rsidP="001F44D6">
            <w:pPr>
              <w:jc w:val="center"/>
              <w:rPr>
                <w:rFonts w:asciiTheme="minorHAnsi" w:hAnsiTheme="minorHAnsi" w:cstheme="minorHAnsi"/>
                <w:b/>
              </w:rPr>
            </w:pPr>
            <w:r w:rsidRPr="001F44D6">
              <w:rPr>
                <w:rFonts w:asciiTheme="minorHAnsi" w:hAnsiTheme="minorHAnsi" w:cstheme="minorHAnsi"/>
                <w:b/>
              </w:rPr>
              <w:t>Depression</w:t>
            </w:r>
          </w:p>
        </w:tc>
        <w:tc>
          <w:tcPr>
            <w:tcW w:w="711" w:type="pct"/>
            <w:vMerge w:val="restart"/>
            <w:tcBorders>
              <w:left w:val="nil"/>
              <w:right w:val="nil"/>
            </w:tcBorders>
            <w:shd w:val="clear" w:color="auto" w:fill="auto"/>
            <w:vAlign w:val="center"/>
          </w:tcPr>
          <w:p w:rsidR="001F44D6" w:rsidRPr="001F44D6" w:rsidRDefault="001F44D6" w:rsidP="001F44D6">
            <w:pPr>
              <w:jc w:val="center"/>
              <w:rPr>
                <w:rFonts w:asciiTheme="minorHAnsi" w:hAnsiTheme="minorHAnsi" w:cstheme="minorHAnsi"/>
                <w:b/>
              </w:rPr>
            </w:pPr>
            <w:r w:rsidRPr="001F44D6">
              <w:rPr>
                <w:rFonts w:asciiTheme="minorHAnsi" w:hAnsiTheme="minorHAnsi" w:cstheme="minorHAnsi"/>
                <w:b/>
              </w:rPr>
              <w:t xml:space="preserve">p </w:t>
            </w:r>
          </w:p>
          <w:p w:rsidR="001F44D6" w:rsidRPr="001F44D6" w:rsidRDefault="001F44D6" w:rsidP="001F44D6">
            <w:pPr>
              <w:jc w:val="center"/>
              <w:rPr>
                <w:rFonts w:asciiTheme="minorHAnsi" w:hAnsiTheme="minorHAnsi" w:cstheme="minorHAnsi"/>
                <w:b/>
                <w:vertAlign w:val="superscript"/>
              </w:rPr>
            </w:pPr>
            <w:r w:rsidRPr="001F44D6">
              <w:rPr>
                <w:rFonts w:asciiTheme="minorHAnsi" w:hAnsiTheme="minorHAnsi" w:cstheme="minorHAnsi"/>
                <w:b/>
              </w:rPr>
              <w:t>Value</w:t>
            </w:r>
            <w:r w:rsidRPr="001F44D6">
              <w:rPr>
                <w:rFonts w:asciiTheme="minorHAnsi" w:hAnsiTheme="minorHAnsi" w:cstheme="minorHAnsi"/>
                <w:vertAlign w:val="superscript"/>
              </w:rPr>
              <w:t>a</w:t>
            </w:r>
          </w:p>
        </w:tc>
      </w:tr>
      <w:tr w:rsidR="001F44D6" w:rsidRPr="001F44D6" w:rsidTr="001F44D6">
        <w:tc>
          <w:tcPr>
            <w:tcW w:w="1372" w:type="pct"/>
            <w:vMerge/>
            <w:tcBorders>
              <w:left w:val="nil"/>
              <w:bottom w:val="single" w:sz="4" w:space="0" w:color="auto"/>
              <w:right w:val="nil"/>
            </w:tcBorders>
            <w:shd w:val="clear" w:color="auto" w:fill="auto"/>
          </w:tcPr>
          <w:p w:rsidR="001F44D6" w:rsidRPr="001F44D6" w:rsidRDefault="001F44D6" w:rsidP="001F44D6">
            <w:pPr>
              <w:rPr>
                <w:rFonts w:asciiTheme="minorHAnsi" w:hAnsiTheme="minorHAnsi" w:cstheme="minorHAnsi"/>
              </w:rPr>
            </w:pPr>
          </w:p>
        </w:tc>
        <w:tc>
          <w:tcPr>
            <w:tcW w:w="827" w:type="pct"/>
            <w:vMerge/>
            <w:tcBorders>
              <w:left w:val="nil"/>
              <w:bottom w:val="single" w:sz="4" w:space="0" w:color="auto"/>
              <w:right w:val="nil"/>
            </w:tcBorders>
            <w:shd w:val="clear" w:color="auto" w:fill="auto"/>
          </w:tcPr>
          <w:p w:rsidR="001F44D6" w:rsidRPr="001F44D6" w:rsidRDefault="001F44D6" w:rsidP="001F44D6">
            <w:pPr>
              <w:jc w:val="center"/>
              <w:rPr>
                <w:rFonts w:asciiTheme="minorHAnsi" w:hAnsiTheme="minorHAnsi" w:cstheme="minorHAnsi"/>
              </w:rPr>
            </w:pPr>
          </w:p>
        </w:tc>
        <w:tc>
          <w:tcPr>
            <w:tcW w:w="673" w:type="pct"/>
            <w:tcBorders>
              <w:left w:val="nil"/>
              <w:bottom w:val="single" w:sz="4" w:space="0" w:color="auto"/>
              <w:right w:val="nil"/>
            </w:tcBorders>
            <w:shd w:val="clear" w:color="auto" w:fill="auto"/>
            <w:vAlign w:val="center"/>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 xml:space="preserve">Low </w:t>
            </w:r>
          </w:p>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(n = 724)</w:t>
            </w:r>
          </w:p>
        </w:tc>
        <w:tc>
          <w:tcPr>
            <w:tcW w:w="744" w:type="pct"/>
            <w:tcBorders>
              <w:left w:val="nil"/>
              <w:bottom w:val="single" w:sz="4" w:space="0" w:color="auto"/>
              <w:right w:val="nil"/>
            </w:tcBorders>
            <w:shd w:val="clear" w:color="auto" w:fill="auto"/>
            <w:vAlign w:val="center"/>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 xml:space="preserve">Medium </w:t>
            </w:r>
          </w:p>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(n = 538)</w:t>
            </w:r>
          </w:p>
        </w:tc>
        <w:tc>
          <w:tcPr>
            <w:tcW w:w="674" w:type="pct"/>
            <w:tcBorders>
              <w:left w:val="nil"/>
              <w:bottom w:val="single" w:sz="4" w:space="0" w:color="auto"/>
              <w:right w:val="nil"/>
            </w:tcBorders>
            <w:shd w:val="clear" w:color="auto" w:fill="auto"/>
            <w:vAlign w:val="center"/>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 xml:space="preserve">High </w:t>
            </w:r>
          </w:p>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(n = 506)</w:t>
            </w:r>
          </w:p>
        </w:tc>
        <w:tc>
          <w:tcPr>
            <w:tcW w:w="711" w:type="pct"/>
            <w:vMerge/>
            <w:tcBorders>
              <w:left w:val="nil"/>
              <w:bottom w:val="single" w:sz="4" w:space="0" w:color="auto"/>
              <w:right w:val="nil"/>
            </w:tcBorders>
            <w:shd w:val="clear" w:color="auto" w:fill="auto"/>
          </w:tcPr>
          <w:p w:rsidR="001F44D6" w:rsidRPr="001F44D6" w:rsidRDefault="001F44D6" w:rsidP="001F44D6">
            <w:pPr>
              <w:jc w:val="center"/>
              <w:rPr>
                <w:rFonts w:asciiTheme="minorHAnsi" w:hAnsiTheme="minorHAnsi" w:cstheme="minorHAnsi"/>
                <w:i/>
              </w:rPr>
            </w:pPr>
          </w:p>
        </w:tc>
      </w:tr>
      <w:tr w:rsidR="001F44D6" w:rsidRPr="001F44D6" w:rsidTr="001F44D6">
        <w:trPr>
          <w:trHeight w:val="422"/>
        </w:trPr>
        <w:tc>
          <w:tcPr>
            <w:tcW w:w="1372" w:type="pct"/>
            <w:tcBorders>
              <w:left w:val="nil"/>
              <w:bottom w:val="nil"/>
              <w:right w:val="nil"/>
            </w:tcBorders>
            <w:shd w:val="clear" w:color="auto" w:fill="auto"/>
            <w:vAlign w:val="center"/>
          </w:tcPr>
          <w:p w:rsidR="001F44D6" w:rsidRPr="001F44D6" w:rsidRDefault="001F44D6" w:rsidP="001F44D6">
            <w:pPr>
              <w:ind w:firstLine="540"/>
              <w:rPr>
                <w:rFonts w:asciiTheme="minorHAnsi" w:hAnsiTheme="minorHAnsi" w:cstheme="minorHAnsi"/>
              </w:rPr>
            </w:pPr>
            <w:r w:rsidRPr="001F44D6">
              <w:rPr>
                <w:rFonts w:asciiTheme="minorHAnsi" w:hAnsiTheme="minorHAnsi" w:cstheme="minorHAnsi"/>
                <w:b/>
              </w:rPr>
              <w:t xml:space="preserve">Social Media Use </w:t>
            </w:r>
          </w:p>
        </w:tc>
        <w:tc>
          <w:tcPr>
            <w:tcW w:w="827" w:type="pct"/>
            <w:tcBorders>
              <w:left w:val="nil"/>
              <w:bottom w:val="nil"/>
              <w:right w:val="nil"/>
            </w:tcBorders>
            <w:shd w:val="clear" w:color="auto" w:fill="auto"/>
            <w:vAlign w:val="center"/>
          </w:tcPr>
          <w:p w:rsidR="001F44D6" w:rsidRPr="001F44D6" w:rsidRDefault="001F44D6" w:rsidP="001F44D6">
            <w:pPr>
              <w:jc w:val="center"/>
              <w:rPr>
                <w:rFonts w:asciiTheme="minorHAnsi" w:hAnsiTheme="minorHAnsi" w:cstheme="minorHAnsi"/>
                <w:vertAlign w:val="superscript"/>
              </w:rPr>
            </w:pPr>
            <w:r w:rsidRPr="001F44D6">
              <w:rPr>
                <w:rFonts w:asciiTheme="minorHAnsi" w:hAnsiTheme="minorHAnsi" w:cstheme="minorHAnsi"/>
              </w:rPr>
              <w:t>Column %</w:t>
            </w:r>
            <w:r w:rsidRPr="001F44D6">
              <w:rPr>
                <w:rFonts w:asciiTheme="minorHAnsi" w:hAnsiTheme="minorHAnsi" w:cstheme="minorHAnsi"/>
                <w:vertAlign w:val="superscript"/>
              </w:rPr>
              <w:t>b</w:t>
            </w:r>
          </w:p>
          <w:p w:rsidR="001F44D6" w:rsidRPr="001F44D6" w:rsidRDefault="001F44D6" w:rsidP="001F44D6">
            <w:pPr>
              <w:jc w:val="center"/>
              <w:rPr>
                <w:rFonts w:asciiTheme="minorHAnsi" w:hAnsiTheme="minorHAnsi" w:cstheme="minorHAnsi"/>
                <w:vertAlign w:val="superscript"/>
              </w:rPr>
            </w:pPr>
            <w:r w:rsidRPr="001F44D6">
              <w:rPr>
                <w:rFonts w:asciiTheme="minorHAnsi" w:hAnsiTheme="minorHAnsi" w:cstheme="minorHAnsi"/>
              </w:rPr>
              <w:t>(Unweighted %)</w:t>
            </w:r>
          </w:p>
        </w:tc>
        <w:tc>
          <w:tcPr>
            <w:tcW w:w="2091" w:type="pct"/>
            <w:gridSpan w:val="3"/>
            <w:tcBorders>
              <w:left w:val="nil"/>
              <w:bottom w:val="nil"/>
              <w:right w:val="nil"/>
            </w:tcBorders>
            <w:shd w:val="clear" w:color="auto" w:fill="auto"/>
            <w:vAlign w:val="center"/>
          </w:tcPr>
          <w:p w:rsidR="001F44D6" w:rsidRPr="001F44D6" w:rsidRDefault="001F44D6" w:rsidP="001F44D6">
            <w:pPr>
              <w:jc w:val="center"/>
              <w:rPr>
                <w:rFonts w:asciiTheme="minorHAnsi" w:hAnsiTheme="minorHAnsi" w:cstheme="minorHAnsi"/>
                <w:vertAlign w:val="superscript"/>
              </w:rPr>
            </w:pPr>
            <w:r w:rsidRPr="001F44D6">
              <w:rPr>
                <w:rFonts w:asciiTheme="minorHAnsi" w:hAnsiTheme="minorHAnsi" w:cstheme="minorHAnsi"/>
              </w:rPr>
              <w:t>Column %</w:t>
            </w:r>
            <w:r w:rsidRPr="001F44D6">
              <w:rPr>
                <w:rFonts w:asciiTheme="minorHAnsi" w:hAnsiTheme="minorHAnsi" w:cstheme="minorHAnsi"/>
                <w:vertAlign w:val="superscript"/>
              </w:rPr>
              <w:t>b</w:t>
            </w:r>
          </w:p>
        </w:tc>
        <w:tc>
          <w:tcPr>
            <w:tcW w:w="711" w:type="pct"/>
            <w:vMerge/>
            <w:tcBorders>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Number of Social Media Sites</w:t>
            </w:r>
            <w:r w:rsidRPr="001F44D6">
              <w:rPr>
                <w:rFonts w:asciiTheme="minorHAnsi" w:hAnsiTheme="minorHAnsi" w:cstheme="minorHAnsi"/>
                <w:vertAlign w:val="superscript"/>
              </w:rPr>
              <w:t>c</w:t>
            </w:r>
            <w:r w:rsidRPr="001F44D6">
              <w:rPr>
                <w:rFonts w:asciiTheme="minorHAnsi" w:hAnsiTheme="minorHAnsi" w:cstheme="minorHAnsi"/>
              </w:rPr>
              <w:t xml:space="preserve"> </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&lt;0.001</w:t>
            </w: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Q1 (0-2)</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30.4 (26.4)</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38.5</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21.8</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26.2</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Q2 (3-4)</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 xml:space="preserve">32.3 (33.4) </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31.4</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37.6</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27.9</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Q3 (5- 6)</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 xml:space="preserve">21.3 (23.0) </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19.2</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23.2</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23.0</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Q4 (7-11)</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 xml:space="preserve">16.0 (17.3) </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10.9</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17.4</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23.0</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 xml:space="preserve">Total Minutes Per Day </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0.006</w:t>
            </w: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Q1 (0-30)</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29.8 (29.0)</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36.0</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24.9</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24.7</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Q2 (31-60)</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20.8 (20.9)</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22.0</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22.7</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16.6</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Q3 (61-120)</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24.0 (24.2)</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20.3</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24.1</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30.1</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Q4 (121 and above)</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25.5 (25.9)</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21.8</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28.3</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28.6</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vAlign w:val="center"/>
          </w:tcPr>
          <w:p w:rsidR="001F44D6" w:rsidRPr="001F44D6" w:rsidRDefault="001F44D6" w:rsidP="001F44D6">
            <w:pPr>
              <w:jc w:val="center"/>
              <w:rPr>
                <w:rFonts w:asciiTheme="minorHAnsi" w:hAnsiTheme="minorHAnsi" w:cstheme="minorHAnsi"/>
                <w:b/>
              </w:rPr>
            </w:pPr>
            <w:r w:rsidRPr="001F44D6">
              <w:rPr>
                <w:rFonts w:asciiTheme="minorHAnsi" w:hAnsiTheme="minorHAnsi" w:cstheme="minorHAnsi"/>
                <w:b/>
              </w:rPr>
              <w:t xml:space="preserve">Sociodemographic </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Age, y</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0.04</w:t>
            </w: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19-23</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33.6 (28.6)</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34.3</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36.7</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29.0</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24-26</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24.5 (36.4)</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20.6</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23.9</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32.1</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27 and above</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41.8 (35.0)</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45.1</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39.4</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38.9</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rPr>
          <w:trHeight w:val="242"/>
        </w:trPr>
        <w:tc>
          <w:tcPr>
            <w:tcW w:w="1372" w:type="pct"/>
            <w:tcBorders>
              <w:top w:val="nil"/>
              <w:left w:val="nil"/>
              <w:bottom w:val="nil"/>
              <w:right w:val="nil"/>
            </w:tcBorders>
            <w:shd w:val="clear" w:color="auto" w:fill="auto"/>
          </w:tcPr>
          <w:p w:rsidR="001F44D6" w:rsidRPr="001F44D6" w:rsidRDefault="001F44D6" w:rsidP="001F44D6">
            <w:pPr>
              <w:keepNext/>
              <w:rPr>
                <w:rFonts w:asciiTheme="minorHAnsi" w:hAnsiTheme="minorHAnsi" w:cstheme="minorHAnsi"/>
              </w:rPr>
            </w:pPr>
            <w:r w:rsidRPr="001F44D6">
              <w:rPr>
                <w:rFonts w:asciiTheme="minorHAnsi" w:hAnsiTheme="minorHAnsi" w:cstheme="minorHAnsi"/>
              </w:rPr>
              <w:lastRenderedPageBreak/>
              <w:t>Sex</w:t>
            </w:r>
          </w:p>
        </w:tc>
        <w:tc>
          <w:tcPr>
            <w:tcW w:w="827" w:type="pct"/>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p>
        </w:tc>
        <w:tc>
          <w:tcPr>
            <w:tcW w:w="673" w:type="pct"/>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p>
        </w:tc>
        <w:tc>
          <w:tcPr>
            <w:tcW w:w="744" w:type="pct"/>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p>
        </w:tc>
        <w:tc>
          <w:tcPr>
            <w:tcW w:w="674" w:type="pct"/>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p>
        </w:tc>
        <w:tc>
          <w:tcPr>
            <w:tcW w:w="711" w:type="pct"/>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0.008</w:t>
            </w: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keepNext/>
              <w:ind w:firstLine="180"/>
              <w:rPr>
                <w:rFonts w:asciiTheme="minorHAnsi" w:hAnsiTheme="minorHAnsi" w:cstheme="minorHAnsi"/>
              </w:rPr>
            </w:pPr>
            <w:r w:rsidRPr="001F44D6">
              <w:rPr>
                <w:rFonts w:asciiTheme="minorHAnsi" w:hAnsiTheme="minorHAnsi" w:cstheme="minorHAnsi"/>
              </w:rPr>
              <w:t>Female</w:t>
            </w:r>
          </w:p>
        </w:tc>
        <w:tc>
          <w:tcPr>
            <w:tcW w:w="827" w:type="pct"/>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50.1 (61.8)</w:t>
            </w:r>
          </w:p>
        </w:tc>
        <w:tc>
          <w:tcPr>
            <w:tcW w:w="673" w:type="pct"/>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44.2</w:t>
            </w:r>
          </w:p>
        </w:tc>
        <w:tc>
          <w:tcPr>
            <w:tcW w:w="744" w:type="pct"/>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57.6</w:t>
            </w:r>
          </w:p>
        </w:tc>
        <w:tc>
          <w:tcPr>
            <w:tcW w:w="674" w:type="pct"/>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51.6</w:t>
            </w:r>
          </w:p>
        </w:tc>
        <w:tc>
          <w:tcPr>
            <w:tcW w:w="711" w:type="pct"/>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keepNext/>
              <w:ind w:firstLine="180"/>
              <w:rPr>
                <w:rFonts w:asciiTheme="minorHAnsi" w:hAnsiTheme="minorHAnsi" w:cstheme="minorHAnsi"/>
              </w:rPr>
            </w:pPr>
            <w:r w:rsidRPr="001F44D6">
              <w:rPr>
                <w:rFonts w:asciiTheme="minorHAnsi" w:hAnsiTheme="minorHAnsi" w:cstheme="minorHAnsi"/>
              </w:rPr>
              <w:t>Male</w:t>
            </w:r>
          </w:p>
        </w:tc>
        <w:tc>
          <w:tcPr>
            <w:tcW w:w="827" w:type="pct"/>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49.9 (38.2)</w:t>
            </w:r>
          </w:p>
        </w:tc>
        <w:tc>
          <w:tcPr>
            <w:tcW w:w="673" w:type="pct"/>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55.8</w:t>
            </w:r>
          </w:p>
        </w:tc>
        <w:tc>
          <w:tcPr>
            <w:tcW w:w="744" w:type="pct"/>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42.4</w:t>
            </w:r>
          </w:p>
        </w:tc>
        <w:tc>
          <w:tcPr>
            <w:tcW w:w="674" w:type="pct"/>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48.4</w:t>
            </w:r>
          </w:p>
        </w:tc>
        <w:tc>
          <w:tcPr>
            <w:tcW w:w="711" w:type="pct"/>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Race</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0.02</w:t>
            </w: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 xml:space="preserve">White, non-Hispanic </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57.4 (64.3)</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60.0</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54.8</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55.9</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Black, non-Hispanic</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13.1 (10.1)</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16.1</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10.6</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10.8</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Hispanic</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20.6 (16.5)</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18.9</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21.3</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22.7</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ind w:left="180"/>
              <w:rPr>
                <w:rFonts w:asciiTheme="minorHAnsi" w:hAnsiTheme="minorHAnsi" w:cstheme="minorHAnsi"/>
                <w:vertAlign w:val="superscript"/>
              </w:rPr>
            </w:pPr>
            <w:r w:rsidRPr="001F44D6">
              <w:rPr>
                <w:rFonts w:asciiTheme="minorHAnsi" w:hAnsiTheme="minorHAnsi" w:cstheme="minorHAnsi"/>
              </w:rPr>
              <w:t>Other</w:t>
            </w:r>
            <w:r w:rsidRPr="001F44D6">
              <w:rPr>
                <w:rFonts w:asciiTheme="minorHAnsi" w:hAnsiTheme="minorHAnsi" w:cstheme="minorHAnsi"/>
                <w:vertAlign w:val="superscript"/>
              </w:rPr>
              <w:t>d</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8.9 (9.2)</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5.0</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13.4</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10.5</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Relationship Status</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0.07</w:t>
            </w:r>
          </w:p>
        </w:tc>
      </w:tr>
      <w:tr w:rsidR="001F44D6" w:rsidRPr="001F44D6" w:rsidTr="001F44D6">
        <w:tc>
          <w:tcPr>
            <w:tcW w:w="1372" w:type="pct"/>
            <w:tcBorders>
              <w:top w:val="nil"/>
              <w:left w:val="nil"/>
              <w:bottom w:val="nil"/>
              <w:right w:val="nil"/>
            </w:tcBorders>
            <w:shd w:val="clear" w:color="auto" w:fill="auto"/>
            <w:vAlign w:val="bottom"/>
          </w:tcPr>
          <w:p w:rsidR="001F44D6" w:rsidRPr="001F44D6" w:rsidRDefault="001F44D6" w:rsidP="001F44D6">
            <w:pPr>
              <w:ind w:firstLine="180"/>
              <w:rPr>
                <w:rFonts w:asciiTheme="minorHAnsi" w:hAnsiTheme="minorHAnsi" w:cstheme="minorHAnsi"/>
                <w:vertAlign w:val="superscript"/>
              </w:rPr>
            </w:pPr>
            <w:r w:rsidRPr="001F44D6">
              <w:rPr>
                <w:rFonts w:asciiTheme="minorHAnsi" w:hAnsiTheme="minorHAnsi" w:cstheme="minorHAnsi"/>
              </w:rPr>
              <w:t>Single</w:t>
            </w:r>
            <w:r w:rsidRPr="001F44D6">
              <w:rPr>
                <w:rFonts w:asciiTheme="minorHAnsi" w:hAnsiTheme="minorHAnsi" w:cstheme="minorHAnsi"/>
                <w:vertAlign w:val="superscript"/>
              </w:rPr>
              <w:t>e</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44.4 (41.5)</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39.7</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47.3</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49.1</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vAlign w:val="bottom"/>
          </w:tcPr>
          <w:p w:rsidR="001F44D6" w:rsidRPr="001F44D6" w:rsidRDefault="001F44D6" w:rsidP="001F44D6">
            <w:pPr>
              <w:ind w:left="360" w:hanging="180"/>
              <w:rPr>
                <w:rFonts w:asciiTheme="minorHAnsi" w:hAnsiTheme="minorHAnsi" w:cstheme="minorHAnsi"/>
              </w:rPr>
            </w:pPr>
            <w:r w:rsidRPr="001F44D6">
              <w:rPr>
                <w:rFonts w:asciiTheme="minorHAnsi" w:hAnsiTheme="minorHAnsi" w:cstheme="minorHAnsi"/>
              </w:rPr>
              <w:t>In a committed Relationship</w:t>
            </w:r>
            <w:r w:rsidRPr="001F44D6">
              <w:rPr>
                <w:rFonts w:asciiTheme="minorHAnsi" w:hAnsiTheme="minorHAnsi" w:cstheme="minorHAnsi"/>
                <w:vertAlign w:val="superscript"/>
              </w:rPr>
              <w:t>f</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55.6 (58.5)</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60.3</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52.7</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50.9</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Living Situation</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0.09</w:t>
            </w:r>
          </w:p>
        </w:tc>
      </w:tr>
      <w:tr w:rsidR="001F44D6" w:rsidRPr="001F44D6" w:rsidTr="001F44D6">
        <w:tc>
          <w:tcPr>
            <w:tcW w:w="1372" w:type="pct"/>
            <w:tcBorders>
              <w:top w:val="nil"/>
              <w:left w:val="nil"/>
              <w:bottom w:val="nil"/>
              <w:right w:val="nil"/>
            </w:tcBorders>
            <w:shd w:val="clear" w:color="auto" w:fill="auto"/>
            <w:vAlign w:val="bottom"/>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Parent/Guardian</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33.9 (28.1)</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33.0</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30.1</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39.7</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vAlign w:val="bottom"/>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Significant other</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35.5 (40.6)</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38.9</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33.7</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31.6</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vAlign w:val="bottom"/>
          </w:tcPr>
          <w:p w:rsidR="001F44D6" w:rsidRPr="001F44D6" w:rsidRDefault="001F44D6" w:rsidP="001F44D6">
            <w:pPr>
              <w:ind w:firstLine="180"/>
              <w:rPr>
                <w:rFonts w:asciiTheme="minorHAnsi" w:hAnsiTheme="minorHAnsi" w:cstheme="minorHAnsi"/>
                <w:vertAlign w:val="superscript"/>
              </w:rPr>
            </w:pPr>
            <w:r w:rsidRPr="001F44D6">
              <w:rPr>
                <w:rFonts w:asciiTheme="minorHAnsi" w:hAnsiTheme="minorHAnsi" w:cstheme="minorHAnsi"/>
              </w:rPr>
              <w:t>Other</w:t>
            </w:r>
            <w:r w:rsidRPr="001F44D6">
              <w:rPr>
                <w:rFonts w:asciiTheme="minorHAnsi" w:hAnsiTheme="minorHAnsi" w:cstheme="minorHAnsi"/>
                <w:vertAlign w:val="superscript"/>
              </w:rPr>
              <w:t>g</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30.6 (31.3)</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28.0</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36.2</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28.8</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vAlign w:val="bottom"/>
          </w:tcPr>
          <w:p w:rsidR="001F44D6" w:rsidRPr="001F44D6" w:rsidRDefault="001F44D6" w:rsidP="001F44D6">
            <w:pPr>
              <w:rPr>
                <w:rFonts w:asciiTheme="minorHAnsi" w:hAnsiTheme="minorHAnsi" w:cstheme="minorHAnsi"/>
              </w:rPr>
            </w:pPr>
            <w:r w:rsidRPr="001F44D6">
              <w:rPr>
                <w:rFonts w:asciiTheme="minorHAnsi" w:hAnsiTheme="minorHAnsi" w:cstheme="minorHAnsi"/>
              </w:rPr>
              <w:t>Yearly Household Income</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0.002</w:t>
            </w: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Low (under $30,000)</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22.7 (33.2)</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18.5</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20.3</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32.6</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ind w:left="360" w:hanging="180"/>
              <w:rPr>
                <w:rFonts w:asciiTheme="minorHAnsi" w:hAnsiTheme="minorHAnsi" w:cstheme="minorHAnsi"/>
              </w:rPr>
            </w:pPr>
            <w:r w:rsidRPr="001F44D6">
              <w:rPr>
                <w:rFonts w:asciiTheme="minorHAnsi" w:hAnsiTheme="minorHAnsi" w:cstheme="minorHAnsi"/>
              </w:rPr>
              <w:t>Medium ($30,000-$74,999)</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38.5 (37.9)</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38.9</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38.6</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37.5</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High ($75,000 and above)</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38.9 (28.9)</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42.6</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41.1</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29.9</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Education Level</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0.004</w:t>
            </w: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High school or less</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35.6 (20.4)</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32.6</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31.4</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45.7</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Some college</w:t>
            </w:r>
          </w:p>
        </w:tc>
        <w:tc>
          <w:tcPr>
            <w:tcW w:w="827"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38.5 (41.5)</w:t>
            </w:r>
          </w:p>
        </w:tc>
        <w:tc>
          <w:tcPr>
            <w:tcW w:w="673"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38.2</w:t>
            </w:r>
          </w:p>
        </w:tc>
        <w:tc>
          <w:tcPr>
            <w:tcW w:w="74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40.3</w:t>
            </w:r>
          </w:p>
        </w:tc>
        <w:tc>
          <w:tcPr>
            <w:tcW w:w="674"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36.9</w:t>
            </w:r>
          </w:p>
        </w:tc>
        <w:tc>
          <w:tcPr>
            <w:tcW w:w="711"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372" w:type="pct"/>
            <w:tcBorders>
              <w:top w:val="nil"/>
              <w:left w:val="nil"/>
              <w:right w:val="nil"/>
            </w:tcBorders>
            <w:shd w:val="clear" w:color="auto" w:fill="auto"/>
          </w:tcPr>
          <w:p w:rsidR="001F44D6" w:rsidRPr="001F44D6" w:rsidRDefault="001F44D6" w:rsidP="001F44D6">
            <w:pPr>
              <w:ind w:left="360" w:hanging="180"/>
              <w:rPr>
                <w:rFonts w:asciiTheme="minorHAnsi" w:hAnsiTheme="minorHAnsi" w:cstheme="minorHAnsi"/>
              </w:rPr>
            </w:pPr>
            <w:r w:rsidRPr="001F44D6">
              <w:rPr>
                <w:rFonts w:asciiTheme="minorHAnsi" w:hAnsiTheme="minorHAnsi" w:cstheme="minorHAnsi"/>
              </w:rPr>
              <w:t>Bachelor’s degree or higher</w:t>
            </w:r>
          </w:p>
        </w:tc>
        <w:tc>
          <w:tcPr>
            <w:tcW w:w="827" w:type="pct"/>
            <w:tcBorders>
              <w:top w:val="nil"/>
              <w:left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26.0 (38.1)</w:t>
            </w:r>
          </w:p>
        </w:tc>
        <w:tc>
          <w:tcPr>
            <w:tcW w:w="673" w:type="pct"/>
            <w:tcBorders>
              <w:top w:val="nil"/>
              <w:left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29.3</w:t>
            </w:r>
          </w:p>
        </w:tc>
        <w:tc>
          <w:tcPr>
            <w:tcW w:w="744" w:type="pct"/>
            <w:tcBorders>
              <w:top w:val="nil"/>
              <w:left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28.2</w:t>
            </w:r>
          </w:p>
        </w:tc>
        <w:tc>
          <w:tcPr>
            <w:tcW w:w="674" w:type="pct"/>
            <w:tcBorders>
              <w:top w:val="nil"/>
              <w:left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17.4</w:t>
            </w:r>
          </w:p>
        </w:tc>
        <w:tc>
          <w:tcPr>
            <w:tcW w:w="711" w:type="pct"/>
            <w:tcBorders>
              <w:top w:val="nil"/>
              <w:left w:val="nil"/>
              <w:right w:val="nil"/>
            </w:tcBorders>
            <w:shd w:val="clear" w:color="auto" w:fill="auto"/>
          </w:tcPr>
          <w:p w:rsidR="001F44D6" w:rsidRPr="001F44D6" w:rsidRDefault="001F44D6" w:rsidP="001F44D6">
            <w:pPr>
              <w:jc w:val="center"/>
              <w:rPr>
                <w:rFonts w:asciiTheme="minorHAnsi" w:hAnsiTheme="minorHAnsi" w:cstheme="minorHAnsi"/>
              </w:rPr>
            </w:pPr>
          </w:p>
        </w:tc>
      </w:tr>
    </w:tbl>
    <w:p w:rsidR="00974E6F" w:rsidRDefault="00974E6F" w:rsidP="001F44D6">
      <w:pPr>
        <w:pStyle w:val="NoSpacing"/>
        <w:ind w:right="-90" w:hanging="90"/>
        <w:rPr>
          <w:rFonts w:asciiTheme="minorHAnsi" w:hAnsiTheme="minorHAnsi" w:cstheme="minorHAnsi"/>
          <w:bCs/>
          <w:vertAlign w:val="superscript"/>
        </w:rPr>
      </w:pPr>
    </w:p>
    <w:p w:rsidR="001F44D6" w:rsidRPr="001F44D6" w:rsidRDefault="001F44D6" w:rsidP="001F44D6">
      <w:pPr>
        <w:pStyle w:val="NoSpacing"/>
        <w:ind w:right="-90" w:hanging="90"/>
        <w:rPr>
          <w:rFonts w:asciiTheme="minorHAnsi" w:hAnsiTheme="minorHAnsi" w:cstheme="minorHAnsi"/>
          <w:bCs/>
        </w:rPr>
      </w:pPr>
      <w:r w:rsidRPr="001F44D6">
        <w:rPr>
          <w:rFonts w:asciiTheme="minorHAnsi" w:hAnsiTheme="minorHAnsi" w:cstheme="minorHAnsi"/>
          <w:bCs/>
          <w:vertAlign w:val="superscript"/>
        </w:rPr>
        <w:t>a</w:t>
      </w:r>
      <w:r w:rsidRPr="001F44D6">
        <w:rPr>
          <w:rFonts w:asciiTheme="minorHAnsi" w:hAnsiTheme="minorHAnsi" w:cstheme="minorHAnsi"/>
          <w:bCs/>
        </w:rPr>
        <w:t xml:space="preserve"> </w:t>
      </w:r>
      <w:r w:rsidRPr="001F44D6">
        <w:rPr>
          <w:rFonts w:asciiTheme="minorHAnsi" w:hAnsiTheme="minorHAnsi" w:cstheme="minorHAnsi"/>
          <w:bCs/>
          <w:i/>
        </w:rPr>
        <w:t>P</w:t>
      </w:r>
      <w:r w:rsidRPr="001F44D6">
        <w:rPr>
          <w:rFonts w:asciiTheme="minorHAnsi" w:hAnsiTheme="minorHAnsi" w:cstheme="minorHAnsi"/>
          <w:bCs/>
        </w:rPr>
        <w:t xml:space="preserve"> value derived using Chi-square analyses comparing proportion of users in each category.</w:t>
      </w:r>
    </w:p>
    <w:p w:rsidR="001F44D6" w:rsidRPr="001F44D6" w:rsidRDefault="001F44D6" w:rsidP="001F44D6">
      <w:pPr>
        <w:pStyle w:val="NoSpacing"/>
        <w:ind w:left="-90"/>
        <w:rPr>
          <w:rFonts w:asciiTheme="minorHAnsi" w:hAnsiTheme="minorHAnsi" w:cstheme="minorHAnsi"/>
        </w:rPr>
      </w:pPr>
      <w:r w:rsidRPr="001F44D6">
        <w:rPr>
          <w:rFonts w:asciiTheme="minorHAnsi" w:hAnsiTheme="minorHAnsi" w:cstheme="minorHAnsi"/>
          <w:vertAlign w:val="superscript"/>
        </w:rPr>
        <w:t xml:space="preserve">b </w:t>
      </w:r>
      <w:r w:rsidRPr="001F44D6">
        <w:rPr>
          <w:rFonts w:asciiTheme="minorHAnsi" w:hAnsiTheme="minorHAnsi" w:cstheme="minorHAnsi"/>
        </w:rPr>
        <w:t>Values may not total 100 due to rounding. Percentages were calculated using survey-specific weights unless otherwise specified.</w:t>
      </w:r>
    </w:p>
    <w:p w:rsidR="001F44D6" w:rsidRPr="001F44D6" w:rsidRDefault="001F44D6" w:rsidP="001F44D6">
      <w:pPr>
        <w:pStyle w:val="NoSpacing"/>
        <w:ind w:left="-90"/>
        <w:rPr>
          <w:rFonts w:asciiTheme="minorHAnsi" w:hAnsiTheme="minorHAnsi" w:cstheme="minorHAnsi"/>
        </w:rPr>
      </w:pPr>
      <w:r w:rsidRPr="001F44D6">
        <w:rPr>
          <w:rFonts w:asciiTheme="minorHAnsi" w:hAnsiTheme="minorHAnsi" w:cstheme="minorHAnsi"/>
          <w:vertAlign w:val="superscript"/>
        </w:rPr>
        <w:t xml:space="preserve">c </w:t>
      </w:r>
      <w:r w:rsidRPr="001F44D6">
        <w:rPr>
          <w:rFonts w:asciiTheme="minorHAnsi" w:hAnsiTheme="minorHAnsi" w:cstheme="minorHAnsi"/>
        </w:rPr>
        <w:t>Includes Facebook, Twitter, Google+, YouTube, LinkedIn, Instagram, Pinterest, Tumblr, Vine, Snapchat, and Reddit.</w:t>
      </w:r>
    </w:p>
    <w:p w:rsidR="001F44D6" w:rsidRPr="001F44D6" w:rsidRDefault="001F44D6" w:rsidP="001F44D6">
      <w:pPr>
        <w:pStyle w:val="NoSpacing"/>
        <w:ind w:left="-90"/>
        <w:rPr>
          <w:rFonts w:asciiTheme="minorHAnsi" w:hAnsiTheme="minorHAnsi" w:cstheme="minorHAnsi"/>
        </w:rPr>
      </w:pPr>
      <w:r w:rsidRPr="001F44D6">
        <w:rPr>
          <w:rFonts w:asciiTheme="minorHAnsi" w:hAnsiTheme="minorHAnsi" w:cstheme="minorHAnsi"/>
          <w:vertAlign w:val="superscript"/>
        </w:rPr>
        <w:lastRenderedPageBreak/>
        <w:t xml:space="preserve">d </w:t>
      </w:r>
      <w:r w:rsidRPr="001F44D6">
        <w:rPr>
          <w:rFonts w:asciiTheme="minorHAnsi" w:hAnsiTheme="minorHAnsi" w:cstheme="minorHAnsi"/>
        </w:rPr>
        <w:t>Includes Multiracial.</w:t>
      </w:r>
    </w:p>
    <w:p w:rsidR="001F44D6" w:rsidRPr="001F44D6" w:rsidRDefault="001F44D6" w:rsidP="001F44D6">
      <w:pPr>
        <w:pStyle w:val="NoSpacing"/>
        <w:ind w:left="-90"/>
        <w:rPr>
          <w:rFonts w:asciiTheme="minorHAnsi" w:hAnsiTheme="minorHAnsi" w:cstheme="minorHAnsi"/>
        </w:rPr>
      </w:pPr>
      <w:r w:rsidRPr="001F44D6">
        <w:rPr>
          <w:rFonts w:asciiTheme="minorHAnsi" w:hAnsiTheme="minorHAnsi" w:cstheme="minorHAnsi"/>
          <w:vertAlign w:val="superscript"/>
        </w:rPr>
        <w:t xml:space="preserve">e </w:t>
      </w:r>
      <w:r w:rsidRPr="001F44D6">
        <w:rPr>
          <w:rFonts w:asciiTheme="minorHAnsi" w:hAnsiTheme="minorHAnsi" w:cstheme="minorHAnsi"/>
        </w:rPr>
        <w:t>Includes widowed, divorced, and separated.</w:t>
      </w:r>
    </w:p>
    <w:p w:rsidR="001F44D6" w:rsidRPr="001F44D6" w:rsidRDefault="001F44D6" w:rsidP="001F44D6">
      <w:pPr>
        <w:pStyle w:val="NoSpacing"/>
        <w:ind w:left="-90"/>
        <w:rPr>
          <w:rFonts w:asciiTheme="minorHAnsi" w:hAnsiTheme="minorHAnsi" w:cstheme="minorHAnsi"/>
        </w:rPr>
      </w:pPr>
      <w:r w:rsidRPr="001F44D6">
        <w:rPr>
          <w:rFonts w:asciiTheme="minorHAnsi" w:hAnsiTheme="minorHAnsi" w:cstheme="minorHAnsi"/>
          <w:vertAlign w:val="superscript"/>
        </w:rPr>
        <w:t xml:space="preserve">f </w:t>
      </w:r>
      <w:r w:rsidRPr="001F44D6">
        <w:rPr>
          <w:rFonts w:asciiTheme="minorHAnsi" w:hAnsiTheme="minorHAnsi" w:cstheme="minorHAnsi"/>
        </w:rPr>
        <w:t>Includes engaged, married, and in a domestic partnership.</w:t>
      </w:r>
    </w:p>
    <w:p w:rsidR="001F44D6" w:rsidRPr="001F44D6" w:rsidRDefault="001F44D6" w:rsidP="001F44D6">
      <w:pPr>
        <w:pStyle w:val="NoSpacing"/>
        <w:ind w:left="-90"/>
        <w:rPr>
          <w:rFonts w:asciiTheme="minorHAnsi" w:hAnsiTheme="minorHAnsi" w:cstheme="minorHAnsi"/>
        </w:rPr>
      </w:pPr>
      <w:r w:rsidRPr="001F44D6">
        <w:rPr>
          <w:rFonts w:asciiTheme="minorHAnsi" w:hAnsiTheme="minorHAnsi" w:cstheme="minorHAnsi"/>
          <w:vertAlign w:val="superscript"/>
        </w:rPr>
        <w:t xml:space="preserve">g </w:t>
      </w:r>
      <w:r w:rsidRPr="001F44D6">
        <w:rPr>
          <w:rFonts w:asciiTheme="minorHAnsi" w:hAnsiTheme="minorHAnsi" w:cstheme="minorHAnsi"/>
        </w:rPr>
        <w:t>Defined as not living with a parent/guardian or significant other.</w:t>
      </w:r>
    </w:p>
    <w:p w:rsidR="001F44D6" w:rsidRDefault="001F44D6" w:rsidP="001F44D6">
      <w:pPr>
        <w:pStyle w:val="NoSpacing"/>
        <w:ind w:hanging="90"/>
        <w:rPr>
          <w:rFonts w:asciiTheme="minorHAnsi" w:hAnsiTheme="minorHAnsi" w:cstheme="minorHAnsi"/>
        </w:rPr>
      </w:pPr>
      <w:r w:rsidRPr="001F44D6">
        <w:rPr>
          <w:rFonts w:asciiTheme="minorHAnsi" w:hAnsiTheme="minorHAnsi" w:cstheme="minorHAnsi"/>
          <w:b/>
        </w:rPr>
        <w:br w:type="page"/>
      </w:r>
      <w:r w:rsidRPr="001F44D6">
        <w:rPr>
          <w:rFonts w:asciiTheme="minorHAnsi" w:hAnsiTheme="minorHAnsi" w:cstheme="minorHAnsi"/>
          <w:b/>
        </w:rPr>
        <w:lastRenderedPageBreak/>
        <w:t>Table 2</w:t>
      </w:r>
      <w:r w:rsidR="00F01CDE">
        <w:rPr>
          <w:rFonts w:asciiTheme="minorHAnsi" w:hAnsiTheme="minorHAnsi" w:cstheme="minorHAnsi"/>
          <w:b/>
        </w:rPr>
        <w:t xml:space="preserve">. </w:t>
      </w:r>
      <w:r w:rsidRPr="001F44D6">
        <w:rPr>
          <w:rFonts w:asciiTheme="minorHAnsi" w:hAnsiTheme="minorHAnsi" w:cstheme="minorHAnsi"/>
        </w:rPr>
        <w:t>Whole Sample Characteristics and Bivariable Associations between Social Media Use, Sociodemographic Characteristics, and</w:t>
      </w:r>
      <w:r>
        <w:rPr>
          <w:rFonts w:asciiTheme="minorHAnsi" w:hAnsiTheme="minorHAnsi" w:cstheme="minorHAnsi"/>
        </w:rPr>
        <w:t xml:space="preserve"> Anxiety</w:t>
      </w:r>
    </w:p>
    <w:p w:rsidR="001F44D6" w:rsidRPr="001F44D6" w:rsidRDefault="001F44D6" w:rsidP="001F44D6">
      <w:pPr>
        <w:pStyle w:val="NoSpacing"/>
        <w:ind w:hanging="9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440"/>
        <w:gridCol w:w="1922"/>
        <w:gridCol w:w="1894"/>
        <w:gridCol w:w="1908"/>
        <w:gridCol w:w="1894"/>
        <w:gridCol w:w="1902"/>
      </w:tblGrid>
      <w:tr w:rsidR="001F44D6" w:rsidRPr="001F44D6" w:rsidTr="001F44D6">
        <w:trPr>
          <w:trHeight w:val="547"/>
        </w:trPr>
        <w:tc>
          <w:tcPr>
            <w:tcW w:w="3489" w:type="dxa"/>
            <w:vMerge w:val="restart"/>
            <w:tcBorders>
              <w:left w:val="nil"/>
              <w:bottom w:val="single" w:sz="4" w:space="0" w:color="auto"/>
              <w:right w:val="nil"/>
            </w:tcBorders>
            <w:shd w:val="clear" w:color="auto" w:fill="auto"/>
            <w:vAlign w:val="center"/>
          </w:tcPr>
          <w:p w:rsidR="001F44D6" w:rsidRPr="001F44D6" w:rsidRDefault="001F44D6" w:rsidP="001F44D6">
            <w:pPr>
              <w:jc w:val="center"/>
              <w:rPr>
                <w:rFonts w:asciiTheme="minorHAnsi" w:hAnsiTheme="minorHAnsi" w:cstheme="minorHAnsi"/>
                <w:b/>
              </w:rPr>
            </w:pPr>
            <w:r w:rsidRPr="001F44D6">
              <w:rPr>
                <w:rFonts w:asciiTheme="minorHAnsi" w:hAnsiTheme="minorHAnsi" w:cstheme="minorHAnsi"/>
                <w:b/>
              </w:rPr>
              <w:t>Independent Variables</w:t>
            </w:r>
          </w:p>
        </w:tc>
        <w:tc>
          <w:tcPr>
            <w:tcW w:w="1937" w:type="dxa"/>
            <w:vMerge w:val="restart"/>
            <w:tcBorders>
              <w:left w:val="nil"/>
              <w:bottom w:val="single" w:sz="4" w:space="0" w:color="auto"/>
              <w:right w:val="nil"/>
            </w:tcBorders>
            <w:shd w:val="clear" w:color="auto" w:fill="auto"/>
            <w:vAlign w:val="center"/>
          </w:tcPr>
          <w:p w:rsidR="001F44D6" w:rsidRPr="001F44D6" w:rsidRDefault="001F44D6" w:rsidP="001F44D6">
            <w:pPr>
              <w:jc w:val="center"/>
              <w:rPr>
                <w:rFonts w:asciiTheme="minorHAnsi" w:hAnsiTheme="minorHAnsi" w:cstheme="minorHAnsi"/>
                <w:b/>
              </w:rPr>
            </w:pPr>
            <w:r w:rsidRPr="001F44D6">
              <w:rPr>
                <w:rFonts w:asciiTheme="minorHAnsi" w:hAnsiTheme="minorHAnsi" w:cstheme="minorHAnsi"/>
                <w:b/>
              </w:rPr>
              <w:t>Whole Sample</w:t>
            </w:r>
          </w:p>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(N = 1,768)</w:t>
            </w:r>
          </w:p>
        </w:tc>
        <w:tc>
          <w:tcPr>
            <w:tcW w:w="5812" w:type="dxa"/>
            <w:gridSpan w:val="3"/>
            <w:tcBorders>
              <w:left w:val="nil"/>
              <w:bottom w:val="nil"/>
              <w:right w:val="nil"/>
            </w:tcBorders>
            <w:shd w:val="clear" w:color="auto" w:fill="auto"/>
            <w:vAlign w:val="center"/>
          </w:tcPr>
          <w:p w:rsidR="001F44D6" w:rsidRPr="001F44D6" w:rsidRDefault="001F44D6" w:rsidP="001F44D6">
            <w:pPr>
              <w:jc w:val="center"/>
              <w:rPr>
                <w:rFonts w:asciiTheme="minorHAnsi" w:hAnsiTheme="minorHAnsi" w:cstheme="minorHAnsi"/>
                <w:b/>
              </w:rPr>
            </w:pPr>
            <w:r w:rsidRPr="001F44D6">
              <w:rPr>
                <w:rFonts w:asciiTheme="minorHAnsi" w:hAnsiTheme="minorHAnsi" w:cstheme="minorHAnsi"/>
                <w:b/>
              </w:rPr>
              <w:t>Anxiety</w:t>
            </w:r>
          </w:p>
        </w:tc>
        <w:tc>
          <w:tcPr>
            <w:tcW w:w="1938" w:type="dxa"/>
            <w:vMerge w:val="restart"/>
            <w:tcBorders>
              <w:left w:val="nil"/>
              <w:right w:val="nil"/>
            </w:tcBorders>
            <w:shd w:val="clear" w:color="auto" w:fill="auto"/>
            <w:vAlign w:val="center"/>
          </w:tcPr>
          <w:p w:rsidR="001F44D6" w:rsidRPr="001F44D6" w:rsidRDefault="00F01CDE" w:rsidP="001F44D6">
            <w:pPr>
              <w:jc w:val="center"/>
              <w:rPr>
                <w:rFonts w:asciiTheme="minorHAnsi" w:hAnsiTheme="minorHAnsi" w:cstheme="minorHAnsi"/>
                <w:b/>
              </w:rPr>
            </w:pPr>
            <w:r>
              <w:rPr>
                <w:rFonts w:asciiTheme="minorHAnsi" w:hAnsiTheme="minorHAnsi" w:cstheme="minorHAnsi"/>
                <w:b/>
              </w:rPr>
              <w:t>p</w:t>
            </w:r>
            <w:r w:rsidR="001F44D6" w:rsidRPr="001F44D6">
              <w:rPr>
                <w:rFonts w:asciiTheme="minorHAnsi" w:hAnsiTheme="minorHAnsi" w:cstheme="minorHAnsi"/>
                <w:b/>
              </w:rPr>
              <w:t xml:space="preserve"> </w:t>
            </w:r>
          </w:p>
          <w:p w:rsidR="001F44D6" w:rsidRPr="001F44D6" w:rsidRDefault="001F44D6" w:rsidP="001F44D6">
            <w:pPr>
              <w:jc w:val="center"/>
              <w:rPr>
                <w:rFonts w:asciiTheme="minorHAnsi" w:hAnsiTheme="minorHAnsi" w:cstheme="minorHAnsi"/>
                <w:vertAlign w:val="superscript"/>
              </w:rPr>
            </w:pPr>
            <w:r w:rsidRPr="001F44D6">
              <w:rPr>
                <w:rFonts w:asciiTheme="minorHAnsi" w:hAnsiTheme="minorHAnsi" w:cstheme="minorHAnsi"/>
                <w:b/>
              </w:rPr>
              <w:t>Value</w:t>
            </w:r>
            <w:r w:rsidRPr="001F44D6">
              <w:rPr>
                <w:rFonts w:asciiTheme="minorHAnsi" w:hAnsiTheme="minorHAnsi" w:cstheme="minorHAnsi"/>
                <w:b/>
                <w:vertAlign w:val="superscript"/>
              </w:rPr>
              <w:t>a</w:t>
            </w:r>
          </w:p>
        </w:tc>
      </w:tr>
      <w:tr w:rsidR="001F44D6" w:rsidRPr="001F44D6" w:rsidTr="001F44D6">
        <w:trPr>
          <w:trHeight w:val="422"/>
        </w:trPr>
        <w:tc>
          <w:tcPr>
            <w:tcW w:w="3489" w:type="dxa"/>
            <w:vMerge/>
            <w:tcBorders>
              <w:top w:val="nil"/>
              <w:left w:val="nil"/>
              <w:bottom w:val="single" w:sz="4" w:space="0" w:color="auto"/>
              <w:right w:val="nil"/>
            </w:tcBorders>
            <w:shd w:val="clear" w:color="auto" w:fill="auto"/>
          </w:tcPr>
          <w:p w:rsidR="001F44D6" w:rsidRPr="001F44D6" w:rsidRDefault="001F44D6" w:rsidP="001F44D6">
            <w:pPr>
              <w:rPr>
                <w:rFonts w:asciiTheme="minorHAnsi" w:hAnsiTheme="minorHAnsi" w:cstheme="minorHAnsi"/>
              </w:rPr>
            </w:pPr>
          </w:p>
        </w:tc>
        <w:tc>
          <w:tcPr>
            <w:tcW w:w="1937" w:type="dxa"/>
            <w:vMerge/>
            <w:tcBorders>
              <w:top w:val="nil"/>
              <w:left w:val="nil"/>
              <w:bottom w:val="single" w:sz="4" w:space="0" w:color="auto"/>
              <w:right w:val="nil"/>
            </w:tcBorders>
            <w:shd w:val="clear" w:color="auto" w:fill="auto"/>
          </w:tcPr>
          <w:p w:rsidR="001F44D6" w:rsidRPr="001F44D6" w:rsidRDefault="001F44D6" w:rsidP="001F44D6">
            <w:pPr>
              <w:jc w:val="center"/>
              <w:rPr>
                <w:rFonts w:asciiTheme="minorHAnsi" w:hAnsiTheme="minorHAnsi" w:cstheme="minorHAnsi"/>
              </w:rPr>
            </w:pPr>
          </w:p>
        </w:tc>
        <w:tc>
          <w:tcPr>
            <w:tcW w:w="1937" w:type="dxa"/>
            <w:tcBorders>
              <w:top w:val="nil"/>
              <w:left w:val="nil"/>
              <w:right w:val="nil"/>
            </w:tcBorders>
            <w:shd w:val="clear" w:color="auto" w:fill="auto"/>
            <w:vAlign w:val="center"/>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 xml:space="preserve">Low </w:t>
            </w:r>
          </w:p>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(n = 597)</w:t>
            </w:r>
          </w:p>
        </w:tc>
        <w:tc>
          <w:tcPr>
            <w:tcW w:w="1938" w:type="dxa"/>
            <w:tcBorders>
              <w:top w:val="nil"/>
              <w:left w:val="nil"/>
              <w:right w:val="nil"/>
            </w:tcBorders>
            <w:shd w:val="clear" w:color="auto" w:fill="auto"/>
            <w:vAlign w:val="center"/>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 xml:space="preserve">Medium </w:t>
            </w:r>
          </w:p>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(n = 634)</w:t>
            </w:r>
          </w:p>
        </w:tc>
        <w:tc>
          <w:tcPr>
            <w:tcW w:w="1937" w:type="dxa"/>
            <w:tcBorders>
              <w:top w:val="nil"/>
              <w:left w:val="nil"/>
              <w:right w:val="nil"/>
            </w:tcBorders>
            <w:shd w:val="clear" w:color="auto" w:fill="auto"/>
            <w:vAlign w:val="center"/>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 xml:space="preserve">High </w:t>
            </w:r>
          </w:p>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(n = 537)</w:t>
            </w:r>
          </w:p>
        </w:tc>
        <w:tc>
          <w:tcPr>
            <w:tcW w:w="1938" w:type="dxa"/>
            <w:vMerge/>
            <w:tcBorders>
              <w:left w:val="nil"/>
              <w:right w:val="nil"/>
            </w:tcBorders>
            <w:shd w:val="clear" w:color="auto" w:fill="auto"/>
          </w:tcPr>
          <w:p w:rsidR="001F44D6" w:rsidRPr="001F44D6" w:rsidRDefault="001F44D6" w:rsidP="001F44D6">
            <w:pPr>
              <w:jc w:val="center"/>
              <w:rPr>
                <w:rFonts w:asciiTheme="minorHAnsi" w:hAnsiTheme="minorHAnsi" w:cstheme="minorHAnsi"/>
                <w:i/>
              </w:rPr>
            </w:pPr>
          </w:p>
        </w:tc>
      </w:tr>
      <w:tr w:rsidR="001F44D6" w:rsidRPr="001F44D6" w:rsidTr="001F44D6">
        <w:trPr>
          <w:trHeight w:val="547"/>
        </w:trPr>
        <w:tc>
          <w:tcPr>
            <w:tcW w:w="3489" w:type="dxa"/>
            <w:tcBorders>
              <w:top w:val="single" w:sz="4" w:space="0" w:color="auto"/>
              <w:left w:val="nil"/>
              <w:bottom w:val="nil"/>
              <w:right w:val="nil"/>
            </w:tcBorders>
            <w:shd w:val="clear" w:color="auto" w:fill="auto"/>
            <w:vAlign w:val="center"/>
          </w:tcPr>
          <w:p w:rsidR="001F44D6" w:rsidRPr="001F44D6" w:rsidRDefault="001F44D6" w:rsidP="001F44D6">
            <w:pPr>
              <w:ind w:firstLine="540"/>
              <w:rPr>
                <w:rFonts w:asciiTheme="minorHAnsi" w:hAnsiTheme="minorHAnsi" w:cstheme="minorHAnsi"/>
              </w:rPr>
            </w:pPr>
            <w:r w:rsidRPr="001F44D6">
              <w:rPr>
                <w:rFonts w:asciiTheme="minorHAnsi" w:hAnsiTheme="minorHAnsi" w:cstheme="minorHAnsi"/>
                <w:b/>
              </w:rPr>
              <w:t xml:space="preserve">Social Media Use </w:t>
            </w:r>
          </w:p>
        </w:tc>
        <w:tc>
          <w:tcPr>
            <w:tcW w:w="1937" w:type="dxa"/>
            <w:tcBorders>
              <w:top w:val="single" w:sz="4" w:space="0" w:color="auto"/>
              <w:left w:val="nil"/>
              <w:bottom w:val="nil"/>
              <w:right w:val="nil"/>
            </w:tcBorders>
            <w:shd w:val="clear" w:color="auto" w:fill="auto"/>
            <w:vAlign w:val="center"/>
          </w:tcPr>
          <w:p w:rsidR="001F44D6" w:rsidRPr="001F44D6" w:rsidRDefault="001F44D6" w:rsidP="001F44D6">
            <w:pPr>
              <w:jc w:val="center"/>
              <w:rPr>
                <w:rFonts w:asciiTheme="minorHAnsi" w:hAnsiTheme="minorHAnsi" w:cstheme="minorHAnsi"/>
                <w:vertAlign w:val="superscript"/>
              </w:rPr>
            </w:pPr>
            <w:r w:rsidRPr="001F44D6">
              <w:rPr>
                <w:rFonts w:asciiTheme="minorHAnsi" w:hAnsiTheme="minorHAnsi" w:cstheme="minorHAnsi"/>
              </w:rPr>
              <w:t>Column %</w:t>
            </w:r>
            <w:r w:rsidRPr="001F44D6">
              <w:rPr>
                <w:rFonts w:asciiTheme="minorHAnsi" w:hAnsiTheme="minorHAnsi" w:cstheme="minorHAnsi"/>
                <w:vertAlign w:val="superscript"/>
              </w:rPr>
              <w:t>b</w:t>
            </w:r>
          </w:p>
          <w:p w:rsidR="001F44D6" w:rsidRPr="001F44D6" w:rsidRDefault="001F44D6" w:rsidP="001F44D6">
            <w:pPr>
              <w:jc w:val="center"/>
              <w:rPr>
                <w:rFonts w:asciiTheme="minorHAnsi" w:hAnsiTheme="minorHAnsi" w:cstheme="minorHAnsi"/>
                <w:vertAlign w:val="superscript"/>
              </w:rPr>
            </w:pPr>
            <w:r w:rsidRPr="001F44D6">
              <w:rPr>
                <w:rFonts w:asciiTheme="minorHAnsi" w:hAnsiTheme="minorHAnsi" w:cstheme="minorHAnsi"/>
              </w:rPr>
              <w:t>(Unweighted %)</w:t>
            </w:r>
          </w:p>
        </w:tc>
        <w:tc>
          <w:tcPr>
            <w:tcW w:w="5812" w:type="dxa"/>
            <w:gridSpan w:val="3"/>
            <w:tcBorders>
              <w:left w:val="nil"/>
              <w:bottom w:val="nil"/>
              <w:right w:val="nil"/>
            </w:tcBorders>
            <w:shd w:val="clear" w:color="auto" w:fill="auto"/>
            <w:vAlign w:val="center"/>
          </w:tcPr>
          <w:p w:rsidR="001F44D6" w:rsidRPr="001F44D6" w:rsidRDefault="001F44D6" w:rsidP="001F44D6">
            <w:pPr>
              <w:jc w:val="center"/>
              <w:rPr>
                <w:rFonts w:asciiTheme="minorHAnsi" w:hAnsiTheme="minorHAnsi" w:cstheme="minorHAnsi"/>
                <w:vertAlign w:val="superscript"/>
              </w:rPr>
            </w:pPr>
            <w:r w:rsidRPr="001F44D6">
              <w:rPr>
                <w:rFonts w:asciiTheme="minorHAnsi" w:hAnsiTheme="minorHAnsi" w:cstheme="minorHAnsi"/>
              </w:rPr>
              <w:t>Column %</w:t>
            </w:r>
            <w:r w:rsidRPr="001F44D6">
              <w:rPr>
                <w:rFonts w:asciiTheme="minorHAnsi" w:hAnsiTheme="minorHAnsi" w:cstheme="minorHAnsi"/>
                <w:vertAlign w:val="superscript"/>
              </w:rPr>
              <w:t>b</w:t>
            </w:r>
          </w:p>
        </w:tc>
        <w:tc>
          <w:tcPr>
            <w:tcW w:w="1938" w:type="dxa"/>
            <w:vMerge/>
            <w:tcBorders>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Number of Sites</w:t>
            </w:r>
            <w:r w:rsidRPr="001F44D6">
              <w:rPr>
                <w:rFonts w:asciiTheme="minorHAnsi" w:hAnsiTheme="minorHAnsi" w:cstheme="minorHAnsi"/>
                <w:vertAlign w:val="superscript"/>
              </w:rPr>
              <w:t>c</w:t>
            </w:r>
            <w:r w:rsidRPr="001F44D6">
              <w:rPr>
                <w:rFonts w:asciiTheme="minorHAnsi" w:hAnsiTheme="minorHAnsi" w:cstheme="minorHAnsi"/>
              </w:rPr>
              <w:t xml:space="preserve"> </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&lt;0.001</w:t>
            </w: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Q1 (0-2)</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30.4 (26.4)</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40.3</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23.7</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24.9</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Q2 (3-4)</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32.3 (33.4)</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32.5</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34.0</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30.2</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Q3 (5- 6)</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21.3 (23.0)</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18.6</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25.0</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20.6</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Q4 (7-11)</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16.0 (17.3)</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8.6</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17.3</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24.3</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 xml:space="preserve">Total Minutes Per Day </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0.001</w:t>
            </w: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Q1 (0-30)</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29.8 (29.0)</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36.9</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26.8</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23.6</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Q2 (31-60)</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20.8 (20.9)</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24.0</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17.9</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20.0</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Q3 (61-120)</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24.0 (24.2)</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20.3</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27.2</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25.1</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Q4 (121 and above)</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25.5 (25.9)</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18.8</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28.2</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31.3</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vAlign w:val="center"/>
          </w:tcPr>
          <w:p w:rsidR="001F44D6" w:rsidRPr="001F44D6" w:rsidRDefault="001F44D6" w:rsidP="001F44D6">
            <w:pPr>
              <w:jc w:val="center"/>
              <w:rPr>
                <w:rFonts w:asciiTheme="minorHAnsi" w:hAnsiTheme="minorHAnsi" w:cstheme="minorHAnsi"/>
                <w:b/>
              </w:rPr>
            </w:pPr>
            <w:r w:rsidRPr="001F44D6">
              <w:rPr>
                <w:rFonts w:asciiTheme="minorHAnsi" w:hAnsiTheme="minorHAnsi" w:cstheme="minorHAnsi"/>
                <w:b/>
              </w:rPr>
              <w:t xml:space="preserve">Sociodemographic </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Age, y</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0.05</w:t>
            </w: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19-23</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33.6 (28.6)</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30.5</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40.1</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30.4</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24-26</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24.5 (36.4)</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23.0</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24.1</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27.2</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27 and above</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41.8 (35.0)</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46.5</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35.9</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42.4</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rPr>
          <w:trHeight w:val="242"/>
        </w:trPr>
        <w:tc>
          <w:tcPr>
            <w:tcW w:w="3489" w:type="dxa"/>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Sex</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8" w:type="dxa"/>
            <w:tcBorders>
              <w:top w:val="nil"/>
              <w:left w:val="nil"/>
              <w:bottom w:val="nil"/>
              <w:right w:val="nil"/>
            </w:tcBorders>
            <w:shd w:val="clear" w:color="auto" w:fill="auto"/>
          </w:tcPr>
          <w:p w:rsidR="001F44D6" w:rsidRPr="001F44D6" w:rsidRDefault="00403BE5" w:rsidP="001F44D6">
            <w:pPr>
              <w:jc w:val="center"/>
              <w:rPr>
                <w:rFonts w:asciiTheme="minorHAnsi" w:hAnsiTheme="minorHAnsi" w:cstheme="minorHAnsi"/>
              </w:rPr>
            </w:pPr>
            <w:r>
              <w:rPr>
                <w:rFonts w:asciiTheme="minorHAnsi" w:hAnsiTheme="minorHAnsi" w:cstheme="minorHAnsi"/>
              </w:rPr>
              <w:t>0</w:t>
            </w:r>
            <w:r w:rsidR="001F44D6" w:rsidRPr="001F44D6">
              <w:rPr>
                <w:rFonts w:asciiTheme="minorHAnsi" w:hAnsiTheme="minorHAnsi" w:cstheme="minorHAnsi"/>
              </w:rPr>
              <w:t>.001</w:t>
            </w: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Female</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50.1 (61.8)</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41.5</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54.9</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56.0</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Male</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49.9 (38.2)</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58.5</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45.1</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49.9</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keepNext/>
              <w:rPr>
                <w:rFonts w:asciiTheme="minorHAnsi" w:hAnsiTheme="minorHAnsi" w:cstheme="minorHAnsi"/>
              </w:rPr>
            </w:pPr>
            <w:r w:rsidRPr="001F44D6">
              <w:rPr>
                <w:rFonts w:asciiTheme="minorHAnsi" w:hAnsiTheme="minorHAnsi" w:cstheme="minorHAnsi"/>
              </w:rPr>
              <w:lastRenderedPageBreak/>
              <w:t>Race</w:t>
            </w:r>
          </w:p>
        </w:tc>
        <w:tc>
          <w:tcPr>
            <w:tcW w:w="1937" w:type="dxa"/>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p>
        </w:tc>
        <w:tc>
          <w:tcPr>
            <w:tcW w:w="1937" w:type="dxa"/>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p>
        </w:tc>
        <w:tc>
          <w:tcPr>
            <w:tcW w:w="1938" w:type="dxa"/>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p>
        </w:tc>
        <w:tc>
          <w:tcPr>
            <w:tcW w:w="1937" w:type="dxa"/>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p>
        </w:tc>
        <w:tc>
          <w:tcPr>
            <w:tcW w:w="1938" w:type="dxa"/>
            <w:tcBorders>
              <w:top w:val="nil"/>
              <w:left w:val="nil"/>
              <w:bottom w:val="nil"/>
              <w:right w:val="nil"/>
            </w:tcBorders>
            <w:shd w:val="clear" w:color="auto" w:fill="auto"/>
          </w:tcPr>
          <w:p w:rsidR="001F44D6" w:rsidRPr="001F44D6" w:rsidRDefault="00403BE5" w:rsidP="001F44D6">
            <w:pPr>
              <w:keepNext/>
              <w:jc w:val="center"/>
              <w:rPr>
                <w:rFonts w:asciiTheme="minorHAnsi" w:hAnsiTheme="minorHAnsi" w:cstheme="minorHAnsi"/>
              </w:rPr>
            </w:pPr>
            <w:r>
              <w:rPr>
                <w:rFonts w:asciiTheme="minorHAnsi" w:hAnsiTheme="minorHAnsi" w:cstheme="minorHAnsi"/>
              </w:rPr>
              <w:t>0</w:t>
            </w:r>
            <w:r w:rsidR="001F44D6" w:rsidRPr="001F44D6">
              <w:rPr>
                <w:rFonts w:asciiTheme="minorHAnsi" w:hAnsiTheme="minorHAnsi" w:cstheme="minorHAnsi"/>
              </w:rPr>
              <w:t>.04</w:t>
            </w: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keepNext/>
              <w:ind w:firstLine="180"/>
              <w:rPr>
                <w:rFonts w:asciiTheme="minorHAnsi" w:hAnsiTheme="minorHAnsi" w:cstheme="minorHAnsi"/>
              </w:rPr>
            </w:pPr>
            <w:r w:rsidRPr="001F44D6">
              <w:rPr>
                <w:rFonts w:asciiTheme="minorHAnsi" w:hAnsiTheme="minorHAnsi" w:cstheme="minorHAnsi"/>
              </w:rPr>
              <w:t xml:space="preserve">White, non-Hispanic </w:t>
            </w:r>
          </w:p>
        </w:tc>
        <w:tc>
          <w:tcPr>
            <w:tcW w:w="1937" w:type="dxa"/>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57.4 (64.3)</w:t>
            </w:r>
          </w:p>
        </w:tc>
        <w:tc>
          <w:tcPr>
            <w:tcW w:w="1937" w:type="dxa"/>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59.6</w:t>
            </w:r>
          </w:p>
        </w:tc>
        <w:tc>
          <w:tcPr>
            <w:tcW w:w="1938" w:type="dxa"/>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60.5</w:t>
            </w:r>
          </w:p>
        </w:tc>
        <w:tc>
          <w:tcPr>
            <w:tcW w:w="1937" w:type="dxa"/>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50.9</w:t>
            </w:r>
          </w:p>
        </w:tc>
        <w:tc>
          <w:tcPr>
            <w:tcW w:w="1938" w:type="dxa"/>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keepNext/>
              <w:ind w:firstLine="180"/>
              <w:rPr>
                <w:rFonts w:asciiTheme="minorHAnsi" w:hAnsiTheme="minorHAnsi" w:cstheme="minorHAnsi"/>
              </w:rPr>
            </w:pPr>
            <w:r w:rsidRPr="001F44D6">
              <w:rPr>
                <w:rFonts w:asciiTheme="minorHAnsi" w:hAnsiTheme="minorHAnsi" w:cstheme="minorHAnsi"/>
              </w:rPr>
              <w:t>Black, non-Hispanic</w:t>
            </w:r>
          </w:p>
        </w:tc>
        <w:tc>
          <w:tcPr>
            <w:tcW w:w="1937" w:type="dxa"/>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13.1 (10.1)</w:t>
            </w:r>
          </w:p>
        </w:tc>
        <w:tc>
          <w:tcPr>
            <w:tcW w:w="1937" w:type="dxa"/>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14.7</w:t>
            </w:r>
          </w:p>
        </w:tc>
        <w:tc>
          <w:tcPr>
            <w:tcW w:w="1938" w:type="dxa"/>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12.8</w:t>
            </w:r>
          </w:p>
        </w:tc>
        <w:tc>
          <w:tcPr>
            <w:tcW w:w="1937" w:type="dxa"/>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11.3</w:t>
            </w:r>
          </w:p>
        </w:tc>
        <w:tc>
          <w:tcPr>
            <w:tcW w:w="1938" w:type="dxa"/>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keepNext/>
              <w:ind w:firstLine="180"/>
              <w:rPr>
                <w:rFonts w:asciiTheme="minorHAnsi" w:hAnsiTheme="minorHAnsi" w:cstheme="minorHAnsi"/>
              </w:rPr>
            </w:pPr>
            <w:r w:rsidRPr="001F44D6">
              <w:rPr>
                <w:rFonts w:asciiTheme="minorHAnsi" w:hAnsiTheme="minorHAnsi" w:cstheme="minorHAnsi"/>
              </w:rPr>
              <w:t>Hispanic</w:t>
            </w:r>
          </w:p>
        </w:tc>
        <w:tc>
          <w:tcPr>
            <w:tcW w:w="1937" w:type="dxa"/>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20.6 (16.5)</w:t>
            </w:r>
          </w:p>
        </w:tc>
        <w:tc>
          <w:tcPr>
            <w:tcW w:w="1937" w:type="dxa"/>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20.4</w:t>
            </w:r>
          </w:p>
        </w:tc>
        <w:tc>
          <w:tcPr>
            <w:tcW w:w="1938" w:type="dxa"/>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17.7</w:t>
            </w:r>
          </w:p>
        </w:tc>
        <w:tc>
          <w:tcPr>
            <w:tcW w:w="1937" w:type="dxa"/>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24.3</w:t>
            </w:r>
          </w:p>
        </w:tc>
        <w:tc>
          <w:tcPr>
            <w:tcW w:w="1938" w:type="dxa"/>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keepNext/>
              <w:ind w:left="180"/>
              <w:rPr>
                <w:rFonts w:asciiTheme="minorHAnsi" w:hAnsiTheme="minorHAnsi" w:cstheme="minorHAnsi"/>
                <w:vertAlign w:val="superscript"/>
              </w:rPr>
            </w:pPr>
            <w:r w:rsidRPr="001F44D6">
              <w:rPr>
                <w:rFonts w:asciiTheme="minorHAnsi" w:hAnsiTheme="minorHAnsi" w:cstheme="minorHAnsi"/>
              </w:rPr>
              <w:t>Other</w:t>
            </w:r>
            <w:r w:rsidRPr="001F44D6">
              <w:rPr>
                <w:rFonts w:asciiTheme="minorHAnsi" w:hAnsiTheme="minorHAnsi" w:cstheme="minorHAnsi"/>
                <w:vertAlign w:val="superscript"/>
              </w:rPr>
              <w:t>d</w:t>
            </w:r>
          </w:p>
        </w:tc>
        <w:tc>
          <w:tcPr>
            <w:tcW w:w="1937" w:type="dxa"/>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8.9 (9.2)</w:t>
            </w:r>
          </w:p>
        </w:tc>
        <w:tc>
          <w:tcPr>
            <w:tcW w:w="1937" w:type="dxa"/>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5.3</w:t>
            </w:r>
          </w:p>
        </w:tc>
        <w:tc>
          <w:tcPr>
            <w:tcW w:w="1938" w:type="dxa"/>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9.1</w:t>
            </w:r>
          </w:p>
        </w:tc>
        <w:tc>
          <w:tcPr>
            <w:tcW w:w="1937" w:type="dxa"/>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r w:rsidRPr="001F44D6">
              <w:rPr>
                <w:rFonts w:asciiTheme="minorHAnsi" w:hAnsiTheme="minorHAnsi" w:cstheme="minorHAnsi"/>
              </w:rPr>
              <w:t>13.5</w:t>
            </w:r>
          </w:p>
        </w:tc>
        <w:tc>
          <w:tcPr>
            <w:tcW w:w="1938" w:type="dxa"/>
            <w:tcBorders>
              <w:top w:val="nil"/>
              <w:left w:val="nil"/>
              <w:bottom w:val="nil"/>
              <w:right w:val="nil"/>
            </w:tcBorders>
            <w:shd w:val="clear" w:color="auto" w:fill="auto"/>
          </w:tcPr>
          <w:p w:rsidR="001F44D6" w:rsidRPr="001F44D6" w:rsidRDefault="001F44D6" w:rsidP="001F44D6">
            <w:pPr>
              <w:keepNext/>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Relationship Status</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8" w:type="dxa"/>
            <w:tcBorders>
              <w:top w:val="nil"/>
              <w:left w:val="nil"/>
              <w:bottom w:val="nil"/>
              <w:right w:val="nil"/>
            </w:tcBorders>
            <w:shd w:val="clear" w:color="auto" w:fill="auto"/>
          </w:tcPr>
          <w:p w:rsidR="001F44D6" w:rsidRPr="001F44D6" w:rsidRDefault="00403BE5" w:rsidP="001F44D6">
            <w:pPr>
              <w:jc w:val="center"/>
              <w:rPr>
                <w:rFonts w:asciiTheme="minorHAnsi" w:hAnsiTheme="minorHAnsi" w:cstheme="minorHAnsi"/>
              </w:rPr>
            </w:pPr>
            <w:r>
              <w:rPr>
                <w:rFonts w:asciiTheme="minorHAnsi" w:hAnsiTheme="minorHAnsi" w:cstheme="minorHAnsi"/>
              </w:rPr>
              <w:t>0</w:t>
            </w:r>
            <w:r w:rsidR="001F44D6" w:rsidRPr="001F44D6">
              <w:rPr>
                <w:rFonts w:asciiTheme="minorHAnsi" w:hAnsiTheme="minorHAnsi" w:cstheme="minorHAnsi"/>
              </w:rPr>
              <w:t>.06</w:t>
            </w:r>
          </w:p>
        </w:tc>
      </w:tr>
      <w:tr w:rsidR="001F44D6" w:rsidRPr="001F44D6" w:rsidTr="001F44D6">
        <w:tc>
          <w:tcPr>
            <w:tcW w:w="3489" w:type="dxa"/>
            <w:tcBorders>
              <w:top w:val="nil"/>
              <w:left w:val="nil"/>
              <w:bottom w:val="nil"/>
              <w:right w:val="nil"/>
            </w:tcBorders>
            <w:shd w:val="clear" w:color="auto" w:fill="auto"/>
            <w:vAlign w:val="bottom"/>
          </w:tcPr>
          <w:p w:rsidR="001F44D6" w:rsidRPr="001F44D6" w:rsidRDefault="001F44D6" w:rsidP="001F44D6">
            <w:pPr>
              <w:ind w:firstLine="180"/>
              <w:rPr>
                <w:rFonts w:asciiTheme="minorHAnsi" w:hAnsiTheme="minorHAnsi" w:cstheme="minorHAnsi"/>
                <w:vertAlign w:val="superscript"/>
              </w:rPr>
            </w:pPr>
            <w:r w:rsidRPr="001F44D6">
              <w:rPr>
                <w:rFonts w:asciiTheme="minorHAnsi" w:hAnsiTheme="minorHAnsi" w:cstheme="minorHAnsi"/>
              </w:rPr>
              <w:t>Single</w:t>
            </w:r>
            <w:r w:rsidRPr="001F44D6">
              <w:rPr>
                <w:rFonts w:asciiTheme="minorHAnsi" w:hAnsiTheme="minorHAnsi" w:cstheme="minorHAnsi"/>
                <w:vertAlign w:val="superscript"/>
              </w:rPr>
              <w:t>e</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44.4 (41.5)</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39.4</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45.3</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50.1</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vAlign w:val="bottom"/>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In a committed relationship</w:t>
            </w:r>
            <w:r w:rsidRPr="001F44D6">
              <w:rPr>
                <w:rFonts w:asciiTheme="minorHAnsi" w:hAnsiTheme="minorHAnsi" w:cstheme="minorHAnsi"/>
                <w:vertAlign w:val="superscript"/>
              </w:rPr>
              <w:t>f</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55.6 (58.5)</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60.6</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54.7</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49.9</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Living Situation</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8" w:type="dxa"/>
            <w:tcBorders>
              <w:top w:val="nil"/>
              <w:left w:val="nil"/>
              <w:bottom w:val="nil"/>
              <w:right w:val="nil"/>
            </w:tcBorders>
            <w:shd w:val="clear" w:color="auto" w:fill="auto"/>
          </w:tcPr>
          <w:p w:rsidR="001F44D6" w:rsidRPr="001F44D6" w:rsidRDefault="00403BE5" w:rsidP="001F44D6">
            <w:pPr>
              <w:jc w:val="center"/>
              <w:rPr>
                <w:rFonts w:asciiTheme="minorHAnsi" w:hAnsiTheme="minorHAnsi" w:cstheme="minorHAnsi"/>
              </w:rPr>
            </w:pPr>
            <w:r>
              <w:rPr>
                <w:rFonts w:asciiTheme="minorHAnsi" w:hAnsiTheme="minorHAnsi" w:cstheme="minorHAnsi"/>
              </w:rPr>
              <w:t>0</w:t>
            </w:r>
            <w:r w:rsidR="001F44D6" w:rsidRPr="001F44D6">
              <w:rPr>
                <w:rFonts w:asciiTheme="minorHAnsi" w:hAnsiTheme="minorHAnsi" w:cstheme="minorHAnsi"/>
              </w:rPr>
              <w:t>.07</w:t>
            </w:r>
          </w:p>
        </w:tc>
      </w:tr>
      <w:tr w:rsidR="001F44D6" w:rsidRPr="001F44D6" w:rsidTr="001F44D6">
        <w:tc>
          <w:tcPr>
            <w:tcW w:w="3489" w:type="dxa"/>
            <w:tcBorders>
              <w:top w:val="nil"/>
              <w:left w:val="nil"/>
              <w:bottom w:val="nil"/>
              <w:right w:val="nil"/>
            </w:tcBorders>
            <w:shd w:val="clear" w:color="auto" w:fill="auto"/>
            <w:vAlign w:val="bottom"/>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Parent/Guardian</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33.9 (28.1)</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32.0</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31.6</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39.1</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vAlign w:val="bottom"/>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Significant other</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35.5 (40.6)</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40.7</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33.3</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31.0</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vAlign w:val="bottom"/>
          </w:tcPr>
          <w:p w:rsidR="001F44D6" w:rsidRPr="001F44D6" w:rsidRDefault="001F44D6" w:rsidP="001F44D6">
            <w:pPr>
              <w:ind w:firstLine="180"/>
              <w:rPr>
                <w:rFonts w:asciiTheme="minorHAnsi" w:hAnsiTheme="minorHAnsi" w:cstheme="minorHAnsi"/>
                <w:vertAlign w:val="superscript"/>
              </w:rPr>
            </w:pPr>
            <w:r w:rsidRPr="001F44D6">
              <w:rPr>
                <w:rFonts w:asciiTheme="minorHAnsi" w:hAnsiTheme="minorHAnsi" w:cstheme="minorHAnsi"/>
              </w:rPr>
              <w:t>Other</w:t>
            </w:r>
            <w:r w:rsidRPr="001F44D6">
              <w:rPr>
                <w:rFonts w:asciiTheme="minorHAnsi" w:hAnsiTheme="minorHAnsi" w:cstheme="minorHAnsi"/>
                <w:vertAlign w:val="superscript"/>
              </w:rPr>
              <w:t>g</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30.6 (31.3)</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27.3</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35.1</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29.9</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vAlign w:val="bottom"/>
          </w:tcPr>
          <w:p w:rsidR="001F44D6" w:rsidRPr="001F44D6" w:rsidRDefault="001F44D6" w:rsidP="001F44D6">
            <w:pPr>
              <w:rPr>
                <w:rFonts w:asciiTheme="minorHAnsi" w:hAnsiTheme="minorHAnsi" w:cstheme="minorHAnsi"/>
              </w:rPr>
            </w:pPr>
            <w:r w:rsidRPr="001F44D6">
              <w:rPr>
                <w:rFonts w:asciiTheme="minorHAnsi" w:hAnsiTheme="minorHAnsi" w:cstheme="minorHAnsi"/>
              </w:rPr>
              <w:t>Yearly Household Income</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8" w:type="dxa"/>
            <w:tcBorders>
              <w:top w:val="nil"/>
              <w:left w:val="nil"/>
              <w:bottom w:val="nil"/>
              <w:right w:val="nil"/>
            </w:tcBorders>
            <w:shd w:val="clear" w:color="auto" w:fill="auto"/>
          </w:tcPr>
          <w:p w:rsidR="001F44D6" w:rsidRPr="001F44D6" w:rsidRDefault="00403BE5" w:rsidP="001F44D6">
            <w:pPr>
              <w:jc w:val="center"/>
              <w:rPr>
                <w:rFonts w:asciiTheme="minorHAnsi" w:hAnsiTheme="minorHAnsi" w:cstheme="minorHAnsi"/>
              </w:rPr>
            </w:pPr>
            <w:r>
              <w:rPr>
                <w:rFonts w:asciiTheme="minorHAnsi" w:hAnsiTheme="minorHAnsi" w:cstheme="minorHAnsi"/>
              </w:rPr>
              <w:t>0</w:t>
            </w:r>
            <w:r w:rsidR="001F44D6" w:rsidRPr="001F44D6">
              <w:rPr>
                <w:rFonts w:asciiTheme="minorHAnsi" w:hAnsiTheme="minorHAnsi" w:cstheme="minorHAnsi"/>
              </w:rPr>
              <w:t>.06</w:t>
            </w: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Low (under $30,000)</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22.7 (33.2)</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19.3</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21.0</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29.2</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ind w:left="360" w:hanging="180"/>
              <w:rPr>
                <w:rFonts w:asciiTheme="minorHAnsi" w:hAnsiTheme="minorHAnsi" w:cstheme="minorHAnsi"/>
              </w:rPr>
            </w:pPr>
            <w:r w:rsidRPr="001F44D6">
              <w:rPr>
                <w:rFonts w:asciiTheme="minorHAnsi" w:hAnsiTheme="minorHAnsi" w:cstheme="minorHAnsi"/>
              </w:rPr>
              <w:t>Medium ($30,000-$74,999)</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38.5 (37.9)</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38.2</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38.7</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38.5</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High ($75,000 and above)</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38.9 (28.9)</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42.4</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40.3</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32.3</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Education Level</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1938" w:type="dxa"/>
            <w:tcBorders>
              <w:top w:val="nil"/>
              <w:left w:val="nil"/>
              <w:bottom w:val="nil"/>
              <w:right w:val="nil"/>
            </w:tcBorders>
            <w:shd w:val="clear" w:color="auto" w:fill="auto"/>
          </w:tcPr>
          <w:p w:rsidR="001F44D6" w:rsidRPr="001F44D6" w:rsidRDefault="00403BE5" w:rsidP="001F44D6">
            <w:pPr>
              <w:jc w:val="center"/>
              <w:rPr>
                <w:rFonts w:asciiTheme="minorHAnsi" w:hAnsiTheme="minorHAnsi" w:cstheme="minorHAnsi"/>
              </w:rPr>
            </w:pPr>
            <w:r>
              <w:rPr>
                <w:rFonts w:asciiTheme="minorHAnsi" w:hAnsiTheme="minorHAnsi" w:cstheme="minorHAnsi"/>
              </w:rPr>
              <w:t>0</w:t>
            </w:r>
            <w:r w:rsidR="001F44D6" w:rsidRPr="001F44D6">
              <w:rPr>
                <w:rFonts w:asciiTheme="minorHAnsi" w:hAnsiTheme="minorHAnsi" w:cstheme="minorHAnsi"/>
              </w:rPr>
              <w:t>.03</w:t>
            </w: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High school or less</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35.6 (20.4)</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33.6</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31.5</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43.2</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3489" w:type="dxa"/>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Some college</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38.5 (41.5)</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39.7</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38.3</w:t>
            </w:r>
          </w:p>
        </w:tc>
        <w:tc>
          <w:tcPr>
            <w:tcW w:w="1937"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37.0</w:t>
            </w:r>
          </w:p>
        </w:tc>
        <w:tc>
          <w:tcPr>
            <w:tcW w:w="1938" w:type="dxa"/>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3489" w:type="dxa"/>
            <w:tcBorders>
              <w:top w:val="nil"/>
              <w:left w:val="nil"/>
              <w:right w:val="nil"/>
            </w:tcBorders>
            <w:shd w:val="clear" w:color="auto" w:fill="auto"/>
          </w:tcPr>
          <w:p w:rsidR="001F44D6" w:rsidRPr="001F44D6" w:rsidRDefault="001F44D6" w:rsidP="001F44D6">
            <w:pPr>
              <w:ind w:left="360" w:hanging="180"/>
              <w:rPr>
                <w:rFonts w:asciiTheme="minorHAnsi" w:hAnsiTheme="minorHAnsi" w:cstheme="minorHAnsi"/>
              </w:rPr>
            </w:pPr>
            <w:r w:rsidRPr="001F44D6">
              <w:rPr>
                <w:rFonts w:asciiTheme="minorHAnsi" w:hAnsiTheme="minorHAnsi" w:cstheme="minorHAnsi"/>
              </w:rPr>
              <w:t>Bachelor’s degree or higher</w:t>
            </w:r>
          </w:p>
        </w:tc>
        <w:tc>
          <w:tcPr>
            <w:tcW w:w="1937" w:type="dxa"/>
            <w:tcBorders>
              <w:top w:val="nil"/>
              <w:left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25.9 (38.1)</w:t>
            </w:r>
          </w:p>
        </w:tc>
        <w:tc>
          <w:tcPr>
            <w:tcW w:w="1937" w:type="dxa"/>
            <w:tcBorders>
              <w:top w:val="nil"/>
              <w:left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26.7</w:t>
            </w:r>
          </w:p>
        </w:tc>
        <w:tc>
          <w:tcPr>
            <w:tcW w:w="1938" w:type="dxa"/>
            <w:tcBorders>
              <w:top w:val="nil"/>
              <w:left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30.2</w:t>
            </w:r>
          </w:p>
        </w:tc>
        <w:tc>
          <w:tcPr>
            <w:tcW w:w="1937" w:type="dxa"/>
            <w:tcBorders>
              <w:top w:val="nil"/>
              <w:left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19.8</w:t>
            </w:r>
          </w:p>
        </w:tc>
        <w:tc>
          <w:tcPr>
            <w:tcW w:w="1938" w:type="dxa"/>
            <w:tcBorders>
              <w:top w:val="nil"/>
              <w:left w:val="nil"/>
              <w:right w:val="nil"/>
            </w:tcBorders>
            <w:shd w:val="clear" w:color="auto" w:fill="auto"/>
          </w:tcPr>
          <w:p w:rsidR="001F44D6" w:rsidRPr="001F44D6" w:rsidRDefault="001F44D6" w:rsidP="001F44D6">
            <w:pPr>
              <w:jc w:val="center"/>
              <w:rPr>
                <w:rFonts w:asciiTheme="minorHAnsi" w:hAnsiTheme="minorHAnsi" w:cstheme="minorHAnsi"/>
              </w:rPr>
            </w:pPr>
          </w:p>
        </w:tc>
      </w:tr>
    </w:tbl>
    <w:p w:rsidR="001F44D6" w:rsidRDefault="001F44D6" w:rsidP="001F44D6">
      <w:pPr>
        <w:pStyle w:val="NoSpacing"/>
        <w:ind w:right="-90" w:hanging="90"/>
        <w:rPr>
          <w:rFonts w:asciiTheme="minorHAnsi" w:hAnsiTheme="minorHAnsi" w:cstheme="minorHAnsi"/>
          <w:bCs/>
          <w:vertAlign w:val="superscript"/>
        </w:rPr>
      </w:pPr>
    </w:p>
    <w:p w:rsidR="001F44D6" w:rsidRPr="001F44D6" w:rsidRDefault="001F44D6" w:rsidP="001F44D6">
      <w:pPr>
        <w:pStyle w:val="NoSpacing"/>
        <w:ind w:right="-90" w:hanging="90"/>
        <w:rPr>
          <w:rFonts w:asciiTheme="minorHAnsi" w:hAnsiTheme="minorHAnsi" w:cstheme="minorHAnsi"/>
          <w:bCs/>
        </w:rPr>
      </w:pPr>
      <w:r w:rsidRPr="001F44D6">
        <w:rPr>
          <w:rFonts w:asciiTheme="minorHAnsi" w:hAnsiTheme="minorHAnsi" w:cstheme="minorHAnsi"/>
          <w:bCs/>
          <w:vertAlign w:val="superscript"/>
        </w:rPr>
        <w:t>a</w:t>
      </w:r>
      <w:r w:rsidRPr="001F44D6">
        <w:rPr>
          <w:rFonts w:asciiTheme="minorHAnsi" w:hAnsiTheme="minorHAnsi" w:cstheme="minorHAnsi"/>
          <w:bCs/>
        </w:rPr>
        <w:t xml:space="preserve"> </w:t>
      </w:r>
      <w:r w:rsidRPr="001F44D6">
        <w:rPr>
          <w:rFonts w:asciiTheme="minorHAnsi" w:hAnsiTheme="minorHAnsi" w:cstheme="minorHAnsi"/>
          <w:bCs/>
          <w:i/>
        </w:rPr>
        <w:t>P</w:t>
      </w:r>
      <w:r w:rsidRPr="001F44D6">
        <w:rPr>
          <w:rFonts w:asciiTheme="minorHAnsi" w:hAnsiTheme="minorHAnsi" w:cstheme="minorHAnsi"/>
          <w:bCs/>
        </w:rPr>
        <w:t xml:space="preserve"> value derived using Chi-square analyses comparing proportion of users in each category.</w:t>
      </w:r>
    </w:p>
    <w:p w:rsidR="001F44D6" w:rsidRPr="001F44D6" w:rsidRDefault="001F44D6" w:rsidP="001F44D6">
      <w:pPr>
        <w:pStyle w:val="NoSpacing"/>
        <w:ind w:left="-90"/>
        <w:rPr>
          <w:rFonts w:asciiTheme="minorHAnsi" w:hAnsiTheme="minorHAnsi" w:cstheme="minorHAnsi"/>
        </w:rPr>
      </w:pPr>
      <w:r w:rsidRPr="001F44D6">
        <w:rPr>
          <w:rFonts w:asciiTheme="minorHAnsi" w:hAnsiTheme="minorHAnsi" w:cstheme="minorHAnsi"/>
          <w:vertAlign w:val="superscript"/>
        </w:rPr>
        <w:t xml:space="preserve">b </w:t>
      </w:r>
      <w:r w:rsidRPr="001F44D6">
        <w:rPr>
          <w:rFonts w:asciiTheme="minorHAnsi" w:hAnsiTheme="minorHAnsi" w:cstheme="minorHAnsi"/>
        </w:rPr>
        <w:t>Values may not total 100 due to rounding. Percentages were calculated using survey-specific weights unless otherwise specified.</w:t>
      </w:r>
    </w:p>
    <w:p w:rsidR="001F44D6" w:rsidRPr="001F44D6" w:rsidRDefault="001F44D6" w:rsidP="001F44D6">
      <w:pPr>
        <w:pStyle w:val="NoSpacing"/>
        <w:ind w:left="-90"/>
        <w:rPr>
          <w:rFonts w:asciiTheme="minorHAnsi" w:hAnsiTheme="minorHAnsi" w:cstheme="minorHAnsi"/>
        </w:rPr>
      </w:pPr>
      <w:r w:rsidRPr="001F44D6">
        <w:rPr>
          <w:rFonts w:asciiTheme="minorHAnsi" w:hAnsiTheme="minorHAnsi" w:cstheme="minorHAnsi"/>
          <w:vertAlign w:val="superscript"/>
        </w:rPr>
        <w:t xml:space="preserve">c </w:t>
      </w:r>
      <w:r w:rsidRPr="001F44D6">
        <w:rPr>
          <w:rFonts w:asciiTheme="minorHAnsi" w:hAnsiTheme="minorHAnsi" w:cstheme="minorHAnsi"/>
        </w:rPr>
        <w:t>Includes Facebook, Twitter, Google+, YouTube, LinkedIn, Instagram, Pinterest, Tumblr, Vine, Snapchat, and Reddit.</w:t>
      </w:r>
    </w:p>
    <w:p w:rsidR="001F44D6" w:rsidRPr="001F44D6" w:rsidRDefault="001F44D6" w:rsidP="001F44D6">
      <w:pPr>
        <w:pStyle w:val="NoSpacing"/>
        <w:ind w:left="-90"/>
        <w:rPr>
          <w:rFonts w:asciiTheme="minorHAnsi" w:hAnsiTheme="minorHAnsi" w:cstheme="minorHAnsi"/>
        </w:rPr>
      </w:pPr>
      <w:r w:rsidRPr="001F44D6">
        <w:rPr>
          <w:rFonts w:asciiTheme="minorHAnsi" w:hAnsiTheme="minorHAnsi" w:cstheme="minorHAnsi"/>
          <w:vertAlign w:val="superscript"/>
        </w:rPr>
        <w:t xml:space="preserve">d </w:t>
      </w:r>
      <w:r w:rsidRPr="001F44D6">
        <w:rPr>
          <w:rFonts w:asciiTheme="minorHAnsi" w:hAnsiTheme="minorHAnsi" w:cstheme="minorHAnsi"/>
        </w:rPr>
        <w:t>Includes Multiracial.</w:t>
      </w:r>
    </w:p>
    <w:p w:rsidR="001F44D6" w:rsidRPr="001F44D6" w:rsidRDefault="001F44D6" w:rsidP="001F44D6">
      <w:pPr>
        <w:pStyle w:val="NoSpacing"/>
        <w:ind w:left="-90"/>
        <w:rPr>
          <w:rFonts w:asciiTheme="minorHAnsi" w:hAnsiTheme="minorHAnsi" w:cstheme="minorHAnsi"/>
        </w:rPr>
      </w:pPr>
      <w:r w:rsidRPr="001F44D6">
        <w:rPr>
          <w:rFonts w:asciiTheme="minorHAnsi" w:hAnsiTheme="minorHAnsi" w:cstheme="minorHAnsi"/>
          <w:vertAlign w:val="superscript"/>
        </w:rPr>
        <w:t xml:space="preserve">e </w:t>
      </w:r>
      <w:r w:rsidRPr="001F44D6">
        <w:rPr>
          <w:rFonts w:asciiTheme="minorHAnsi" w:hAnsiTheme="minorHAnsi" w:cstheme="minorHAnsi"/>
        </w:rPr>
        <w:t>Includes widowed, divorced, and separated.</w:t>
      </w:r>
    </w:p>
    <w:p w:rsidR="001F44D6" w:rsidRPr="001F44D6" w:rsidRDefault="001F44D6" w:rsidP="001F44D6">
      <w:pPr>
        <w:pStyle w:val="NoSpacing"/>
        <w:ind w:left="-90"/>
        <w:rPr>
          <w:rFonts w:asciiTheme="minorHAnsi" w:hAnsiTheme="minorHAnsi" w:cstheme="minorHAnsi"/>
        </w:rPr>
      </w:pPr>
      <w:r w:rsidRPr="001F44D6">
        <w:rPr>
          <w:rFonts w:asciiTheme="minorHAnsi" w:hAnsiTheme="minorHAnsi" w:cstheme="minorHAnsi"/>
          <w:vertAlign w:val="superscript"/>
        </w:rPr>
        <w:t xml:space="preserve">f </w:t>
      </w:r>
      <w:r w:rsidRPr="001F44D6">
        <w:rPr>
          <w:rFonts w:asciiTheme="minorHAnsi" w:hAnsiTheme="minorHAnsi" w:cstheme="minorHAnsi"/>
        </w:rPr>
        <w:t>Includes engaged, married, and in a domestic partnership.</w:t>
      </w:r>
    </w:p>
    <w:p w:rsidR="001F44D6" w:rsidRPr="001F44D6" w:rsidRDefault="001F44D6" w:rsidP="001F44D6">
      <w:pPr>
        <w:pStyle w:val="NoSpacing"/>
        <w:ind w:left="-90"/>
        <w:rPr>
          <w:rFonts w:asciiTheme="minorHAnsi" w:hAnsiTheme="minorHAnsi" w:cstheme="minorHAnsi"/>
        </w:rPr>
      </w:pPr>
      <w:r w:rsidRPr="001F44D6">
        <w:rPr>
          <w:rFonts w:asciiTheme="minorHAnsi" w:hAnsiTheme="minorHAnsi" w:cstheme="minorHAnsi"/>
          <w:vertAlign w:val="superscript"/>
        </w:rPr>
        <w:t xml:space="preserve">g </w:t>
      </w:r>
      <w:r w:rsidRPr="001F44D6">
        <w:rPr>
          <w:rFonts w:asciiTheme="minorHAnsi" w:hAnsiTheme="minorHAnsi" w:cstheme="minorHAnsi"/>
        </w:rPr>
        <w:t>Defined as not living with a parent/guardian or significant other.</w:t>
      </w:r>
    </w:p>
    <w:p w:rsidR="001F44D6" w:rsidRDefault="001F44D6" w:rsidP="001F44D6">
      <w:pPr>
        <w:pStyle w:val="NoSpacing"/>
        <w:ind w:left="-90"/>
        <w:rPr>
          <w:rFonts w:asciiTheme="minorHAnsi" w:hAnsiTheme="minorHAnsi" w:cstheme="minorHAnsi"/>
        </w:rPr>
      </w:pPr>
      <w:r w:rsidRPr="001F44D6">
        <w:rPr>
          <w:rFonts w:asciiTheme="minorHAnsi" w:hAnsiTheme="minorHAnsi" w:cstheme="minorHAnsi"/>
          <w:b/>
        </w:rPr>
        <w:br w:type="page"/>
      </w:r>
      <w:r w:rsidR="00F01CDE">
        <w:rPr>
          <w:rFonts w:asciiTheme="minorHAnsi" w:hAnsiTheme="minorHAnsi" w:cstheme="minorHAnsi"/>
          <w:b/>
        </w:rPr>
        <w:lastRenderedPageBreak/>
        <w:t xml:space="preserve">Table 3. </w:t>
      </w:r>
      <w:r w:rsidRPr="001F44D6">
        <w:rPr>
          <w:rFonts w:asciiTheme="minorHAnsi" w:hAnsiTheme="minorHAnsi" w:cstheme="minorHAnsi"/>
        </w:rPr>
        <w:t>Bivariable and Multivariable Associations between Social Media Use, Sociodemographic  Covariates, and Depressive Symptoms</w:t>
      </w:r>
    </w:p>
    <w:p w:rsidR="001F44D6" w:rsidRPr="001F44D6" w:rsidRDefault="001F44D6" w:rsidP="001F44D6">
      <w:pPr>
        <w:pStyle w:val="NoSpacing"/>
        <w:ind w:left="-90"/>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4266"/>
        <w:gridCol w:w="2172"/>
        <w:gridCol w:w="2175"/>
        <w:gridCol w:w="2172"/>
        <w:gridCol w:w="2175"/>
      </w:tblGrid>
      <w:tr w:rsidR="001F44D6" w:rsidRPr="001F44D6" w:rsidTr="001F44D6">
        <w:trPr>
          <w:trHeight w:val="547"/>
        </w:trPr>
        <w:tc>
          <w:tcPr>
            <w:tcW w:w="1646" w:type="pct"/>
            <w:vMerge w:val="restart"/>
            <w:tcBorders>
              <w:left w:val="nil"/>
              <w:right w:val="nil"/>
            </w:tcBorders>
            <w:shd w:val="clear" w:color="auto" w:fill="auto"/>
            <w:vAlign w:val="center"/>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b/>
              </w:rPr>
              <w:t>Social Media Use</w:t>
            </w:r>
          </w:p>
        </w:tc>
        <w:tc>
          <w:tcPr>
            <w:tcW w:w="3354" w:type="pct"/>
            <w:gridSpan w:val="4"/>
            <w:tcBorders>
              <w:left w:val="nil"/>
              <w:right w:val="nil"/>
            </w:tcBorders>
            <w:vAlign w:val="center"/>
          </w:tcPr>
          <w:p w:rsidR="001F44D6" w:rsidRPr="001F44D6" w:rsidRDefault="001F44D6" w:rsidP="001F44D6">
            <w:pPr>
              <w:jc w:val="center"/>
              <w:rPr>
                <w:rFonts w:asciiTheme="minorHAnsi" w:hAnsiTheme="minorHAnsi" w:cstheme="minorHAnsi"/>
                <w:b/>
              </w:rPr>
            </w:pPr>
            <w:r w:rsidRPr="001F44D6">
              <w:rPr>
                <w:rFonts w:asciiTheme="minorHAnsi" w:hAnsiTheme="minorHAnsi" w:cstheme="minorHAnsi"/>
                <w:b/>
              </w:rPr>
              <w:t>Depressive Symptoms</w:t>
            </w:r>
            <w:r w:rsidRPr="001F44D6">
              <w:rPr>
                <w:rFonts w:asciiTheme="minorHAnsi" w:hAnsiTheme="minorHAnsi" w:cstheme="minorHAnsi"/>
                <w:b/>
                <w:vertAlign w:val="superscript"/>
              </w:rPr>
              <w:t>a</w:t>
            </w:r>
          </w:p>
        </w:tc>
      </w:tr>
      <w:tr w:rsidR="001F44D6" w:rsidRPr="001F44D6" w:rsidTr="001F44D6">
        <w:tc>
          <w:tcPr>
            <w:tcW w:w="1646" w:type="pct"/>
            <w:vMerge/>
            <w:tcBorders>
              <w:left w:val="nil"/>
              <w:bottom w:val="single" w:sz="4" w:space="0" w:color="auto"/>
              <w:right w:val="nil"/>
            </w:tcBorders>
            <w:shd w:val="clear" w:color="auto" w:fill="auto"/>
          </w:tcPr>
          <w:p w:rsidR="001F44D6" w:rsidRPr="001F44D6" w:rsidRDefault="001F44D6" w:rsidP="001F44D6">
            <w:pPr>
              <w:rPr>
                <w:rFonts w:asciiTheme="minorHAnsi" w:hAnsiTheme="minorHAnsi" w:cstheme="minorHAnsi"/>
              </w:rPr>
            </w:pPr>
          </w:p>
        </w:tc>
        <w:tc>
          <w:tcPr>
            <w:tcW w:w="838" w:type="pct"/>
            <w:tcBorders>
              <w:left w:val="nil"/>
              <w:bottom w:val="single" w:sz="4" w:space="0" w:color="auto"/>
              <w:right w:val="nil"/>
            </w:tcBorders>
            <w:shd w:val="clear" w:color="auto" w:fill="auto"/>
            <w:vAlign w:val="center"/>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OR (95% CI)</w:t>
            </w:r>
          </w:p>
        </w:tc>
        <w:tc>
          <w:tcPr>
            <w:tcW w:w="839" w:type="pct"/>
            <w:tcBorders>
              <w:left w:val="nil"/>
              <w:bottom w:val="single" w:sz="4" w:space="0" w:color="auto"/>
              <w:right w:val="nil"/>
            </w:tcBorders>
          </w:tcPr>
          <w:p w:rsidR="001F44D6" w:rsidRPr="001F44D6" w:rsidRDefault="00F01CDE" w:rsidP="001F44D6">
            <w:pPr>
              <w:jc w:val="center"/>
              <w:rPr>
                <w:rFonts w:asciiTheme="minorHAnsi" w:hAnsiTheme="minorHAnsi" w:cstheme="minorHAnsi"/>
                <w:vertAlign w:val="superscript"/>
              </w:rPr>
            </w:pPr>
            <w:r>
              <w:rPr>
                <w:rFonts w:asciiTheme="minorHAnsi" w:hAnsiTheme="minorHAnsi" w:cstheme="minorHAnsi"/>
              </w:rPr>
              <w:t>p</w:t>
            </w:r>
            <w:r w:rsidR="001F44D6" w:rsidRPr="001F44D6">
              <w:rPr>
                <w:rFonts w:asciiTheme="minorHAnsi" w:hAnsiTheme="minorHAnsi" w:cstheme="minorHAnsi"/>
                <w:vertAlign w:val="superscript"/>
              </w:rPr>
              <w:t>b</w:t>
            </w:r>
          </w:p>
        </w:tc>
        <w:tc>
          <w:tcPr>
            <w:tcW w:w="838" w:type="pct"/>
            <w:tcBorders>
              <w:left w:val="nil"/>
              <w:bottom w:val="single" w:sz="4" w:space="0" w:color="auto"/>
              <w:right w:val="nil"/>
            </w:tcBorders>
            <w:shd w:val="clear" w:color="auto" w:fill="auto"/>
            <w:vAlign w:val="center"/>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AOR</w:t>
            </w:r>
            <w:r w:rsidRPr="001F44D6">
              <w:rPr>
                <w:rFonts w:asciiTheme="minorHAnsi" w:hAnsiTheme="minorHAnsi" w:cstheme="minorHAnsi"/>
                <w:vertAlign w:val="superscript"/>
              </w:rPr>
              <w:t>c</w:t>
            </w:r>
            <w:r w:rsidRPr="001F44D6">
              <w:rPr>
                <w:rFonts w:asciiTheme="minorHAnsi" w:hAnsiTheme="minorHAnsi" w:cstheme="minorHAnsi"/>
              </w:rPr>
              <w:t xml:space="preserve"> (95% CI)</w:t>
            </w:r>
          </w:p>
        </w:tc>
        <w:tc>
          <w:tcPr>
            <w:tcW w:w="839" w:type="pct"/>
            <w:tcBorders>
              <w:left w:val="nil"/>
              <w:bottom w:val="single" w:sz="4" w:space="0" w:color="auto"/>
              <w:right w:val="nil"/>
            </w:tcBorders>
            <w:shd w:val="clear" w:color="auto" w:fill="auto"/>
          </w:tcPr>
          <w:p w:rsidR="001F44D6" w:rsidRPr="001F44D6" w:rsidRDefault="00F01CDE" w:rsidP="001F44D6">
            <w:pPr>
              <w:jc w:val="center"/>
              <w:rPr>
                <w:rFonts w:asciiTheme="minorHAnsi" w:hAnsiTheme="minorHAnsi" w:cstheme="minorHAnsi"/>
                <w:vertAlign w:val="superscript"/>
              </w:rPr>
            </w:pPr>
            <w:r>
              <w:rPr>
                <w:rFonts w:asciiTheme="minorHAnsi" w:hAnsiTheme="minorHAnsi" w:cstheme="minorHAnsi"/>
              </w:rPr>
              <w:t>p</w:t>
            </w:r>
            <w:r w:rsidR="001F44D6" w:rsidRPr="001F44D6">
              <w:rPr>
                <w:rFonts w:asciiTheme="minorHAnsi" w:hAnsiTheme="minorHAnsi" w:cstheme="minorHAnsi"/>
                <w:vertAlign w:val="superscript"/>
              </w:rPr>
              <w:t>b</w:t>
            </w:r>
          </w:p>
        </w:tc>
      </w:tr>
      <w:tr w:rsidR="001F44D6" w:rsidRPr="001F44D6" w:rsidTr="001F44D6">
        <w:tc>
          <w:tcPr>
            <w:tcW w:w="1646" w:type="pct"/>
            <w:tcBorders>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Number of Sites</w:t>
            </w:r>
            <w:r w:rsidRPr="001F44D6">
              <w:rPr>
                <w:rFonts w:asciiTheme="minorHAnsi" w:hAnsiTheme="minorHAnsi" w:cstheme="minorHAnsi"/>
                <w:vertAlign w:val="superscript"/>
              </w:rPr>
              <w:t>d</w:t>
            </w:r>
          </w:p>
        </w:tc>
        <w:tc>
          <w:tcPr>
            <w:tcW w:w="838" w:type="pct"/>
            <w:tcBorders>
              <w:left w:val="nil"/>
              <w:bottom w:val="nil"/>
              <w:right w:val="nil"/>
            </w:tcBorders>
            <w:shd w:val="clear" w:color="auto" w:fill="auto"/>
          </w:tcPr>
          <w:p w:rsidR="001F44D6" w:rsidRPr="001F44D6" w:rsidRDefault="001F44D6" w:rsidP="001F44D6">
            <w:pPr>
              <w:rPr>
                <w:rFonts w:asciiTheme="minorHAnsi" w:hAnsiTheme="minorHAnsi" w:cstheme="minorHAnsi"/>
              </w:rPr>
            </w:pPr>
          </w:p>
        </w:tc>
        <w:tc>
          <w:tcPr>
            <w:tcW w:w="839" w:type="pct"/>
            <w:tcBorders>
              <w:left w:val="nil"/>
              <w:bottom w:val="nil"/>
              <w:right w:val="nil"/>
            </w:tcBorders>
            <w:vAlign w:val="bottom"/>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&lt;0.001</w:t>
            </w:r>
          </w:p>
        </w:tc>
        <w:tc>
          <w:tcPr>
            <w:tcW w:w="838" w:type="pct"/>
            <w:tcBorders>
              <w:left w:val="nil"/>
              <w:bottom w:val="nil"/>
              <w:right w:val="nil"/>
            </w:tcBorders>
            <w:shd w:val="clear" w:color="auto" w:fill="auto"/>
          </w:tcPr>
          <w:p w:rsidR="001F44D6" w:rsidRPr="001F44D6" w:rsidRDefault="001F44D6" w:rsidP="001F44D6">
            <w:pPr>
              <w:rPr>
                <w:rFonts w:asciiTheme="minorHAnsi" w:hAnsiTheme="minorHAnsi" w:cstheme="minorHAnsi"/>
              </w:rPr>
            </w:pPr>
          </w:p>
        </w:tc>
        <w:tc>
          <w:tcPr>
            <w:tcW w:w="839" w:type="pct"/>
            <w:tcBorders>
              <w:left w:val="nil"/>
              <w:bottom w:val="nil"/>
              <w:right w:val="nil"/>
            </w:tcBorders>
            <w:shd w:val="clear" w:color="auto" w:fill="auto"/>
            <w:vAlign w:val="bottom"/>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&lt;0.001</w:t>
            </w: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Q1 (0-2)</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Q2 (3-4)</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1.45 (1.02-2.07)</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1.57 (1.08-2.26)</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Q3 (5- 6)</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1.75 (1.18-2.59)</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2.16 (1.40-3.33)</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Q4 (7-11)</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2.67 (1.71-4.17)</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3.08 (1.91-4.99)</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 xml:space="preserve">Total Minutes Per Day </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&lt;0.001</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0.21</w:t>
            </w: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Q1 (0-30)</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Q2 (31-60)</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1.19 (0.81-1.74)</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0.95 (0.63-1.42)</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Q3 (61-120)</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1.90 (1.29-2.80)</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1.32 (0.88-1.99)</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Q4 (121 and above)</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1.75 (1.22-2.52)</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1.20 (0.81-1.78)</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Age, y</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0.76</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0.17</w:t>
            </w: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19-23</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24-26</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1.54 (1.09-2.17)</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2.04 (1.39-2.98)</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27 and above</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0.96 (0.70-1.32)</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1.38 (0.95-2.03)</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Sex</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Female</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Male</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0.74 (0.56-0.98)</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0.79 (0.61-1.04)</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Race</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 xml:space="preserve">White, non-Hispanic </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Black, non-Hispanic</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0.74 (0.46-1.19)</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0.52 (0.32-0.82)</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Hispanic</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1.23 (0.86-1.77)</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0.94 (0.65-1.38)</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vertAlign w:val="superscript"/>
              </w:rPr>
            </w:pPr>
            <w:r w:rsidRPr="001F44D6">
              <w:rPr>
                <w:rFonts w:asciiTheme="minorHAnsi" w:hAnsiTheme="minorHAnsi" w:cstheme="minorHAnsi"/>
              </w:rPr>
              <w:t>Other</w:t>
            </w:r>
            <w:r w:rsidRPr="001F44D6">
              <w:rPr>
                <w:rFonts w:asciiTheme="minorHAnsi" w:hAnsiTheme="minorHAnsi" w:cstheme="minorHAnsi"/>
                <w:vertAlign w:val="superscript"/>
              </w:rPr>
              <w:t>e</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1.82 (1.24-2.67)</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1.62 (1.09-2.40)</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lastRenderedPageBreak/>
              <w:t>Relationship Status</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vertAlign w:val="superscript"/>
              </w:rPr>
            </w:pPr>
            <w:r w:rsidRPr="001F44D6">
              <w:rPr>
                <w:rFonts w:asciiTheme="minorHAnsi" w:hAnsiTheme="minorHAnsi" w:cstheme="minorHAnsi"/>
              </w:rPr>
              <w:t>Single</w:t>
            </w:r>
            <w:r w:rsidRPr="001F44D6">
              <w:rPr>
                <w:rFonts w:asciiTheme="minorHAnsi" w:hAnsiTheme="minorHAnsi" w:cstheme="minorHAnsi"/>
                <w:vertAlign w:val="superscript"/>
              </w:rPr>
              <w:t>f</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vertAlign w:val="superscript"/>
              </w:rPr>
            </w:pPr>
            <w:r w:rsidRPr="001F44D6">
              <w:rPr>
                <w:rFonts w:asciiTheme="minorHAnsi" w:hAnsiTheme="minorHAnsi" w:cstheme="minorHAnsi"/>
              </w:rPr>
              <w:t>In a committed relationship</w:t>
            </w:r>
            <w:r w:rsidRPr="001F44D6">
              <w:rPr>
                <w:rFonts w:asciiTheme="minorHAnsi" w:hAnsiTheme="minorHAnsi" w:cstheme="minorHAnsi"/>
                <w:vertAlign w:val="superscript"/>
              </w:rPr>
              <w:t>g</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0.73 (0.56-0.96)</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0.81 (0.56-1.16)</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Living Situation</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Parent/Guardian</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Significant other</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0.75 (0.53-1.06)</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0.88 (0.56-1.37)</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vertAlign w:val="superscript"/>
              </w:rPr>
            </w:pPr>
            <w:r w:rsidRPr="001F44D6">
              <w:rPr>
                <w:rFonts w:asciiTheme="minorHAnsi" w:hAnsiTheme="minorHAnsi" w:cstheme="minorHAnsi"/>
              </w:rPr>
              <w:t>Other</w:t>
            </w:r>
            <w:r w:rsidRPr="001F44D6">
              <w:rPr>
                <w:rFonts w:asciiTheme="minorHAnsi" w:hAnsiTheme="minorHAnsi" w:cstheme="minorHAnsi"/>
                <w:vertAlign w:val="superscript"/>
              </w:rPr>
              <w:t>h</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0.95 (0.68-1.33)</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0.89 (0.62-1.26)</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Yearly Household Income</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0.001</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0.002</w:t>
            </w: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Low (under $30,000)</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Medium ($30,000-$74,999)</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0.63 (0.44-0.90)</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0.65 (0.46-0.93)</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High ($75,000 and above)</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0.52 (0.36-0.73)</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0.55 (0.37-0.82)</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Education Level</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highlight w:val="yellow"/>
              </w:rPr>
            </w:pPr>
            <w:r w:rsidRPr="001F44D6">
              <w:rPr>
                <w:rFonts w:asciiTheme="minorHAnsi" w:hAnsiTheme="minorHAnsi" w:cstheme="minorHAnsi"/>
              </w:rPr>
              <w:t>0.001</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0.002</w:t>
            </w: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High school or less</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Some college</w:t>
            </w: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0.77 (0.55-1.09)</w:t>
            </w:r>
          </w:p>
        </w:tc>
        <w:tc>
          <w:tcPr>
            <w:tcW w:w="839"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0.74 (0.51-1.07)</w:t>
            </w:r>
          </w:p>
        </w:tc>
        <w:tc>
          <w:tcPr>
            <w:tcW w:w="839"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46" w:type="pct"/>
            <w:tcBorders>
              <w:top w:val="nil"/>
              <w:left w:val="nil"/>
              <w:bottom w:val="single" w:sz="4" w:space="0" w:color="auto"/>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Bachelor’s degree or higher</w:t>
            </w:r>
          </w:p>
        </w:tc>
        <w:tc>
          <w:tcPr>
            <w:tcW w:w="838" w:type="pct"/>
            <w:tcBorders>
              <w:top w:val="nil"/>
              <w:left w:val="nil"/>
              <w:bottom w:val="single" w:sz="4" w:space="0" w:color="auto"/>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0.58 (0.41-0.81)</w:t>
            </w:r>
          </w:p>
        </w:tc>
        <w:tc>
          <w:tcPr>
            <w:tcW w:w="839" w:type="pct"/>
            <w:tcBorders>
              <w:top w:val="nil"/>
              <w:left w:val="nil"/>
              <w:bottom w:val="single" w:sz="4" w:space="0" w:color="auto"/>
              <w:right w:val="nil"/>
            </w:tcBorders>
          </w:tcPr>
          <w:p w:rsidR="001F44D6" w:rsidRPr="001F44D6" w:rsidRDefault="001F44D6" w:rsidP="001F44D6">
            <w:pPr>
              <w:jc w:val="center"/>
              <w:rPr>
                <w:rFonts w:asciiTheme="minorHAnsi" w:hAnsiTheme="minorHAnsi" w:cstheme="minorHAnsi"/>
              </w:rPr>
            </w:pPr>
          </w:p>
        </w:tc>
        <w:tc>
          <w:tcPr>
            <w:tcW w:w="838" w:type="pct"/>
            <w:tcBorders>
              <w:top w:val="nil"/>
              <w:left w:val="nil"/>
              <w:bottom w:val="single" w:sz="4" w:space="0" w:color="auto"/>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0.47 (0.31-0.71)</w:t>
            </w:r>
          </w:p>
        </w:tc>
        <w:tc>
          <w:tcPr>
            <w:tcW w:w="839" w:type="pct"/>
            <w:tcBorders>
              <w:top w:val="nil"/>
              <w:left w:val="nil"/>
              <w:bottom w:val="single" w:sz="4" w:space="0" w:color="auto"/>
              <w:right w:val="nil"/>
            </w:tcBorders>
            <w:shd w:val="clear" w:color="auto" w:fill="auto"/>
          </w:tcPr>
          <w:p w:rsidR="001F44D6" w:rsidRPr="001F44D6" w:rsidRDefault="001F44D6" w:rsidP="001F44D6">
            <w:pPr>
              <w:jc w:val="center"/>
              <w:rPr>
                <w:rFonts w:asciiTheme="minorHAnsi" w:hAnsiTheme="minorHAnsi" w:cstheme="minorHAnsi"/>
              </w:rPr>
            </w:pPr>
          </w:p>
        </w:tc>
      </w:tr>
    </w:tbl>
    <w:p w:rsidR="001F44D6" w:rsidRDefault="001F44D6" w:rsidP="001F44D6">
      <w:pPr>
        <w:pStyle w:val="NoSpacing"/>
        <w:ind w:right="-90" w:hanging="90"/>
        <w:rPr>
          <w:rFonts w:asciiTheme="minorHAnsi" w:hAnsiTheme="minorHAnsi" w:cstheme="minorHAnsi"/>
        </w:rPr>
      </w:pPr>
    </w:p>
    <w:p w:rsidR="001F44D6" w:rsidRPr="001F44D6" w:rsidRDefault="001F44D6" w:rsidP="001F44D6">
      <w:pPr>
        <w:pStyle w:val="NoSpacing"/>
        <w:ind w:right="-90" w:hanging="90"/>
        <w:rPr>
          <w:rFonts w:asciiTheme="minorHAnsi" w:hAnsiTheme="minorHAnsi" w:cstheme="minorHAnsi"/>
        </w:rPr>
      </w:pPr>
      <w:r w:rsidRPr="001F44D6">
        <w:rPr>
          <w:rFonts w:asciiTheme="minorHAnsi" w:hAnsiTheme="minorHAnsi" w:cstheme="minorHAnsi"/>
        </w:rPr>
        <w:t>Abbreviations: OR, odds ratio; CI, confidence interval ; AOR, adjusted odds ratio.</w:t>
      </w:r>
    </w:p>
    <w:p w:rsidR="001F44D6" w:rsidRPr="001F44D6" w:rsidRDefault="001F44D6" w:rsidP="001F44D6">
      <w:pPr>
        <w:pStyle w:val="NoSpacing"/>
        <w:ind w:right="-90" w:hanging="90"/>
        <w:rPr>
          <w:rFonts w:asciiTheme="minorHAnsi" w:hAnsiTheme="minorHAnsi" w:cstheme="minorHAnsi"/>
        </w:rPr>
      </w:pPr>
      <w:r w:rsidRPr="001F44D6">
        <w:rPr>
          <w:rFonts w:asciiTheme="minorHAnsi" w:hAnsiTheme="minorHAnsi" w:cstheme="minorHAnsi"/>
          <w:b/>
          <w:vertAlign w:val="superscript"/>
        </w:rPr>
        <w:t xml:space="preserve">a </w:t>
      </w:r>
      <w:r w:rsidRPr="001F44D6">
        <w:rPr>
          <w:rFonts w:asciiTheme="minorHAnsi" w:hAnsiTheme="minorHAnsi" w:cstheme="minorHAnsi"/>
        </w:rPr>
        <w:t xml:space="preserve">Depressive symptoms are divided into low, medium, and high tertiles. </w:t>
      </w:r>
    </w:p>
    <w:p w:rsidR="001F44D6" w:rsidRPr="001F44D6" w:rsidRDefault="001F44D6" w:rsidP="001F44D6">
      <w:pPr>
        <w:pStyle w:val="NoSpacing"/>
        <w:ind w:hanging="90"/>
        <w:rPr>
          <w:rFonts w:asciiTheme="minorHAnsi" w:hAnsiTheme="minorHAnsi" w:cstheme="minorHAnsi"/>
        </w:rPr>
      </w:pPr>
      <w:r w:rsidRPr="001F44D6">
        <w:rPr>
          <w:rFonts w:asciiTheme="minorHAnsi" w:hAnsiTheme="minorHAnsi" w:cstheme="minorHAnsi"/>
          <w:vertAlign w:val="superscript"/>
        </w:rPr>
        <w:t xml:space="preserve">b </w:t>
      </w:r>
      <w:r w:rsidRPr="001F44D6">
        <w:rPr>
          <w:rFonts w:asciiTheme="minorHAnsi" w:hAnsiTheme="minorHAnsi" w:cstheme="minorHAnsi"/>
        </w:rPr>
        <w:t>Significance level determined by tests for overall linear trend of the ordered categorical independent variable.</w:t>
      </w:r>
    </w:p>
    <w:p w:rsidR="001F44D6" w:rsidRPr="001F44D6" w:rsidRDefault="001F44D6" w:rsidP="001F44D6">
      <w:pPr>
        <w:pStyle w:val="NoSpacing"/>
        <w:ind w:right="-90" w:hanging="90"/>
        <w:rPr>
          <w:rFonts w:asciiTheme="minorHAnsi" w:hAnsiTheme="minorHAnsi" w:cstheme="minorHAnsi"/>
        </w:rPr>
      </w:pPr>
      <w:r w:rsidRPr="001F44D6">
        <w:rPr>
          <w:rFonts w:asciiTheme="minorHAnsi" w:hAnsiTheme="minorHAnsi" w:cstheme="minorHAnsi"/>
          <w:vertAlign w:val="superscript"/>
        </w:rPr>
        <w:t>c</w:t>
      </w:r>
      <w:r w:rsidRPr="001F44D6">
        <w:rPr>
          <w:rFonts w:asciiTheme="minorHAnsi" w:hAnsiTheme="minorHAnsi" w:cstheme="minorHAnsi"/>
        </w:rPr>
        <w:t xml:space="preserve"> Adjusted for all independent variables and covariates listed in the table.</w:t>
      </w:r>
    </w:p>
    <w:p w:rsidR="001F44D6" w:rsidRPr="001F44D6" w:rsidRDefault="001F44D6" w:rsidP="001F44D6">
      <w:pPr>
        <w:pStyle w:val="NoSpacing"/>
        <w:ind w:right="-90" w:hanging="90"/>
        <w:rPr>
          <w:rFonts w:asciiTheme="minorHAnsi" w:hAnsiTheme="minorHAnsi" w:cstheme="minorHAnsi"/>
        </w:rPr>
      </w:pPr>
      <w:r w:rsidRPr="001F44D6">
        <w:rPr>
          <w:rFonts w:asciiTheme="minorHAnsi" w:hAnsiTheme="minorHAnsi" w:cstheme="minorHAnsi"/>
          <w:vertAlign w:val="superscript"/>
        </w:rPr>
        <w:t xml:space="preserve">d </w:t>
      </w:r>
      <w:r w:rsidRPr="001F44D6">
        <w:rPr>
          <w:rFonts w:asciiTheme="minorHAnsi" w:hAnsiTheme="minorHAnsi" w:cstheme="minorHAnsi"/>
        </w:rPr>
        <w:t>Includes Facebook, Twitter, Google+, YouTube, LinkedIn, Instagram, Pinterest, Tumblr, Vine, Snapchat, and Reddit.</w:t>
      </w:r>
    </w:p>
    <w:p w:rsidR="001F44D6" w:rsidRPr="001F44D6" w:rsidRDefault="001F44D6" w:rsidP="001F44D6">
      <w:pPr>
        <w:pStyle w:val="NoSpacing"/>
        <w:ind w:left="-90"/>
        <w:rPr>
          <w:rFonts w:asciiTheme="minorHAnsi" w:hAnsiTheme="minorHAnsi" w:cstheme="minorHAnsi"/>
        </w:rPr>
      </w:pPr>
      <w:r w:rsidRPr="001F44D6">
        <w:rPr>
          <w:rFonts w:asciiTheme="minorHAnsi" w:hAnsiTheme="minorHAnsi" w:cstheme="minorHAnsi"/>
          <w:vertAlign w:val="superscript"/>
        </w:rPr>
        <w:t xml:space="preserve">e </w:t>
      </w:r>
      <w:r w:rsidRPr="001F44D6">
        <w:rPr>
          <w:rFonts w:asciiTheme="minorHAnsi" w:hAnsiTheme="minorHAnsi" w:cstheme="minorHAnsi"/>
        </w:rPr>
        <w:t>Includes Multiracial.</w:t>
      </w:r>
    </w:p>
    <w:p w:rsidR="001F44D6" w:rsidRPr="001F44D6" w:rsidRDefault="001F44D6" w:rsidP="001F44D6">
      <w:pPr>
        <w:pStyle w:val="NoSpacing"/>
        <w:ind w:left="-90"/>
        <w:rPr>
          <w:rFonts w:asciiTheme="minorHAnsi" w:hAnsiTheme="minorHAnsi" w:cstheme="minorHAnsi"/>
        </w:rPr>
      </w:pPr>
      <w:r w:rsidRPr="001F44D6">
        <w:rPr>
          <w:rFonts w:asciiTheme="minorHAnsi" w:hAnsiTheme="minorHAnsi" w:cstheme="minorHAnsi"/>
          <w:vertAlign w:val="superscript"/>
        </w:rPr>
        <w:t xml:space="preserve">f   </w:t>
      </w:r>
      <w:r w:rsidRPr="001F44D6">
        <w:rPr>
          <w:rFonts w:asciiTheme="minorHAnsi" w:hAnsiTheme="minorHAnsi" w:cstheme="minorHAnsi"/>
        </w:rPr>
        <w:t>Includes widowed, divorced, and separated.</w:t>
      </w:r>
    </w:p>
    <w:p w:rsidR="001F44D6" w:rsidRPr="001F44D6" w:rsidRDefault="001F44D6" w:rsidP="001F44D6">
      <w:pPr>
        <w:pStyle w:val="NoSpacing"/>
        <w:ind w:left="-90"/>
        <w:rPr>
          <w:rFonts w:asciiTheme="minorHAnsi" w:hAnsiTheme="minorHAnsi" w:cstheme="minorHAnsi"/>
        </w:rPr>
      </w:pPr>
      <w:r w:rsidRPr="001F44D6">
        <w:rPr>
          <w:rFonts w:asciiTheme="minorHAnsi" w:hAnsiTheme="minorHAnsi" w:cstheme="minorHAnsi"/>
          <w:vertAlign w:val="superscript"/>
        </w:rPr>
        <w:t xml:space="preserve">g </w:t>
      </w:r>
      <w:r w:rsidRPr="001F44D6">
        <w:rPr>
          <w:rFonts w:asciiTheme="minorHAnsi" w:hAnsiTheme="minorHAnsi" w:cstheme="minorHAnsi"/>
        </w:rPr>
        <w:t>Includes engaged, married, and in a domestic partnership.</w:t>
      </w:r>
    </w:p>
    <w:p w:rsidR="001F44D6" w:rsidRPr="001F44D6" w:rsidRDefault="001F44D6" w:rsidP="001F44D6">
      <w:pPr>
        <w:pStyle w:val="NoSpacing"/>
        <w:ind w:left="-90"/>
        <w:rPr>
          <w:rFonts w:asciiTheme="minorHAnsi" w:hAnsiTheme="minorHAnsi" w:cstheme="minorHAnsi"/>
        </w:rPr>
      </w:pPr>
      <w:r w:rsidRPr="001F44D6">
        <w:rPr>
          <w:rFonts w:asciiTheme="minorHAnsi" w:hAnsiTheme="minorHAnsi" w:cstheme="minorHAnsi"/>
          <w:vertAlign w:val="superscript"/>
        </w:rPr>
        <w:t xml:space="preserve">h </w:t>
      </w:r>
      <w:r w:rsidRPr="001F44D6">
        <w:rPr>
          <w:rFonts w:asciiTheme="minorHAnsi" w:hAnsiTheme="minorHAnsi" w:cstheme="minorHAnsi"/>
        </w:rPr>
        <w:t>Defined as not living with a parent/guardian or significant other.</w:t>
      </w:r>
    </w:p>
    <w:p w:rsidR="001F44D6" w:rsidRDefault="001F44D6" w:rsidP="001F44D6">
      <w:pPr>
        <w:pStyle w:val="NoSpacing"/>
        <w:ind w:left="-90"/>
        <w:rPr>
          <w:rFonts w:asciiTheme="minorHAnsi" w:hAnsiTheme="minorHAnsi" w:cstheme="minorHAnsi"/>
        </w:rPr>
      </w:pPr>
      <w:r w:rsidRPr="001F44D6">
        <w:rPr>
          <w:rFonts w:asciiTheme="minorHAnsi" w:hAnsiTheme="minorHAnsi" w:cstheme="minorHAnsi"/>
          <w:b/>
        </w:rPr>
        <w:br w:type="page"/>
      </w:r>
      <w:r w:rsidRPr="001F44D6">
        <w:rPr>
          <w:rFonts w:asciiTheme="minorHAnsi" w:hAnsiTheme="minorHAnsi" w:cstheme="minorHAnsi"/>
          <w:b/>
        </w:rPr>
        <w:lastRenderedPageBreak/>
        <w:t xml:space="preserve">Table 4. </w:t>
      </w:r>
      <w:r w:rsidRPr="001F44D6">
        <w:rPr>
          <w:rFonts w:asciiTheme="minorHAnsi" w:hAnsiTheme="minorHAnsi" w:cstheme="minorHAnsi"/>
        </w:rPr>
        <w:t>Bivariable and Multivariable Associations between Social Media Use, Sociodemographic  Characteristics, and Anxiety</w:t>
      </w:r>
    </w:p>
    <w:p w:rsidR="001F44D6" w:rsidRPr="001F44D6" w:rsidRDefault="001F44D6" w:rsidP="001F44D6">
      <w:pPr>
        <w:pStyle w:val="NoSpacing"/>
        <w:ind w:left="-90"/>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4153"/>
        <w:gridCol w:w="2203"/>
        <w:gridCol w:w="2203"/>
        <w:gridCol w:w="2203"/>
        <w:gridCol w:w="2198"/>
      </w:tblGrid>
      <w:tr w:rsidR="001F44D6" w:rsidRPr="001F44D6" w:rsidTr="001F44D6">
        <w:trPr>
          <w:trHeight w:val="547"/>
        </w:trPr>
        <w:tc>
          <w:tcPr>
            <w:tcW w:w="1602" w:type="pct"/>
            <w:vMerge w:val="restart"/>
            <w:tcBorders>
              <w:left w:val="nil"/>
              <w:right w:val="nil"/>
            </w:tcBorders>
            <w:shd w:val="clear" w:color="auto" w:fill="auto"/>
            <w:vAlign w:val="center"/>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b/>
              </w:rPr>
              <w:t>Social Media Use</w:t>
            </w:r>
          </w:p>
        </w:tc>
        <w:tc>
          <w:tcPr>
            <w:tcW w:w="3398" w:type="pct"/>
            <w:gridSpan w:val="4"/>
            <w:tcBorders>
              <w:left w:val="nil"/>
              <w:right w:val="nil"/>
            </w:tcBorders>
            <w:vAlign w:val="center"/>
          </w:tcPr>
          <w:p w:rsidR="001F44D6" w:rsidRPr="001F44D6" w:rsidRDefault="001F44D6" w:rsidP="001F44D6">
            <w:pPr>
              <w:jc w:val="center"/>
              <w:rPr>
                <w:rFonts w:asciiTheme="minorHAnsi" w:hAnsiTheme="minorHAnsi" w:cstheme="minorHAnsi"/>
                <w:b/>
              </w:rPr>
            </w:pPr>
            <w:r w:rsidRPr="001F44D6">
              <w:rPr>
                <w:rFonts w:asciiTheme="minorHAnsi" w:hAnsiTheme="minorHAnsi" w:cstheme="minorHAnsi"/>
                <w:b/>
              </w:rPr>
              <w:t>Anxiety</w:t>
            </w:r>
            <w:r w:rsidRPr="001F44D6">
              <w:rPr>
                <w:rFonts w:asciiTheme="minorHAnsi" w:hAnsiTheme="minorHAnsi" w:cstheme="minorHAnsi"/>
                <w:b/>
                <w:vertAlign w:val="superscript"/>
              </w:rPr>
              <w:t>a</w:t>
            </w:r>
          </w:p>
        </w:tc>
      </w:tr>
      <w:tr w:rsidR="001F44D6" w:rsidRPr="001F44D6" w:rsidTr="001F44D6">
        <w:tc>
          <w:tcPr>
            <w:tcW w:w="1602" w:type="pct"/>
            <w:vMerge/>
            <w:tcBorders>
              <w:left w:val="nil"/>
              <w:bottom w:val="single" w:sz="4" w:space="0" w:color="auto"/>
              <w:right w:val="nil"/>
            </w:tcBorders>
            <w:shd w:val="clear" w:color="auto" w:fill="auto"/>
          </w:tcPr>
          <w:p w:rsidR="001F44D6" w:rsidRPr="001F44D6" w:rsidRDefault="001F44D6" w:rsidP="001F44D6">
            <w:pPr>
              <w:rPr>
                <w:rFonts w:asciiTheme="minorHAnsi" w:hAnsiTheme="minorHAnsi" w:cstheme="minorHAnsi"/>
              </w:rPr>
            </w:pPr>
          </w:p>
        </w:tc>
        <w:tc>
          <w:tcPr>
            <w:tcW w:w="850" w:type="pct"/>
            <w:tcBorders>
              <w:left w:val="nil"/>
              <w:bottom w:val="single" w:sz="4" w:space="0" w:color="auto"/>
              <w:right w:val="nil"/>
            </w:tcBorders>
            <w:shd w:val="clear" w:color="auto" w:fill="auto"/>
            <w:vAlign w:val="center"/>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OR (95% CI)</w:t>
            </w:r>
          </w:p>
        </w:tc>
        <w:tc>
          <w:tcPr>
            <w:tcW w:w="850" w:type="pct"/>
            <w:tcBorders>
              <w:left w:val="nil"/>
              <w:bottom w:val="single" w:sz="4" w:space="0" w:color="auto"/>
              <w:right w:val="nil"/>
            </w:tcBorders>
          </w:tcPr>
          <w:p w:rsidR="001F44D6" w:rsidRPr="001F44D6" w:rsidRDefault="00F01CDE" w:rsidP="001F44D6">
            <w:pPr>
              <w:jc w:val="center"/>
              <w:rPr>
                <w:rFonts w:asciiTheme="minorHAnsi" w:hAnsiTheme="minorHAnsi" w:cstheme="minorHAnsi"/>
                <w:vertAlign w:val="superscript"/>
              </w:rPr>
            </w:pPr>
            <w:r>
              <w:rPr>
                <w:rFonts w:asciiTheme="minorHAnsi" w:hAnsiTheme="minorHAnsi" w:cstheme="minorHAnsi"/>
              </w:rPr>
              <w:t>p</w:t>
            </w:r>
            <w:r w:rsidR="001F44D6" w:rsidRPr="001F44D6">
              <w:rPr>
                <w:rFonts w:asciiTheme="minorHAnsi" w:hAnsiTheme="minorHAnsi" w:cstheme="minorHAnsi"/>
                <w:vertAlign w:val="superscript"/>
              </w:rPr>
              <w:t>b</w:t>
            </w:r>
          </w:p>
        </w:tc>
        <w:tc>
          <w:tcPr>
            <w:tcW w:w="850" w:type="pct"/>
            <w:tcBorders>
              <w:left w:val="nil"/>
              <w:bottom w:val="single" w:sz="4" w:space="0" w:color="auto"/>
              <w:right w:val="nil"/>
            </w:tcBorders>
            <w:shd w:val="clear" w:color="auto" w:fill="auto"/>
            <w:vAlign w:val="center"/>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AOR</w:t>
            </w:r>
            <w:r w:rsidRPr="001F44D6">
              <w:rPr>
                <w:rFonts w:asciiTheme="minorHAnsi" w:hAnsiTheme="minorHAnsi" w:cstheme="minorHAnsi"/>
                <w:vertAlign w:val="superscript"/>
              </w:rPr>
              <w:t>c</w:t>
            </w:r>
            <w:r w:rsidRPr="001F44D6">
              <w:rPr>
                <w:rFonts w:asciiTheme="minorHAnsi" w:hAnsiTheme="minorHAnsi" w:cstheme="minorHAnsi"/>
              </w:rPr>
              <w:t xml:space="preserve"> (95% CI)</w:t>
            </w:r>
          </w:p>
        </w:tc>
        <w:tc>
          <w:tcPr>
            <w:tcW w:w="850" w:type="pct"/>
            <w:tcBorders>
              <w:left w:val="nil"/>
              <w:bottom w:val="single" w:sz="4" w:space="0" w:color="auto"/>
              <w:right w:val="nil"/>
            </w:tcBorders>
            <w:shd w:val="clear" w:color="auto" w:fill="auto"/>
          </w:tcPr>
          <w:p w:rsidR="001F44D6" w:rsidRPr="001F44D6" w:rsidRDefault="00F01CDE" w:rsidP="001F44D6">
            <w:pPr>
              <w:jc w:val="center"/>
              <w:rPr>
                <w:rFonts w:asciiTheme="minorHAnsi" w:hAnsiTheme="minorHAnsi" w:cstheme="minorHAnsi"/>
                <w:vertAlign w:val="superscript"/>
              </w:rPr>
            </w:pPr>
            <w:r>
              <w:rPr>
                <w:rFonts w:asciiTheme="minorHAnsi" w:hAnsiTheme="minorHAnsi" w:cstheme="minorHAnsi"/>
              </w:rPr>
              <w:t>p</w:t>
            </w:r>
            <w:r w:rsidR="001F44D6" w:rsidRPr="001F44D6">
              <w:rPr>
                <w:rFonts w:asciiTheme="minorHAnsi" w:hAnsiTheme="minorHAnsi" w:cstheme="minorHAnsi"/>
                <w:vertAlign w:val="superscript"/>
              </w:rPr>
              <w:t>b</w:t>
            </w:r>
          </w:p>
        </w:tc>
      </w:tr>
      <w:tr w:rsidR="001F44D6" w:rsidRPr="001F44D6" w:rsidTr="001F44D6">
        <w:tc>
          <w:tcPr>
            <w:tcW w:w="1602" w:type="pct"/>
            <w:tcBorders>
              <w:left w:val="nil"/>
              <w:bottom w:val="nil"/>
              <w:right w:val="nil"/>
            </w:tcBorders>
            <w:shd w:val="clear" w:color="auto" w:fill="auto"/>
          </w:tcPr>
          <w:p w:rsidR="001F44D6" w:rsidRPr="001F44D6" w:rsidRDefault="001F44D6" w:rsidP="001F44D6">
            <w:pPr>
              <w:rPr>
                <w:rFonts w:asciiTheme="minorHAnsi" w:hAnsiTheme="minorHAnsi" w:cstheme="minorHAnsi"/>
                <w:vertAlign w:val="superscript"/>
              </w:rPr>
            </w:pPr>
            <w:r w:rsidRPr="001F44D6">
              <w:rPr>
                <w:rFonts w:asciiTheme="minorHAnsi" w:hAnsiTheme="minorHAnsi" w:cstheme="minorHAnsi"/>
              </w:rPr>
              <w:t>Number of Sites</w:t>
            </w:r>
            <w:r w:rsidRPr="001F44D6">
              <w:rPr>
                <w:rFonts w:asciiTheme="minorHAnsi" w:hAnsiTheme="minorHAnsi" w:cstheme="minorHAnsi"/>
                <w:vertAlign w:val="superscript"/>
              </w:rPr>
              <w:t>d</w:t>
            </w:r>
          </w:p>
        </w:tc>
        <w:tc>
          <w:tcPr>
            <w:tcW w:w="850" w:type="pct"/>
            <w:tcBorders>
              <w:left w:val="nil"/>
              <w:bottom w:val="nil"/>
              <w:right w:val="nil"/>
            </w:tcBorders>
            <w:shd w:val="clear" w:color="auto" w:fill="auto"/>
          </w:tcPr>
          <w:p w:rsidR="001F44D6" w:rsidRPr="001F44D6" w:rsidRDefault="001F44D6" w:rsidP="001F44D6">
            <w:pPr>
              <w:rPr>
                <w:rFonts w:asciiTheme="minorHAnsi" w:hAnsiTheme="minorHAnsi" w:cstheme="minorHAnsi"/>
              </w:rPr>
            </w:pPr>
          </w:p>
        </w:tc>
        <w:tc>
          <w:tcPr>
            <w:tcW w:w="850" w:type="pct"/>
            <w:tcBorders>
              <w:left w:val="nil"/>
              <w:bottom w:val="nil"/>
              <w:right w:val="nil"/>
            </w:tcBorders>
            <w:vAlign w:val="bottom"/>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&lt;0.001</w:t>
            </w:r>
          </w:p>
        </w:tc>
        <w:tc>
          <w:tcPr>
            <w:tcW w:w="850" w:type="pct"/>
            <w:tcBorders>
              <w:left w:val="nil"/>
              <w:bottom w:val="nil"/>
              <w:right w:val="nil"/>
            </w:tcBorders>
            <w:shd w:val="clear" w:color="auto" w:fill="auto"/>
          </w:tcPr>
          <w:p w:rsidR="001F44D6" w:rsidRPr="001F44D6" w:rsidRDefault="001F44D6" w:rsidP="001F44D6">
            <w:pPr>
              <w:rPr>
                <w:rFonts w:asciiTheme="minorHAnsi" w:hAnsiTheme="minorHAnsi" w:cstheme="minorHAnsi"/>
              </w:rPr>
            </w:pPr>
          </w:p>
        </w:tc>
        <w:tc>
          <w:tcPr>
            <w:tcW w:w="850" w:type="pct"/>
            <w:tcBorders>
              <w:left w:val="nil"/>
              <w:bottom w:val="nil"/>
              <w:right w:val="nil"/>
            </w:tcBorders>
            <w:shd w:val="clear" w:color="auto" w:fill="auto"/>
            <w:vAlign w:val="bottom"/>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&lt;0.001</w:t>
            </w: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Q1 (0-2)</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Q2 (3-4)</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1.49 (1.04-2.14)</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1.43 (0.99-2.07)</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Q3 (5- 6)</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1.71 (1.18-2.49)</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1.89 (1.26-2.82)</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Q4 (7-11)</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3.27 (2.12-5.03)</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3.27 (2.01-5.29)</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 xml:space="preserve">Total Minutes Per Day </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&lt;0.001</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0.09</w:t>
            </w: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Q1 (0-30)</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Q2 (31-60)</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1.20 (0.80-1.81)</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0.93 (0.61-1.41)</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Q3 (61-120)</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1.69 (1.18-2.44)</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1.14 (0.77-1.69)</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Q4 (121 and above)</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2.08 (1.46-2.98)</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1.36 (0.92-2.01)</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Age, y</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highlight w:val="yellow"/>
              </w:rPr>
            </w:pPr>
            <w:r w:rsidRPr="001F44D6">
              <w:rPr>
                <w:rFonts w:asciiTheme="minorHAnsi" w:hAnsiTheme="minorHAnsi" w:cstheme="minorHAnsi"/>
              </w:rPr>
              <w:t>0.43</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highlight w:val="yellow"/>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highlight w:val="yellow"/>
              </w:rPr>
            </w:pPr>
            <w:r w:rsidRPr="001F44D6">
              <w:rPr>
                <w:rFonts w:asciiTheme="minorHAnsi" w:hAnsiTheme="minorHAnsi" w:cstheme="minorHAnsi"/>
              </w:rPr>
              <w:t>0.38</w:t>
            </w: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19-23</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24-26</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1.10 (0.79-1.53)</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1.32 (0.92-1.90)</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27 and above</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0.88 (0.64-1.20)</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1.16 (0.79-1.70)</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Sex</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Female</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Male</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0.63 (0.48-0.83)</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0.65 (0.50-0.86)</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Race</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 xml:space="preserve">White, non-Hispanic </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Black, non-Hispanic</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0.91 (0.58-1.42)</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0.70 (0.46-1.10)</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Hispanic</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1.25 (0.85-1.84)</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(0.68-1.48)</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ind w:left="180"/>
              <w:rPr>
                <w:rFonts w:asciiTheme="minorHAnsi" w:hAnsiTheme="minorHAnsi" w:cstheme="minorHAnsi"/>
                <w:vertAlign w:val="superscript"/>
              </w:rPr>
            </w:pPr>
            <w:r w:rsidRPr="001F44D6">
              <w:rPr>
                <w:rFonts w:asciiTheme="minorHAnsi" w:hAnsiTheme="minorHAnsi" w:cstheme="minorHAnsi"/>
              </w:rPr>
              <w:t>Other</w:t>
            </w:r>
            <w:r w:rsidRPr="001F44D6">
              <w:rPr>
                <w:rFonts w:asciiTheme="minorHAnsi" w:hAnsiTheme="minorHAnsi" w:cstheme="minorHAnsi"/>
                <w:vertAlign w:val="superscript"/>
              </w:rPr>
              <w:t>e</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2.20 (1.37-3.53)</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1.64 (1.02-2.64)</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lastRenderedPageBreak/>
              <w:t>Relationship Status</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vAlign w:val="bottom"/>
          </w:tcPr>
          <w:p w:rsidR="001F44D6" w:rsidRPr="001F44D6" w:rsidRDefault="001F44D6" w:rsidP="001F44D6">
            <w:pPr>
              <w:ind w:firstLine="180"/>
              <w:rPr>
                <w:rFonts w:asciiTheme="minorHAnsi" w:hAnsiTheme="minorHAnsi" w:cstheme="minorHAnsi"/>
                <w:vertAlign w:val="superscript"/>
              </w:rPr>
            </w:pPr>
            <w:r w:rsidRPr="001F44D6">
              <w:rPr>
                <w:rFonts w:asciiTheme="minorHAnsi" w:hAnsiTheme="minorHAnsi" w:cstheme="minorHAnsi"/>
              </w:rPr>
              <w:t>Single</w:t>
            </w:r>
            <w:r w:rsidRPr="001F44D6">
              <w:rPr>
                <w:rFonts w:asciiTheme="minorHAnsi" w:hAnsiTheme="minorHAnsi" w:cstheme="minorHAnsi"/>
                <w:vertAlign w:val="superscript"/>
              </w:rPr>
              <w:t>f</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vAlign w:val="bottom"/>
          </w:tcPr>
          <w:p w:rsidR="001F44D6" w:rsidRPr="001F44D6" w:rsidRDefault="001F44D6" w:rsidP="001F44D6">
            <w:pPr>
              <w:ind w:firstLine="180"/>
              <w:rPr>
                <w:rFonts w:asciiTheme="minorHAnsi" w:hAnsiTheme="minorHAnsi" w:cstheme="minorHAnsi"/>
                <w:vertAlign w:val="superscript"/>
              </w:rPr>
            </w:pPr>
            <w:r w:rsidRPr="001F44D6">
              <w:rPr>
                <w:rFonts w:asciiTheme="minorHAnsi" w:hAnsiTheme="minorHAnsi" w:cstheme="minorHAnsi"/>
              </w:rPr>
              <w:t>In a committed relationship</w:t>
            </w:r>
            <w:r w:rsidRPr="001F44D6">
              <w:rPr>
                <w:rFonts w:asciiTheme="minorHAnsi" w:hAnsiTheme="minorHAnsi" w:cstheme="minorHAnsi"/>
                <w:vertAlign w:val="superscript"/>
              </w:rPr>
              <w:t>g</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0.72 (0.55-0.95)</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0.85 (0.60-1.20)</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Living Situation</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vAlign w:val="bottom"/>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Parent/Guardian</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vAlign w:val="bottom"/>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Significant other</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0.70 (0.50-0.98)</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0.77 (0.50-1.19)</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vAlign w:val="bottom"/>
          </w:tcPr>
          <w:p w:rsidR="001F44D6" w:rsidRPr="001F44D6" w:rsidRDefault="001F44D6" w:rsidP="001F44D6">
            <w:pPr>
              <w:ind w:firstLine="180"/>
              <w:rPr>
                <w:rFonts w:asciiTheme="minorHAnsi" w:hAnsiTheme="minorHAnsi" w:cstheme="minorHAnsi"/>
                <w:vertAlign w:val="superscript"/>
              </w:rPr>
            </w:pPr>
            <w:r w:rsidRPr="001F44D6">
              <w:rPr>
                <w:rFonts w:asciiTheme="minorHAnsi" w:hAnsiTheme="minorHAnsi" w:cstheme="minorHAnsi"/>
              </w:rPr>
              <w:t>Other</w:t>
            </w:r>
            <w:r w:rsidRPr="001F44D6">
              <w:rPr>
                <w:rFonts w:asciiTheme="minorHAnsi" w:hAnsiTheme="minorHAnsi" w:cstheme="minorHAnsi"/>
                <w:vertAlign w:val="superscript"/>
              </w:rPr>
              <w:t>h</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0.94 (0.67-1.31)</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0.83 (0.58-1.17)</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vAlign w:val="bottom"/>
          </w:tcPr>
          <w:p w:rsidR="001F44D6" w:rsidRPr="001F44D6" w:rsidRDefault="001F44D6" w:rsidP="001F44D6">
            <w:pPr>
              <w:rPr>
                <w:rFonts w:asciiTheme="minorHAnsi" w:hAnsiTheme="minorHAnsi" w:cstheme="minorHAnsi"/>
              </w:rPr>
            </w:pPr>
            <w:r w:rsidRPr="001F44D6">
              <w:rPr>
                <w:rFonts w:asciiTheme="minorHAnsi" w:hAnsiTheme="minorHAnsi" w:cstheme="minorHAnsi"/>
              </w:rPr>
              <w:t>Yearly Household Income</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0.008</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0.01</w:t>
            </w: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Low (under $30,000)</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Medium ($30,000-$74,999)</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0.73 (0.52-1.04)</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0.79 (0.56-1.12)</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High ($75,000 and above)</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0.61 (0.43-0.87)</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0.62 (0.42-0.92)</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rPr>
                <w:rFonts w:asciiTheme="minorHAnsi" w:hAnsiTheme="minorHAnsi" w:cstheme="minorHAnsi"/>
              </w:rPr>
            </w:pPr>
            <w:r w:rsidRPr="001F44D6">
              <w:rPr>
                <w:rFonts w:asciiTheme="minorHAnsi" w:hAnsiTheme="minorHAnsi" w:cstheme="minorHAnsi"/>
              </w:rPr>
              <w:t>Education Level</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0.04</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0.04</w:t>
            </w: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High school or less</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1.0 [Reference]</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bottom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Some college</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0.79 (0.56-1.11)</w:t>
            </w:r>
          </w:p>
        </w:tc>
        <w:tc>
          <w:tcPr>
            <w:tcW w:w="850" w:type="pct"/>
            <w:tcBorders>
              <w:top w:val="nil"/>
              <w:left w:val="nil"/>
              <w:bottom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0.74 (0.51-1.05)</w:t>
            </w:r>
          </w:p>
        </w:tc>
        <w:tc>
          <w:tcPr>
            <w:tcW w:w="850" w:type="pct"/>
            <w:tcBorders>
              <w:top w:val="nil"/>
              <w:left w:val="nil"/>
              <w:bottom w:val="nil"/>
              <w:right w:val="nil"/>
            </w:tcBorders>
            <w:shd w:val="clear" w:color="auto" w:fill="auto"/>
          </w:tcPr>
          <w:p w:rsidR="001F44D6" w:rsidRPr="001F44D6" w:rsidRDefault="001F44D6" w:rsidP="001F44D6">
            <w:pPr>
              <w:jc w:val="center"/>
              <w:rPr>
                <w:rFonts w:asciiTheme="minorHAnsi" w:hAnsiTheme="minorHAnsi" w:cstheme="minorHAnsi"/>
              </w:rPr>
            </w:pPr>
          </w:p>
        </w:tc>
      </w:tr>
      <w:tr w:rsidR="001F44D6" w:rsidRPr="001F44D6" w:rsidTr="001F44D6">
        <w:tc>
          <w:tcPr>
            <w:tcW w:w="1602" w:type="pct"/>
            <w:tcBorders>
              <w:top w:val="nil"/>
              <w:left w:val="nil"/>
              <w:right w:val="nil"/>
            </w:tcBorders>
            <w:shd w:val="clear" w:color="auto" w:fill="auto"/>
          </w:tcPr>
          <w:p w:rsidR="001F44D6" w:rsidRPr="001F44D6" w:rsidRDefault="001F44D6" w:rsidP="001F44D6">
            <w:pPr>
              <w:ind w:firstLine="180"/>
              <w:rPr>
                <w:rFonts w:asciiTheme="minorHAnsi" w:hAnsiTheme="minorHAnsi" w:cstheme="minorHAnsi"/>
              </w:rPr>
            </w:pPr>
            <w:r w:rsidRPr="001F44D6">
              <w:rPr>
                <w:rFonts w:asciiTheme="minorHAnsi" w:hAnsiTheme="minorHAnsi" w:cstheme="minorHAnsi"/>
              </w:rPr>
              <w:t>Bachelor’s degree or higher</w:t>
            </w:r>
          </w:p>
        </w:tc>
        <w:tc>
          <w:tcPr>
            <w:tcW w:w="850" w:type="pct"/>
            <w:tcBorders>
              <w:top w:val="nil"/>
              <w:left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0.71 (0.50-0.99)</w:t>
            </w:r>
          </w:p>
        </w:tc>
        <w:tc>
          <w:tcPr>
            <w:tcW w:w="850" w:type="pct"/>
            <w:tcBorders>
              <w:top w:val="nil"/>
              <w:left w:val="nil"/>
              <w:right w:val="nil"/>
            </w:tcBorders>
          </w:tcPr>
          <w:p w:rsidR="001F44D6" w:rsidRPr="001F44D6" w:rsidRDefault="001F44D6" w:rsidP="001F44D6">
            <w:pPr>
              <w:jc w:val="center"/>
              <w:rPr>
                <w:rFonts w:asciiTheme="minorHAnsi" w:hAnsiTheme="minorHAnsi" w:cstheme="minorHAnsi"/>
              </w:rPr>
            </w:pPr>
          </w:p>
        </w:tc>
        <w:tc>
          <w:tcPr>
            <w:tcW w:w="850" w:type="pct"/>
            <w:tcBorders>
              <w:top w:val="nil"/>
              <w:left w:val="nil"/>
              <w:right w:val="nil"/>
            </w:tcBorders>
            <w:shd w:val="clear" w:color="auto" w:fill="auto"/>
          </w:tcPr>
          <w:p w:rsidR="001F44D6" w:rsidRPr="001F44D6" w:rsidRDefault="001F44D6" w:rsidP="001F44D6">
            <w:pPr>
              <w:jc w:val="center"/>
              <w:rPr>
                <w:rFonts w:asciiTheme="minorHAnsi" w:hAnsiTheme="minorHAnsi" w:cstheme="minorHAnsi"/>
              </w:rPr>
            </w:pPr>
            <w:r w:rsidRPr="001F44D6">
              <w:rPr>
                <w:rFonts w:asciiTheme="minorHAnsi" w:hAnsiTheme="minorHAnsi" w:cstheme="minorHAnsi"/>
              </w:rPr>
              <w:t>0.66 (0.44-0.99)</w:t>
            </w:r>
          </w:p>
        </w:tc>
        <w:tc>
          <w:tcPr>
            <w:tcW w:w="850" w:type="pct"/>
            <w:tcBorders>
              <w:top w:val="nil"/>
              <w:left w:val="nil"/>
              <w:right w:val="nil"/>
            </w:tcBorders>
            <w:shd w:val="clear" w:color="auto" w:fill="auto"/>
          </w:tcPr>
          <w:p w:rsidR="001F44D6" w:rsidRPr="001F44D6" w:rsidRDefault="001F44D6" w:rsidP="001F44D6">
            <w:pPr>
              <w:jc w:val="center"/>
              <w:rPr>
                <w:rFonts w:asciiTheme="minorHAnsi" w:hAnsiTheme="minorHAnsi" w:cstheme="minorHAnsi"/>
              </w:rPr>
            </w:pPr>
          </w:p>
        </w:tc>
      </w:tr>
    </w:tbl>
    <w:p w:rsidR="001F44D6" w:rsidRDefault="001F44D6" w:rsidP="001F44D6">
      <w:pPr>
        <w:pStyle w:val="NoSpacing"/>
        <w:ind w:right="-90" w:hanging="90"/>
        <w:rPr>
          <w:rFonts w:asciiTheme="minorHAnsi" w:hAnsiTheme="minorHAnsi" w:cstheme="minorHAnsi"/>
        </w:rPr>
      </w:pPr>
    </w:p>
    <w:p w:rsidR="001F44D6" w:rsidRPr="001F44D6" w:rsidRDefault="001F44D6" w:rsidP="001F44D6">
      <w:pPr>
        <w:pStyle w:val="NoSpacing"/>
        <w:ind w:right="-90" w:hanging="90"/>
        <w:rPr>
          <w:rFonts w:asciiTheme="minorHAnsi" w:hAnsiTheme="minorHAnsi" w:cstheme="minorHAnsi"/>
        </w:rPr>
      </w:pPr>
      <w:r w:rsidRPr="001F44D6">
        <w:rPr>
          <w:rFonts w:asciiTheme="minorHAnsi" w:hAnsiTheme="minorHAnsi" w:cstheme="minorHAnsi"/>
        </w:rPr>
        <w:t>Abbreviations: OR, odds ratio; CI, confidence interval ; AOR, adjusted odds ratio.</w:t>
      </w:r>
    </w:p>
    <w:p w:rsidR="001F44D6" w:rsidRPr="001F44D6" w:rsidRDefault="001F44D6" w:rsidP="001F44D6">
      <w:pPr>
        <w:pStyle w:val="NoSpacing"/>
        <w:ind w:right="-90" w:hanging="90"/>
        <w:rPr>
          <w:rFonts w:asciiTheme="minorHAnsi" w:hAnsiTheme="minorHAnsi" w:cstheme="minorHAnsi"/>
        </w:rPr>
      </w:pPr>
      <w:r w:rsidRPr="001F44D6">
        <w:rPr>
          <w:rFonts w:asciiTheme="minorHAnsi" w:hAnsiTheme="minorHAnsi" w:cstheme="minorHAnsi"/>
          <w:b/>
          <w:vertAlign w:val="superscript"/>
        </w:rPr>
        <w:t xml:space="preserve">a </w:t>
      </w:r>
      <w:r w:rsidRPr="001F44D6">
        <w:rPr>
          <w:rFonts w:asciiTheme="minorHAnsi" w:hAnsiTheme="minorHAnsi" w:cstheme="minorHAnsi"/>
        </w:rPr>
        <w:t xml:space="preserve">Anxiety is divided into low, medium, and high tertiles. </w:t>
      </w:r>
    </w:p>
    <w:p w:rsidR="001F44D6" w:rsidRPr="001F44D6" w:rsidRDefault="001F44D6" w:rsidP="001F44D6">
      <w:pPr>
        <w:pStyle w:val="NoSpacing"/>
        <w:ind w:hanging="90"/>
        <w:rPr>
          <w:rFonts w:asciiTheme="minorHAnsi" w:hAnsiTheme="minorHAnsi" w:cstheme="minorHAnsi"/>
        </w:rPr>
      </w:pPr>
      <w:r w:rsidRPr="001F44D6">
        <w:rPr>
          <w:rFonts w:asciiTheme="minorHAnsi" w:hAnsiTheme="minorHAnsi" w:cstheme="minorHAnsi"/>
          <w:vertAlign w:val="superscript"/>
        </w:rPr>
        <w:t xml:space="preserve">b </w:t>
      </w:r>
      <w:r w:rsidRPr="001F44D6">
        <w:rPr>
          <w:rFonts w:asciiTheme="minorHAnsi" w:hAnsiTheme="minorHAnsi" w:cstheme="minorHAnsi"/>
        </w:rPr>
        <w:t>Significance level determined by tests for overall linear trend of the ordered categorical independent variable.</w:t>
      </w:r>
    </w:p>
    <w:p w:rsidR="001F44D6" w:rsidRPr="001F44D6" w:rsidRDefault="001F44D6" w:rsidP="001F44D6">
      <w:pPr>
        <w:pStyle w:val="NoSpacing"/>
        <w:ind w:right="-90" w:hanging="90"/>
        <w:rPr>
          <w:rFonts w:asciiTheme="minorHAnsi" w:hAnsiTheme="minorHAnsi" w:cstheme="minorHAnsi"/>
        </w:rPr>
      </w:pPr>
      <w:r w:rsidRPr="001F44D6">
        <w:rPr>
          <w:rFonts w:asciiTheme="minorHAnsi" w:hAnsiTheme="minorHAnsi" w:cstheme="minorHAnsi"/>
          <w:vertAlign w:val="superscript"/>
        </w:rPr>
        <w:t>c</w:t>
      </w:r>
      <w:r w:rsidRPr="001F44D6">
        <w:rPr>
          <w:rFonts w:asciiTheme="minorHAnsi" w:hAnsiTheme="minorHAnsi" w:cstheme="minorHAnsi"/>
        </w:rPr>
        <w:t xml:space="preserve"> Adjusted for all independent variables and covariates listed in the table.</w:t>
      </w:r>
    </w:p>
    <w:p w:rsidR="001F44D6" w:rsidRPr="001F44D6" w:rsidRDefault="001F44D6" w:rsidP="001F44D6">
      <w:pPr>
        <w:pStyle w:val="NoSpacing"/>
        <w:ind w:right="-90" w:hanging="90"/>
        <w:rPr>
          <w:rFonts w:asciiTheme="minorHAnsi" w:hAnsiTheme="minorHAnsi" w:cstheme="minorHAnsi"/>
        </w:rPr>
      </w:pPr>
      <w:r w:rsidRPr="001F44D6">
        <w:rPr>
          <w:rFonts w:asciiTheme="minorHAnsi" w:hAnsiTheme="minorHAnsi" w:cstheme="minorHAnsi"/>
          <w:vertAlign w:val="superscript"/>
        </w:rPr>
        <w:t xml:space="preserve">d </w:t>
      </w:r>
      <w:r w:rsidRPr="001F44D6">
        <w:rPr>
          <w:rFonts w:asciiTheme="minorHAnsi" w:hAnsiTheme="minorHAnsi" w:cstheme="minorHAnsi"/>
        </w:rPr>
        <w:t>Includes Facebook, Twitter, Google+, YouTube, LinkedIn, Instagram, Pinterest, Tumblr, Vine, Snapchat, and Reddit.</w:t>
      </w:r>
    </w:p>
    <w:p w:rsidR="001F44D6" w:rsidRPr="001F44D6" w:rsidRDefault="001F44D6" w:rsidP="001F44D6">
      <w:pPr>
        <w:pStyle w:val="NoSpacing"/>
        <w:ind w:left="-90"/>
        <w:rPr>
          <w:rFonts w:asciiTheme="minorHAnsi" w:hAnsiTheme="minorHAnsi" w:cstheme="minorHAnsi"/>
        </w:rPr>
      </w:pPr>
      <w:r w:rsidRPr="001F44D6">
        <w:rPr>
          <w:rFonts w:asciiTheme="minorHAnsi" w:hAnsiTheme="minorHAnsi" w:cstheme="minorHAnsi"/>
          <w:vertAlign w:val="superscript"/>
        </w:rPr>
        <w:t xml:space="preserve">e </w:t>
      </w:r>
      <w:r w:rsidRPr="001F44D6">
        <w:rPr>
          <w:rFonts w:asciiTheme="minorHAnsi" w:hAnsiTheme="minorHAnsi" w:cstheme="minorHAnsi"/>
        </w:rPr>
        <w:t>Includes Multiracial.</w:t>
      </w:r>
    </w:p>
    <w:p w:rsidR="001F44D6" w:rsidRPr="001F44D6" w:rsidRDefault="001F44D6" w:rsidP="001F44D6">
      <w:pPr>
        <w:pStyle w:val="NoSpacing"/>
        <w:ind w:left="-90"/>
        <w:rPr>
          <w:rFonts w:asciiTheme="minorHAnsi" w:hAnsiTheme="minorHAnsi" w:cstheme="minorHAnsi"/>
        </w:rPr>
      </w:pPr>
      <w:r w:rsidRPr="001F44D6">
        <w:rPr>
          <w:rFonts w:asciiTheme="minorHAnsi" w:hAnsiTheme="minorHAnsi" w:cstheme="minorHAnsi"/>
          <w:vertAlign w:val="superscript"/>
        </w:rPr>
        <w:t xml:space="preserve">f   </w:t>
      </w:r>
      <w:r w:rsidRPr="001F44D6">
        <w:rPr>
          <w:rFonts w:asciiTheme="minorHAnsi" w:hAnsiTheme="minorHAnsi" w:cstheme="minorHAnsi"/>
        </w:rPr>
        <w:t>Includes widowed, divorced, and separated.</w:t>
      </w:r>
    </w:p>
    <w:p w:rsidR="001F44D6" w:rsidRPr="001F44D6" w:rsidRDefault="001F44D6" w:rsidP="001F44D6">
      <w:pPr>
        <w:pStyle w:val="NoSpacing"/>
        <w:ind w:left="-90"/>
        <w:rPr>
          <w:rFonts w:asciiTheme="minorHAnsi" w:hAnsiTheme="minorHAnsi" w:cstheme="minorHAnsi"/>
        </w:rPr>
      </w:pPr>
      <w:r w:rsidRPr="001F44D6">
        <w:rPr>
          <w:rFonts w:asciiTheme="minorHAnsi" w:hAnsiTheme="minorHAnsi" w:cstheme="minorHAnsi"/>
          <w:vertAlign w:val="superscript"/>
        </w:rPr>
        <w:t xml:space="preserve">g </w:t>
      </w:r>
      <w:r w:rsidRPr="001F44D6">
        <w:rPr>
          <w:rFonts w:asciiTheme="minorHAnsi" w:hAnsiTheme="minorHAnsi" w:cstheme="minorHAnsi"/>
        </w:rPr>
        <w:t>Includes engaged, married, and in a domestic partnership.</w:t>
      </w:r>
    </w:p>
    <w:p w:rsidR="00264A83" w:rsidRPr="001F44D6" w:rsidRDefault="001F44D6" w:rsidP="001F44D6">
      <w:pPr>
        <w:pStyle w:val="NoSpacing"/>
        <w:ind w:left="-90"/>
        <w:rPr>
          <w:rFonts w:asciiTheme="minorHAnsi" w:hAnsiTheme="minorHAnsi" w:cstheme="minorHAnsi"/>
        </w:rPr>
      </w:pPr>
      <w:r w:rsidRPr="001F44D6">
        <w:rPr>
          <w:rFonts w:asciiTheme="minorHAnsi" w:hAnsiTheme="minorHAnsi" w:cstheme="minorHAnsi"/>
          <w:vertAlign w:val="superscript"/>
        </w:rPr>
        <w:t>h</w:t>
      </w:r>
      <w:r w:rsidRPr="001F44D6">
        <w:rPr>
          <w:rFonts w:asciiTheme="minorHAnsi" w:hAnsiTheme="minorHAnsi" w:cstheme="minorHAnsi"/>
        </w:rPr>
        <w:t xml:space="preserve"> Defined as not living with a parent/guardian or significant other.</w:t>
      </w:r>
    </w:p>
    <w:sectPr w:rsidR="00264A83" w:rsidRPr="001F44D6" w:rsidSect="001F44D6">
      <w:pgSz w:w="15840" w:h="12240" w:orient="landscape"/>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1E7" w:rsidRDefault="00B741E7" w:rsidP="008D6519">
      <w:r>
        <w:separator/>
      </w:r>
    </w:p>
  </w:endnote>
  <w:endnote w:type="continuationSeparator" w:id="0">
    <w:p w:rsidR="00B741E7" w:rsidRDefault="00B741E7" w:rsidP="008D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1E7" w:rsidRPr="008D6519" w:rsidRDefault="00B741E7">
    <w:pPr>
      <w:pStyle w:val="Footer"/>
      <w:jc w:val="right"/>
      <w:rPr>
        <w:rFonts w:ascii="Calibri" w:hAnsi="Calibri" w:cs="Calibri"/>
        <w:sz w:val="20"/>
        <w:szCs w:val="20"/>
      </w:rPr>
    </w:pPr>
    <w:r w:rsidRPr="008D6519">
      <w:rPr>
        <w:rFonts w:ascii="Calibri" w:hAnsi="Calibri" w:cs="Calibri"/>
        <w:sz w:val="20"/>
        <w:szCs w:val="20"/>
      </w:rPr>
      <w:fldChar w:fldCharType="begin"/>
    </w:r>
    <w:r w:rsidRPr="008D6519">
      <w:rPr>
        <w:rFonts w:ascii="Calibri" w:hAnsi="Calibri" w:cs="Calibri"/>
        <w:sz w:val="20"/>
        <w:szCs w:val="20"/>
      </w:rPr>
      <w:instrText xml:space="preserve"> PAGE   \* MERGEFORMAT </w:instrText>
    </w:r>
    <w:r w:rsidRPr="008D6519">
      <w:rPr>
        <w:rFonts w:ascii="Calibri" w:hAnsi="Calibri" w:cs="Calibri"/>
        <w:sz w:val="20"/>
        <w:szCs w:val="20"/>
      </w:rPr>
      <w:fldChar w:fldCharType="separate"/>
    </w:r>
    <w:r w:rsidR="003C6DB1">
      <w:rPr>
        <w:rFonts w:ascii="Calibri" w:hAnsi="Calibri" w:cs="Calibri"/>
        <w:noProof/>
        <w:sz w:val="20"/>
        <w:szCs w:val="20"/>
      </w:rPr>
      <w:t>1</w:t>
    </w:r>
    <w:r w:rsidRPr="008D6519">
      <w:rPr>
        <w:rFonts w:ascii="Calibri" w:hAnsi="Calibri" w:cs="Calibri"/>
        <w:sz w:val="20"/>
        <w:szCs w:val="20"/>
      </w:rPr>
      <w:fldChar w:fldCharType="end"/>
    </w:r>
  </w:p>
  <w:p w:rsidR="00B741E7" w:rsidRDefault="00B74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1E7" w:rsidRDefault="00B741E7" w:rsidP="008D6519">
      <w:r>
        <w:separator/>
      </w:r>
    </w:p>
  </w:footnote>
  <w:footnote w:type="continuationSeparator" w:id="0">
    <w:p w:rsidR="00B741E7" w:rsidRDefault="00B741E7" w:rsidP="008D6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1E7" w:rsidRPr="00D810A6" w:rsidRDefault="00B741E7" w:rsidP="00D810A6">
    <w:pPr>
      <w:pStyle w:val="Header"/>
      <w:jc w:val="right"/>
      <w:rPr>
        <w:sz w:val="20"/>
        <w:szCs w:val="20"/>
      </w:rPr>
    </w:pPr>
    <w:r w:rsidRPr="00D810A6">
      <w:rPr>
        <w:rFonts w:ascii="Calibri" w:hAnsi="Calibri" w:cs="Arial"/>
        <w:sz w:val="20"/>
        <w:szCs w:val="20"/>
      </w:rPr>
      <w:t>Multiple Platforms and Depression and Anxiety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1845"/>
    <w:multiLevelType w:val="hybridMultilevel"/>
    <w:tmpl w:val="AD9A9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32FCE"/>
    <w:multiLevelType w:val="multilevel"/>
    <w:tmpl w:val="AA8072F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3B4C9C"/>
    <w:multiLevelType w:val="hybridMultilevel"/>
    <w:tmpl w:val="6E34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02A3D"/>
    <w:multiLevelType w:val="hybridMultilevel"/>
    <w:tmpl w:val="4A7E356C"/>
    <w:lvl w:ilvl="0" w:tplc="08D073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B582F"/>
    <w:multiLevelType w:val="hybridMultilevel"/>
    <w:tmpl w:val="A9026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361CC"/>
    <w:multiLevelType w:val="multilevel"/>
    <w:tmpl w:val="318C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6A658B"/>
    <w:multiLevelType w:val="hybridMultilevel"/>
    <w:tmpl w:val="AE882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Y" w:vendorID="64" w:dllVersion="131078" w:nlCheck="1" w:checkStyle="0"/>
  <w:activeWritingStyle w:appName="MSWord" w:lang="en-US" w:vendorID="64" w:dllVersion="131078" w:nlCheck="1" w:checkStyle="1"/>
  <w:defaultTabStop w:val="720"/>
  <w:drawingGridHorizontalSpacing w:val="12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086D5C8-B322-4747-9137-85FA93039E7A}"/>
    <w:docVar w:name="dgnword-eventsink" w:val="112393456"/>
  </w:docVars>
  <w:rsids>
    <w:rsidRoot w:val="0069662F"/>
    <w:rsid w:val="00006DA4"/>
    <w:rsid w:val="0001052B"/>
    <w:rsid w:val="000109BD"/>
    <w:rsid w:val="00011AF5"/>
    <w:rsid w:val="00012932"/>
    <w:rsid w:val="00013409"/>
    <w:rsid w:val="00013558"/>
    <w:rsid w:val="0001562B"/>
    <w:rsid w:val="0002381E"/>
    <w:rsid w:val="0004288B"/>
    <w:rsid w:val="00047DF3"/>
    <w:rsid w:val="00050399"/>
    <w:rsid w:val="00057EC3"/>
    <w:rsid w:val="000610AE"/>
    <w:rsid w:val="00071276"/>
    <w:rsid w:val="000727CB"/>
    <w:rsid w:val="00073A18"/>
    <w:rsid w:val="00073F49"/>
    <w:rsid w:val="00076EA1"/>
    <w:rsid w:val="0008757D"/>
    <w:rsid w:val="00091279"/>
    <w:rsid w:val="000A33D5"/>
    <w:rsid w:val="000B1572"/>
    <w:rsid w:val="000B3F1B"/>
    <w:rsid w:val="000B5AB7"/>
    <w:rsid w:val="000C0558"/>
    <w:rsid w:val="000C1729"/>
    <w:rsid w:val="000C3073"/>
    <w:rsid w:val="000C4CD5"/>
    <w:rsid w:val="000C5DC8"/>
    <w:rsid w:val="000D66E2"/>
    <w:rsid w:val="000D6FDF"/>
    <w:rsid w:val="000E0806"/>
    <w:rsid w:val="000E083F"/>
    <w:rsid w:val="00106E7C"/>
    <w:rsid w:val="00113959"/>
    <w:rsid w:val="0012290A"/>
    <w:rsid w:val="00131682"/>
    <w:rsid w:val="0013411C"/>
    <w:rsid w:val="00136C26"/>
    <w:rsid w:val="00136FE5"/>
    <w:rsid w:val="001423EF"/>
    <w:rsid w:val="00153951"/>
    <w:rsid w:val="00162B60"/>
    <w:rsid w:val="001705BE"/>
    <w:rsid w:val="00182A51"/>
    <w:rsid w:val="00185974"/>
    <w:rsid w:val="00186092"/>
    <w:rsid w:val="001865C9"/>
    <w:rsid w:val="001A576D"/>
    <w:rsid w:val="001B5E72"/>
    <w:rsid w:val="001C15F5"/>
    <w:rsid w:val="001D5C64"/>
    <w:rsid w:val="001E2891"/>
    <w:rsid w:val="001E7BEC"/>
    <w:rsid w:val="001F05AD"/>
    <w:rsid w:val="001F2834"/>
    <w:rsid w:val="001F3435"/>
    <w:rsid w:val="001F44D6"/>
    <w:rsid w:val="00204A2F"/>
    <w:rsid w:val="002209ED"/>
    <w:rsid w:val="00220EC5"/>
    <w:rsid w:val="00223EAA"/>
    <w:rsid w:val="002263DE"/>
    <w:rsid w:val="0023579D"/>
    <w:rsid w:val="00241EEB"/>
    <w:rsid w:val="002436E6"/>
    <w:rsid w:val="00252F00"/>
    <w:rsid w:val="0025631D"/>
    <w:rsid w:val="00264A83"/>
    <w:rsid w:val="00264DCC"/>
    <w:rsid w:val="00266C43"/>
    <w:rsid w:val="0027090E"/>
    <w:rsid w:val="00272481"/>
    <w:rsid w:val="002729B1"/>
    <w:rsid w:val="0027397B"/>
    <w:rsid w:val="00274F0C"/>
    <w:rsid w:val="00282FC8"/>
    <w:rsid w:val="00283710"/>
    <w:rsid w:val="002872E0"/>
    <w:rsid w:val="00292C0A"/>
    <w:rsid w:val="002A3DC3"/>
    <w:rsid w:val="002A4A20"/>
    <w:rsid w:val="002B465C"/>
    <w:rsid w:val="002B4EE6"/>
    <w:rsid w:val="002C063E"/>
    <w:rsid w:val="002C138E"/>
    <w:rsid w:val="002C2BF6"/>
    <w:rsid w:val="002D2ED8"/>
    <w:rsid w:val="002D711A"/>
    <w:rsid w:val="002E2FF9"/>
    <w:rsid w:val="0030037A"/>
    <w:rsid w:val="00302FFF"/>
    <w:rsid w:val="003032BD"/>
    <w:rsid w:val="003128C0"/>
    <w:rsid w:val="003220F9"/>
    <w:rsid w:val="003241FF"/>
    <w:rsid w:val="00326D3A"/>
    <w:rsid w:val="00336480"/>
    <w:rsid w:val="003455EA"/>
    <w:rsid w:val="00354C3C"/>
    <w:rsid w:val="00356676"/>
    <w:rsid w:val="00363547"/>
    <w:rsid w:val="00363BE1"/>
    <w:rsid w:val="00372F35"/>
    <w:rsid w:val="00374697"/>
    <w:rsid w:val="003855AC"/>
    <w:rsid w:val="0039184D"/>
    <w:rsid w:val="00391B61"/>
    <w:rsid w:val="00392C9A"/>
    <w:rsid w:val="00396926"/>
    <w:rsid w:val="0039760B"/>
    <w:rsid w:val="003A1C74"/>
    <w:rsid w:val="003B0728"/>
    <w:rsid w:val="003B364B"/>
    <w:rsid w:val="003B7956"/>
    <w:rsid w:val="003C30C5"/>
    <w:rsid w:val="003C6DB1"/>
    <w:rsid w:val="003D2281"/>
    <w:rsid w:val="003D4509"/>
    <w:rsid w:val="003D65D1"/>
    <w:rsid w:val="003E4313"/>
    <w:rsid w:val="003E62CE"/>
    <w:rsid w:val="003F0A17"/>
    <w:rsid w:val="00403BE5"/>
    <w:rsid w:val="00406D3F"/>
    <w:rsid w:val="00417029"/>
    <w:rsid w:val="00422DCE"/>
    <w:rsid w:val="004258F5"/>
    <w:rsid w:val="00431681"/>
    <w:rsid w:val="00435AD9"/>
    <w:rsid w:val="00443426"/>
    <w:rsid w:val="00444045"/>
    <w:rsid w:val="0045016C"/>
    <w:rsid w:val="004507D1"/>
    <w:rsid w:val="004660DD"/>
    <w:rsid w:val="00467F13"/>
    <w:rsid w:val="00473821"/>
    <w:rsid w:val="00476A2E"/>
    <w:rsid w:val="00481AB2"/>
    <w:rsid w:val="004A1481"/>
    <w:rsid w:val="004A4002"/>
    <w:rsid w:val="004A41A7"/>
    <w:rsid w:val="004A63F8"/>
    <w:rsid w:val="004C4E57"/>
    <w:rsid w:val="004D22B9"/>
    <w:rsid w:val="004D4BE2"/>
    <w:rsid w:val="004E2C8A"/>
    <w:rsid w:val="004E4BB2"/>
    <w:rsid w:val="004F2425"/>
    <w:rsid w:val="004F274E"/>
    <w:rsid w:val="004F6535"/>
    <w:rsid w:val="00510AB8"/>
    <w:rsid w:val="00512AC4"/>
    <w:rsid w:val="0051642D"/>
    <w:rsid w:val="0052256D"/>
    <w:rsid w:val="00535070"/>
    <w:rsid w:val="0053656A"/>
    <w:rsid w:val="005475D1"/>
    <w:rsid w:val="00553E7A"/>
    <w:rsid w:val="00554916"/>
    <w:rsid w:val="0055676D"/>
    <w:rsid w:val="005630BA"/>
    <w:rsid w:val="0058218A"/>
    <w:rsid w:val="00582D58"/>
    <w:rsid w:val="00584795"/>
    <w:rsid w:val="0058530E"/>
    <w:rsid w:val="0058578A"/>
    <w:rsid w:val="005A2C1F"/>
    <w:rsid w:val="005A4DE3"/>
    <w:rsid w:val="005B169E"/>
    <w:rsid w:val="005B3D34"/>
    <w:rsid w:val="005B679A"/>
    <w:rsid w:val="005C1FDF"/>
    <w:rsid w:val="005C4AAE"/>
    <w:rsid w:val="005D062F"/>
    <w:rsid w:val="005D1788"/>
    <w:rsid w:val="005D45FC"/>
    <w:rsid w:val="005E1B91"/>
    <w:rsid w:val="005F4E47"/>
    <w:rsid w:val="00611604"/>
    <w:rsid w:val="006154B6"/>
    <w:rsid w:val="00620644"/>
    <w:rsid w:val="0062312F"/>
    <w:rsid w:val="006260B0"/>
    <w:rsid w:val="00626371"/>
    <w:rsid w:val="00634044"/>
    <w:rsid w:val="006478D4"/>
    <w:rsid w:val="00650D7A"/>
    <w:rsid w:val="0066009F"/>
    <w:rsid w:val="00660F45"/>
    <w:rsid w:val="0067312A"/>
    <w:rsid w:val="00673FD2"/>
    <w:rsid w:val="006771B9"/>
    <w:rsid w:val="00681043"/>
    <w:rsid w:val="00683D78"/>
    <w:rsid w:val="006903CE"/>
    <w:rsid w:val="00694FDE"/>
    <w:rsid w:val="0069662F"/>
    <w:rsid w:val="006A2F76"/>
    <w:rsid w:val="006C1F32"/>
    <w:rsid w:val="006C7333"/>
    <w:rsid w:val="006D132C"/>
    <w:rsid w:val="006D3FB2"/>
    <w:rsid w:val="006E0FAC"/>
    <w:rsid w:val="006E1EAF"/>
    <w:rsid w:val="006E27DA"/>
    <w:rsid w:val="006F10E9"/>
    <w:rsid w:val="006F26F0"/>
    <w:rsid w:val="00724CD7"/>
    <w:rsid w:val="007414CA"/>
    <w:rsid w:val="00742ADF"/>
    <w:rsid w:val="007440B4"/>
    <w:rsid w:val="00745BF9"/>
    <w:rsid w:val="00746F1F"/>
    <w:rsid w:val="007512FD"/>
    <w:rsid w:val="0075161E"/>
    <w:rsid w:val="0075177F"/>
    <w:rsid w:val="00754C16"/>
    <w:rsid w:val="0076461B"/>
    <w:rsid w:val="0076614B"/>
    <w:rsid w:val="00775879"/>
    <w:rsid w:val="00782F9E"/>
    <w:rsid w:val="007A3F40"/>
    <w:rsid w:val="007B60F0"/>
    <w:rsid w:val="007C028C"/>
    <w:rsid w:val="007C0DFE"/>
    <w:rsid w:val="007D7FDD"/>
    <w:rsid w:val="007F7866"/>
    <w:rsid w:val="00821746"/>
    <w:rsid w:val="00830877"/>
    <w:rsid w:val="00846742"/>
    <w:rsid w:val="00846B6A"/>
    <w:rsid w:val="00852217"/>
    <w:rsid w:val="00857C47"/>
    <w:rsid w:val="00867F93"/>
    <w:rsid w:val="008766C7"/>
    <w:rsid w:val="008774C1"/>
    <w:rsid w:val="00895DD1"/>
    <w:rsid w:val="008A1AB3"/>
    <w:rsid w:val="008A4C4B"/>
    <w:rsid w:val="008A5667"/>
    <w:rsid w:val="008B0C1E"/>
    <w:rsid w:val="008B6ED8"/>
    <w:rsid w:val="008C17EA"/>
    <w:rsid w:val="008C45AB"/>
    <w:rsid w:val="008D5EE4"/>
    <w:rsid w:val="008D6519"/>
    <w:rsid w:val="008E46DA"/>
    <w:rsid w:val="008E4999"/>
    <w:rsid w:val="008F0022"/>
    <w:rsid w:val="008F41D3"/>
    <w:rsid w:val="00913546"/>
    <w:rsid w:val="009170A0"/>
    <w:rsid w:val="00921AA9"/>
    <w:rsid w:val="0093048D"/>
    <w:rsid w:val="00930A96"/>
    <w:rsid w:val="00930C15"/>
    <w:rsid w:val="00932095"/>
    <w:rsid w:val="00932722"/>
    <w:rsid w:val="0095685E"/>
    <w:rsid w:val="00957D36"/>
    <w:rsid w:val="00961D74"/>
    <w:rsid w:val="00971121"/>
    <w:rsid w:val="00974E6F"/>
    <w:rsid w:val="00977637"/>
    <w:rsid w:val="00980649"/>
    <w:rsid w:val="009826D5"/>
    <w:rsid w:val="00984E4C"/>
    <w:rsid w:val="00985703"/>
    <w:rsid w:val="00986043"/>
    <w:rsid w:val="0099045F"/>
    <w:rsid w:val="00991EB0"/>
    <w:rsid w:val="009A6198"/>
    <w:rsid w:val="009B3FAA"/>
    <w:rsid w:val="009C33B1"/>
    <w:rsid w:val="009C4016"/>
    <w:rsid w:val="009D5659"/>
    <w:rsid w:val="009D597F"/>
    <w:rsid w:val="009E150B"/>
    <w:rsid w:val="009E159E"/>
    <w:rsid w:val="009E3AD7"/>
    <w:rsid w:val="009E3C9F"/>
    <w:rsid w:val="009E55CD"/>
    <w:rsid w:val="009E5F19"/>
    <w:rsid w:val="009F1F53"/>
    <w:rsid w:val="009F7A37"/>
    <w:rsid w:val="009F7AE4"/>
    <w:rsid w:val="00A05362"/>
    <w:rsid w:val="00A068E9"/>
    <w:rsid w:val="00A175B9"/>
    <w:rsid w:val="00A17EE3"/>
    <w:rsid w:val="00A20EAB"/>
    <w:rsid w:val="00A21961"/>
    <w:rsid w:val="00A23159"/>
    <w:rsid w:val="00A235E4"/>
    <w:rsid w:val="00A24E0B"/>
    <w:rsid w:val="00A331BF"/>
    <w:rsid w:val="00A417E9"/>
    <w:rsid w:val="00A42A34"/>
    <w:rsid w:val="00A52E98"/>
    <w:rsid w:val="00A55B33"/>
    <w:rsid w:val="00A568F6"/>
    <w:rsid w:val="00A5771A"/>
    <w:rsid w:val="00A815E8"/>
    <w:rsid w:val="00A823F6"/>
    <w:rsid w:val="00A85AB0"/>
    <w:rsid w:val="00A975E8"/>
    <w:rsid w:val="00AA206B"/>
    <w:rsid w:val="00AA6309"/>
    <w:rsid w:val="00AB3018"/>
    <w:rsid w:val="00AD4FB2"/>
    <w:rsid w:val="00AE549B"/>
    <w:rsid w:val="00AE62BA"/>
    <w:rsid w:val="00AE6943"/>
    <w:rsid w:val="00B060EE"/>
    <w:rsid w:val="00B11C82"/>
    <w:rsid w:val="00B1303F"/>
    <w:rsid w:val="00B14E56"/>
    <w:rsid w:val="00B22935"/>
    <w:rsid w:val="00B273EB"/>
    <w:rsid w:val="00B36304"/>
    <w:rsid w:val="00B379E8"/>
    <w:rsid w:val="00B40ED0"/>
    <w:rsid w:val="00B43A3A"/>
    <w:rsid w:val="00B53524"/>
    <w:rsid w:val="00B63068"/>
    <w:rsid w:val="00B736DB"/>
    <w:rsid w:val="00B741E7"/>
    <w:rsid w:val="00B751EE"/>
    <w:rsid w:val="00B8247A"/>
    <w:rsid w:val="00B85066"/>
    <w:rsid w:val="00B852BE"/>
    <w:rsid w:val="00B87EEC"/>
    <w:rsid w:val="00B96BEE"/>
    <w:rsid w:val="00B977B9"/>
    <w:rsid w:val="00BA121A"/>
    <w:rsid w:val="00BA305F"/>
    <w:rsid w:val="00BA5FE6"/>
    <w:rsid w:val="00BB0E02"/>
    <w:rsid w:val="00BB61B2"/>
    <w:rsid w:val="00BC1A3E"/>
    <w:rsid w:val="00BC2EFD"/>
    <w:rsid w:val="00BC48E2"/>
    <w:rsid w:val="00BC6017"/>
    <w:rsid w:val="00BD1B52"/>
    <w:rsid w:val="00BD5A6B"/>
    <w:rsid w:val="00BE62C8"/>
    <w:rsid w:val="00BF230D"/>
    <w:rsid w:val="00BF4181"/>
    <w:rsid w:val="00BF4278"/>
    <w:rsid w:val="00BF4832"/>
    <w:rsid w:val="00C14DF6"/>
    <w:rsid w:val="00C16A24"/>
    <w:rsid w:val="00C178B0"/>
    <w:rsid w:val="00C35F3B"/>
    <w:rsid w:val="00C37CA6"/>
    <w:rsid w:val="00C42C2A"/>
    <w:rsid w:val="00C453E6"/>
    <w:rsid w:val="00C74752"/>
    <w:rsid w:val="00C762E7"/>
    <w:rsid w:val="00C769D9"/>
    <w:rsid w:val="00C82E07"/>
    <w:rsid w:val="00C844B1"/>
    <w:rsid w:val="00C91805"/>
    <w:rsid w:val="00C97E54"/>
    <w:rsid w:val="00CA36AC"/>
    <w:rsid w:val="00CA404F"/>
    <w:rsid w:val="00CA7F83"/>
    <w:rsid w:val="00CB7FDF"/>
    <w:rsid w:val="00CC4F68"/>
    <w:rsid w:val="00CE1B34"/>
    <w:rsid w:val="00CF6FCF"/>
    <w:rsid w:val="00D011C9"/>
    <w:rsid w:val="00D0733A"/>
    <w:rsid w:val="00D07B13"/>
    <w:rsid w:val="00D12406"/>
    <w:rsid w:val="00D13D24"/>
    <w:rsid w:val="00D141EE"/>
    <w:rsid w:val="00D21266"/>
    <w:rsid w:val="00D26D50"/>
    <w:rsid w:val="00D27E2F"/>
    <w:rsid w:val="00D32550"/>
    <w:rsid w:val="00D35352"/>
    <w:rsid w:val="00D35B97"/>
    <w:rsid w:val="00D43CDA"/>
    <w:rsid w:val="00D4468C"/>
    <w:rsid w:val="00D545BC"/>
    <w:rsid w:val="00D631B0"/>
    <w:rsid w:val="00D64434"/>
    <w:rsid w:val="00D65302"/>
    <w:rsid w:val="00D75208"/>
    <w:rsid w:val="00D76577"/>
    <w:rsid w:val="00D810A6"/>
    <w:rsid w:val="00D82469"/>
    <w:rsid w:val="00D90FC8"/>
    <w:rsid w:val="00D918CC"/>
    <w:rsid w:val="00D96BFD"/>
    <w:rsid w:val="00DA4F18"/>
    <w:rsid w:val="00DB5E0A"/>
    <w:rsid w:val="00DC032F"/>
    <w:rsid w:val="00DC14BB"/>
    <w:rsid w:val="00DC2051"/>
    <w:rsid w:val="00DC21FC"/>
    <w:rsid w:val="00DC388F"/>
    <w:rsid w:val="00DD2933"/>
    <w:rsid w:val="00DF27D4"/>
    <w:rsid w:val="00DF3995"/>
    <w:rsid w:val="00DF3D5A"/>
    <w:rsid w:val="00E05F06"/>
    <w:rsid w:val="00E16DE8"/>
    <w:rsid w:val="00E23B0A"/>
    <w:rsid w:val="00E2567B"/>
    <w:rsid w:val="00E33D2A"/>
    <w:rsid w:val="00E34198"/>
    <w:rsid w:val="00E44230"/>
    <w:rsid w:val="00E55FF3"/>
    <w:rsid w:val="00E57173"/>
    <w:rsid w:val="00E62441"/>
    <w:rsid w:val="00E6508B"/>
    <w:rsid w:val="00E71209"/>
    <w:rsid w:val="00E7686A"/>
    <w:rsid w:val="00E8285C"/>
    <w:rsid w:val="00E97009"/>
    <w:rsid w:val="00EA0BF6"/>
    <w:rsid w:val="00EA374B"/>
    <w:rsid w:val="00EA5E35"/>
    <w:rsid w:val="00EA6B93"/>
    <w:rsid w:val="00EA723C"/>
    <w:rsid w:val="00EB1850"/>
    <w:rsid w:val="00EB248C"/>
    <w:rsid w:val="00EC4A52"/>
    <w:rsid w:val="00EE5ACA"/>
    <w:rsid w:val="00F01CDE"/>
    <w:rsid w:val="00F11702"/>
    <w:rsid w:val="00F174CE"/>
    <w:rsid w:val="00F20D21"/>
    <w:rsid w:val="00F3275A"/>
    <w:rsid w:val="00F356C2"/>
    <w:rsid w:val="00F3611E"/>
    <w:rsid w:val="00F36699"/>
    <w:rsid w:val="00F400EB"/>
    <w:rsid w:val="00F46794"/>
    <w:rsid w:val="00F6117F"/>
    <w:rsid w:val="00F70639"/>
    <w:rsid w:val="00F77F85"/>
    <w:rsid w:val="00F864E4"/>
    <w:rsid w:val="00F90694"/>
    <w:rsid w:val="00FA56A7"/>
    <w:rsid w:val="00FB36A0"/>
    <w:rsid w:val="00FC61FA"/>
    <w:rsid w:val="00FC74C4"/>
    <w:rsid w:val="00FF4DDF"/>
    <w:rsid w:val="00FF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268F"/>
  <w15:docId w15:val="{5A5DE955-9AB2-4765-A3B9-46CF87FC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62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662F"/>
    <w:rPr>
      <w:color w:val="0000FF"/>
      <w:u w:val="single"/>
    </w:rPr>
  </w:style>
  <w:style w:type="character" w:styleId="CommentReference">
    <w:name w:val="annotation reference"/>
    <w:semiHidden/>
    <w:unhideWhenUsed/>
    <w:rsid w:val="00182A51"/>
    <w:rPr>
      <w:sz w:val="16"/>
      <w:szCs w:val="16"/>
    </w:rPr>
  </w:style>
  <w:style w:type="paragraph" w:styleId="CommentText">
    <w:name w:val="annotation text"/>
    <w:basedOn w:val="Normal"/>
    <w:link w:val="CommentTextChar"/>
    <w:uiPriority w:val="99"/>
    <w:semiHidden/>
    <w:unhideWhenUsed/>
    <w:rsid w:val="00182A51"/>
    <w:rPr>
      <w:sz w:val="20"/>
      <w:szCs w:val="20"/>
    </w:rPr>
  </w:style>
  <w:style w:type="character" w:customStyle="1" w:styleId="CommentTextChar">
    <w:name w:val="Comment Text Char"/>
    <w:link w:val="CommentText"/>
    <w:uiPriority w:val="99"/>
    <w:semiHidden/>
    <w:rsid w:val="00182A5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82A51"/>
    <w:rPr>
      <w:b/>
      <w:bCs/>
    </w:rPr>
  </w:style>
  <w:style w:type="character" w:customStyle="1" w:styleId="CommentSubjectChar">
    <w:name w:val="Comment Subject Char"/>
    <w:link w:val="CommentSubject"/>
    <w:uiPriority w:val="99"/>
    <w:semiHidden/>
    <w:rsid w:val="00182A51"/>
    <w:rPr>
      <w:rFonts w:ascii="Times New Roman" w:eastAsia="Times New Roman" w:hAnsi="Times New Roman"/>
      <w:b/>
      <w:bCs/>
    </w:rPr>
  </w:style>
  <w:style w:type="paragraph" w:styleId="BalloonText">
    <w:name w:val="Balloon Text"/>
    <w:basedOn w:val="Normal"/>
    <w:link w:val="BalloonTextChar"/>
    <w:uiPriority w:val="99"/>
    <w:semiHidden/>
    <w:unhideWhenUsed/>
    <w:rsid w:val="00182A51"/>
    <w:rPr>
      <w:rFonts w:ascii="Segoe UI" w:hAnsi="Segoe UI"/>
      <w:sz w:val="18"/>
      <w:szCs w:val="18"/>
    </w:rPr>
  </w:style>
  <w:style w:type="character" w:customStyle="1" w:styleId="BalloonTextChar">
    <w:name w:val="Balloon Text Char"/>
    <w:link w:val="BalloonText"/>
    <w:uiPriority w:val="99"/>
    <w:semiHidden/>
    <w:rsid w:val="00182A51"/>
    <w:rPr>
      <w:rFonts w:ascii="Segoe UI" w:eastAsia="Times New Roman" w:hAnsi="Segoe UI" w:cs="Segoe UI"/>
      <w:sz w:val="18"/>
      <w:szCs w:val="18"/>
    </w:rPr>
  </w:style>
  <w:style w:type="character" w:customStyle="1" w:styleId="groupname">
    <w:name w:val="groupname"/>
    <w:rsid w:val="00C453E6"/>
  </w:style>
  <w:style w:type="character" w:customStyle="1" w:styleId="apple-converted-space">
    <w:name w:val="apple-converted-space"/>
    <w:rsid w:val="00C453E6"/>
  </w:style>
  <w:style w:type="character" w:customStyle="1" w:styleId="othertitle">
    <w:name w:val="othertitle"/>
    <w:rsid w:val="00C453E6"/>
  </w:style>
  <w:style w:type="character" w:customStyle="1" w:styleId="pubyear">
    <w:name w:val="pubyear"/>
    <w:rsid w:val="00C453E6"/>
  </w:style>
  <w:style w:type="character" w:customStyle="1" w:styleId="author">
    <w:name w:val="author"/>
    <w:rsid w:val="00C453E6"/>
  </w:style>
  <w:style w:type="character" w:customStyle="1" w:styleId="articletitle">
    <w:name w:val="articletitle"/>
    <w:rsid w:val="00D12406"/>
  </w:style>
  <w:style w:type="character" w:customStyle="1" w:styleId="journaltitle">
    <w:name w:val="journaltitle"/>
    <w:rsid w:val="00D12406"/>
  </w:style>
  <w:style w:type="character" w:customStyle="1" w:styleId="vol">
    <w:name w:val="vol"/>
    <w:rsid w:val="00D12406"/>
  </w:style>
  <w:style w:type="character" w:customStyle="1" w:styleId="pagefirst">
    <w:name w:val="pagefirst"/>
    <w:rsid w:val="00D12406"/>
  </w:style>
  <w:style w:type="character" w:customStyle="1" w:styleId="pagelast">
    <w:name w:val="pagelast"/>
    <w:rsid w:val="00D12406"/>
  </w:style>
  <w:style w:type="paragraph" w:styleId="NormalWeb">
    <w:name w:val="Normal (Web)"/>
    <w:basedOn w:val="Normal"/>
    <w:uiPriority w:val="99"/>
    <w:rsid w:val="00C769D9"/>
    <w:pPr>
      <w:spacing w:before="100" w:beforeAutospacing="1" w:after="100" w:afterAutospacing="1"/>
    </w:pPr>
    <w:rPr>
      <w:color w:val="000033"/>
    </w:rPr>
  </w:style>
  <w:style w:type="paragraph" w:customStyle="1" w:styleId="MediumShading1-Accent21">
    <w:name w:val="Medium Shading 1 - Accent 21"/>
    <w:uiPriority w:val="1"/>
    <w:qFormat/>
    <w:rsid w:val="00C769D9"/>
    <w:rPr>
      <w:sz w:val="22"/>
      <w:szCs w:val="22"/>
    </w:rPr>
  </w:style>
  <w:style w:type="paragraph" w:styleId="Revision">
    <w:name w:val="Revision"/>
    <w:hidden/>
    <w:uiPriority w:val="99"/>
    <w:semiHidden/>
    <w:rsid w:val="00724CD7"/>
    <w:rPr>
      <w:rFonts w:ascii="Times New Roman" w:eastAsia="Times New Roman" w:hAnsi="Times New Roman"/>
      <w:sz w:val="24"/>
      <w:szCs w:val="24"/>
    </w:rPr>
  </w:style>
  <w:style w:type="character" w:styleId="FollowedHyperlink">
    <w:name w:val="FollowedHyperlink"/>
    <w:uiPriority w:val="99"/>
    <w:semiHidden/>
    <w:unhideWhenUsed/>
    <w:rsid w:val="003220F9"/>
    <w:rPr>
      <w:color w:val="800080"/>
      <w:u w:val="single"/>
    </w:rPr>
  </w:style>
  <w:style w:type="character" w:styleId="LineNumber">
    <w:name w:val="line number"/>
    <w:basedOn w:val="DefaultParagraphFont"/>
    <w:uiPriority w:val="99"/>
    <w:semiHidden/>
    <w:unhideWhenUsed/>
    <w:rsid w:val="00CF6FCF"/>
  </w:style>
  <w:style w:type="paragraph" w:styleId="Header">
    <w:name w:val="header"/>
    <w:basedOn w:val="Normal"/>
    <w:link w:val="HeaderChar"/>
    <w:uiPriority w:val="99"/>
    <w:unhideWhenUsed/>
    <w:rsid w:val="008D6519"/>
    <w:pPr>
      <w:tabs>
        <w:tab w:val="center" w:pos="4680"/>
        <w:tab w:val="right" w:pos="9360"/>
      </w:tabs>
    </w:pPr>
  </w:style>
  <w:style w:type="character" w:customStyle="1" w:styleId="HeaderChar">
    <w:name w:val="Header Char"/>
    <w:link w:val="Header"/>
    <w:uiPriority w:val="99"/>
    <w:rsid w:val="008D6519"/>
    <w:rPr>
      <w:rFonts w:ascii="Times New Roman" w:eastAsia="Times New Roman" w:hAnsi="Times New Roman"/>
      <w:sz w:val="24"/>
      <w:szCs w:val="24"/>
    </w:rPr>
  </w:style>
  <w:style w:type="paragraph" w:styleId="Footer">
    <w:name w:val="footer"/>
    <w:basedOn w:val="Normal"/>
    <w:link w:val="FooterChar"/>
    <w:uiPriority w:val="99"/>
    <w:unhideWhenUsed/>
    <w:rsid w:val="008D6519"/>
    <w:pPr>
      <w:tabs>
        <w:tab w:val="center" w:pos="4680"/>
        <w:tab w:val="right" w:pos="9360"/>
      </w:tabs>
    </w:pPr>
  </w:style>
  <w:style w:type="character" w:customStyle="1" w:styleId="FooterChar">
    <w:name w:val="Footer Char"/>
    <w:link w:val="Footer"/>
    <w:uiPriority w:val="99"/>
    <w:rsid w:val="008D6519"/>
    <w:rPr>
      <w:rFonts w:ascii="Times New Roman" w:eastAsia="Times New Roman" w:hAnsi="Times New Roman"/>
      <w:sz w:val="24"/>
      <w:szCs w:val="24"/>
    </w:rPr>
  </w:style>
  <w:style w:type="paragraph" w:styleId="NoSpacing">
    <w:name w:val="No Spacing"/>
    <w:uiPriority w:val="1"/>
    <w:qFormat/>
    <w:rsid w:val="001F44D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95165">
      <w:bodyDiv w:val="1"/>
      <w:marLeft w:val="0"/>
      <w:marRight w:val="0"/>
      <w:marTop w:val="0"/>
      <w:marBottom w:val="0"/>
      <w:divBdr>
        <w:top w:val="none" w:sz="0" w:space="0" w:color="auto"/>
        <w:left w:val="none" w:sz="0" w:space="0" w:color="auto"/>
        <w:bottom w:val="none" w:sz="0" w:space="0" w:color="auto"/>
        <w:right w:val="none" w:sz="0" w:space="0" w:color="auto"/>
      </w:divBdr>
      <w:divsChild>
        <w:div w:id="2068644056">
          <w:marLeft w:val="0"/>
          <w:marRight w:val="0"/>
          <w:marTop w:val="0"/>
          <w:marBottom w:val="0"/>
          <w:divBdr>
            <w:top w:val="none" w:sz="0" w:space="0" w:color="auto"/>
            <w:left w:val="none" w:sz="0" w:space="0" w:color="auto"/>
            <w:bottom w:val="none" w:sz="0" w:space="0" w:color="auto"/>
            <w:right w:val="none" w:sz="0" w:space="0" w:color="auto"/>
          </w:divBdr>
          <w:divsChild>
            <w:div w:id="247927928">
              <w:marLeft w:val="0"/>
              <w:marRight w:val="0"/>
              <w:marTop w:val="0"/>
              <w:marBottom w:val="0"/>
              <w:divBdr>
                <w:top w:val="none" w:sz="0" w:space="0" w:color="auto"/>
                <w:left w:val="none" w:sz="0" w:space="0" w:color="auto"/>
                <w:bottom w:val="none" w:sz="0" w:space="0" w:color="auto"/>
                <w:right w:val="none" w:sz="0" w:space="0" w:color="auto"/>
              </w:divBdr>
              <w:divsChild>
                <w:div w:id="138350823">
                  <w:marLeft w:val="0"/>
                  <w:marRight w:val="0"/>
                  <w:marTop w:val="0"/>
                  <w:marBottom w:val="0"/>
                  <w:divBdr>
                    <w:top w:val="none" w:sz="0" w:space="0" w:color="auto"/>
                    <w:left w:val="none" w:sz="0" w:space="0" w:color="auto"/>
                    <w:bottom w:val="none" w:sz="0" w:space="0" w:color="auto"/>
                    <w:right w:val="none" w:sz="0" w:space="0" w:color="auto"/>
                  </w:divBdr>
                  <w:divsChild>
                    <w:div w:id="2058889840">
                      <w:marLeft w:val="0"/>
                      <w:marRight w:val="0"/>
                      <w:marTop w:val="0"/>
                      <w:marBottom w:val="0"/>
                      <w:divBdr>
                        <w:top w:val="none" w:sz="0" w:space="0" w:color="auto"/>
                        <w:left w:val="none" w:sz="0" w:space="0" w:color="auto"/>
                        <w:bottom w:val="none" w:sz="0" w:space="0" w:color="auto"/>
                        <w:right w:val="none" w:sz="0" w:space="0" w:color="auto"/>
                      </w:divBdr>
                      <w:divsChild>
                        <w:div w:id="2088113912">
                          <w:marLeft w:val="0"/>
                          <w:marRight w:val="0"/>
                          <w:marTop w:val="0"/>
                          <w:marBottom w:val="0"/>
                          <w:divBdr>
                            <w:top w:val="none" w:sz="0" w:space="0" w:color="auto"/>
                            <w:left w:val="none" w:sz="0" w:space="0" w:color="auto"/>
                            <w:bottom w:val="none" w:sz="0" w:space="0" w:color="auto"/>
                            <w:right w:val="none" w:sz="0" w:space="0" w:color="auto"/>
                          </w:divBdr>
                          <w:divsChild>
                            <w:div w:id="1365449052">
                              <w:marLeft w:val="0"/>
                              <w:marRight w:val="0"/>
                              <w:marTop w:val="0"/>
                              <w:marBottom w:val="0"/>
                              <w:divBdr>
                                <w:top w:val="none" w:sz="0" w:space="0" w:color="auto"/>
                                <w:left w:val="none" w:sz="0" w:space="0" w:color="auto"/>
                                <w:bottom w:val="none" w:sz="0" w:space="0" w:color="auto"/>
                                <w:right w:val="none" w:sz="0" w:space="0" w:color="auto"/>
                              </w:divBdr>
                              <w:divsChild>
                                <w:div w:id="886525226">
                                  <w:marLeft w:val="0"/>
                                  <w:marRight w:val="0"/>
                                  <w:marTop w:val="0"/>
                                  <w:marBottom w:val="0"/>
                                  <w:divBdr>
                                    <w:top w:val="none" w:sz="0" w:space="0" w:color="auto"/>
                                    <w:left w:val="none" w:sz="0" w:space="0" w:color="auto"/>
                                    <w:bottom w:val="none" w:sz="0" w:space="0" w:color="auto"/>
                                    <w:right w:val="none" w:sz="0" w:space="0" w:color="auto"/>
                                  </w:divBdr>
                                  <w:divsChild>
                                    <w:div w:id="258953273">
                                      <w:marLeft w:val="0"/>
                                      <w:marRight w:val="0"/>
                                      <w:marTop w:val="0"/>
                                      <w:marBottom w:val="0"/>
                                      <w:divBdr>
                                        <w:top w:val="none" w:sz="0" w:space="0" w:color="auto"/>
                                        <w:left w:val="none" w:sz="0" w:space="0" w:color="auto"/>
                                        <w:bottom w:val="none" w:sz="0" w:space="0" w:color="auto"/>
                                        <w:right w:val="none" w:sz="0" w:space="0" w:color="auto"/>
                                      </w:divBdr>
                                      <w:divsChild>
                                        <w:div w:id="1218854007">
                                          <w:marLeft w:val="0"/>
                                          <w:marRight w:val="0"/>
                                          <w:marTop w:val="0"/>
                                          <w:marBottom w:val="0"/>
                                          <w:divBdr>
                                            <w:top w:val="none" w:sz="0" w:space="0" w:color="auto"/>
                                            <w:left w:val="none" w:sz="0" w:space="0" w:color="auto"/>
                                            <w:bottom w:val="none" w:sz="0" w:space="0" w:color="auto"/>
                                            <w:right w:val="none" w:sz="0" w:space="0" w:color="auto"/>
                                          </w:divBdr>
                                          <w:divsChild>
                                            <w:div w:id="1492016978">
                                              <w:marLeft w:val="0"/>
                                              <w:marRight w:val="0"/>
                                              <w:marTop w:val="0"/>
                                              <w:marBottom w:val="0"/>
                                              <w:divBdr>
                                                <w:top w:val="none" w:sz="0" w:space="0" w:color="auto"/>
                                                <w:left w:val="none" w:sz="0" w:space="0" w:color="auto"/>
                                                <w:bottom w:val="none" w:sz="0" w:space="0" w:color="auto"/>
                                                <w:right w:val="none" w:sz="0" w:space="0" w:color="auto"/>
                                              </w:divBdr>
                                              <w:divsChild>
                                                <w:div w:id="17922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914125">
      <w:bodyDiv w:val="1"/>
      <w:marLeft w:val="0"/>
      <w:marRight w:val="0"/>
      <w:marTop w:val="0"/>
      <w:marBottom w:val="0"/>
      <w:divBdr>
        <w:top w:val="none" w:sz="0" w:space="0" w:color="auto"/>
        <w:left w:val="none" w:sz="0" w:space="0" w:color="auto"/>
        <w:bottom w:val="none" w:sz="0" w:space="0" w:color="auto"/>
        <w:right w:val="none" w:sz="0" w:space="0" w:color="auto"/>
      </w:divBdr>
    </w:div>
    <w:div w:id="164747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primack@pit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4074C-E61A-4065-BCA3-68392535E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32884</Words>
  <Characters>187440</Characters>
  <Application>Microsoft Office Word</Application>
  <DocSecurity>0</DocSecurity>
  <Lines>1562</Lines>
  <Paragraphs>439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219885</CharactersWithSpaces>
  <SharedDoc>false</SharedDoc>
  <HLinks>
    <vt:vector size="6" baseType="variant">
      <vt:variant>
        <vt:i4>3211287</vt:i4>
      </vt:variant>
      <vt:variant>
        <vt:i4>0</vt:i4>
      </vt:variant>
      <vt:variant>
        <vt:i4>0</vt:i4>
      </vt:variant>
      <vt:variant>
        <vt:i4>5</vt:i4>
      </vt:variant>
      <vt:variant>
        <vt:lpwstr>mailto:bprimack@pitt.edu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Primack</dc:creator>
  <cp:lastModifiedBy>Woods, Michelle Susan</cp:lastModifiedBy>
  <cp:revision>2</cp:revision>
  <dcterms:created xsi:type="dcterms:W3CDTF">2018-10-16T14:26:00Z</dcterms:created>
  <dcterms:modified xsi:type="dcterms:W3CDTF">2018-10-16T14:26:00Z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bprimack@pitt.edu@www.mendeley.com</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http://csl.mendeley.com/styles/279658691/Health-Education-Research</vt:lpwstr>
  </property>
  <property fmtid="{D5CDD505-2E9C-101B-9397-08002B2CF9AE}" pid="9" name="Mendeley Recent Style Name 2_1">
    <vt:lpwstr>Health Education Research</vt:lpwstr>
  </property>
  <property fmtid="{D5CDD505-2E9C-101B-9397-08002B2CF9AE}" pid="10" name="Mendeley Recent Style Id 3_1">
    <vt:lpwstr>http://www.zotero.org/styles/ieee</vt:lpwstr>
  </property>
  <property fmtid="{D5CDD505-2E9C-101B-9397-08002B2CF9AE}" pid="11" name="Mendeley Recent Style Name 3_1">
    <vt:lpwstr>IEEE</vt:lpwstr>
  </property>
  <property fmtid="{D5CDD505-2E9C-101B-9397-08002B2CF9AE}" pid="12" name="Mendeley Recent Style Id 4_1">
    <vt:lpwstr>http://csl.mendeley.com/styles/21715201/journal-of-studies-on-alcohol-and-drugs-3</vt:lpwstr>
  </property>
  <property fmtid="{D5CDD505-2E9C-101B-9397-08002B2CF9AE}" pid="13" name="Mendeley Recent Style Name 4_1">
    <vt:lpwstr>Journal of Studies on Alcohol and Drugs - PROMH Account</vt:lpwstr>
  </property>
  <property fmtid="{D5CDD505-2E9C-101B-9397-08002B2CF9AE}" pid="14" name="Mendeley Recent Style Id 5_1">
    <vt:lpwstr>http://csl.mendeley.com/styles/21715201/NIH-grant-2014</vt:lpwstr>
  </property>
  <property fmtid="{D5CDD505-2E9C-101B-9397-08002B2CF9AE}" pid="15" name="Mendeley Recent Style Name 5_1">
    <vt:lpwstr>PROMH NIH - PROMH Account</vt:lpwstr>
  </property>
  <property fmtid="{D5CDD505-2E9C-101B-9397-08002B2CF9AE}" pid="16" name="Mendeley Recent Style Id 6_1">
    <vt:lpwstr>http://www.zotero.org/styles/pediatrics</vt:lpwstr>
  </property>
  <property fmtid="{D5CDD505-2E9C-101B-9397-08002B2CF9AE}" pid="17" name="Mendeley Recent Style Name 6_1">
    <vt:lpwstr>Pediatrics</vt:lpwstr>
  </property>
  <property fmtid="{D5CDD505-2E9C-101B-9397-08002B2CF9AE}" pid="18" name="Mendeley Recent Style Id 7_1">
    <vt:lpwstr>http://www.zotero.org/styles/the-new-england-journal-of-medicine</vt:lpwstr>
  </property>
  <property fmtid="{D5CDD505-2E9C-101B-9397-08002B2CF9AE}" pid="19" name="Mendeley Recent Style Name 7_1">
    <vt:lpwstr>The New England Journal of Medicine</vt:lpwstr>
  </property>
  <property fmtid="{D5CDD505-2E9C-101B-9397-08002B2CF9AE}" pid="20" name="Mendeley Recent Style Id 8_1">
    <vt:lpwstr>http://www.zotero.org/styles/vancouver</vt:lpwstr>
  </property>
  <property fmtid="{D5CDD505-2E9C-101B-9397-08002B2CF9AE}" pid="21" name="Mendeley Recent Style Name 8_1">
    <vt:lpwstr>Vancouver</vt:lpwstr>
  </property>
  <property fmtid="{D5CDD505-2E9C-101B-9397-08002B2CF9AE}" pid="22" name="Mendeley Recent Style Id 9_1">
    <vt:lpwstr>http://csl.mendeley.com/styles/279658691/vancouver</vt:lpwstr>
  </property>
  <property fmtid="{D5CDD505-2E9C-101B-9397-08002B2CF9AE}" pid="23" name="Mendeley Recent Style Name 9_1">
    <vt:lpwstr>Vancouver variant for 'Depression and Anxiety' - Leila Giles</vt:lpwstr>
  </property>
  <property fmtid="{D5CDD505-2E9C-101B-9397-08002B2CF9AE}" pid="24" name="Mendeley Citation Style_1">
    <vt:lpwstr>http://www.zotero.org/styles/apa</vt:lpwstr>
  </property>
</Properties>
</file>