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3531" w14:textId="6921E93D" w:rsidR="004E3B59" w:rsidRDefault="00CB75B6" w:rsidP="00BF2B29">
      <w:pPr>
        <w:ind w:firstLine="0"/>
      </w:pPr>
      <w:bookmarkStart w:id="0" w:name="_GoBack"/>
      <w:bookmarkEnd w:id="0"/>
      <w:r>
        <w:rPr>
          <w:noProof/>
        </w:rPr>
        <mc:AlternateContent>
          <mc:Choice Requires="wps">
            <w:drawing>
              <wp:anchor distT="0" distB="0" distL="114300" distR="114300" simplePos="0" relativeHeight="251656192" behindDoc="0" locked="0" layoutInCell="1" allowOverlap="1" wp14:anchorId="7FF18606" wp14:editId="37A6F5DB">
                <wp:simplePos x="0" y="0"/>
                <wp:positionH relativeFrom="page">
                  <wp:posOffset>914400</wp:posOffset>
                </wp:positionH>
                <wp:positionV relativeFrom="page">
                  <wp:posOffset>1143000</wp:posOffset>
                </wp:positionV>
                <wp:extent cx="5943600" cy="8105775"/>
                <wp:effectExtent l="0" t="0" r="0" b="9525"/>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0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A6D63" w14:textId="11D86E8D" w:rsidR="005F16D3" w:rsidRDefault="005F16D3" w:rsidP="00536110">
                            <w:pPr>
                              <w:spacing w:line="240" w:lineRule="auto"/>
                              <w:ind w:firstLine="0"/>
                              <w:jc w:val="center"/>
                              <w:rPr>
                                <w:b/>
                              </w:rPr>
                            </w:pPr>
                            <w:r>
                              <w:rPr>
                                <w:b/>
                              </w:rPr>
                              <w:t>EXAMINING THE EFFECT OF INORGANIC ARSENIC EXPOSURE ON MUSCLE MASS USING THE NATIONAL HEALTH AND NUTRITION SURVEY</w:t>
                            </w:r>
                          </w:p>
                          <w:p w14:paraId="3715C561" w14:textId="5DDEA8DB" w:rsidR="005F16D3" w:rsidRDefault="005F16D3" w:rsidP="00536110">
                            <w:pPr>
                              <w:spacing w:line="240" w:lineRule="auto"/>
                              <w:ind w:firstLine="0"/>
                              <w:jc w:val="center"/>
                              <w:rPr>
                                <w:b/>
                              </w:rPr>
                            </w:pPr>
                          </w:p>
                          <w:p w14:paraId="4200CFCC" w14:textId="343090B7" w:rsidR="005F16D3" w:rsidRDefault="005F16D3" w:rsidP="00536110">
                            <w:pPr>
                              <w:spacing w:line="240" w:lineRule="auto"/>
                              <w:ind w:firstLine="0"/>
                              <w:jc w:val="center"/>
                              <w:rPr>
                                <w:b/>
                              </w:rPr>
                            </w:pPr>
                          </w:p>
                          <w:p w14:paraId="462C7A85" w14:textId="33652971" w:rsidR="005F16D3" w:rsidRDefault="005F16D3" w:rsidP="00536110">
                            <w:pPr>
                              <w:spacing w:line="240" w:lineRule="auto"/>
                              <w:ind w:firstLine="0"/>
                              <w:jc w:val="center"/>
                              <w:rPr>
                                <w:b/>
                              </w:rPr>
                            </w:pPr>
                          </w:p>
                          <w:p w14:paraId="4AF3A7D2" w14:textId="0079FFFB" w:rsidR="005F16D3" w:rsidRDefault="005F16D3" w:rsidP="00536110">
                            <w:pPr>
                              <w:spacing w:line="240" w:lineRule="auto"/>
                              <w:ind w:firstLine="0"/>
                              <w:jc w:val="center"/>
                              <w:rPr>
                                <w:b/>
                              </w:rPr>
                            </w:pPr>
                          </w:p>
                          <w:p w14:paraId="0A8030EC" w14:textId="538F6277" w:rsidR="005F16D3" w:rsidRDefault="005F16D3" w:rsidP="00536110">
                            <w:pPr>
                              <w:spacing w:line="240" w:lineRule="auto"/>
                              <w:ind w:firstLine="0"/>
                              <w:jc w:val="center"/>
                              <w:rPr>
                                <w:b/>
                              </w:rPr>
                            </w:pPr>
                          </w:p>
                          <w:p w14:paraId="3EC15DFA" w14:textId="3B0B2186" w:rsidR="002731E6" w:rsidRDefault="002731E6" w:rsidP="00536110">
                            <w:pPr>
                              <w:spacing w:line="240" w:lineRule="auto"/>
                              <w:ind w:firstLine="0"/>
                              <w:jc w:val="center"/>
                              <w:rPr>
                                <w:b/>
                              </w:rPr>
                            </w:pPr>
                          </w:p>
                          <w:p w14:paraId="3511EC58" w14:textId="0BA4BD92" w:rsidR="002731E6" w:rsidRDefault="002731E6" w:rsidP="00536110">
                            <w:pPr>
                              <w:spacing w:line="240" w:lineRule="auto"/>
                              <w:ind w:firstLine="0"/>
                              <w:jc w:val="center"/>
                              <w:rPr>
                                <w:b/>
                              </w:rPr>
                            </w:pPr>
                          </w:p>
                          <w:p w14:paraId="4A093619" w14:textId="77777777" w:rsidR="002731E6" w:rsidRDefault="002731E6" w:rsidP="00536110">
                            <w:pPr>
                              <w:spacing w:line="240" w:lineRule="auto"/>
                              <w:ind w:firstLine="0"/>
                              <w:jc w:val="center"/>
                              <w:rPr>
                                <w:b/>
                              </w:rPr>
                            </w:pPr>
                          </w:p>
                          <w:p w14:paraId="72E1821B" w14:textId="77777777" w:rsidR="005F16D3" w:rsidRDefault="005F16D3" w:rsidP="00536110">
                            <w:pPr>
                              <w:spacing w:line="240" w:lineRule="auto"/>
                              <w:ind w:firstLine="0"/>
                              <w:jc w:val="center"/>
                              <w:rPr>
                                <w:b/>
                              </w:rPr>
                            </w:pPr>
                          </w:p>
                          <w:p w14:paraId="504944BD" w14:textId="77777777" w:rsidR="005F16D3" w:rsidRDefault="005F16D3" w:rsidP="00B57E9B">
                            <w:pPr>
                              <w:ind w:firstLine="0"/>
                              <w:jc w:val="center"/>
                            </w:pPr>
                            <w:r>
                              <w:t>by</w:t>
                            </w:r>
                          </w:p>
                          <w:p w14:paraId="25DED51D" w14:textId="77777777" w:rsidR="005F16D3" w:rsidRDefault="005F16D3" w:rsidP="00B57E9B">
                            <w:pPr>
                              <w:ind w:firstLine="0"/>
                              <w:jc w:val="center"/>
                            </w:pPr>
                            <w:r>
                              <w:t>Mikaela Kosich</w:t>
                            </w:r>
                          </w:p>
                          <w:p w14:paraId="471BFF5B" w14:textId="120FF9F0" w:rsidR="005F16D3" w:rsidRDefault="00875353" w:rsidP="00536110">
                            <w:pPr>
                              <w:spacing w:line="240" w:lineRule="auto"/>
                              <w:ind w:firstLine="0"/>
                              <w:jc w:val="center"/>
                            </w:pPr>
                            <w:r>
                              <w:t xml:space="preserve">BS, Computational Chemistry and Sociology, Harvey </w:t>
                            </w:r>
                            <w:proofErr w:type="spellStart"/>
                            <w:r>
                              <w:t>Mudd</w:t>
                            </w:r>
                            <w:proofErr w:type="spellEnd"/>
                            <w:r>
                              <w:t xml:space="preserve"> College, 2016</w:t>
                            </w:r>
                          </w:p>
                          <w:p w14:paraId="182016FC" w14:textId="77777777" w:rsidR="005F16D3" w:rsidRPr="00834193" w:rsidRDefault="005F16D3" w:rsidP="00536110">
                            <w:pPr>
                              <w:spacing w:line="240" w:lineRule="auto"/>
                              <w:ind w:firstLine="0"/>
                              <w:jc w:val="center"/>
                              <w:rPr>
                                <w:noProof/>
                              </w:rPr>
                            </w:pPr>
                          </w:p>
                          <w:p w14:paraId="221E7B9E" w14:textId="77777777" w:rsidR="005F16D3" w:rsidRDefault="005F16D3" w:rsidP="00536110">
                            <w:pPr>
                              <w:spacing w:line="240" w:lineRule="auto"/>
                              <w:ind w:firstLine="0"/>
                              <w:jc w:val="center"/>
                              <w:rPr>
                                <w:b/>
                              </w:rPr>
                            </w:pPr>
                          </w:p>
                          <w:p w14:paraId="06792D7A" w14:textId="77777777" w:rsidR="005F16D3" w:rsidRDefault="005F16D3" w:rsidP="00536110">
                            <w:pPr>
                              <w:spacing w:line="240" w:lineRule="auto"/>
                              <w:ind w:firstLine="0"/>
                              <w:jc w:val="center"/>
                              <w:rPr>
                                <w:b/>
                              </w:rPr>
                            </w:pPr>
                          </w:p>
                          <w:p w14:paraId="71D242F6" w14:textId="77777777" w:rsidR="005F16D3" w:rsidRDefault="005F16D3" w:rsidP="00536110">
                            <w:pPr>
                              <w:spacing w:line="240" w:lineRule="auto"/>
                              <w:ind w:firstLine="0"/>
                              <w:jc w:val="center"/>
                              <w:rPr>
                                <w:b/>
                              </w:rPr>
                            </w:pPr>
                          </w:p>
                          <w:p w14:paraId="2A5FC690" w14:textId="77777777" w:rsidR="005F16D3" w:rsidRDefault="005F16D3" w:rsidP="00536110">
                            <w:pPr>
                              <w:spacing w:line="240" w:lineRule="auto"/>
                              <w:ind w:firstLine="0"/>
                              <w:jc w:val="center"/>
                              <w:rPr>
                                <w:b/>
                              </w:rPr>
                            </w:pPr>
                          </w:p>
                          <w:p w14:paraId="37514B12" w14:textId="77777777" w:rsidR="005F16D3" w:rsidRDefault="005F16D3" w:rsidP="00536110">
                            <w:pPr>
                              <w:spacing w:line="240" w:lineRule="auto"/>
                              <w:ind w:firstLine="0"/>
                              <w:jc w:val="center"/>
                              <w:rPr>
                                <w:b/>
                              </w:rPr>
                            </w:pPr>
                          </w:p>
                          <w:p w14:paraId="44B9B353" w14:textId="77777777" w:rsidR="005F16D3" w:rsidRDefault="005F16D3" w:rsidP="00536110">
                            <w:pPr>
                              <w:spacing w:line="240" w:lineRule="auto"/>
                              <w:ind w:firstLine="0"/>
                              <w:jc w:val="center"/>
                              <w:rPr>
                                <w:b/>
                              </w:rPr>
                            </w:pPr>
                          </w:p>
                          <w:p w14:paraId="12CDDFF1" w14:textId="6BE87F8A" w:rsidR="005F16D3" w:rsidRDefault="005F16D3" w:rsidP="00914852">
                            <w:pPr>
                              <w:ind w:firstLine="0"/>
                              <w:jc w:val="center"/>
                            </w:pPr>
                            <w:r>
                              <w:t>Submitted to the Graduate Faculty of</w:t>
                            </w:r>
                          </w:p>
                          <w:p w14:paraId="5171CCFD" w14:textId="3BB2686D" w:rsidR="00CB6734" w:rsidRDefault="00CB6734" w:rsidP="00914852">
                            <w:pPr>
                              <w:ind w:firstLine="0"/>
                              <w:jc w:val="center"/>
                            </w:pPr>
                            <w:r>
                              <w:t>the Department of Epidemiology</w:t>
                            </w:r>
                          </w:p>
                          <w:p w14:paraId="7F14DDD7" w14:textId="77777777" w:rsidR="005F16D3" w:rsidRDefault="005F16D3" w:rsidP="00914852">
                            <w:pPr>
                              <w:ind w:firstLine="0"/>
                              <w:jc w:val="center"/>
                            </w:pPr>
                            <w:r>
                              <w:t xml:space="preserve">Graduate School of Public Health in partial fulfillment </w:t>
                            </w:r>
                          </w:p>
                          <w:p w14:paraId="5E8F7146" w14:textId="77777777" w:rsidR="005F16D3" w:rsidRDefault="005F16D3" w:rsidP="00914852">
                            <w:pPr>
                              <w:ind w:firstLine="0"/>
                              <w:jc w:val="center"/>
                            </w:pPr>
                            <w:r>
                              <w:t>of the requirements for the degree of</w:t>
                            </w:r>
                          </w:p>
                          <w:p w14:paraId="3FF9611F" w14:textId="77777777" w:rsidR="005F16D3" w:rsidRDefault="005F16D3" w:rsidP="00914852">
                            <w:pPr>
                              <w:spacing w:line="240" w:lineRule="auto"/>
                              <w:ind w:firstLine="0"/>
                              <w:jc w:val="center"/>
                            </w:pPr>
                            <w:r>
                              <w:t>Master of Public Health</w:t>
                            </w:r>
                          </w:p>
                          <w:p w14:paraId="2321636D" w14:textId="77777777" w:rsidR="005F16D3" w:rsidRDefault="005F16D3" w:rsidP="00536110">
                            <w:pPr>
                              <w:spacing w:line="240" w:lineRule="auto"/>
                              <w:ind w:firstLine="0"/>
                              <w:jc w:val="center"/>
                              <w:rPr>
                                <w:b/>
                              </w:rPr>
                            </w:pPr>
                          </w:p>
                          <w:p w14:paraId="52F01221" w14:textId="47F7569C" w:rsidR="005F16D3" w:rsidRDefault="005F16D3" w:rsidP="00536110">
                            <w:pPr>
                              <w:spacing w:line="240" w:lineRule="auto"/>
                              <w:ind w:firstLine="0"/>
                              <w:jc w:val="center"/>
                              <w:rPr>
                                <w:b/>
                              </w:rPr>
                            </w:pPr>
                          </w:p>
                          <w:p w14:paraId="76C26E05" w14:textId="068F67DC" w:rsidR="005F16D3" w:rsidRDefault="005F16D3" w:rsidP="00536110">
                            <w:pPr>
                              <w:spacing w:line="240" w:lineRule="auto"/>
                              <w:ind w:firstLine="0"/>
                              <w:jc w:val="center"/>
                              <w:rPr>
                                <w:b/>
                              </w:rPr>
                            </w:pPr>
                          </w:p>
                          <w:p w14:paraId="46900CCF" w14:textId="606741A3" w:rsidR="005F16D3" w:rsidRDefault="005F16D3" w:rsidP="00536110">
                            <w:pPr>
                              <w:spacing w:line="240" w:lineRule="auto"/>
                              <w:ind w:firstLine="0"/>
                              <w:jc w:val="center"/>
                              <w:rPr>
                                <w:b/>
                              </w:rPr>
                            </w:pPr>
                          </w:p>
                          <w:p w14:paraId="744DF2BD" w14:textId="6D662568" w:rsidR="005F16D3" w:rsidRDefault="005F16D3" w:rsidP="00536110">
                            <w:pPr>
                              <w:spacing w:line="240" w:lineRule="auto"/>
                              <w:ind w:firstLine="0"/>
                              <w:jc w:val="center"/>
                              <w:rPr>
                                <w:b/>
                              </w:rPr>
                            </w:pPr>
                          </w:p>
                          <w:p w14:paraId="02B60497" w14:textId="1BDAC76F" w:rsidR="005F16D3" w:rsidRDefault="005F16D3" w:rsidP="00536110">
                            <w:pPr>
                              <w:spacing w:line="240" w:lineRule="auto"/>
                              <w:ind w:firstLine="0"/>
                              <w:jc w:val="center"/>
                              <w:rPr>
                                <w:b/>
                              </w:rPr>
                            </w:pPr>
                          </w:p>
                          <w:p w14:paraId="2084E312" w14:textId="2507ECFA" w:rsidR="005F16D3" w:rsidRDefault="005F16D3" w:rsidP="00536110">
                            <w:pPr>
                              <w:spacing w:line="240" w:lineRule="auto"/>
                              <w:ind w:firstLine="0"/>
                              <w:jc w:val="center"/>
                              <w:rPr>
                                <w:b/>
                              </w:rPr>
                            </w:pPr>
                          </w:p>
                          <w:p w14:paraId="3C1B0415" w14:textId="33793BB6" w:rsidR="005F16D3" w:rsidRDefault="005F16D3" w:rsidP="00536110">
                            <w:pPr>
                              <w:spacing w:line="240" w:lineRule="auto"/>
                              <w:ind w:firstLine="0"/>
                              <w:jc w:val="center"/>
                              <w:rPr>
                                <w:b/>
                              </w:rPr>
                            </w:pPr>
                          </w:p>
                          <w:p w14:paraId="4CF47B06" w14:textId="49471873" w:rsidR="005F16D3" w:rsidRDefault="005F16D3" w:rsidP="00536110">
                            <w:pPr>
                              <w:spacing w:line="240" w:lineRule="auto"/>
                              <w:ind w:firstLine="0"/>
                              <w:jc w:val="center"/>
                              <w:rPr>
                                <w:b/>
                              </w:rPr>
                            </w:pPr>
                          </w:p>
                          <w:p w14:paraId="4781CF90" w14:textId="77777777" w:rsidR="005F16D3" w:rsidRDefault="005F16D3" w:rsidP="00536110">
                            <w:pPr>
                              <w:spacing w:line="240" w:lineRule="auto"/>
                              <w:ind w:firstLine="0"/>
                              <w:jc w:val="center"/>
                              <w:rPr>
                                <w:b/>
                              </w:rPr>
                            </w:pPr>
                          </w:p>
                          <w:p w14:paraId="313920EA" w14:textId="77777777" w:rsidR="005F16D3" w:rsidRPr="00914852" w:rsidRDefault="005F16D3" w:rsidP="00914852">
                            <w:pPr>
                              <w:ind w:firstLine="0"/>
                              <w:jc w:val="center"/>
                            </w:pPr>
                            <w:r w:rsidRPr="00914852">
                              <w:t>University of Pittsburgh</w:t>
                            </w:r>
                          </w:p>
                          <w:p w14:paraId="4B55724C" w14:textId="77777777" w:rsidR="005F16D3" w:rsidRPr="00914852" w:rsidRDefault="005F16D3" w:rsidP="00914852">
                            <w:pPr>
                              <w:ind w:firstLine="0"/>
                              <w:jc w:val="center"/>
                            </w:pPr>
                            <w:r w:rsidRPr="00914852">
                              <w:t>2018</w:t>
                            </w:r>
                          </w:p>
                          <w:p w14:paraId="7311C9D1" w14:textId="77777777" w:rsidR="005F16D3" w:rsidRPr="00914852" w:rsidRDefault="005F16D3" w:rsidP="006B1124">
                            <w:pPr>
                              <w:ind w:firstLine="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18606"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" stroked="f">
                <v:textbox inset="0,0,0,0">
                  <w:txbxContent>
                    <w:p w14:paraId="293A6D63" w14:textId="11D86E8D" w:rsidR="005F16D3" w:rsidRDefault="005F16D3" w:rsidP="00536110">
                      <w:pPr>
                        <w:spacing w:line="240" w:lineRule="auto"/>
                        <w:ind w:firstLine="0"/>
                        <w:jc w:val="center"/>
                        <w:rPr>
                          <w:b/>
                        </w:rPr>
                      </w:pPr>
                      <w:r>
                        <w:rPr>
                          <w:b/>
                        </w:rPr>
                        <w:t>EXAMINING THE EFFECT OF INORGANIC ARSENIC EXPOSURE ON MUSCLE MASS USING THE NATIONAL HEALTH AND NUTRITION SURVEY</w:t>
                      </w:r>
                    </w:p>
                    <w:p w14:paraId="3715C561" w14:textId="5DDEA8DB" w:rsidR="005F16D3" w:rsidRDefault="005F16D3" w:rsidP="00536110">
                      <w:pPr>
                        <w:spacing w:line="240" w:lineRule="auto"/>
                        <w:ind w:firstLine="0"/>
                        <w:jc w:val="center"/>
                        <w:rPr>
                          <w:b/>
                        </w:rPr>
                      </w:pPr>
                    </w:p>
                    <w:p w14:paraId="4200CFCC" w14:textId="343090B7" w:rsidR="005F16D3" w:rsidRDefault="005F16D3" w:rsidP="00536110">
                      <w:pPr>
                        <w:spacing w:line="240" w:lineRule="auto"/>
                        <w:ind w:firstLine="0"/>
                        <w:jc w:val="center"/>
                        <w:rPr>
                          <w:b/>
                        </w:rPr>
                      </w:pPr>
                    </w:p>
                    <w:p w14:paraId="462C7A85" w14:textId="33652971" w:rsidR="005F16D3" w:rsidRDefault="005F16D3" w:rsidP="00536110">
                      <w:pPr>
                        <w:spacing w:line="240" w:lineRule="auto"/>
                        <w:ind w:firstLine="0"/>
                        <w:jc w:val="center"/>
                        <w:rPr>
                          <w:b/>
                        </w:rPr>
                      </w:pPr>
                    </w:p>
                    <w:p w14:paraId="4AF3A7D2" w14:textId="0079FFFB" w:rsidR="005F16D3" w:rsidRDefault="005F16D3" w:rsidP="00536110">
                      <w:pPr>
                        <w:spacing w:line="240" w:lineRule="auto"/>
                        <w:ind w:firstLine="0"/>
                        <w:jc w:val="center"/>
                        <w:rPr>
                          <w:b/>
                        </w:rPr>
                      </w:pPr>
                    </w:p>
                    <w:p w14:paraId="0A8030EC" w14:textId="538F6277" w:rsidR="005F16D3" w:rsidRDefault="005F16D3" w:rsidP="00536110">
                      <w:pPr>
                        <w:spacing w:line="240" w:lineRule="auto"/>
                        <w:ind w:firstLine="0"/>
                        <w:jc w:val="center"/>
                        <w:rPr>
                          <w:b/>
                        </w:rPr>
                      </w:pPr>
                    </w:p>
                    <w:p w14:paraId="3EC15DFA" w14:textId="3B0B2186" w:rsidR="002731E6" w:rsidRDefault="002731E6" w:rsidP="00536110">
                      <w:pPr>
                        <w:spacing w:line="240" w:lineRule="auto"/>
                        <w:ind w:firstLine="0"/>
                        <w:jc w:val="center"/>
                        <w:rPr>
                          <w:b/>
                        </w:rPr>
                      </w:pPr>
                    </w:p>
                    <w:p w14:paraId="3511EC58" w14:textId="0BA4BD92" w:rsidR="002731E6" w:rsidRDefault="002731E6" w:rsidP="00536110">
                      <w:pPr>
                        <w:spacing w:line="240" w:lineRule="auto"/>
                        <w:ind w:firstLine="0"/>
                        <w:jc w:val="center"/>
                        <w:rPr>
                          <w:b/>
                        </w:rPr>
                      </w:pPr>
                    </w:p>
                    <w:p w14:paraId="4A093619" w14:textId="77777777" w:rsidR="002731E6" w:rsidRDefault="002731E6" w:rsidP="00536110">
                      <w:pPr>
                        <w:spacing w:line="240" w:lineRule="auto"/>
                        <w:ind w:firstLine="0"/>
                        <w:jc w:val="center"/>
                        <w:rPr>
                          <w:b/>
                        </w:rPr>
                      </w:pPr>
                    </w:p>
                    <w:p w14:paraId="72E1821B" w14:textId="77777777" w:rsidR="005F16D3" w:rsidRDefault="005F16D3" w:rsidP="00536110">
                      <w:pPr>
                        <w:spacing w:line="240" w:lineRule="auto"/>
                        <w:ind w:firstLine="0"/>
                        <w:jc w:val="center"/>
                        <w:rPr>
                          <w:b/>
                        </w:rPr>
                      </w:pPr>
                    </w:p>
                    <w:p w14:paraId="504944BD" w14:textId="77777777" w:rsidR="005F16D3" w:rsidRDefault="005F16D3" w:rsidP="00B57E9B">
                      <w:pPr>
                        <w:ind w:firstLine="0"/>
                        <w:jc w:val="center"/>
                      </w:pPr>
                      <w:r>
                        <w:t>by</w:t>
                      </w:r>
                    </w:p>
                    <w:p w14:paraId="25DED51D" w14:textId="77777777" w:rsidR="005F16D3" w:rsidRDefault="005F16D3" w:rsidP="00B57E9B">
                      <w:pPr>
                        <w:ind w:firstLine="0"/>
                        <w:jc w:val="center"/>
                      </w:pPr>
                      <w:r>
                        <w:t>Mikaela Kosich</w:t>
                      </w:r>
                    </w:p>
                    <w:p w14:paraId="471BFF5B" w14:textId="120FF9F0" w:rsidR="005F16D3" w:rsidRDefault="00875353" w:rsidP="00536110">
                      <w:pPr>
                        <w:spacing w:line="240" w:lineRule="auto"/>
                        <w:ind w:firstLine="0"/>
                        <w:jc w:val="center"/>
                      </w:pPr>
                      <w:r>
                        <w:t xml:space="preserve">BS, Computational Chemistry and Sociology, Harvey </w:t>
                      </w:r>
                      <w:proofErr w:type="spellStart"/>
                      <w:r>
                        <w:t>Mudd</w:t>
                      </w:r>
                      <w:proofErr w:type="spellEnd"/>
                      <w:r>
                        <w:t xml:space="preserve"> College, 2016</w:t>
                      </w:r>
                    </w:p>
                    <w:p w14:paraId="182016FC" w14:textId="77777777" w:rsidR="005F16D3" w:rsidRPr="00834193" w:rsidRDefault="005F16D3" w:rsidP="00536110">
                      <w:pPr>
                        <w:spacing w:line="240" w:lineRule="auto"/>
                        <w:ind w:firstLine="0"/>
                        <w:jc w:val="center"/>
                        <w:rPr>
                          <w:noProof/>
                        </w:rPr>
                      </w:pPr>
                    </w:p>
                    <w:p w14:paraId="221E7B9E" w14:textId="77777777" w:rsidR="005F16D3" w:rsidRDefault="005F16D3" w:rsidP="00536110">
                      <w:pPr>
                        <w:spacing w:line="240" w:lineRule="auto"/>
                        <w:ind w:firstLine="0"/>
                        <w:jc w:val="center"/>
                        <w:rPr>
                          <w:b/>
                        </w:rPr>
                      </w:pPr>
                    </w:p>
                    <w:p w14:paraId="06792D7A" w14:textId="77777777" w:rsidR="005F16D3" w:rsidRDefault="005F16D3" w:rsidP="00536110">
                      <w:pPr>
                        <w:spacing w:line="240" w:lineRule="auto"/>
                        <w:ind w:firstLine="0"/>
                        <w:jc w:val="center"/>
                        <w:rPr>
                          <w:b/>
                        </w:rPr>
                      </w:pPr>
                    </w:p>
                    <w:p w14:paraId="71D242F6" w14:textId="77777777" w:rsidR="005F16D3" w:rsidRDefault="005F16D3" w:rsidP="00536110">
                      <w:pPr>
                        <w:spacing w:line="240" w:lineRule="auto"/>
                        <w:ind w:firstLine="0"/>
                        <w:jc w:val="center"/>
                        <w:rPr>
                          <w:b/>
                        </w:rPr>
                      </w:pPr>
                    </w:p>
                    <w:p w14:paraId="2A5FC690" w14:textId="77777777" w:rsidR="005F16D3" w:rsidRDefault="005F16D3" w:rsidP="00536110">
                      <w:pPr>
                        <w:spacing w:line="240" w:lineRule="auto"/>
                        <w:ind w:firstLine="0"/>
                        <w:jc w:val="center"/>
                        <w:rPr>
                          <w:b/>
                        </w:rPr>
                      </w:pPr>
                    </w:p>
                    <w:p w14:paraId="37514B12" w14:textId="77777777" w:rsidR="005F16D3" w:rsidRDefault="005F16D3" w:rsidP="00536110">
                      <w:pPr>
                        <w:spacing w:line="240" w:lineRule="auto"/>
                        <w:ind w:firstLine="0"/>
                        <w:jc w:val="center"/>
                        <w:rPr>
                          <w:b/>
                        </w:rPr>
                      </w:pPr>
                    </w:p>
                    <w:p w14:paraId="44B9B353" w14:textId="77777777" w:rsidR="005F16D3" w:rsidRDefault="005F16D3" w:rsidP="00536110">
                      <w:pPr>
                        <w:spacing w:line="240" w:lineRule="auto"/>
                        <w:ind w:firstLine="0"/>
                        <w:jc w:val="center"/>
                        <w:rPr>
                          <w:b/>
                        </w:rPr>
                      </w:pPr>
                    </w:p>
                    <w:p w14:paraId="12CDDFF1" w14:textId="6BE87F8A" w:rsidR="005F16D3" w:rsidRDefault="005F16D3" w:rsidP="00914852">
                      <w:pPr>
                        <w:ind w:firstLine="0"/>
                        <w:jc w:val="center"/>
                      </w:pPr>
                      <w:r>
                        <w:t>Submitted to the Graduate Faculty of</w:t>
                      </w:r>
                    </w:p>
                    <w:p w14:paraId="5171CCFD" w14:textId="3BB2686D" w:rsidR="00CB6734" w:rsidRDefault="00CB6734" w:rsidP="00914852">
                      <w:pPr>
                        <w:ind w:firstLine="0"/>
                        <w:jc w:val="center"/>
                      </w:pPr>
                      <w:r>
                        <w:t>the Department of Epidemiology</w:t>
                      </w:r>
                    </w:p>
                    <w:p w14:paraId="7F14DDD7" w14:textId="77777777" w:rsidR="005F16D3" w:rsidRDefault="005F16D3" w:rsidP="00914852">
                      <w:pPr>
                        <w:ind w:firstLine="0"/>
                        <w:jc w:val="center"/>
                      </w:pPr>
                      <w:r>
                        <w:t xml:space="preserve">Graduate School of Public Health in partial fulfillment </w:t>
                      </w:r>
                    </w:p>
                    <w:p w14:paraId="5E8F7146" w14:textId="77777777" w:rsidR="005F16D3" w:rsidRDefault="005F16D3" w:rsidP="00914852">
                      <w:pPr>
                        <w:ind w:firstLine="0"/>
                        <w:jc w:val="center"/>
                      </w:pPr>
                      <w:r>
                        <w:t>of the requirements for the degree of</w:t>
                      </w:r>
                    </w:p>
                    <w:p w14:paraId="3FF9611F" w14:textId="77777777" w:rsidR="005F16D3" w:rsidRDefault="005F16D3" w:rsidP="00914852">
                      <w:pPr>
                        <w:spacing w:line="240" w:lineRule="auto"/>
                        <w:ind w:firstLine="0"/>
                        <w:jc w:val="center"/>
                      </w:pPr>
                      <w:r>
                        <w:t>Master of Public Health</w:t>
                      </w:r>
                    </w:p>
                    <w:p w14:paraId="2321636D" w14:textId="77777777" w:rsidR="005F16D3" w:rsidRDefault="005F16D3" w:rsidP="00536110">
                      <w:pPr>
                        <w:spacing w:line="240" w:lineRule="auto"/>
                        <w:ind w:firstLine="0"/>
                        <w:jc w:val="center"/>
                        <w:rPr>
                          <w:b/>
                        </w:rPr>
                      </w:pPr>
                    </w:p>
                    <w:p w14:paraId="52F01221" w14:textId="47F7569C" w:rsidR="005F16D3" w:rsidRDefault="005F16D3" w:rsidP="00536110">
                      <w:pPr>
                        <w:spacing w:line="240" w:lineRule="auto"/>
                        <w:ind w:firstLine="0"/>
                        <w:jc w:val="center"/>
                        <w:rPr>
                          <w:b/>
                        </w:rPr>
                      </w:pPr>
                    </w:p>
                    <w:p w14:paraId="76C26E05" w14:textId="068F67DC" w:rsidR="005F16D3" w:rsidRDefault="005F16D3" w:rsidP="00536110">
                      <w:pPr>
                        <w:spacing w:line="240" w:lineRule="auto"/>
                        <w:ind w:firstLine="0"/>
                        <w:jc w:val="center"/>
                        <w:rPr>
                          <w:b/>
                        </w:rPr>
                      </w:pPr>
                    </w:p>
                    <w:p w14:paraId="46900CCF" w14:textId="606741A3" w:rsidR="005F16D3" w:rsidRDefault="005F16D3" w:rsidP="00536110">
                      <w:pPr>
                        <w:spacing w:line="240" w:lineRule="auto"/>
                        <w:ind w:firstLine="0"/>
                        <w:jc w:val="center"/>
                        <w:rPr>
                          <w:b/>
                        </w:rPr>
                      </w:pPr>
                    </w:p>
                    <w:p w14:paraId="744DF2BD" w14:textId="6D662568" w:rsidR="005F16D3" w:rsidRDefault="005F16D3" w:rsidP="00536110">
                      <w:pPr>
                        <w:spacing w:line="240" w:lineRule="auto"/>
                        <w:ind w:firstLine="0"/>
                        <w:jc w:val="center"/>
                        <w:rPr>
                          <w:b/>
                        </w:rPr>
                      </w:pPr>
                    </w:p>
                    <w:p w14:paraId="02B60497" w14:textId="1BDAC76F" w:rsidR="005F16D3" w:rsidRDefault="005F16D3" w:rsidP="00536110">
                      <w:pPr>
                        <w:spacing w:line="240" w:lineRule="auto"/>
                        <w:ind w:firstLine="0"/>
                        <w:jc w:val="center"/>
                        <w:rPr>
                          <w:b/>
                        </w:rPr>
                      </w:pPr>
                    </w:p>
                    <w:p w14:paraId="2084E312" w14:textId="2507ECFA" w:rsidR="005F16D3" w:rsidRDefault="005F16D3" w:rsidP="00536110">
                      <w:pPr>
                        <w:spacing w:line="240" w:lineRule="auto"/>
                        <w:ind w:firstLine="0"/>
                        <w:jc w:val="center"/>
                        <w:rPr>
                          <w:b/>
                        </w:rPr>
                      </w:pPr>
                    </w:p>
                    <w:p w14:paraId="3C1B0415" w14:textId="33793BB6" w:rsidR="005F16D3" w:rsidRDefault="005F16D3" w:rsidP="00536110">
                      <w:pPr>
                        <w:spacing w:line="240" w:lineRule="auto"/>
                        <w:ind w:firstLine="0"/>
                        <w:jc w:val="center"/>
                        <w:rPr>
                          <w:b/>
                        </w:rPr>
                      </w:pPr>
                    </w:p>
                    <w:p w14:paraId="4CF47B06" w14:textId="49471873" w:rsidR="005F16D3" w:rsidRDefault="005F16D3" w:rsidP="00536110">
                      <w:pPr>
                        <w:spacing w:line="240" w:lineRule="auto"/>
                        <w:ind w:firstLine="0"/>
                        <w:jc w:val="center"/>
                        <w:rPr>
                          <w:b/>
                        </w:rPr>
                      </w:pPr>
                    </w:p>
                    <w:p w14:paraId="4781CF90" w14:textId="77777777" w:rsidR="005F16D3" w:rsidRDefault="005F16D3" w:rsidP="00536110">
                      <w:pPr>
                        <w:spacing w:line="240" w:lineRule="auto"/>
                        <w:ind w:firstLine="0"/>
                        <w:jc w:val="center"/>
                        <w:rPr>
                          <w:b/>
                        </w:rPr>
                      </w:pPr>
                    </w:p>
                    <w:p w14:paraId="313920EA" w14:textId="77777777" w:rsidR="005F16D3" w:rsidRPr="00914852" w:rsidRDefault="005F16D3" w:rsidP="00914852">
                      <w:pPr>
                        <w:ind w:firstLine="0"/>
                        <w:jc w:val="center"/>
                      </w:pPr>
                      <w:r w:rsidRPr="00914852">
                        <w:t>University of Pittsburgh</w:t>
                      </w:r>
                    </w:p>
                    <w:p w14:paraId="4B55724C" w14:textId="77777777" w:rsidR="005F16D3" w:rsidRPr="00914852" w:rsidRDefault="005F16D3" w:rsidP="00914852">
                      <w:pPr>
                        <w:ind w:firstLine="0"/>
                        <w:jc w:val="center"/>
                      </w:pPr>
                      <w:r w:rsidRPr="00914852">
                        <w:t>2018</w:t>
                      </w:r>
                    </w:p>
                    <w:p w14:paraId="7311C9D1" w14:textId="77777777" w:rsidR="005F16D3" w:rsidRPr="00914852" w:rsidRDefault="005F16D3" w:rsidP="006B1124">
                      <w:pPr>
                        <w:ind w:firstLine="0"/>
                        <w:jc w:val="center"/>
                      </w:pPr>
                    </w:p>
                  </w:txbxContent>
                </v:textbox>
                <w10:wrap type="square" anchorx="page" anchory="page"/>
              </v:shape>
            </w:pict>
          </mc:Fallback>
        </mc:AlternateContent>
      </w:r>
    </w:p>
    <w:p w14:paraId="558D84A6" w14:textId="77777777" w:rsidR="00914852" w:rsidRDefault="00914852" w:rsidP="00914852">
      <w:pPr>
        <w:ind w:firstLine="0"/>
        <w:jc w:val="center"/>
      </w:pPr>
      <w:smartTag w:uri="urn:schemas-microsoft-com:office:smarttags" w:element="place">
        <w:smartTag w:uri="urn:schemas-microsoft-com:office:smarttags" w:element="PlaceType">
          <w:r>
            <w:lastRenderedPageBreak/>
            <w:t>UNIVERSITY</w:t>
          </w:r>
        </w:smartTag>
        <w:r>
          <w:t xml:space="preserve"> OF </w:t>
        </w:r>
        <w:smartTag w:uri="urn:schemas-microsoft-com:office:smarttags" w:element="PlaceName">
          <w:r>
            <w:t>PITTSBURGH</w:t>
          </w:r>
        </w:smartTag>
      </w:smartTag>
    </w:p>
    <w:p w14:paraId="3126B63D" w14:textId="77777777" w:rsidR="00914852" w:rsidRDefault="00914852" w:rsidP="00914852">
      <w:pPr>
        <w:spacing w:line="240" w:lineRule="auto"/>
        <w:ind w:firstLine="0"/>
        <w:jc w:val="center"/>
      </w:pPr>
      <w:r>
        <w:t>GRADUATE SCHOOL OF PUBLIC HEALTH</w:t>
      </w:r>
    </w:p>
    <w:p w14:paraId="352A0526" w14:textId="77777777" w:rsidR="00914852" w:rsidRDefault="00914852" w:rsidP="00914852">
      <w:pPr>
        <w:spacing w:line="240" w:lineRule="auto"/>
        <w:ind w:firstLine="0"/>
        <w:jc w:val="center"/>
      </w:pPr>
    </w:p>
    <w:p w14:paraId="2814451E" w14:textId="77777777" w:rsidR="00914852" w:rsidRDefault="00914852" w:rsidP="00914852">
      <w:pPr>
        <w:spacing w:line="240" w:lineRule="auto"/>
        <w:ind w:firstLine="0"/>
      </w:pPr>
    </w:p>
    <w:p w14:paraId="2CAC6039" w14:textId="77777777" w:rsidR="00914852" w:rsidRDefault="00914852" w:rsidP="00914852">
      <w:pPr>
        <w:spacing w:line="240" w:lineRule="auto"/>
        <w:ind w:firstLine="0"/>
        <w:jc w:val="center"/>
      </w:pPr>
    </w:p>
    <w:p w14:paraId="6BF439C1" w14:textId="77777777" w:rsidR="00914852" w:rsidRDefault="00914852" w:rsidP="00914852">
      <w:pPr>
        <w:ind w:firstLine="0"/>
        <w:jc w:val="center"/>
      </w:pPr>
      <w:r>
        <w:t>This essay is submitted</w:t>
      </w:r>
    </w:p>
    <w:p w14:paraId="13589328" w14:textId="77777777" w:rsidR="00914852" w:rsidRDefault="00914852" w:rsidP="00914852">
      <w:pPr>
        <w:ind w:firstLine="0"/>
        <w:jc w:val="center"/>
      </w:pPr>
      <w:r>
        <w:t>by</w:t>
      </w:r>
    </w:p>
    <w:p w14:paraId="48122AB1" w14:textId="77777777" w:rsidR="00914852" w:rsidRDefault="00914852" w:rsidP="00914852">
      <w:pPr>
        <w:spacing w:line="240" w:lineRule="auto"/>
        <w:ind w:firstLine="0"/>
        <w:jc w:val="center"/>
      </w:pPr>
      <w:r>
        <w:t>Mikaela Kosich</w:t>
      </w:r>
    </w:p>
    <w:p w14:paraId="7BFC94E0" w14:textId="77777777" w:rsidR="00914852" w:rsidRDefault="00914852" w:rsidP="00914852">
      <w:pPr>
        <w:spacing w:line="240" w:lineRule="auto"/>
        <w:ind w:firstLine="0"/>
        <w:jc w:val="center"/>
      </w:pPr>
    </w:p>
    <w:p w14:paraId="23E847A5" w14:textId="77777777" w:rsidR="00914852" w:rsidRDefault="00914852" w:rsidP="00914852">
      <w:pPr>
        <w:spacing w:line="240" w:lineRule="auto"/>
        <w:ind w:firstLine="0"/>
        <w:jc w:val="center"/>
      </w:pPr>
      <w:r>
        <w:t>on</w:t>
      </w:r>
    </w:p>
    <w:p w14:paraId="21113892" w14:textId="77777777" w:rsidR="00914852" w:rsidRDefault="00914852" w:rsidP="00914852">
      <w:pPr>
        <w:spacing w:line="240" w:lineRule="auto"/>
        <w:ind w:firstLine="0"/>
        <w:jc w:val="center"/>
      </w:pPr>
    </w:p>
    <w:p w14:paraId="2CB3F249" w14:textId="77777777" w:rsidR="00914852" w:rsidRDefault="00914852" w:rsidP="00914852">
      <w:pPr>
        <w:ind w:firstLine="0"/>
        <w:jc w:val="center"/>
      </w:pPr>
      <w:r>
        <w:t>December 15</w:t>
      </w:r>
      <w:r w:rsidRPr="00657B59">
        <w:rPr>
          <w:vertAlign w:val="superscript"/>
        </w:rPr>
        <w:t>th</w:t>
      </w:r>
      <w:r>
        <w:t>, 2018</w:t>
      </w:r>
    </w:p>
    <w:p w14:paraId="0E62ABAC" w14:textId="77777777" w:rsidR="00914852" w:rsidRDefault="00914852" w:rsidP="00914852">
      <w:pPr>
        <w:ind w:firstLine="0"/>
        <w:jc w:val="center"/>
      </w:pPr>
      <w:r>
        <w:t>and approved by</w:t>
      </w:r>
    </w:p>
    <w:p w14:paraId="7A608E18" w14:textId="77777777" w:rsidR="00914852" w:rsidRDefault="00914852" w:rsidP="00914852">
      <w:pPr>
        <w:ind w:firstLine="0"/>
        <w:jc w:val="center"/>
      </w:pPr>
    </w:p>
    <w:p w14:paraId="653819CA" w14:textId="77777777" w:rsidR="00914852" w:rsidRDefault="00914852" w:rsidP="00CB6734">
      <w:pPr>
        <w:spacing w:line="240" w:lineRule="auto"/>
        <w:ind w:firstLine="0"/>
        <w:jc w:val="center"/>
      </w:pPr>
      <w:r>
        <w:t>Essay Advisor:</w:t>
      </w:r>
    </w:p>
    <w:p w14:paraId="344249F4" w14:textId="71B299F9" w:rsidR="00914852" w:rsidRDefault="00CB6734" w:rsidP="00CB6734">
      <w:pPr>
        <w:spacing w:line="240" w:lineRule="auto"/>
        <w:ind w:firstLine="0"/>
        <w:jc w:val="center"/>
      </w:pPr>
      <w:r>
        <w:t xml:space="preserve">Iva </w:t>
      </w:r>
      <w:proofErr w:type="spellStart"/>
      <w:r>
        <w:t>Miljkovic</w:t>
      </w:r>
      <w:proofErr w:type="spellEnd"/>
      <w:r>
        <w:t>, MD, PhD</w:t>
      </w:r>
    </w:p>
    <w:p w14:paraId="6E1BDADF" w14:textId="77777777" w:rsidR="00914852" w:rsidRDefault="00914852" w:rsidP="00CB6734">
      <w:pPr>
        <w:spacing w:line="240" w:lineRule="auto"/>
        <w:ind w:firstLine="0"/>
        <w:jc w:val="center"/>
      </w:pPr>
      <w:r>
        <w:t>Associate Professor</w:t>
      </w:r>
    </w:p>
    <w:p w14:paraId="3DA896EC" w14:textId="77777777" w:rsidR="00914852" w:rsidRDefault="00914852" w:rsidP="00CB6734">
      <w:pPr>
        <w:spacing w:line="240" w:lineRule="auto"/>
        <w:ind w:firstLine="0"/>
        <w:jc w:val="center"/>
      </w:pPr>
      <w:r>
        <w:t>Epidemiology</w:t>
      </w:r>
    </w:p>
    <w:p w14:paraId="07B2A398" w14:textId="77777777" w:rsidR="00914852" w:rsidRDefault="00914852" w:rsidP="00CB6734">
      <w:pPr>
        <w:spacing w:line="240" w:lineRule="auto"/>
        <w:ind w:firstLine="0"/>
        <w:jc w:val="center"/>
      </w:pPr>
      <w:r>
        <w:t>Graduate School of Public Health</w:t>
      </w:r>
    </w:p>
    <w:p w14:paraId="6B3AB91C" w14:textId="77777777" w:rsidR="00914852" w:rsidRDefault="00914852" w:rsidP="00CB6734">
      <w:pPr>
        <w:spacing w:line="240" w:lineRule="auto"/>
        <w:ind w:firstLine="0"/>
        <w:jc w:val="center"/>
      </w:pPr>
      <w:r>
        <w:t>University of Pittsburgh</w:t>
      </w:r>
    </w:p>
    <w:p w14:paraId="46DC5E88" w14:textId="77777777" w:rsidR="00914852" w:rsidRDefault="00914852" w:rsidP="00CB6734">
      <w:pPr>
        <w:spacing w:line="240" w:lineRule="auto"/>
        <w:ind w:firstLine="0"/>
        <w:jc w:val="center"/>
      </w:pPr>
    </w:p>
    <w:p w14:paraId="0F236EE3" w14:textId="5B8E19D7" w:rsidR="00914852" w:rsidRDefault="00914852" w:rsidP="00CB6734">
      <w:pPr>
        <w:spacing w:line="240" w:lineRule="auto"/>
        <w:ind w:firstLine="0"/>
        <w:jc w:val="center"/>
      </w:pPr>
      <w:r>
        <w:t>Essay Reader</w:t>
      </w:r>
      <w:r w:rsidR="001A6BC1">
        <w:t>s</w:t>
      </w:r>
      <w:r>
        <w:t>:</w:t>
      </w:r>
    </w:p>
    <w:p w14:paraId="758232B5" w14:textId="77777777" w:rsidR="001A6BC1" w:rsidRDefault="001A6BC1" w:rsidP="00CB6734">
      <w:pPr>
        <w:spacing w:line="240" w:lineRule="auto"/>
        <w:ind w:firstLine="0"/>
        <w:jc w:val="center"/>
      </w:pPr>
    </w:p>
    <w:p w14:paraId="5D61A805" w14:textId="28A89B85" w:rsidR="00914852" w:rsidRDefault="00914852" w:rsidP="00CB6734">
      <w:pPr>
        <w:spacing w:line="240" w:lineRule="auto"/>
        <w:ind w:firstLine="0"/>
        <w:jc w:val="center"/>
      </w:pPr>
      <w:r>
        <w:t>Aaro</w:t>
      </w:r>
      <w:r w:rsidR="00CB6734">
        <w:t xml:space="preserve">n </w:t>
      </w:r>
      <w:proofErr w:type="spellStart"/>
      <w:r w:rsidR="00CB6734">
        <w:t>Barchowsky</w:t>
      </w:r>
      <w:proofErr w:type="spellEnd"/>
      <w:r w:rsidR="00CB6734">
        <w:t>, PhD</w:t>
      </w:r>
    </w:p>
    <w:p w14:paraId="0677B271" w14:textId="77777777" w:rsidR="00914852" w:rsidRDefault="00914852" w:rsidP="00CB6734">
      <w:pPr>
        <w:spacing w:line="240" w:lineRule="auto"/>
        <w:ind w:firstLine="0"/>
        <w:jc w:val="center"/>
      </w:pPr>
      <w:r>
        <w:t>Professor</w:t>
      </w:r>
    </w:p>
    <w:p w14:paraId="39055EBC" w14:textId="77777777" w:rsidR="00914852" w:rsidRDefault="00914852" w:rsidP="00CB6734">
      <w:pPr>
        <w:spacing w:line="240" w:lineRule="auto"/>
        <w:ind w:firstLine="0"/>
        <w:jc w:val="center"/>
      </w:pPr>
      <w:r>
        <w:t>Environmental and Occupational Health</w:t>
      </w:r>
    </w:p>
    <w:p w14:paraId="1E10294B" w14:textId="77777777" w:rsidR="00914852" w:rsidRDefault="00914852" w:rsidP="00CB6734">
      <w:pPr>
        <w:spacing w:line="240" w:lineRule="auto"/>
        <w:ind w:firstLine="0"/>
        <w:jc w:val="center"/>
      </w:pPr>
      <w:r>
        <w:t>Graduate School of Public Health</w:t>
      </w:r>
    </w:p>
    <w:p w14:paraId="6D0CD14C" w14:textId="77777777" w:rsidR="00914852" w:rsidRDefault="00914852" w:rsidP="00CB6734">
      <w:pPr>
        <w:spacing w:line="240" w:lineRule="auto"/>
        <w:ind w:firstLine="0"/>
        <w:jc w:val="center"/>
      </w:pPr>
      <w:r>
        <w:t>University of Pittsburgh</w:t>
      </w:r>
    </w:p>
    <w:p w14:paraId="1FC65383" w14:textId="77777777" w:rsidR="00914852" w:rsidRDefault="00914852" w:rsidP="00CB6734">
      <w:pPr>
        <w:spacing w:line="240" w:lineRule="auto"/>
        <w:ind w:firstLine="0"/>
        <w:jc w:val="center"/>
      </w:pPr>
    </w:p>
    <w:p w14:paraId="0F4D5420" w14:textId="2D89F999" w:rsidR="00914852" w:rsidRDefault="00914852" w:rsidP="00CB6734">
      <w:pPr>
        <w:spacing w:line="240" w:lineRule="auto"/>
        <w:ind w:firstLine="0"/>
        <w:jc w:val="center"/>
      </w:pPr>
      <w:proofErr w:type="spellStart"/>
      <w:r>
        <w:t>Fab</w:t>
      </w:r>
      <w:r w:rsidR="00CB6734">
        <w:t>risia</w:t>
      </w:r>
      <w:proofErr w:type="spellEnd"/>
      <w:r w:rsidR="00CB6734">
        <w:t xml:space="preserve"> Ambrosio, PhD, MPT</w:t>
      </w:r>
    </w:p>
    <w:p w14:paraId="24A100DB" w14:textId="77777777" w:rsidR="00914852" w:rsidRDefault="00914852" w:rsidP="00CB6734">
      <w:pPr>
        <w:spacing w:line="240" w:lineRule="auto"/>
        <w:ind w:firstLine="0"/>
        <w:jc w:val="center"/>
      </w:pPr>
      <w:r>
        <w:t>Associate Professor</w:t>
      </w:r>
    </w:p>
    <w:p w14:paraId="4FAA91FF" w14:textId="0C1FF1D9" w:rsidR="00914852" w:rsidRDefault="00B52204" w:rsidP="00CB6734">
      <w:pPr>
        <w:spacing w:line="240" w:lineRule="auto"/>
        <w:ind w:firstLine="0"/>
        <w:jc w:val="center"/>
      </w:pPr>
      <w:r>
        <w:t>Physical Medicine and</w:t>
      </w:r>
      <w:r w:rsidR="00914852">
        <w:t xml:space="preserve"> Rehabilitation</w:t>
      </w:r>
    </w:p>
    <w:p w14:paraId="5DAFC591" w14:textId="77777777" w:rsidR="00914852" w:rsidRDefault="00914852" w:rsidP="00CB6734">
      <w:pPr>
        <w:spacing w:line="240" w:lineRule="auto"/>
        <w:ind w:firstLine="0"/>
        <w:jc w:val="center"/>
      </w:pPr>
      <w:r>
        <w:t>School of Medicine</w:t>
      </w:r>
    </w:p>
    <w:p w14:paraId="3B3B3507" w14:textId="77777777" w:rsidR="00914852" w:rsidRDefault="00914852" w:rsidP="00CB6734">
      <w:pPr>
        <w:spacing w:line="240" w:lineRule="auto"/>
        <w:ind w:firstLine="0"/>
        <w:jc w:val="center"/>
      </w:pPr>
      <w:r>
        <w:t>University of Pittsburgh</w:t>
      </w:r>
    </w:p>
    <w:p w14:paraId="2DED2DC9" w14:textId="77777777" w:rsidR="00914852" w:rsidRDefault="00914852" w:rsidP="00333567">
      <w:pPr>
        <w:ind w:firstLine="0"/>
        <w:jc w:val="center"/>
      </w:pPr>
    </w:p>
    <w:p w14:paraId="53335455" w14:textId="77777777" w:rsidR="00914852" w:rsidRDefault="00914852" w:rsidP="00333567">
      <w:pPr>
        <w:ind w:firstLine="0"/>
        <w:jc w:val="center"/>
      </w:pPr>
    </w:p>
    <w:p w14:paraId="049E03F6" w14:textId="77777777" w:rsidR="00914852" w:rsidRDefault="00914852" w:rsidP="00333567">
      <w:pPr>
        <w:ind w:firstLine="0"/>
        <w:jc w:val="center"/>
      </w:pPr>
    </w:p>
    <w:p w14:paraId="1F99A179" w14:textId="6116B640" w:rsidR="0028782F" w:rsidRPr="007F763B" w:rsidRDefault="00CB75B6" w:rsidP="007F763B">
      <w:pPr>
        <w:pStyle w:val="Noindent"/>
        <w:spacing w:line="240" w:lineRule="auto"/>
        <w:rPr>
          <w:b/>
        </w:rPr>
      </w:pPr>
      <w:r>
        <w:rPr>
          <w:noProof/>
        </w:rPr>
        <w:lastRenderedPageBreak/>
        <mc:AlternateContent>
          <mc:Choice Requires="wps">
            <w:drawing>
              <wp:anchor distT="0" distB="0" distL="114300" distR="114300" simplePos="0" relativeHeight="251658240" behindDoc="0" locked="0" layoutInCell="1" allowOverlap="1" wp14:anchorId="3D6F0A43" wp14:editId="02A9F74E">
                <wp:simplePos x="0" y="0"/>
                <wp:positionH relativeFrom="margin">
                  <wp:align>center</wp:align>
                </wp:positionH>
                <wp:positionV relativeFrom="margin">
                  <wp:align>center</wp:align>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1CE90" w14:textId="77777777" w:rsidR="005F16D3" w:rsidRDefault="005F16D3" w:rsidP="006B1124">
                            <w:pPr>
                              <w:ind w:firstLine="0"/>
                              <w:jc w:val="center"/>
                            </w:pPr>
                            <w:r>
                              <w:t>Copyright © by Mikaela Kosich</w:t>
                            </w:r>
                          </w:p>
                          <w:p w14:paraId="236E723C" w14:textId="77777777" w:rsidR="005F16D3" w:rsidRDefault="005F16D3"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F0A43" id="Text Box 30" o:spid="_x0000_s1027" type="#_x0000_t202" style="position:absolute;left:0;text-align:left;margin-left:0;margin-top:0;width:468pt;height:84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00hwIAABg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" stroked="f">
                <v:textbox>
                  <w:txbxContent>
                    <w:p w14:paraId="7E51CE90" w14:textId="77777777" w:rsidR="005F16D3" w:rsidRDefault="005F16D3" w:rsidP="006B1124">
                      <w:pPr>
                        <w:ind w:firstLine="0"/>
                        <w:jc w:val="center"/>
                      </w:pPr>
                      <w:r>
                        <w:t>Copyright © by Mikaela Kosich</w:t>
                      </w:r>
                    </w:p>
                    <w:p w14:paraId="236E723C" w14:textId="77777777" w:rsidR="005F16D3" w:rsidRDefault="005F16D3" w:rsidP="006B1124">
                      <w:pPr>
                        <w:ind w:firstLine="0"/>
                        <w:jc w:val="center"/>
                      </w:pPr>
                      <w:r>
                        <w:t>2018</w:t>
                      </w:r>
                    </w:p>
                  </w:txbxContent>
                </v:textbox>
                <w10:wrap type="square" anchorx="margin" anchory="margin"/>
              </v:shape>
            </w:pict>
          </mc:Fallback>
        </mc:AlternateContent>
      </w:r>
      <w:r w:rsidR="002D01B1">
        <w:br w:type="page"/>
      </w:r>
      <w:r w:rsidR="007F763B" w:rsidRPr="007F763B">
        <w:rPr>
          <w:b/>
        </w:rPr>
        <w:lastRenderedPageBreak/>
        <w:t>ABSTRACT</w:t>
      </w:r>
    </w:p>
    <w:p w14:paraId="63D45E6B" w14:textId="77777777" w:rsidR="007F763B" w:rsidRDefault="007F763B" w:rsidP="007F763B">
      <w:pPr>
        <w:pStyle w:val="Noindent"/>
        <w:spacing w:line="240" w:lineRule="auto"/>
      </w:pPr>
    </w:p>
    <w:p w14:paraId="33994279" w14:textId="7CDD706D" w:rsidR="00065738" w:rsidRDefault="00CB75B6" w:rsidP="00EC14F8">
      <w:pPr>
        <w:pStyle w:val="Noindent"/>
        <w:ind w:firstLine="720"/>
      </w:pPr>
      <w:r>
        <w:rPr>
          <w:noProof/>
        </w:rPr>
        <mc:AlternateContent>
          <mc:Choice Requires="wps">
            <w:drawing>
              <wp:anchor distT="0" distB="0" distL="114300" distR="114300" simplePos="0" relativeHeight="251659264" behindDoc="0" locked="0" layoutInCell="1" allowOverlap="1" wp14:anchorId="06431393" wp14:editId="5652A2C7">
                <wp:simplePos x="0" y="0"/>
                <wp:positionH relativeFrom="column">
                  <wp:align>center</wp:align>
                </wp:positionH>
                <wp:positionV relativeFrom="margin">
                  <wp:posOffset>-222250</wp:posOffset>
                </wp:positionV>
                <wp:extent cx="5943600" cy="2041525"/>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CB76" w14:textId="77777777" w:rsidR="00FD269E" w:rsidRDefault="00FD269E" w:rsidP="00FD269E">
                            <w:pPr>
                              <w:spacing w:line="240" w:lineRule="auto"/>
                              <w:ind w:firstLine="0"/>
                              <w:jc w:val="right"/>
                            </w:pPr>
                            <w:r>
                              <w:t xml:space="preserve">Iva </w:t>
                            </w:r>
                            <w:proofErr w:type="spellStart"/>
                            <w:r>
                              <w:t>Miljkovic</w:t>
                            </w:r>
                            <w:proofErr w:type="spellEnd"/>
                            <w:r>
                              <w:t>, MD, PhD</w:t>
                            </w:r>
                          </w:p>
                          <w:p w14:paraId="16FFFCFF" w14:textId="77777777" w:rsidR="005F16D3" w:rsidRPr="005F1BB6" w:rsidRDefault="005F16D3" w:rsidP="005F1BB6">
                            <w:pPr>
                              <w:ind w:firstLine="0"/>
                              <w:jc w:val="right"/>
                            </w:pPr>
                          </w:p>
                          <w:p w14:paraId="759988D7" w14:textId="1A2D881F" w:rsidR="005F16D3" w:rsidRDefault="005F16D3" w:rsidP="00CB4265">
                            <w:pPr>
                              <w:spacing w:line="240" w:lineRule="auto"/>
                              <w:ind w:firstLine="0"/>
                              <w:jc w:val="center"/>
                              <w:rPr>
                                <w:b/>
                              </w:rPr>
                            </w:pPr>
                            <w:r>
                              <w:rPr>
                                <w:b/>
                              </w:rPr>
                              <w:t>EXAMINING THE EFFECT OF INORGANIC ARSENIC EXPOSURE ON LEAN MASS USING THE NATIONAL HEALTH AND NUTRITION SURVEY</w:t>
                            </w:r>
                          </w:p>
                          <w:p w14:paraId="1E23A7E1" w14:textId="77777777" w:rsidR="005F16D3" w:rsidRDefault="005F16D3" w:rsidP="006B1124">
                            <w:pPr>
                              <w:ind w:firstLine="0"/>
                              <w:jc w:val="center"/>
                            </w:pPr>
                          </w:p>
                          <w:p w14:paraId="58EC1B4F" w14:textId="77777777" w:rsidR="005F16D3" w:rsidRDefault="005F16D3" w:rsidP="006B1124">
                            <w:pPr>
                              <w:ind w:firstLine="0"/>
                              <w:jc w:val="center"/>
                            </w:pPr>
                            <w:r>
                              <w:t>Mikaela Kosich, MPH</w:t>
                            </w:r>
                          </w:p>
                          <w:p w14:paraId="74E084DB" w14:textId="77777777" w:rsidR="005F16D3" w:rsidRDefault="005F16D3"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1393" id="Text Box 33" o:spid="_x0000_s1028"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BFtgIAAMA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" filled="f" stroked="f">
                <v:textbox>
                  <w:txbxContent>
                    <w:p w14:paraId="3F6DCB76" w14:textId="77777777" w:rsidR="00FD269E" w:rsidRDefault="00FD269E" w:rsidP="00FD269E">
                      <w:pPr>
                        <w:spacing w:line="240" w:lineRule="auto"/>
                        <w:ind w:firstLine="0"/>
                        <w:jc w:val="right"/>
                      </w:pPr>
                      <w:r>
                        <w:t xml:space="preserve">Iva </w:t>
                      </w:r>
                      <w:proofErr w:type="spellStart"/>
                      <w:r>
                        <w:t>Miljkovic</w:t>
                      </w:r>
                      <w:proofErr w:type="spellEnd"/>
                      <w:r>
                        <w:t>, MD, PhD</w:t>
                      </w:r>
                    </w:p>
                    <w:p w14:paraId="16FFFCFF" w14:textId="77777777" w:rsidR="005F16D3" w:rsidRPr="005F1BB6" w:rsidRDefault="005F16D3" w:rsidP="005F1BB6">
                      <w:pPr>
                        <w:ind w:firstLine="0"/>
                        <w:jc w:val="right"/>
                      </w:pPr>
                    </w:p>
                    <w:p w14:paraId="759988D7" w14:textId="1A2D881F" w:rsidR="005F16D3" w:rsidRDefault="005F16D3" w:rsidP="00CB4265">
                      <w:pPr>
                        <w:spacing w:line="240" w:lineRule="auto"/>
                        <w:ind w:firstLine="0"/>
                        <w:jc w:val="center"/>
                        <w:rPr>
                          <w:b/>
                        </w:rPr>
                      </w:pPr>
                      <w:r>
                        <w:rPr>
                          <w:b/>
                        </w:rPr>
                        <w:t>EXAMINING THE EFFECT OF INORGANIC ARSENIC EXPOSURE ON LEAN MASS USING THE NATIONAL HEALTH AND NUTRITION SURVEY</w:t>
                      </w:r>
                    </w:p>
                    <w:p w14:paraId="1E23A7E1" w14:textId="77777777" w:rsidR="005F16D3" w:rsidRDefault="005F16D3" w:rsidP="006B1124">
                      <w:pPr>
                        <w:ind w:firstLine="0"/>
                        <w:jc w:val="center"/>
                      </w:pPr>
                    </w:p>
                    <w:p w14:paraId="58EC1B4F" w14:textId="77777777" w:rsidR="005F16D3" w:rsidRDefault="005F16D3" w:rsidP="006B1124">
                      <w:pPr>
                        <w:ind w:firstLine="0"/>
                        <w:jc w:val="center"/>
                      </w:pPr>
                      <w:r>
                        <w:t>Mikaela Kosich, MPH</w:t>
                      </w:r>
                    </w:p>
                    <w:p w14:paraId="74E084DB" w14:textId="77777777" w:rsidR="005F16D3" w:rsidRDefault="005F16D3"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2018</w:t>
                      </w:r>
                      <w:r>
                        <w:br w:type="page"/>
                      </w:r>
                    </w:p>
                  </w:txbxContent>
                </v:textbox>
                <w10:wrap type="square" anchory="margin"/>
              </v:shape>
            </w:pict>
          </mc:Fallback>
        </mc:AlternateContent>
      </w:r>
      <w:r w:rsidR="00065738">
        <w:t xml:space="preserve">Objective: </w:t>
      </w:r>
      <w:r w:rsidR="00654B12">
        <w:t xml:space="preserve">Chronic inorganic arsenic exposure and </w:t>
      </w:r>
      <w:r w:rsidR="00E01136">
        <w:t xml:space="preserve">loss of </w:t>
      </w:r>
      <w:r w:rsidR="00654B12">
        <w:t xml:space="preserve">muscle </w:t>
      </w:r>
      <w:r w:rsidR="00E01136">
        <w:t xml:space="preserve">mass </w:t>
      </w:r>
      <w:r w:rsidR="00654B12">
        <w:t>are both public health problems affecting millions of individuals in the US.</w:t>
      </w:r>
      <w:r w:rsidR="00557BC2">
        <w:t xml:space="preserve"> This study aims to explore the relationship between the two.</w:t>
      </w:r>
    </w:p>
    <w:p w14:paraId="034F4B98" w14:textId="583E50B5" w:rsidR="00065738" w:rsidRDefault="00065738" w:rsidP="00EC14F8">
      <w:r>
        <w:t>Methods:</w:t>
      </w:r>
      <w:r w:rsidR="00083C6B">
        <w:t xml:space="preserve"> The association between</w:t>
      </w:r>
      <w:r w:rsidR="00654B12">
        <w:t xml:space="preserve"> inorganic arsenic </w:t>
      </w:r>
      <w:r w:rsidR="00083C6B">
        <w:t>exposure</w:t>
      </w:r>
      <w:r w:rsidR="00654B12">
        <w:t xml:space="preserve"> and appendicular lean mass (ALM) was assessed </w:t>
      </w:r>
      <w:r w:rsidR="00083C6B">
        <w:t>via the 2005-2006 NHANES data on 1007 adults. Arsenic exposure was assessed via urinary laboratory measurements. ALM was measured via dual-energy X-ray absorptiometry (DXA). All models were adjusted for participant age, race/ethnicity, height, and gender.</w:t>
      </w:r>
    </w:p>
    <w:p w14:paraId="0C3C9D2B" w14:textId="306D79BA" w:rsidR="00065738" w:rsidRDefault="00065738" w:rsidP="00EC14F8">
      <w:r>
        <w:t>Results:</w:t>
      </w:r>
      <w:r w:rsidR="00654B12">
        <w:t xml:space="preserve"> </w:t>
      </w:r>
      <w:r w:rsidR="00E01136">
        <w:t>We conducted a comparison between the quartiles of arsenic exposure. No significant association was found in non-adjusted analyses or after adjusting for age, race/ethnicity, height, and gender. However, t</w:t>
      </w:r>
      <w:r w:rsidR="00557BC2">
        <w:t>here</w:t>
      </w:r>
      <w:r w:rsidR="00E01136">
        <w:t xml:space="preserve"> after additionally adding creatinine to the model there</w:t>
      </w:r>
      <w:r w:rsidR="00557BC2">
        <w:t xml:space="preserve"> </w:t>
      </w:r>
      <w:r w:rsidR="00E01136">
        <w:t xml:space="preserve">was </w:t>
      </w:r>
      <w:r w:rsidR="00557BC2">
        <w:t xml:space="preserve"> a marginal significant difference in ALM between the lowest and highest quartiles of arsenic exposure (p=0.0539).</w:t>
      </w:r>
    </w:p>
    <w:p w14:paraId="1D4BDAB4" w14:textId="6F7E86FE" w:rsidR="00065738" w:rsidRPr="00EC14F8" w:rsidRDefault="00065738" w:rsidP="001227A0">
      <w:pPr>
        <w:rPr>
          <w:sz w:val="25"/>
          <w:szCs w:val="25"/>
        </w:rPr>
      </w:pPr>
      <w:r>
        <w:t>Conclusions:</w:t>
      </w:r>
      <w:r w:rsidR="00654B12">
        <w:t xml:space="preserve"> </w:t>
      </w:r>
      <w:r w:rsidR="003A68BE">
        <w:t xml:space="preserve">The association between inorganic arsenic exposure and ALM seem to be greatly affected by inclusion of a creatinine. </w:t>
      </w:r>
      <w:r w:rsidR="00654B12">
        <w:t xml:space="preserve">While no statistically significant results were achieved, there </w:t>
      </w:r>
      <w:r w:rsidR="00083C6B">
        <w:t>are interesting trends that invite further exploration.</w:t>
      </w:r>
      <w:r w:rsidR="003A68BE">
        <w:t xml:space="preserve"> </w:t>
      </w:r>
    </w:p>
    <w:p w14:paraId="5EE8B036" w14:textId="64A7A7F5" w:rsidR="00AA2C6A" w:rsidRPr="00AA2C6A" w:rsidRDefault="00AA2C6A" w:rsidP="00333567">
      <w:pPr>
        <w:ind w:firstLine="0"/>
      </w:pPr>
    </w:p>
    <w:p w14:paraId="1FBCDF5C" w14:textId="77777777" w:rsidR="008A110F" w:rsidRDefault="008A110F" w:rsidP="00333567">
      <w:pPr>
        <w:pStyle w:val="Preliminary"/>
      </w:pPr>
      <w:bookmarkStart w:id="1" w:name="_Toc106717784"/>
      <w:r w:rsidRPr="00E36565">
        <w:lastRenderedPageBreak/>
        <w:t>TABLE</w:t>
      </w:r>
      <w:r>
        <w:t xml:space="preserve"> OF CONTENTS</w:t>
      </w:r>
      <w:bookmarkEnd w:id="1"/>
    </w:p>
    <w:p w14:paraId="4E74E061" w14:textId="15A0B30C" w:rsidR="00C815E9"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rsidRPr="00401D0C">
        <w:instrText xml:space="preserve"> TOC \o "2-4" \h \z \t "Heading 1,1,Appendix,1,Heading,1" </w:instrText>
      </w:r>
      <w:r>
        <w:fldChar w:fldCharType="separate"/>
      </w:r>
      <w:hyperlink w:anchor="_Toc532467852" w:history="1">
        <w:r w:rsidR="00C815E9" w:rsidRPr="004D3DF3">
          <w:rPr>
            <w:rStyle w:val="Hyperlink"/>
            <w:noProof/>
          </w:rPr>
          <w:t>Preface</w:t>
        </w:r>
        <w:r w:rsidR="00C815E9">
          <w:rPr>
            <w:noProof/>
            <w:webHidden/>
          </w:rPr>
          <w:tab/>
        </w:r>
        <w:r w:rsidR="00C815E9">
          <w:rPr>
            <w:noProof/>
            <w:webHidden/>
          </w:rPr>
          <w:fldChar w:fldCharType="begin"/>
        </w:r>
        <w:r w:rsidR="00C815E9">
          <w:rPr>
            <w:noProof/>
            <w:webHidden/>
          </w:rPr>
          <w:instrText xml:space="preserve"> PAGEREF _Toc532467852 \h </w:instrText>
        </w:r>
        <w:r w:rsidR="00C815E9">
          <w:rPr>
            <w:noProof/>
            <w:webHidden/>
          </w:rPr>
        </w:r>
        <w:r w:rsidR="00C815E9">
          <w:rPr>
            <w:noProof/>
            <w:webHidden/>
          </w:rPr>
          <w:fldChar w:fldCharType="separate"/>
        </w:r>
        <w:r w:rsidR="003D4175">
          <w:rPr>
            <w:noProof/>
            <w:webHidden/>
          </w:rPr>
          <w:t>viii</w:t>
        </w:r>
        <w:r w:rsidR="00C815E9">
          <w:rPr>
            <w:noProof/>
            <w:webHidden/>
          </w:rPr>
          <w:fldChar w:fldCharType="end"/>
        </w:r>
      </w:hyperlink>
    </w:p>
    <w:p w14:paraId="74D0CFAA" w14:textId="12A262FE" w:rsidR="00C815E9" w:rsidRDefault="00E7055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2467853" w:history="1">
        <w:r w:rsidR="00C815E9" w:rsidRPr="004D3DF3">
          <w:rPr>
            <w:rStyle w:val="Hyperlink"/>
            <w:noProof/>
          </w:rPr>
          <w:t>1.0</w:t>
        </w:r>
        <w:r w:rsidR="00C815E9">
          <w:rPr>
            <w:rFonts w:asciiTheme="minorHAnsi" w:eastAsiaTheme="minorEastAsia" w:hAnsiTheme="minorHAnsi" w:cstheme="minorBidi"/>
            <w:b w:val="0"/>
            <w:caps w:val="0"/>
            <w:noProof/>
            <w:sz w:val="22"/>
            <w:szCs w:val="22"/>
          </w:rPr>
          <w:tab/>
        </w:r>
        <w:r w:rsidR="00C815E9" w:rsidRPr="004D3DF3">
          <w:rPr>
            <w:rStyle w:val="Hyperlink"/>
            <w:noProof/>
          </w:rPr>
          <w:t>Introduction</w:t>
        </w:r>
        <w:r w:rsidR="00C815E9">
          <w:rPr>
            <w:noProof/>
            <w:webHidden/>
          </w:rPr>
          <w:tab/>
        </w:r>
        <w:r w:rsidR="00C815E9">
          <w:rPr>
            <w:noProof/>
            <w:webHidden/>
          </w:rPr>
          <w:fldChar w:fldCharType="begin"/>
        </w:r>
        <w:r w:rsidR="00C815E9">
          <w:rPr>
            <w:noProof/>
            <w:webHidden/>
          </w:rPr>
          <w:instrText xml:space="preserve"> PAGEREF _Toc532467853 \h </w:instrText>
        </w:r>
        <w:r w:rsidR="00C815E9">
          <w:rPr>
            <w:noProof/>
            <w:webHidden/>
          </w:rPr>
        </w:r>
        <w:r w:rsidR="00C815E9">
          <w:rPr>
            <w:noProof/>
            <w:webHidden/>
          </w:rPr>
          <w:fldChar w:fldCharType="separate"/>
        </w:r>
        <w:r w:rsidR="003D4175">
          <w:rPr>
            <w:noProof/>
            <w:webHidden/>
          </w:rPr>
          <w:t>1</w:t>
        </w:r>
        <w:r w:rsidR="00C815E9">
          <w:rPr>
            <w:noProof/>
            <w:webHidden/>
          </w:rPr>
          <w:fldChar w:fldCharType="end"/>
        </w:r>
      </w:hyperlink>
    </w:p>
    <w:p w14:paraId="09BB9237" w14:textId="300C55F9"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54" w:history="1">
        <w:r w:rsidR="00C815E9" w:rsidRPr="004D3DF3">
          <w:rPr>
            <w:rStyle w:val="Hyperlink"/>
            <w:noProof/>
          </w:rPr>
          <w:t>1.1</w:t>
        </w:r>
        <w:r w:rsidR="00C815E9">
          <w:rPr>
            <w:rFonts w:asciiTheme="minorHAnsi" w:eastAsiaTheme="minorEastAsia" w:hAnsiTheme="minorHAnsi" w:cstheme="minorBidi"/>
            <w:b w:val="0"/>
            <w:caps w:val="0"/>
            <w:noProof/>
            <w:sz w:val="22"/>
            <w:szCs w:val="22"/>
          </w:rPr>
          <w:tab/>
        </w:r>
        <w:r w:rsidR="00C815E9" w:rsidRPr="004D3DF3">
          <w:rPr>
            <w:rStyle w:val="Hyperlink"/>
            <w:noProof/>
          </w:rPr>
          <w:t>Health Consequences of Arsenic exposure</w:t>
        </w:r>
        <w:r w:rsidR="00C815E9">
          <w:rPr>
            <w:noProof/>
            <w:webHidden/>
          </w:rPr>
          <w:tab/>
        </w:r>
        <w:r w:rsidR="00C815E9">
          <w:rPr>
            <w:noProof/>
            <w:webHidden/>
          </w:rPr>
          <w:fldChar w:fldCharType="begin"/>
        </w:r>
        <w:r w:rsidR="00C815E9">
          <w:rPr>
            <w:noProof/>
            <w:webHidden/>
          </w:rPr>
          <w:instrText xml:space="preserve"> PAGEREF _Toc532467854 \h </w:instrText>
        </w:r>
        <w:r w:rsidR="00C815E9">
          <w:rPr>
            <w:noProof/>
            <w:webHidden/>
          </w:rPr>
        </w:r>
        <w:r w:rsidR="00C815E9">
          <w:rPr>
            <w:noProof/>
            <w:webHidden/>
          </w:rPr>
          <w:fldChar w:fldCharType="separate"/>
        </w:r>
        <w:r w:rsidR="003D4175">
          <w:rPr>
            <w:noProof/>
            <w:webHidden/>
          </w:rPr>
          <w:t>1</w:t>
        </w:r>
        <w:r w:rsidR="00C815E9">
          <w:rPr>
            <w:noProof/>
            <w:webHidden/>
          </w:rPr>
          <w:fldChar w:fldCharType="end"/>
        </w:r>
      </w:hyperlink>
    </w:p>
    <w:p w14:paraId="7BE4F95B" w14:textId="309EC538"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55" w:history="1">
        <w:r w:rsidR="00C815E9" w:rsidRPr="004D3DF3">
          <w:rPr>
            <w:rStyle w:val="Hyperlink"/>
            <w:noProof/>
          </w:rPr>
          <w:t>1.2</w:t>
        </w:r>
        <w:r w:rsidR="00C815E9">
          <w:rPr>
            <w:rFonts w:asciiTheme="minorHAnsi" w:eastAsiaTheme="minorEastAsia" w:hAnsiTheme="minorHAnsi" w:cstheme="minorBidi"/>
            <w:b w:val="0"/>
            <w:caps w:val="0"/>
            <w:noProof/>
            <w:sz w:val="22"/>
            <w:szCs w:val="22"/>
          </w:rPr>
          <w:tab/>
        </w:r>
        <w:r w:rsidR="00C815E9" w:rsidRPr="004D3DF3">
          <w:rPr>
            <w:rStyle w:val="Hyperlink"/>
            <w:noProof/>
          </w:rPr>
          <w:t>Muscle Decline as a measure of disease risk</w:t>
        </w:r>
        <w:r w:rsidR="00C815E9">
          <w:rPr>
            <w:noProof/>
            <w:webHidden/>
          </w:rPr>
          <w:tab/>
        </w:r>
        <w:r w:rsidR="00C815E9">
          <w:rPr>
            <w:noProof/>
            <w:webHidden/>
          </w:rPr>
          <w:fldChar w:fldCharType="begin"/>
        </w:r>
        <w:r w:rsidR="00C815E9">
          <w:rPr>
            <w:noProof/>
            <w:webHidden/>
          </w:rPr>
          <w:instrText xml:space="preserve"> PAGEREF _Toc532467855 \h </w:instrText>
        </w:r>
        <w:r w:rsidR="00C815E9">
          <w:rPr>
            <w:noProof/>
            <w:webHidden/>
          </w:rPr>
        </w:r>
        <w:r w:rsidR="00C815E9">
          <w:rPr>
            <w:noProof/>
            <w:webHidden/>
          </w:rPr>
          <w:fldChar w:fldCharType="separate"/>
        </w:r>
        <w:r w:rsidR="003D4175">
          <w:rPr>
            <w:noProof/>
            <w:webHidden/>
          </w:rPr>
          <w:t>3</w:t>
        </w:r>
        <w:r w:rsidR="00C815E9">
          <w:rPr>
            <w:noProof/>
            <w:webHidden/>
          </w:rPr>
          <w:fldChar w:fldCharType="end"/>
        </w:r>
      </w:hyperlink>
    </w:p>
    <w:p w14:paraId="1A3F0CCD" w14:textId="25FC0316" w:rsidR="00C815E9" w:rsidRDefault="00E7055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2467856" w:history="1">
        <w:r w:rsidR="00C815E9" w:rsidRPr="004D3DF3">
          <w:rPr>
            <w:rStyle w:val="Hyperlink"/>
            <w:noProof/>
          </w:rPr>
          <w:t>2.0</w:t>
        </w:r>
        <w:r w:rsidR="00C815E9">
          <w:rPr>
            <w:rFonts w:asciiTheme="minorHAnsi" w:eastAsiaTheme="minorEastAsia" w:hAnsiTheme="minorHAnsi" w:cstheme="minorBidi"/>
            <w:b w:val="0"/>
            <w:caps w:val="0"/>
            <w:noProof/>
            <w:sz w:val="22"/>
            <w:szCs w:val="22"/>
          </w:rPr>
          <w:tab/>
        </w:r>
        <w:r w:rsidR="00C815E9" w:rsidRPr="004D3DF3">
          <w:rPr>
            <w:rStyle w:val="Hyperlink"/>
            <w:noProof/>
          </w:rPr>
          <w:t>Methods</w:t>
        </w:r>
        <w:r w:rsidR="00C815E9">
          <w:rPr>
            <w:noProof/>
            <w:webHidden/>
          </w:rPr>
          <w:tab/>
        </w:r>
        <w:r w:rsidR="00C815E9">
          <w:rPr>
            <w:noProof/>
            <w:webHidden/>
          </w:rPr>
          <w:fldChar w:fldCharType="begin"/>
        </w:r>
        <w:r w:rsidR="00C815E9">
          <w:rPr>
            <w:noProof/>
            <w:webHidden/>
          </w:rPr>
          <w:instrText xml:space="preserve"> PAGEREF _Toc532467856 \h </w:instrText>
        </w:r>
        <w:r w:rsidR="00C815E9">
          <w:rPr>
            <w:noProof/>
            <w:webHidden/>
          </w:rPr>
        </w:r>
        <w:r w:rsidR="00C815E9">
          <w:rPr>
            <w:noProof/>
            <w:webHidden/>
          </w:rPr>
          <w:fldChar w:fldCharType="separate"/>
        </w:r>
        <w:r w:rsidR="003D4175">
          <w:rPr>
            <w:noProof/>
            <w:webHidden/>
          </w:rPr>
          <w:t>6</w:t>
        </w:r>
        <w:r w:rsidR="00C815E9">
          <w:rPr>
            <w:noProof/>
            <w:webHidden/>
          </w:rPr>
          <w:fldChar w:fldCharType="end"/>
        </w:r>
      </w:hyperlink>
    </w:p>
    <w:p w14:paraId="7FDAC7F2" w14:textId="2B8E1A82"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57" w:history="1">
        <w:r w:rsidR="00C815E9" w:rsidRPr="004D3DF3">
          <w:rPr>
            <w:rStyle w:val="Hyperlink"/>
            <w:noProof/>
          </w:rPr>
          <w:t>2.1</w:t>
        </w:r>
        <w:r w:rsidR="00C815E9">
          <w:rPr>
            <w:rFonts w:asciiTheme="minorHAnsi" w:eastAsiaTheme="minorEastAsia" w:hAnsiTheme="minorHAnsi" w:cstheme="minorBidi"/>
            <w:b w:val="0"/>
            <w:caps w:val="0"/>
            <w:noProof/>
            <w:sz w:val="22"/>
            <w:szCs w:val="22"/>
          </w:rPr>
          <w:tab/>
        </w:r>
        <w:r w:rsidR="00C815E9" w:rsidRPr="004D3DF3">
          <w:rPr>
            <w:rStyle w:val="Hyperlink"/>
            <w:noProof/>
          </w:rPr>
          <w:t>Study Population</w:t>
        </w:r>
        <w:r w:rsidR="00C815E9">
          <w:rPr>
            <w:noProof/>
            <w:webHidden/>
          </w:rPr>
          <w:tab/>
        </w:r>
        <w:r w:rsidR="00C815E9">
          <w:rPr>
            <w:noProof/>
            <w:webHidden/>
          </w:rPr>
          <w:fldChar w:fldCharType="begin"/>
        </w:r>
        <w:r w:rsidR="00C815E9">
          <w:rPr>
            <w:noProof/>
            <w:webHidden/>
          </w:rPr>
          <w:instrText xml:space="preserve"> PAGEREF _Toc532467857 \h </w:instrText>
        </w:r>
        <w:r w:rsidR="00C815E9">
          <w:rPr>
            <w:noProof/>
            <w:webHidden/>
          </w:rPr>
        </w:r>
        <w:r w:rsidR="00C815E9">
          <w:rPr>
            <w:noProof/>
            <w:webHidden/>
          </w:rPr>
          <w:fldChar w:fldCharType="separate"/>
        </w:r>
        <w:r w:rsidR="003D4175">
          <w:rPr>
            <w:noProof/>
            <w:webHidden/>
          </w:rPr>
          <w:t>6</w:t>
        </w:r>
        <w:r w:rsidR="00C815E9">
          <w:rPr>
            <w:noProof/>
            <w:webHidden/>
          </w:rPr>
          <w:fldChar w:fldCharType="end"/>
        </w:r>
      </w:hyperlink>
    </w:p>
    <w:p w14:paraId="073586F4" w14:textId="4F92BA15" w:rsidR="00C815E9" w:rsidRDefault="00E7055A">
      <w:pPr>
        <w:pStyle w:val="TOC3"/>
        <w:tabs>
          <w:tab w:val="left" w:pos="1760"/>
          <w:tab w:val="right" w:leader="dot" w:pos="9350"/>
        </w:tabs>
        <w:rPr>
          <w:rFonts w:asciiTheme="minorHAnsi" w:eastAsiaTheme="minorEastAsia" w:hAnsiTheme="minorHAnsi" w:cstheme="minorBidi"/>
          <w:b w:val="0"/>
          <w:noProof/>
          <w:sz w:val="22"/>
          <w:szCs w:val="22"/>
        </w:rPr>
      </w:pPr>
      <w:hyperlink w:anchor="_Toc532467858" w:history="1">
        <w:r w:rsidR="00C815E9" w:rsidRPr="004D3DF3">
          <w:rPr>
            <w:rStyle w:val="Hyperlink"/>
            <w:noProof/>
          </w:rPr>
          <w:t>2.1.1</w:t>
        </w:r>
        <w:r w:rsidR="00C815E9">
          <w:rPr>
            <w:rFonts w:asciiTheme="minorHAnsi" w:eastAsiaTheme="minorEastAsia" w:hAnsiTheme="minorHAnsi" w:cstheme="minorBidi"/>
            <w:b w:val="0"/>
            <w:noProof/>
            <w:sz w:val="22"/>
            <w:szCs w:val="22"/>
          </w:rPr>
          <w:tab/>
        </w:r>
        <w:r w:rsidR="00C815E9" w:rsidRPr="004D3DF3">
          <w:rPr>
            <w:rStyle w:val="Hyperlink"/>
            <w:noProof/>
          </w:rPr>
          <w:t>Urine Arsenical Measurements</w:t>
        </w:r>
        <w:r w:rsidR="00C815E9">
          <w:rPr>
            <w:noProof/>
            <w:webHidden/>
          </w:rPr>
          <w:tab/>
        </w:r>
        <w:r w:rsidR="00C815E9">
          <w:rPr>
            <w:noProof/>
            <w:webHidden/>
          </w:rPr>
          <w:fldChar w:fldCharType="begin"/>
        </w:r>
        <w:r w:rsidR="00C815E9">
          <w:rPr>
            <w:noProof/>
            <w:webHidden/>
          </w:rPr>
          <w:instrText xml:space="preserve"> PAGEREF _Toc532467858 \h </w:instrText>
        </w:r>
        <w:r w:rsidR="00C815E9">
          <w:rPr>
            <w:noProof/>
            <w:webHidden/>
          </w:rPr>
        </w:r>
        <w:r w:rsidR="00C815E9">
          <w:rPr>
            <w:noProof/>
            <w:webHidden/>
          </w:rPr>
          <w:fldChar w:fldCharType="separate"/>
        </w:r>
        <w:r w:rsidR="003D4175">
          <w:rPr>
            <w:noProof/>
            <w:webHidden/>
          </w:rPr>
          <w:t>6</w:t>
        </w:r>
        <w:r w:rsidR="00C815E9">
          <w:rPr>
            <w:noProof/>
            <w:webHidden/>
          </w:rPr>
          <w:fldChar w:fldCharType="end"/>
        </w:r>
      </w:hyperlink>
    </w:p>
    <w:p w14:paraId="2B86F1D1" w14:textId="504C026E" w:rsidR="00C815E9" w:rsidRDefault="00E7055A">
      <w:pPr>
        <w:pStyle w:val="TOC3"/>
        <w:tabs>
          <w:tab w:val="left" w:pos="1760"/>
          <w:tab w:val="right" w:leader="dot" w:pos="9350"/>
        </w:tabs>
        <w:rPr>
          <w:rFonts w:asciiTheme="minorHAnsi" w:eastAsiaTheme="minorEastAsia" w:hAnsiTheme="minorHAnsi" w:cstheme="minorBidi"/>
          <w:b w:val="0"/>
          <w:noProof/>
          <w:sz w:val="22"/>
          <w:szCs w:val="22"/>
        </w:rPr>
      </w:pPr>
      <w:hyperlink w:anchor="_Toc532467859" w:history="1">
        <w:r w:rsidR="00C815E9" w:rsidRPr="004D3DF3">
          <w:rPr>
            <w:rStyle w:val="Hyperlink"/>
            <w:noProof/>
          </w:rPr>
          <w:t>2.1.2</w:t>
        </w:r>
        <w:r w:rsidR="00C815E9">
          <w:rPr>
            <w:rFonts w:asciiTheme="minorHAnsi" w:eastAsiaTheme="minorEastAsia" w:hAnsiTheme="minorHAnsi" w:cstheme="minorBidi"/>
            <w:b w:val="0"/>
            <w:noProof/>
            <w:sz w:val="22"/>
            <w:szCs w:val="22"/>
          </w:rPr>
          <w:tab/>
        </w:r>
        <w:r w:rsidR="00C815E9" w:rsidRPr="004D3DF3">
          <w:rPr>
            <w:rStyle w:val="Hyperlink"/>
            <w:noProof/>
          </w:rPr>
          <w:t>DXA Lean Mass Measurements</w:t>
        </w:r>
        <w:r w:rsidR="00C815E9">
          <w:rPr>
            <w:noProof/>
            <w:webHidden/>
          </w:rPr>
          <w:tab/>
        </w:r>
        <w:r w:rsidR="00C815E9">
          <w:rPr>
            <w:noProof/>
            <w:webHidden/>
          </w:rPr>
          <w:fldChar w:fldCharType="begin"/>
        </w:r>
        <w:r w:rsidR="00C815E9">
          <w:rPr>
            <w:noProof/>
            <w:webHidden/>
          </w:rPr>
          <w:instrText xml:space="preserve"> PAGEREF _Toc532467859 \h </w:instrText>
        </w:r>
        <w:r w:rsidR="00C815E9">
          <w:rPr>
            <w:noProof/>
            <w:webHidden/>
          </w:rPr>
        </w:r>
        <w:r w:rsidR="00C815E9">
          <w:rPr>
            <w:noProof/>
            <w:webHidden/>
          </w:rPr>
          <w:fldChar w:fldCharType="separate"/>
        </w:r>
        <w:r w:rsidR="003D4175">
          <w:rPr>
            <w:noProof/>
            <w:webHidden/>
          </w:rPr>
          <w:t>7</w:t>
        </w:r>
        <w:r w:rsidR="00C815E9">
          <w:rPr>
            <w:noProof/>
            <w:webHidden/>
          </w:rPr>
          <w:fldChar w:fldCharType="end"/>
        </w:r>
      </w:hyperlink>
    </w:p>
    <w:p w14:paraId="72F7BB16" w14:textId="71DBE06D"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60" w:history="1">
        <w:r w:rsidR="00C815E9" w:rsidRPr="004D3DF3">
          <w:rPr>
            <w:rStyle w:val="Hyperlink"/>
            <w:noProof/>
          </w:rPr>
          <w:t>2.2</w:t>
        </w:r>
        <w:r w:rsidR="00C815E9">
          <w:rPr>
            <w:rFonts w:asciiTheme="minorHAnsi" w:eastAsiaTheme="minorEastAsia" w:hAnsiTheme="minorHAnsi" w:cstheme="minorBidi"/>
            <w:b w:val="0"/>
            <w:caps w:val="0"/>
            <w:noProof/>
            <w:sz w:val="22"/>
            <w:szCs w:val="22"/>
          </w:rPr>
          <w:tab/>
        </w:r>
        <w:r w:rsidR="00C815E9" w:rsidRPr="004D3DF3">
          <w:rPr>
            <w:rStyle w:val="Hyperlink"/>
            <w:noProof/>
          </w:rPr>
          <w:t>Statistical analyses</w:t>
        </w:r>
        <w:r w:rsidR="00C815E9">
          <w:rPr>
            <w:noProof/>
            <w:webHidden/>
          </w:rPr>
          <w:tab/>
        </w:r>
        <w:r w:rsidR="00C815E9">
          <w:rPr>
            <w:noProof/>
            <w:webHidden/>
          </w:rPr>
          <w:fldChar w:fldCharType="begin"/>
        </w:r>
        <w:r w:rsidR="00C815E9">
          <w:rPr>
            <w:noProof/>
            <w:webHidden/>
          </w:rPr>
          <w:instrText xml:space="preserve"> PAGEREF _Toc532467860 \h </w:instrText>
        </w:r>
        <w:r w:rsidR="00C815E9">
          <w:rPr>
            <w:noProof/>
            <w:webHidden/>
          </w:rPr>
        </w:r>
        <w:r w:rsidR="00C815E9">
          <w:rPr>
            <w:noProof/>
            <w:webHidden/>
          </w:rPr>
          <w:fldChar w:fldCharType="separate"/>
        </w:r>
        <w:r w:rsidR="003D4175">
          <w:rPr>
            <w:noProof/>
            <w:webHidden/>
          </w:rPr>
          <w:t>8</w:t>
        </w:r>
        <w:r w:rsidR="00C815E9">
          <w:rPr>
            <w:noProof/>
            <w:webHidden/>
          </w:rPr>
          <w:fldChar w:fldCharType="end"/>
        </w:r>
      </w:hyperlink>
    </w:p>
    <w:p w14:paraId="24D124DE" w14:textId="448CE581" w:rsidR="00C815E9" w:rsidRDefault="00E7055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2467861" w:history="1">
        <w:r w:rsidR="00C815E9" w:rsidRPr="004D3DF3">
          <w:rPr>
            <w:rStyle w:val="Hyperlink"/>
            <w:noProof/>
          </w:rPr>
          <w:t>3.0</w:t>
        </w:r>
        <w:r w:rsidR="00C815E9">
          <w:rPr>
            <w:rFonts w:asciiTheme="minorHAnsi" w:eastAsiaTheme="minorEastAsia" w:hAnsiTheme="minorHAnsi" w:cstheme="minorBidi"/>
            <w:b w:val="0"/>
            <w:caps w:val="0"/>
            <w:noProof/>
            <w:sz w:val="22"/>
            <w:szCs w:val="22"/>
          </w:rPr>
          <w:tab/>
        </w:r>
        <w:r w:rsidR="00C815E9" w:rsidRPr="004D3DF3">
          <w:rPr>
            <w:rStyle w:val="Hyperlink"/>
            <w:noProof/>
          </w:rPr>
          <w:t>Results</w:t>
        </w:r>
        <w:r w:rsidR="00C815E9">
          <w:rPr>
            <w:noProof/>
            <w:webHidden/>
          </w:rPr>
          <w:tab/>
        </w:r>
        <w:r w:rsidR="00C815E9">
          <w:rPr>
            <w:noProof/>
            <w:webHidden/>
          </w:rPr>
          <w:fldChar w:fldCharType="begin"/>
        </w:r>
        <w:r w:rsidR="00C815E9">
          <w:rPr>
            <w:noProof/>
            <w:webHidden/>
          </w:rPr>
          <w:instrText xml:space="preserve"> PAGEREF _Toc532467861 \h </w:instrText>
        </w:r>
        <w:r w:rsidR="00C815E9">
          <w:rPr>
            <w:noProof/>
            <w:webHidden/>
          </w:rPr>
        </w:r>
        <w:r w:rsidR="00C815E9">
          <w:rPr>
            <w:noProof/>
            <w:webHidden/>
          </w:rPr>
          <w:fldChar w:fldCharType="separate"/>
        </w:r>
        <w:r w:rsidR="003D4175">
          <w:rPr>
            <w:noProof/>
            <w:webHidden/>
          </w:rPr>
          <w:t>10</w:t>
        </w:r>
        <w:r w:rsidR="00C815E9">
          <w:rPr>
            <w:noProof/>
            <w:webHidden/>
          </w:rPr>
          <w:fldChar w:fldCharType="end"/>
        </w:r>
      </w:hyperlink>
    </w:p>
    <w:p w14:paraId="06802574" w14:textId="4DB0F93D"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62" w:history="1">
        <w:r w:rsidR="00C815E9" w:rsidRPr="004D3DF3">
          <w:rPr>
            <w:rStyle w:val="Hyperlink"/>
            <w:noProof/>
          </w:rPr>
          <w:t>3.1</w:t>
        </w:r>
        <w:r w:rsidR="00C815E9">
          <w:rPr>
            <w:rFonts w:asciiTheme="minorHAnsi" w:eastAsiaTheme="minorEastAsia" w:hAnsiTheme="minorHAnsi" w:cstheme="minorBidi"/>
            <w:b w:val="0"/>
            <w:caps w:val="0"/>
            <w:noProof/>
            <w:sz w:val="22"/>
            <w:szCs w:val="22"/>
          </w:rPr>
          <w:tab/>
        </w:r>
        <w:r w:rsidR="00C815E9" w:rsidRPr="004D3DF3">
          <w:rPr>
            <w:rStyle w:val="Hyperlink"/>
            <w:noProof/>
          </w:rPr>
          <w:t>Descriptive analysis</w:t>
        </w:r>
        <w:r w:rsidR="00C815E9">
          <w:rPr>
            <w:noProof/>
            <w:webHidden/>
          </w:rPr>
          <w:tab/>
        </w:r>
        <w:r w:rsidR="00C815E9">
          <w:rPr>
            <w:noProof/>
            <w:webHidden/>
          </w:rPr>
          <w:fldChar w:fldCharType="begin"/>
        </w:r>
        <w:r w:rsidR="00C815E9">
          <w:rPr>
            <w:noProof/>
            <w:webHidden/>
          </w:rPr>
          <w:instrText xml:space="preserve"> PAGEREF _Toc532467862 \h </w:instrText>
        </w:r>
        <w:r w:rsidR="00C815E9">
          <w:rPr>
            <w:noProof/>
            <w:webHidden/>
          </w:rPr>
        </w:r>
        <w:r w:rsidR="00C815E9">
          <w:rPr>
            <w:noProof/>
            <w:webHidden/>
          </w:rPr>
          <w:fldChar w:fldCharType="separate"/>
        </w:r>
        <w:r w:rsidR="003D4175">
          <w:rPr>
            <w:noProof/>
            <w:webHidden/>
          </w:rPr>
          <w:t>10</w:t>
        </w:r>
        <w:r w:rsidR="00C815E9">
          <w:rPr>
            <w:noProof/>
            <w:webHidden/>
          </w:rPr>
          <w:fldChar w:fldCharType="end"/>
        </w:r>
      </w:hyperlink>
    </w:p>
    <w:p w14:paraId="7D298D95" w14:textId="6C3650E0"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63" w:history="1">
        <w:r w:rsidR="00C815E9" w:rsidRPr="004D3DF3">
          <w:rPr>
            <w:rStyle w:val="Hyperlink"/>
            <w:noProof/>
          </w:rPr>
          <w:t>3.2</w:t>
        </w:r>
        <w:r w:rsidR="00C815E9">
          <w:rPr>
            <w:rFonts w:asciiTheme="minorHAnsi" w:eastAsiaTheme="minorEastAsia" w:hAnsiTheme="minorHAnsi" w:cstheme="minorBidi"/>
            <w:b w:val="0"/>
            <w:caps w:val="0"/>
            <w:noProof/>
            <w:sz w:val="22"/>
            <w:szCs w:val="22"/>
          </w:rPr>
          <w:tab/>
        </w:r>
        <w:r w:rsidR="00C815E9" w:rsidRPr="004D3DF3">
          <w:rPr>
            <w:rStyle w:val="Hyperlink"/>
            <w:noProof/>
          </w:rPr>
          <w:t>Linear Regression Analyses</w:t>
        </w:r>
        <w:r w:rsidR="00C815E9">
          <w:rPr>
            <w:noProof/>
            <w:webHidden/>
          </w:rPr>
          <w:tab/>
        </w:r>
        <w:r w:rsidR="00C815E9">
          <w:rPr>
            <w:noProof/>
            <w:webHidden/>
          </w:rPr>
          <w:fldChar w:fldCharType="begin"/>
        </w:r>
        <w:r w:rsidR="00C815E9">
          <w:rPr>
            <w:noProof/>
            <w:webHidden/>
          </w:rPr>
          <w:instrText xml:space="preserve"> PAGEREF _Toc532467863 \h </w:instrText>
        </w:r>
        <w:r w:rsidR="00C815E9">
          <w:rPr>
            <w:noProof/>
            <w:webHidden/>
          </w:rPr>
        </w:r>
        <w:r w:rsidR="00C815E9">
          <w:rPr>
            <w:noProof/>
            <w:webHidden/>
          </w:rPr>
          <w:fldChar w:fldCharType="separate"/>
        </w:r>
        <w:r w:rsidR="003D4175">
          <w:rPr>
            <w:noProof/>
            <w:webHidden/>
          </w:rPr>
          <w:t>13</w:t>
        </w:r>
        <w:r w:rsidR="00C815E9">
          <w:rPr>
            <w:noProof/>
            <w:webHidden/>
          </w:rPr>
          <w:fldChar w:fldCharType="end"/>
        </w:r>
      </w:hyperlink>
    </w:p>
    <w:p w14:paraId="3E29810B" w14:textId="12692618" w:rsidR="00C815E9" w:rsidRDefault="00E7055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2467864" w:history="1">
        <w:r w:rsidR="00C815E9" w:rsidRPr="004D3DF3">
          <w:rPr>
            <w:rStyle w:val="Hyperlink"/>
            <w:noProof/>
          </w:rPr>
          <w:t>4.0</w:t>
        </w:r>
        <w:r w:rsidR="00C815E9">
          <w:rPr>
            <w:rFonts w:asciiTheme="minorHAnsi" w:eastAsiaTheme="minorEastAsia" w:hAnsiTheme="minorHAnsi" w:cstheme="minorBidi"/>
            <w:b w:val="0"/>
            <w:caps w:val="0"/>
            <w:noProof/>
            <w:sz w:val="22"/>
            <w:szCs w:val="22"/>
          </w:rPr>
          <w:tab/>
        </w:r>
        <w:r w:rsidR="00C815E9" w:rsidRPr="004D3DF3">
          <w:rPr>
            <w:rStyle w:val="Hyperlink"/>
            <w:noProof/>
          </w:rPr>
          <w:t>Discussion</w:t>
        </w:r>
        <w:r w:rsidR="00C815E9">
          <w:rPr>
            <w:noProof/>
            <w:webHidden/>
          </w:rPr>
          <w:tab/>
        </w:r>
        <w:r w:rsidR="00C815E9">
          <w:rPr>
            <w:noProof/>
            <w:webHidden/>
          </w:rPr>
          <w:fldChar w:fldCharType="begin"/>
        </w:r>
        <w:r w:rsidR="00C815E9">
          <w:rPr>
            <w:noProof/>
            <w:webHidden/>
          </w:rPr>
          <w:instrText xml:space="preserve"> PAGEREF _Toc532467864 \h </w:instrText>
        </w:r>
        <w:r w:rsidR="00C815E9">
          <w:rPr>
            <w:noProof/>
            <w:webHidden/>
          </w:rPr>
        </w:r>
        <w:r w:rsidR="00C815E9">
          <w:rPr>
            <w:noProof/>
            <w:webHidden/>
          </w:rPr>
          <w:fldChar w:fldCharType="separate"/>
        </w:r>
        <w:r w:rsidR="003D4175">
          <w:rPr>
            <w:noProof/>
            <w:webHidden/>
          </w:rPr>
          <w:t>15</w:t>
        </w:r>
        <w:r w:rsidR="00C815E9">
          <w:rPr>
            <w:noProof/>
            <w:webHidden/>
          </w:rPr>
          <w:fldChar w:fldCharType="end"/>
        </w:r>
      </w:hyperlink>
    </w:p>
    <w:p w14:paraId="59485CD5" w14:textId="63F6DAB0"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65" w:history="1">
        <w:r w:rsidR="00C815E9" w:rsidRPr="004D3DF3">
          <w:rPr>
            <w:rStyle w:val="Hyperlink"/>
            <w:noProof/>
          </w:rPr>
          <w:t>4.1</w:t>
        </w:r>
        <w:r w:rsidR="00C815E9">
          <w:rPr>
            <w:rFonts w:asciiTheme="minorHAnsi" w:eastAsiaTheme="minorEastAsia" w:hAnsiTheme="minorHAnsi" w:cstheme="minorBidi"/>
            <w:b w:val="0"/>
            <w:caps w:val="0"/>
            <w:noProof/>
            <w:sz w:val="22"/>
            <w:szCs w:val="22"/>
          </w:rPr>
          <w:tab/>
        </w:r>
        <w:r w:rsidR="00C815E9" w:rsidRPr="004D3DF3">
          <w:rPr>
            <w:rStyle w:val="Hyperlink"/>
            <w:noProof/>
          </w:rPr>
          <w:t>Limitations</w:t>
        </w:r>
        <w:r w:rsidR="00C815E9">
          <w:rPr>
            <w:noProof/>
            <w:webHidden/>
          </w:rPr>
          <w:tab/>
        </w:r>
        <w:r w:rsidR="00C815E9">
          <w:rPr>
            <w:noProof/>
            <w:webHidden/>
          </w:rPr>
          <w:fldChar w:fldCharType="begin"/>
        </w:r>
        <w:r w:rsidR="00C815E9">
          <w:rPr>
            <w:noProof/>
            <w:webHidden/>
          </w:rPr>
          <w:instrText xml:space="preserve"> PAGEREF _Toc532467865 \h </w:instrText>
        </w:r>
        <w:r w:rsidR="00C815E9">
          <w:rPr>
            <w:noProof/>
            <w:webHidden/>
          </w:rPr>
        </w:r>
        <w:r w:rsidR="00C815E9">
          <w:rPr>
            <w:noProof/>
            <w:webHidden/>
          </w:rPr>
          <w:fldChar w:fldCharType="separate"/>
        </w:r>
        <w:r w:rsidR="003D4175">
          <w:rPr>
            <w:noProof/>
            <w:webHidden/>
          </w:rPr>
          <w:t>16</w:t>
        </w:r>
        <w:r w:rsidR="00C815E9">
          <w:rPr>
            <w:noProof/>
            <w:webHidden/>
          </w:rPr>
          <w:fldChar w:fldCharType="end"/>
        </w:r>
      </w:hyperlink>
    </w:p>
    <w:p w14:paraId="481E4F6A" w14:textId="54CB86CF" w:rsidR="00C815E9" w:rsidRDefault="00E7055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32467866" w:history="1">
        <w:r w:rsidR="00C815E9" w:rsidRPr="004D3DF3">
          <w:rPr>
            <w:rStyle w:val="Hyperlink"/>
            <w:noProof/>
          </w:rPr>
          <w:t>4.2</w:t>
        </w:r>
        <w:r w:rsidR="00C815E9">
          <w:rPr>
            <w:rFonts w:asciiTheme="minorHAnsi" w:eastAsiaTheme="minorEastAsia" w:hAnsiTheme="minorHAnsi" w:cstheme="minorBidi"/>
            <w:b w:val="0"/>
            <w:caps w:val="0"/>
            <w:noProof/>
            <w:sz w:val="22"/>
            <w:szCs w:val="22"/>
          </w:rPr>
          <w:tab/>
        </w:r>
        <w:r w:rsidR="00C815E9" w:rsidRPr="004D3DF3">
          <w:rPr>
            <w:rStyle w:val="Hyperlink"/>
            <w:noProof/>
          </w:rPr>
          <w:t>Future work</w:t>
        </w:r>
        <w:r w:rsidR="00C815E9">
          <w:rPr>
            <w:noProof/>
            <w:webHidden/>
          </w:rPr>
          <w:tab/>
        </w:r>
        <w:r w:rsidR="00C815E9">
          <w:rPr>
            <w:noProof/>
            <w:webHidden/>
          </w:rPr>
          <w:fldChar w:fldCharType="begin"/>
        </w:r>
        <w:r w:rsidR="00C815E9">
          <w:rPr>
            <w:noProof/>
            <w:webHidden/>
          </w:rPr>
          <w:instrText xml:space="preserve"> PAGEREF _Toc532467866 \h </w:instrText>
        </w:r>
        <w:r w:rsidR="00C815E9">
          <w:rPr>
            <w:noProof/>
            <w:webHidden/>
          </w:rPr>
        </w:r>
        <w:r w:rsidR="00C815E9">
          <w:rPr>
            <w:noProof/>
            <w:webHidden/>
          </w:rPr>
          <w:fldChar w:fldCharType="separate"/>
        </w:r>
        <w:r w:rsidR="003D4175">
          <w:rPr>
            <w:noProof/>
            <w:webHidden/>
          </w:rPr>
          <w:t>17</w:t>
        </w:r>
        <w:r w:rsidR="00C815E9">
          <w:rPr>
            <w:noProof/>
            <w:webHidden/>
          </w:rPr>
          <w:fldChar w:fldCharType="end"/>
        </w:r>
      </w:hyperlink>
    </w:p>
    <w:p w14:paraId="4DD96EE6" w14:textId="2FF3BD20" w:rsidR="00C815E9" w:rsidRDefault="00E7055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32467867" w:history="1">
        <w:r w:rsidR="00C815E9" w:rsidRPr="004D3DF3">
          <w:rPr>
            <w:rStyle w:val="Hyperlink"/>
            <w:noProof/>
          </w:rPr>
          <w:t>5.0</w:t>
        </w:r>
        <w:r w:rsidR="00C815E9">
          <w:rPr>
            <w:rFonts w:asciiTheme="minorHAnsi" w:eastAsiaTheme="minorEastAsia" w:hAnsiTheme="minorHAnsi" w:cstheme="minorBidi"/>
            <w:b w:val="0"/>
            <w:caps w:val="0"/>
            <w:noProof/>
            <w:sz w:val="22"/>
            <w:szCs w:val="22"/>
          </w:rPr>
          <w:tab/>
        </w:r>
        <w:r w:rsidR="00C815E9" w:rsidRPr="004D3DF3">
          <w:rPr>
            <w:rStyle w:val="Hyperlink"/>
            <w:noProof/>
          </w:rPr>
          <w:t>Conclusion</w:t>
        </w:r>
        <w:r w:rsidR="00C815E9">
          <w:rPr>
            <w:noProof/>
            <w:webHidden/>
          </w:rPr>
          <w:tab/>
        </w:r>
        <w:r w:rsidR="00C815E9">
          <w:rPr>
            <w:noProof/>
            <w:webHidden/>
          </w:rPr>
          <w:fldChar w:fldCharType="begin"/>
        </w:r>
        <w:r w:rsidR="00C815E9">
          <w:rPr>
            <w:noProof/>
            <w:webHidden/>
          </w:rPr>
          <w:instrText xml:space="preserve"> PAGEREF _Toc532467867 \h </w:instrText>
        </w:r>
        <w:r w:rsidR="00C815E9">
          <w:rPr>
            <w:noProof/>
            <w:webHidden/>
          </w:rPr>
        </w:r>
        <w:r w:rsidR="00C815E9">
          <w:rPr>
            <w:noProof/>
            <w:webHidden/>
          </w:rPr>
          <w:fldChar w:fldCharType="separate"/>
        </w:r>
        <w:r w:rsidR="003D4175">
          <w:rPr>
            <w:noProof/>
            <w:webHidden/>
          </w:rPr>
          <w:t>19</w:t>
        </w:r>
        <w:r w:rsidR="00C815E9">
          <w:rPr>
            <w:noProof/>
            <w:webHidden/>
          </w:rPr>
          <w:fldChar w:fldCharType="end"/>
        </w:r>
      </w:hyperlink>
    </w:p>
    <w:p w14:paraId="29803BC8" w14:textId="4431AD36" w:rsidR="00C815E9" w:rsidRDefault="00E7055A">
      <w:pPr>
        <w:pStyle w:val="TOC1"/>
        <w:tabs>
          <w:tab w:val="right" w:leader="dot" w:pos="9350"/>
        </w:tabs>
        <w:rPr>
          <w:rFonts w:asciiTheme="minorHAnsi" w:eastAsiaTheme="minorEastAsia" w:hAnsiTheme="minorHAnsi" w:cstheme="minorBidi"/>
          <w:b w:val="0"/>
          <w:caps w:val="0"/>
          <w:noProof/>
          <w:sz w:val="22"/>
          <w:szCs w:val="22"/>
        </w:rPr>
      </w:pPr>
      <w:hyperlink w:anchor="_Toc532467868" w:history="1">
        <w:r w:rsidR="00C815E9" w:rsidRPr="004D3DF3">
          <w:rPr>
            <w:rStyle w:val="Hyperlink"/>
            <w:noProof/>
          </w:rPr>
          <w:t>bibliography</w:t>
        </w:r>
        <w:r w:rsidR="00C815E9">
          <w:rPr>
            <w:noProof/>
            <w:webHidden/>
          </w:rPr>
          <w:tab/>
        </w:r>
        <w:r w:rsidR="00C815E9">
          <w:rPr>
            <w:noProof/>
            <w:webHidden/>
          </w:rPr>
          <w:fldChar w:fldCharType="begin"/>
        </w:r>
        <w:r w:rsidR="00C815E9">
          <w:rPr>
            <w:noProof/>
            <w:webHidden/>
          </w:rPr>
          <w:instrText xml:space="preserve"> PAGEREF _Toc532467868 \h </w:instrText>
        </w:r>
        <w:r w:rsidR="00C815E9">
          <w:rPr>
            <w:noProof/>
            <w:webHidden/>
          </w:rPr>
        </w:r>
        <w:r w:rsidR="00C815E9">
          <w:rPr>
            <w:noProof/>
            <w:webHidden/>
          </w:rPr>
          <w:fldChar w:fldCharType="separate"/>
        </w:r>
        <w:r w:rsidR="003D4175">
          <w:rPr>
            <w:noProof/>
            <w:webHidden/>
          </w:rPr>
          <w:t>20</w:t>
        </w:r>
        <w:r w:rsidR="00C815E9">
          <w:rPr>
            <w:noProof/>
            <w:webHidden/>
          </w:rPr>
          <w:fldChar w:fldCharType="end"/>
        </w:r>
      </w:hyperlink>
    </w:p>
    <w:p w14:paraId="46D406DA" w14:textId="09DF16A8" w:rsidR="00CB03F9" w:rsidRDefault="00367476" w:rsidP="00035D1E">
      <w:pPr>
        <w:pStyle w:val="Preliminary"/>
      </w:pPr>
      <w:r>
        <w:lastRenderedPageBreak/>
        <w:fldChar w:fldCharType="end"/>
      </w:r>
      <w:r w:rsidR="00CB03F9">
        <w:t xml:space="preserve">List of </w:t>
      </w:r>
      <w:r w:rsidR="00CB03F9" w:rsidRPr="00B424B6">
        <w:t>tables</w:t>
      </w:r>
    </w:p>
    <w:p w14:paraId="210C0853" w14:textId="3DBC279F" w:rsidR="001042A1"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32468798" w:history="1">
        <w:r w:rsidR="001042A1" w:rsidRPr="00400E49">
          <w:rPr>
            <w:rStyle w:val="Hyperlink"/>
            <w:noProof/>
          </w:rPr>
          <w:t>Table 1. Participant Characteristics</w:t>
        </w:r>
        <w:r w:rsidR="001042A1">
          <w:rPr>
            <w:noProof/>
            <w:webHidden/>
          </w:rPr>
          <w:tab/>
        </w:r>
        <w:r w:rsidR="001042A1">
          <w:rPr>
            <w:noProof/>
            <w:webHidden/>
          </w:rPr>
          <w:fldChar w:fldCharType="begin"/>
        </w:r>
        <w:r w:rsidR="001042A1">
          <w:rPr>
            <w:noProof/>
            <w:webHidden/>
          </w:rPr>
          <w:instrText xml:space="preserve"> PAGEREF _Toc532468798 \h </w:instrText>
        </w:r>
        <w:r w:rsidR="001042A1">
          <w:rPr>
            <w:noProof/>
            <w:webHidden/>
          </w:rPr>
        </w:r>
        <w:r w:rsidR="001042A1">
          <w:rPr>
            <w:noProof/>
            <w:webHidden/>
          </w:rPr>
          <w:fldChar w:fldCharType="separate"/>
        </w:r>
        <w:r w:rsidR="003D4175">
          <w:rPr>
            <w:noProof/>
            <w:webHidden/>
          </w:rPr>
          <w:t>10</w:t>
        </w:r>
        <w:r w:rsidR="001042A1">
          <w:rPr>
            <w:noProof/>
            <w:webHidden/>
          </w:rPr>
          <w:fldChar w:fldCharType="end"/>
        </w:r>
      </w:hyperlink>
    </w:p>
    <w:p w14:paraId="65A82806" w14:textId="74D996E6" w:rsidR="001042A1" w:rsidRDefault="00E7055A">
      <w:pPr>
        <w:pStyle w:val="TableofFigures"/>
        <w:tabs>
          <w:tab w:val="right" w:leader="dot" w:pos="9350"/>
        </w:tabs>
        <w:rPr>
          <w:rFonts w:asciiTheme="minorHAnsi" w:eastAsiaTheme="minorEastAsia" w:hAnsiTheme="minorHAnsi" w:cstheme="minorBidi"/>
          <w:noProof/>
          <w:sz w:val="22"/>
          <w:szCs w:val="22"/>
        </w:rPr>
      </w:pPr>
      <w:hyperlink w:anchor="_Toc532468799" w:history="1">
        <w:r w:rsidR="001042A1" w:rsidRPr="00400E49">
          <w:rPr>
            <w:rStyle w:val="Hyperlink"/>
            <w:noProof/>
          </w:rPr>
          <w:t>Table 2: Continuous Linear Models</w:t>
        </w:r>
        <w:r w:rsidR="001042A1">
          <w:rPr>
            <w:noProof/>
            <w:webHidden/>
          </w:rPr>
          <w:tab/>
        </w:r>
        <w:r w:rsidR="001042A1">
          <w:rPr>
            <w:noProof/>
            <w:webHidden/>
          </w:rPr>
          <w:fldChar w:fldCharType="begin"/>
        </w:r>
        <w:r w:rsidR="001042A1">
          <w:rPr>
            <w:noProof/>
            <w:webHidden/>
          </w:rPr>
          <w:instrText xml:space="preserve"> PAGEREF _Toc532468799 \h </w:instrText>
        </w:r>
        <w:r w:rsidR="001042A1">
          <w:rPr>
            <w:noProof/>
            <w:webHidden/>
          </w:rPr>
        </w:r>
        <w:r w:rsidR="001042A1">
          <w:rPr>
            <w:noProof/>
            <w:webHidden/>
          </w:rPr>
          <w:fldChar w:fldCharType="separate"/>
        </w:r>
        <w:r w:rsidR="003D4175">
          <w:rPr>
            <w:noProof/>
            <w:webHidden/>
          </w:rPr>
          <w:t>13</w:t>
        </w:r>
        <w:r w:rsidR="001042A1">
          <w:rPr>
            <w:noProof/>
            <w:webHidden/>
          </w:rPr>
          <w:fldChar w:fldCharType="end"/>
        </w:r>
      </w:hyperlink>
    </w:p>
    <w:p w14:paraId="7F146024" w14:textId="705C0A33" w:rsidR="001042A1" w:rsidRDefault="00E7055A">
      <w:pPr>
        <w:pStyle w:val="TableofFigures"/>
        <w:tabs>
          <w:tab w:val="right" w:leader="dot" w:pos="9350"/>
        </w:tabs>
        <w:rPr>
          <w:rFonts w:asciiTheme="minorHAnsi" w:eastAsiaTheme="minorEastAsia" w:hAnsiTheme="minorHAnsi" w:cstheme="minorBidi"/>
          <w:noProof/>
          <w:sz w:val="22"/>
          <w:szCs w:val="22"/>
        </w:rPr>
      </w:pPr>
      <w:hyperlink w:anchor="_Toc532468800" w:history="1">
        <w:r w:rsidR="001042A1" w:rsidRPr="00400E49">
          <w:rPr>
            <w:rStyle w:val="Hyperlink"/>
            <w:noProof/>
          </w:rPr>
          <w:t>Table 3:  Linear Model of Quartiles</w:t>
        </w:r>
        <w:r w:rsidR="001042A1">
          <w:rPr>
            <w:noProof/>
            <w:webHidden/>
          </w:rPr>
          <w:tab/>
        </w:r>
        <w:r w:rsidR="001042A1">
          <w:rPr>
            <w:noProof/>
            <w:webHidden/>
          </w:rPr>
          <w:fldChar w:fldCharType="begin"/>
        </w:r>
        <w:r w:rsidR="001042A1">
          <w:rPr>
            <w:noProof/>
            <w:webHidden/>
          </w:rPr>
          <w:instrText xml:space="preserve"> PAGEREF _Toc532468800 \h </w:instrText>
        </w:r>
        <w:r w:rsidR="001042A1">
          <w:rPr>
            <w:noProof/>
            <w:webHidden/>
          </w:rPr>
        </w:r>
        <w:r w:rsidR="001042A1">
          <w:rPr>
            <w:noProof/>
            <w:webHidden/>
          </w:rPr>
          <w:fldChar w:fldCharType="separate"/>
        </w:r>
        <w:r w:rsidR="003D4175">
          <w:rPr>
            <w:noProof/>
            <w:webHidden/>
          </w:rPr>
          <w:t>13</w:t>
        </w:r>
        <w:r w:rsidR="001042A1">
          <w:rPr>
            <w:noProof/>
            <w:webHidden/>
          </w:rPr>
          <w:fldChar w:fldCharType="end"/>
        </w:r>
      </w:hyperlink>
    </w:p>
    <w:p w14:paraId="4BB94FD8" w14:textId="6C24FD99" w:rsidR="001042A1" w:rsidRDefault="00E7055A">
      <w:pPr>
        <w:pStyle w:val="TableofFigures"/>
        <w:tabs>
          <w:tab w:val="right" w:leader="dot" w:pos="9350"/>
        </w:tabs>
        <w:rPr>
          <w:rFonts w:asciiTheme="minorHAnsi" w:eastAsiaTheme="minorEastAsia" w:hAnsiTheme="minorHAnsi" w:cstheme="minorBidi"/>
          <w:noProof/>
          <w:sz w:val="22"/>
          <w:szCs w:val="22"/>
        </w:rPr>
      </w:pPr>
      <w:hyperlink w:anchor="_Toc532468801" w:history="1">
        <w:r w:rsidR="001042A1" w:rsidRPr="00400E49">
          <w:rPr>
            <w:rStyle w:val="Hyperlink"/>
            <w:noProof/>
          </w:rPr>
          <w:t>Table 4: Adjusted Means for Exposure Quartiles</w:t>
        </w:r>
        <w:r w:rsidR="001042A1">
          <w:rPr>
            <w:noProof/>
            <w:webHidden/>
          </w:rPr>
          <w:tab/>
        </w:r>
        <w:r w:rsidR="001042A1">
          <w:rPr>
            <w:noProof/>
            <w:webHidden/>
          </w:rPr>
          <w:fldChar w:fldCharType="begin"/>
        </w:r>
        <w:r w:rsidR="001042A1">
          <w:rPr>
            <w:noProof/>
            <w:webHidden/>
          </w:rPr>
          <w:instrText xml:space="preserve"> PAGEREF _Toc532468801 \h </w:instrText>
        </w:r>
        <w:r w:rsidR="001042A1">
          <w:rPr>
            <w:noProof/>
            <w:webHidden/>
          </w:rPr>
        </w:r>
        <w:r w:rsidR="001042A1">
          <w:rPr>
            <w:noProof/>
            <w:webHidden/>
          </w:rPr>
          <w:fldChar w:fldCharType="separate"/>
        </w:r>
        <w:r w:rsidR="003D4175">
          <w:rPr>
            <w:noProof/>
            <w:webHidden/>
          </w:rPr>
          <w:t>14</w:t>
        </w:r>
        <w:r w:rsidR="001042A1">
          <w:rPr>
            <w:noProof/>
            <w:webHidden/>
          </w:rPr>
          <w:fldChar w:fldCharType="end"/>
        </w:r>
      </w:hyperlink>
    </w:p>
    <w:p w14:paraId="4CB5ECA5" w14:textId="4B65F244" w:rsidR="00B424B6" w:rsidRDefault="00CB03F9" w:rsidP="00035D1E">
      <w:pPr>
        <w:pStyle w:val="Preliminary"/>
      </w:pPr>
      <w:r>
        <w:lastRenderedPageBreak/>
        <w:fldChar w:fldCharType="end"/>
      </w:r>
      <w:r w:rsidR="00B424B6">
        <w:t>List of figures</w:t>
      </w:r>
    </w:p>
    <w:p w14:paraId="3DAFBD21" w14:textId="43F0A04E" w:rsidR="00C815E9"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32467873" w:history="1">
        <w:r w:rsidR="00C815E9" w:rsidRPr="00147A86">
          <w:rPr>
            <w:rStyle w:val="Hyperlink"/>
            <w:noProof/>
          </w:rPr>
          <w:t>Figure 1: Overall Distribution of Appendicular Lean Mass</w:t>
        </w:r>
        <w:r w:rsidR="00C815E9">
          <w:rPr>
            <w:noProof/>
            <w:webHidden/>
          </w:rPr>
          <w:tab/>
        </w:r>
        <w:r w:rsidR="00C815E9">
          <w:rPr>
            <w:noProof/>
            <w:webHidden/>
          </w:rPr>
          <w:fldChar w:fldCharType="begin"/>
        </w:r>
        <w:r w:rsidR="00C815E9">
          <w:rPr>
            <w:noProof/>
            <w:webHidden/>
          </w:rPr>
          <w:instrText xml:space="preserve"> PAGEREF _Toc532467873 \h </w:instrText>
        </w:r>
        <w:r w:rsidR="00C815E9">
          <w:rPr>
            <w:noProof/>
            <w:webHidden/>
          </w:rPr>
        </w:r>
        <w:r w:rsidR="00C815E9">
          <w:rPr>
            <w:noProof/>
            <w:webHidden/>
          </w:rPr>
          <w:fldChar w:fldCharType="separate"/>
        </w:r>
        <w:r w:rsidR="003D4175">
          <w:rPr>
            <w:noProof/>
            <w:webHidden/>
          </w:rPr>
          <w:t>11</w:t>
        </w:r>
        <w:r w:rsidR="00C815E9">
          <w:rPr>
            <w:noProof/>
            <w:webHidden/>
          </w:rPr>
          <w:fldChar w:fldCharType="end"/>
        </w:r>
      </w:hyperlink>
    </w:p>
    <w:p w14:paraId="19F761CC" w14:textId="71AB8882" w:rsidR="00C815E9" w:rsidRDefault="00E7055A">
      <w:pPr>
        <w:pStyle w:val="TableofFigures"/>
        <w:tabs>
          <w:tab w:val="right" w:leader="dot" w:pos="9350"/>
        </w:tabs>
        <w:rPr>
          <w:rFonts w:asciiTheme="minorHAnsi" w:eastAsiaTheme="minorEastAsia" w:hAnsiTheme="minorHAnsi" w:cstheme="minorBidi"/>
          <w:noProof/>
          <w:sz w:val="22"/>
          <w:szCs w:val="22"/>
        </w:rPr>
      </w:pPr>
      <w:hyperlink w:anchor="_Toc532467874" w:history="1">
        <w:r w:rsidR="00C815E9" w:rsidRPr="00147A86">
          <w:rPr>
            <w:rStyle w:val="Hyperlink"/>
            <w:noProof/>
          </w:rPr>
          <w:t>Figure 2: Distribution of ALM (kg) for upper and lower 50% of inorganic arsenic exposure</w:t>
        </w:r>
        <w:r w:rsidR="00C815E9">
          <w:rPr>
            <w:noProof/>
            <w:webHidden/>
          </w:rPr>
          <w:tab/>
        </w:r>
        <w:r w:rsidR="00C815E9">
          <w:rPr>
            <w:noProof/>
            <w:webHidden/>
          </w:rPr>
          <w:fldChar w:fldCharType="begin"/>
        </w:r>
        <w:r w:rsidR="00C815E9">
          <w:rPr>
            <w:noProof/>
            <w:webHidden/>
          </w:rPr>
          <w:instrText xml:space="preserve"> PAGEREF _Toc532467874 \h </w:instrText>
        </w:r>
        <w:r w:rsidR="00C815E9">
          <w:rPr>
            <w:noProof/>
            <w:webHidden/>
          </w:rPr>
        </w:r>
        <w:r w:rsidR="00C815E9">
          <w:rPr>
            <w:noProof/>
            <w:webHidden/>
          </w:rPr>
          <w:fldChar w:fldCharType="separate"/>
        </w:r>
        <w:r w:rsidR="003D4175">
          <w:rPr>
            <w:noProof/>
            <w:webHidden/>
          </w:rPr>
          <w:t>11</w:t>
        </w:r>
        <w:r w:rsidR="00C815E9">
          <w:rPr>
            <w:noProof/>
            <w:webHidden/>
          </w:rPr>
          <w:fldChar w:fldCharType="end"/>
        </w:r>
      </w:hyperlink>
    </w:p>
    <w:p w14:paraId="426F9B89" w14:textId="0E397EAA" w:rsidR="00C815E9" w:rsidRDefault="00E7055A">
      <w:pPr>
        <w:pStyle w:val="TableofFigures"/>
        <w:tabs>
          <w:tab w:val="right" w:leader="dot" w:pos="9350"/>
        </w:tabs>
        <w:rPr>
          <w:rFonts w:asciiTheme="minorHAnsi" w:eastAsiaTheme="minorEastAsia" w:hAnsiTheme="minorHAnsi" w:cstheme="minorBidi"/>
          <w:noProof/>
          <w:sz w:val="22"/>
          <w:szCs w:val="22"/>
        </w:rPr>
      </w:pPr>
      <w:hyperlink w:anchor="_Toc532467875" w:history="1">
        <w:r w:rsidR="00C815E9" w:rsidRPr="00147A86">
          <w:rPr>
            <w:rStyle w:val="Hyperlink"/>
            <w:noProof/>
          </w:rPr>
          <w:t>Figure 3: Distribution of ALM by inorganic arsenic exposure quartiles</w:t>
        </w:r>
        <w:r w:rsidR="00C815E9">
          <w:rPr>
            <w:noProof/>
            <w:webHidden/>
          </w:rPr>
          <w:tab/>
        </w:r>
        <w:r w:rsidR="00C815E9">
          <w:rPr>
            <w:noProof/>
            <w:webHidden/>
          </w:rPr>
          <w:fldChar w:fldCharType="begin"/>
        </w:r>
        <w:r w:rsidR="00C815E9">
          <w:rPr>
            <w:noProof/>
            <w:webHidden/>
          </w:rPr>
          <w:instrText xml:space="preserve"> PAGEREF _Toc532467875 \h </w:instrText>
        </w:r>
        <w:r w:rsidR="00C815E9">
          <w:rPr>
            <w:noProof/>
            <w:webHidden/>
          </w:rPr>
        </w:r>
        <w:r w:rsidR="00C815E9">
          <w:rPr>
            <w:noProof/>
            <w:webHidden/>
          </w:rPr>
          <w:fldChar w:fldCharType="separate"/>
        </w:r>
        <w:r w:rsidR="003D4175">
          <w:rPr>
            <w:noProof/>
            <w:webHidden/>
          </w:rPr>
          <w:t>12</w:t>
        </w:r>
        <w:r w:rsidR="00C815E9">
          <w:rPr>
            <w:noProof/>
            <w:webHidden/>
          </w:rPr>
          <w:fldChar w:fldCharType="end"/>
        </w:r>
      </w:hyperlink>
    </w:p>
    <w:p w14:paraId="00D98763" w14:textId="7838FF86" w:rsidR="00B424B6" w:rsidRDefault="00B424B6" w:rsidP="00AA2C6A">
      <w:pPr>
        <w:pStyle w:val="Heading"/>
      </w:pPr>
      <w:r>
        <w:lastRenderedPageBreak/>
        <w:fldChar w:fldCharType="end"/>
      </w:r>
      <w:bookmarkStart w:id="2" w:name="_Toc532467852"/>
      <w:r w:rsidR="00CB4265">
        <w:t>Preface</w:t>
      </w:r>
      <w:bookmarkEnd w:id="2"/>
    </w:p>
    <w:p w14:paraId="08D60E9D" w14:textId="56B6687D" w:rsidR="00AA2C6A" w:rsidRDefault="00CB4265" w:rsidP="00AA2C6A">
      <w:r>
        <w:t xml:space="preserve">I would like to thank Dr. </w:t>
      </w:r>
      <w:proofErr w:type="spellStart"/>
      <w:r>
        <w:t>Barchowsky</w:t>
      </w:r>
      <w:proofErr w:type="spellEnd"/>
      <w:r>
        <w:t xml:space="preserve">, Dr. </w:t>
      </w:r>
      <w:proofErr w:type="spellStart"/>
      <w:r>
        <w:t>Miljkovic</w:t>
      </w:r>
      <w:proofErr w:type="spellEnd"/>
      <w:r>
        <w:t>, and Dr. Ambrosio for all of their help and guidance throughout this process.</w:t>
      </w:r>
      <w:r w:rsidR="00333567">
        <w:t xml:space="preserve"> I would also like to thank Ryan </w:t>
      </w:r>
      <w:proofErr w:type="spellStart"/>
      <w:r w:rsidR="001C23C9">
        <w:t>Cvejkus</w:t>
      </w:r>
      <w:proofErr w:type="spellEnd"/>
      <w:r w:rsidR="001C23C9">
        <w:t xml:space="preserve"> for help with statistical</w:t>
      </w:r>
      <w:r w:rsidR="002036FE">
        <w:t xml:space="preserve"> analyses.</w:t>
      </w:r>
    </w:p>
    <w:p w14:paraId="16FB4D67" w14:textId="77777777" w:rsidR="00AA2C6A" w:rsidRDefault="00AA2C6A" w:rsidP="00AA2C6A"/>
    <w:p w14:paraId="41D538A1" w14:textId="77777777" w:rsidR="00AA2C6A" w:rsidRPr="00AA2C6A" w:rsidRDefault="00AA2C6A" w:rsidP="00AA2C6A"/>
    <w:p w14:paraId="2BEA5045" w14:textId="77777777" w:rsidR="00AA2C6A" w:rsidRDefault="00AA2C6A" w:rsidP="00AA2C6A">
      <w:pPr>
        <w:ind w:firstLine="0"/>
      </w:pPr>
    </w:p>
    <w:p w14:paraId="571625B5"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07B164E7" w14:textId="77777777" w:rsidR="006B1124" w:rsidRDefault="006B1124" w:rsidP="006B1124">
      <w:pPr>
        <w:pStyle w:val="Heading1"/>
      </w:pPr>
      <w:bookmarkStart w:id="3" w:name="_Toc106513527"/>
      <w:bookmarkStart w:id="4" w:name="_Toc106717785"/>
      <w:bookmarkStart w:id="5" w:name="_Toc532467853"/>
      <w:r>
        <w:lastRenderedPageBreak/>
        <w:t>Introduction</w:t>
      </w:r>
      <w:bookmarkEnd w:id="3"/>
      <w:bookmarkEnd w:id="4"/>
      <w:bookmarkEnd w:id="5"/>
    </w:p>
    <w:p w14:paraId="3B78A4B8" w14:textId="7A013A2E" w:rsidR="002A30C7" w:rsidRPr="005B7A7A" w:rsidRDefault="002A30C7" w:rsidP="002A30C7">
      <w:r>
        <w:t xml:space="preserve">The World Health Organization lists </w:t>
      </w:r>
      <w:r w:rsidR="000A6BBE">
        <w:t>arsenic</w:t>
      </w:r>
      <w:r>
        <w:t xml:space="preserve"> </w:t>
      </w:r>
      <w:r w:rsidR="00BC6725">
        <w:t>in</w:t>
      </w:r>
      <w:r>
        <w:t xml:space="preserve"> the </w:t>
      </w:r>
      <w:r w:rsidR="00BC6725">
        <w:t xml:space="preserve">top ten </w:t>
      </w:r>
      <w:r>
        <w:t>chemicals of major public health concern due to its</w:t>
      </w:r>
      <w:r w:rsidRPr="005B7A7A">
        <w:t xml:space="preserve"> </w:t>
      </w:r>
      <w:r>
        <w:t>worldwide prevalence and potential for large-scale negative human health effects.</w:t>
      </w:r>
      <w:r>
        <w:fldChar w:fldCharType="begin" w:fldLock="1"/>
      </w:r>
      <w:r w:rsidR="005D75DC">
        <w:instrText>ADDIN CSL_CITATION {"citationItems":[{"id":"ITEM-1","itemData":{"URL":"https://www.who.int/ipcs/assessment/public_health/chemicals_phc/en/","author":[{"dropping-particle":"","family":"World Health Organization","given":"","non-dropping-particle":"","parse-names":false,"suffix":""}],"id":"ITEM-1","issued":{"date-parts":[["2010"]]},"title":"International Programme on Chemical Safety: Ten chemicals of major public health concern","type":"webpage"},"uris":["http://www.mendeley.com/documents/?uuid=00dab2cc-c3fa-437f-a3b3-55734a0110be"]}],"mendeley":{"formattedCitation":"&lt;sup&gt;1&lt;/sup&gt;","plainTextFormattedCitation":"1","previouslyFormattedCitation":"&lt;sup&gt;1&lt;/sup&gt;"},"properties":{"noteIndex":0},"schema":"https://github.com/citation-style-language/schema/raw/master/csl-citation.json"}</w:instrText>
      </w:r>
      <w:r>
        <w:fldChar w:fldCharType="separate"/>
      </w:r>
      <w:r w:rsidR="005D75DC" w:rsidRPr="005D75DC">
        <w:rPr>
          <w:noProof/>
          <w:vertAlign w:val="superscript"/>
        </w:rPr>
        <w:t>1</w:t>
      </w:r>
      <w:r>
        <w:fldChar w:fldCharType="end"/>
      </w:r>
      <w:r>
        <w:t xml:space="preserve"> </w:t>
      </w:r>
      <w:r w:rsidR="005D75DC">
        <w:t xml:space="preserve"> The majority of these exposures occur through contaminated drinking water</w:t>
      </w:r>
      <w:r w:rsidR="000A6BBE">
        <w:t xml:space="preserve">, although </w:t>
      </w:r>
      <w:r w:rsidR="00BE3D83">
        <w:t>exposure may also occur from food, and especially rice, consumption</w:t>
      </w:r>
      <w:r w:rsidR="005D75DC">
        <w:t>.</w:t>
      </w:r>
      <w:r w:rsidRPr="005B7A7A">
        <w:t xml:space="preserve"> Over 200 million individuals across the globe are at risk</w:t>
      </w:r>
      <w:r w:rsidR="00C349A8">
        <w:t xml:space="preserve"> of disease, morbidity, and mortality related to arsenic exposure.</w:t>
      </w:r>
      <w:r w:rsidRPr="005B7A7A">
        <w:fldChar w:fldCharType="begin" w:fldLock="1"/>
      </w:r>
      <w:r w:rsidR="005D75DC">
        <w:instrText>ADDIN CSL_CITATION {"citationItems":[{"id":"ITEM-1","itemData":{"DOI":"10.1289/ehp.1205875","ISBN":"1552-9924 (Electronic)\\r0091-6765 (Linking)","ISSN":"00916765","PMID":"23458756","abstract":"BACKGROUND: Concerns for arsenic exposure are not limited to toxic waste sites and massive poisoning events. Chronic exposure continues to be a major public health problem worldwide, affecting hundreds of millions of persons.Objectives: We reviewed recent information on worldwide concerns for arsenic exposures and public health to heighten awareness of the current scope of arsenic exposure and health outcomes and the importance of reducing exposure, particularly during pregnancy and early life.\\n\\nMETHODS: We synthesized the large body of current research pertaining to arsenic exposure and health outcomes with an emphasis on recent publications.\\n\\nDISCUSSION: Locations of high arsenic exposure via drinking water span from Bangladesh, Chile, and Taiwan to the United States. The U.S. Environmental Protection Agency maximum contaminant level (MCL) in drinking water is 10 µg/L; however, concentrations of &gt; 3,000 µg/L have been found in wells in the United States. In addition, exposure through diet is of growing concern. Knowledge of the scope of arsenic-associated health effects has broadened; arsenic leaves essentially no bodily system untouched. Arsenic is a known carcinogen associated with skin, lung, bladder, kidney, and liver cancer. Dermatological, developmental, neurological, respiratory, cardiovascular, immunological, and endocrine effects are also evident. Most remarkably, early-life exposure may be related to increased risks for several types of cancer and other diseases during adulthood.\\n\\nCONCLUSIONS: These data call for heightened awareness of arsenic-related pathologies in broader contexts than previously perceived. Testing foods and drinking water for arsenic, including individual private wells, should be a top priority to reduce exposure, particularly for pregnant women and children, given the potential for life-long effects of developmental exposure.","author":[{"dropping-particle":"","family":"Naujokas","given":"Marisa F.","non-dropping-particle":"","parse-names":false,"suffix":""},{"dropping-particle":"","family":"Anderson","given":"Beth","non-dropping-particle":"","parse-names":false,"suffix":""},{"dropping-particle":"","family":"Ahsan","given":"Habibul","non-dropping-particle":"","parse-names":false,"suffix":""},{"dropping-particle":"","family":"Vasken Aposhian","given":"H.","non-dropping-particle":"","parse-names":false,"suffix":""},{"dropping-particle":"","family":"Graziano","given":"Joseph H.","non-dropping-particle":"","parse-names":false,"suffix":""},{"dropping-particle":"","family":"Thompson","given":"Claudia","non-dropping-particle":"","parse-names":false,"suffix":""},{"dropping-particle":"","family":"Suk","given":"William A.","non-dropping-particle":"","parse-names":false,"suffix":""}],"container-title":"Environmental Health Perspectives","id":"ITEM-1","issue":"3","issued":{"date-parts":[["2013"]]},"note":"overall review article with table of helath effects including:\n\nskin (lesions, cancer)\n\ndevelopment\n\nnervous system\n\nrespiratory\n\ncardio\n\nliver/kidney/bladder\n\nimmune\n\nendocrine","page":"295-302","title":"The broad scope of health effects from chronic arsenic exposure: Update on a worldwide public health problem","type":"article-journal","volume":"121"},"uris":["http://www.mendeley.com/documents/?uuid=4be52acf-bf9e-4f26-87cb-06bf715f4134"]}],"mendeley":{"formattedCitation":"&lt;sup&gt;2&lt;/sup&gt;","plainTextFormattedCitation":"2","previouslyFormattedCitation":"&lt;sup&gt;2&lt;/sup&gt;"},"properties":{"noteIndex":0},"schema":"https://github.com/citation-style-language/schema/raw/master/csl-citation.json"}</w:instrText>
      </w:r>
      <w:r w:rsidRPr="005B7A7A">
        <w:fldChar w:fldCharType="separate"/>
      </w:r>
      <w:r w:rsidR="005D75DC" w:rsidRPr="005D75DC">
        <w:rPr>
          <w:noProof/>
          <w:vertAlign w:val="superscript"/>
        </w:rPr>
        <w:t>2</w:t>
      </w:r>
      <w:r w:rsidRPr="005B7A7A">
        <w:fldChar w:fldCharType="end"/>
      </w:r>
      <w:r w:rsidRPr="005B7A7A">
        <w:t xml:space="preserve"> </w:t>
      </w:r>
      <w:r w:rsidR="00C349A8">
        <w:t xml:space="preserve">A recent report estimated that in Pakistan alone, over 60 million individuals regularly consume drinking water which contains arsenic over the WHO recommended safe limit of </w:t>
      </w:r>
      <w:r w:rsidR="00C349A8" w:rsidRPr="005B7A7A">
        <w:t>10 µg/L</w:t>
      </w:r>
      <w:r w:rsidR="00C349A8">
        <w:t>.</w:t>
      </w:r>
      <w:r w:rsidR="00C349A8">
        <w:fldChar w:fldCharType="begin" w:fldLock="1"/>
      </w:r>
      <w:r w:rsidR="00FA4E15">
        <w:instrText>ADDIN CSL_CITATION {"citationItems":[{"id":"ITEM-1","itemData":{"DOI":"10.1126/sciadv.1700935","ISBN":"2375-2548","ISSN":"23752548","abstract":"Arsenic-contaminated aquifers are currently estimated to affect ~150 million people around the world. However, the full extent of the problem remains elusive. This is also the case in Pakistan, where previous studies focused on isolated areas. Using a new data set of nearly 1200 groundwater quality samples throughout Pakistan, we have created state-of-the-art hazard and risk maps of arsenic-contaminated groundwater for thresholds of 10 and 50 μg/liter. Logistic regression analysis was used with 1000 iterations, where surface slope, geology, and soil parameters were major predictor variables. The hazard model indicates that much of the Indus Plain is likely to have elevated arsenic concentrations, although the rest of the country is mostly safe. Unlike other arsenic-contaminated areas of Asia, the arsenic release process in the arid Indus Plain appears to be dominated by elevated-pH dissolution, resulting from alkaline topsoil and extensive irrigation of unconfined aquifers, although pockets of reductive dissolution are also present. We estimate that approximately 50 million to 60 million people use groundwater within the area at risk, with hot spots around Lahore and Hyderabad. This number is alarmingly high and demonstrates the urgent need for verification and testing of all drinking water wells in the Indus Plain, followed by appropriate mitigation measures.","author":[{"dropping-particle":"","family":"Podgorski","given":"Joel E.","non-dropping-particle":"","parse-names":false,"suffix":""},{"dropping-particle":"","family":"Eqani","given":"Syed Ali Musstjab Akber Shah","non-dropping-particle":"","parse-names":false,"suffix":""},{"dropping-particle":"","family":"Khanam","given":"Tasawar","non-dropping-particle":"","parse-names":false,"suffix":""},{"dropping-particle":"","family":"Ullah","given":"Rizwan","non-dropping-particle":"","parse-names":false,"suffix":""},{"dropping-particle":"","family":"Shen","given":"Heqing","non-dropping-particle":"","parse-names":false,"suffix":""},{"dropping-particle":"","family":"Berg","given":"Michael","non-dropping-particle":"","parse-names":false,"suffix":""}],"container-title":"Science Advances","id":"ITEM-1","issue":"8","issued":{"date-parts":[["2017"]]},"note":"r03 #16","title":"Extensive arsenic contamination in high-pH unconfined aquifers in the Indus Valley","type":"article-journal","volume":"3"},"uris":["http://www.mendeley.com/documents/?uuid=3488b93e-3bff-3aab-ad3b-ad494b4a20d0"]}],"mendeley":{"formattedCitation":"&lt;sup&gt;3&lt;/sup&gt;","plainTextFormattedCitation":"3","previouslyFormattedCitation":"&lt;sup&gt;3&lt;/sup&gt;"},"properties":{"noteIndex":0},"schema":"https://github.com/citation-style-language/schema/raw/master/csl-citation.json"}</w:instrText>
      </w:r>
      <w:r w:rsidR="00C349A8">
        <w:fldChar w:fldCharType="separate"/>
      </w:r>
      <w:r w:rsidR="00C349A8" w:rsidRPr="00C349A8">
        <w:rPr>
          <w:noProof/>
          <w:vertAlign w:val="superscript"/>
        </w:rPr>
        <w:t>3</w:t>
      </w:r>
      <w:r w:rsidR="00C349A8">
        <w:fldChar w:fldCharType="end"/>
      </w:r>
      <w:r w:rsidR="00C349A8" w:rsidRPr="005B7A7A">
        <w:t xml:space="preserve"> </w:t>
      </w:r>
      <w:r w:rsidR="00C349A8">
        <w:t xml:space="preserve">In the United States, it is estimated that over 3.7 million individuals drink water from wells that exceed this standard for arsenic contamination. While municipal water supplies have reduced their levels of contamination since the adoption of the </w:t>
      </w:r>
      <w:r w:rsidR="00C349A8" w:rsidRPr="005B7A7A">
        <w:t>10 µg/L</w:t>
      </w:r>
      <w:r w:rsidR="00C349A8">
        <w:t xml:space="preserve"> standard by the EPA in 2001, private water supplies and foodborne exposure remain significant public health concerns.</w:t>
      </w:r>
    </w:p>
    <w:p w14:paraId="1E540688" w14:textId="77777777" w:rsidR="00B917F0" w:rsidRDefault="00A45D1C" w:rsidP="00B917F0">
      <w:pPr>
        <w:pStyle w:val="Heading2"/>
      </w:pPr>
      <w:bookmarkStart w:id="6" w:name="_Toc532467854"/>
      <w:r>
        <w:t>Health</w:t>
      </w:r>
      <w:r w:rsidR="00103E53">
        <w:t xml:space="preserve"> Consequences</w:t>
      </w:r>
      <w:r>
        <w:t xml:space="preserve"> of Arsenic</w:t>
      </w:r>
      <w:r w:rsidR="00103E53">
        <w:t xml:space="preserve"> exposure</w:t>
      </w:r>
      <w:bookmarkEnd w:id="6"/>
    </w:p>
    <w:p w14:paraId="188B4129" w14:textId="1C21EC47" w:rsidR="00B917F0" w:rsidRDefault="005D75DC" w:rsidP="005D75DC">
      <w:r w:rsidRPr="005B7A7A">
        <w:t>Inorganic arsenic has been use</w:t>
      </w:r>
      <w:r w:rsidR="004E44A5">
        <w:t>d as an intentional poison for millennia</w:t>
      </w:r>
      <w:r w:rsidRPr="005B7A7A">
        <w:t xml:space="preserve">, as it has no color, odor, or taste, and </w:t>
      </w:r>
      <w:r w:rsidR="004E44A5">
        <w:t xml:space="preserve">thus remained undetected by victims. It has been referred to as the “King of poisons and the poison of Kings.” </w:t>
      </w:r>
      <w:r w:rsidRPr="005B7A7A">
        <w:t xml:space="preserve">The symptoms of acute arsenic poison mimic those of other illnesses that were common at the time, such as cholera, and </w:t>
      </w:r>
      <w:r w:rsidR="00273649">
        <w:t xml:space="preserve">thus the poisoning often went </w:t>
      </w:r>
      <w:r w:rsidR="00273649">
        <w:lastRenderedPageBreak/>
        <w:t>unrecognized</w:t>
      </w:r>
      <w:r w:rsidRPr="005B7A7A">
        <w:t>.</w:t>
      </w:r>
      <w:r w:rsidR="00273649">
        <w:t xml:space="preserve"> Interestingly, both this harmful inorganic arsenic and organic </w:t>
      </w:r>
      <w:r w:rsidR="00BC6725">
        <w:t xml:space="preserve">compounds containing </w:t>
      </w:r>
      <w:r w:rsidR="00273649">
        <w:t>arsenic, classed together as arsenicals, have also been used in medicine since the times of the ancient Chinese.</w:t>
      </w:r>
      <w:r w:rsidRPr="005B7A7A">
        <w:t xml:space="preserve"> In the early </w:t>
      </w:r>
      <w:r w:rsidR="00273649">
        <w:t>1800</w:t>
      </w:r>
      <w:r w:rsidRPr="005B7A7A">
        <w:t>s, arsenicals were used to treat a wide variety of conditions, from psoriasis to tuberculosis</w:t>
      </w:r>
      <w:r w:rsidR="00FA4E15">
        <w:t>.</w:t>
      </w:r>
      <w:r w:rsidR="00FA4E15">
        <w:fldChar w:fldCharType="begin" w:fldLock="1"/>
      </w:r>
      <w:r w:rsidR="00FA4E15">
        <w:instrText>ADDIN CSL_CITATION {"citationItems":[{"id":"ITEM-1","itemData":{"DOI":"10.1093/toxsci/kfr184","ISBN":"1096-0929","ISSN":"10966080","PMID":"21750349","abstract":"The metalloid arsenic is a natural environmental contaminant to which humans are routinely exposed in food, water, air, and soil. Arsenic has a long history of use as a homicidal agent, but in the past 100 years arsenic, has been used as a pesticide, a chemotherapeutic agent and a constituent of consumer products. In some areas of the world, high levels of arsenic are naturally present in drinking water and are a toxicological concern. There are several structural forms and oxidation states of arsenic because it forms alloys with metals and covalent bonds with hydrogen, oxygen, carbon, and other elements. Environmentally relevant forms of arsenic are inorganic and organic existing in the trivalent or pentavalent state. Metabolism of arsenic, catalyzed by arsenic (+3 oxidation state) methyltransferase, is a sequential process of reduction from pentavalency to trivalency followed by oxidative methylation back to pentavalency. Trivalent arsenic is generally more toxicologically potent than pentavalent arsenic. Acute effects of arsenic range from gastrointestinal distress to death. Depending on the dose, chronic arsenic exposure may affect several major organ systems. A major concern of ingested arsenic is cancer, primarily of skin, bladder, and lung. The mode of action of arsenic for its disease endpoints is currently under study. Two key areas are the interaction of trivalent arsenicals with sulfur in proteins and the ability of arsenic to generate oxidative stress. With advances in technology and the recent development of animal models for arsenic carcinogenicity, understanding of the toxicology of arsenic will continue to improve.","author":[{"dropping-particle":"","family":"Hughes","given":"Michael F.","non-dropping-particle":"","parse-names":false,"suffix":""},{"dropping-particle":"","family":"Beck","given":"Barbara D.","non-dropping-particle":"","parse-names":false,"suffix":""},{"dropping-particle":"","family":"Chen","given":"Yu","non-dropping-particle":"","parse-names":false,"suffix":""},{"dropping-particle":"","family":"Lewis","given":"Ari S.","non-dropping-particle":"","parse-names":false,"suffix":""},{"dropping-particle":"","family":"Thomas","given":"David J.","non-dropping-particle":"","parse-names":false,"suffix":""}],"container-title":"Toxicological Sciences","id":"ITEM-1","issue":"2","issued":{"date-parts":[["2011"]]},"page":"305-332","title":"Arsenic exposure and toxicology: A historical perspective","type":"article-journal","volume":"123"},"uris":["http://www.mendeley.com/documents/?uuid=6e8d2daa-9cbf-4f25-beeb-796e0e00aeaa"]}],"mendeley":{"formattedCitation":"&lt;sup&gt;4&lt;/sup&gt;","plainTextFormattedCitation":"4","previouslyFormattedCitation":"&lt;sup&gt;4&lt;/sup&gt;"},"properties":{"noteIndex":0},"schema":"https://github.com/citation-style-language/schema/raw/master/csl-citation.json"}</w:instrText>
      </w:r>
      <w:r w:rsidR="00FA4E15">
        <w:fldChar w:fldCharType="separate"/>
      </w:r>
      <w:r w:rsidR="00FA4E15" w:rsidRPr="00FA4E15">
        <w:rPr>
          <w:noProof/>
          <w:vertAlign w:val="superscript"/>
        </w:rPr>
        <w:t>4</w:t>
      </w:r>
      <w:r w:rsidR="00FA4E15">
        <w:fldChar w:fldCharType="end"/>
      </w:r>
      <w:r w:rsidRPr="005B7A7A">
        <w:t xml:space="preserve">. Today, </w:t>
      </w:r>
      <w:r w:rsidR="00FA4E15">
        <w:t xml:space="preserve">it is still used in rat poisons, </w:t>
      </w:r>
      <w:r w:rsidRPr="005B7A7A">
        <w:t>pesticides</w:t>
      </w:r>
      <w:r w:rsidR="00FA4E15">
        <w:t xml:space="preserve"> and herbicides,</w:t>
      </w:r>
      <w:r w:rsidRPr="005B7A7A">
        <w:fldChar w:fldCharType="begin" w:fldLock="1"/>
      </w:r>
      <w:r w:rsidR="00FA4E15">
        <w:instrText>ADDIN CSL_CITATION {"citationItems":[{"id":"ITEM-1","itemData":{"ISBN":"978-1-118-51114-5","author":[{"dropping-particle":"","family":"States","given":"J. Christopher","non-dropping-particle":"","parse-names":false,"suffix":""}],"id":"ITEM-1","issued":{"date-parts":[["2016"]]},"note":"book on desk","publisher":"John Wiley &amp; Sons, Inc","publisher-place":"Hoboken, NJ","title":"Arsenic: Exposure Sources, Health Risks, and Mechanisms of Toxicity","type":"book"},"uris":["http://www.mendeley.com/documents/?uuid=55cec1ff-3f95-3e5f-8dd0-0ffb9151b974"]}],"mendeley":{"formattedCitation":"&lt;sup&gt;5&lt;/sup&gt;","plainTextFormattedCitation":"5","previouslyFormattedCitation":"&lt;sup&gt;5&lt;/sup&gt;"},"properties":{"noteIndex":0},"schema":"https://github.com/citation-style-language/schema/raw/master/csl-citation.json"}</w:instrText>
      </w:r>
      <w:r w:rsidRPr="005B7A7A">
        <w:fldChar w:fldCharType="separate"/>
      </w:r>
      <w:r w:rsidR="00C349A8" w:rsidRPr="00C349A8">
        <w:rPr>
          <w:noProof/>
          <w:vertAlign w:val="superscript"/>
        </w:rPr>
        <w:t>5</w:t>
      </w:r>
      <w:r w:rsidRPr="005B7A7A">
        <w:fldChar w:fldCharType="end"/>
      </w:r>
      <w:r w:rsidR="00FA4E15">
        <w:t xml:space="preserve"> as well as a frontline and adjuvant cancer chemotherapeutic.</w:t>
      </w:r>
      <w:r w:rsidR="00FA4E15">
        <w:fldChar w:fldCharType="begin" w:fldLock="1"/>
      </w:r>
      <w:r w:rsidR="00FA4E15">
        <w:instrText>ADDIN CSL_CITATION {"citationItems":[{"id":"ITEM-1","itemData":{"DOI":"10.1093/toxsci/kfr184","ISBN":"1096-0929","ISSN":"10966080","PMID":"21750349","abstract":"The metalloid arsenic is a natural environmental contaminant to which humans are routinely exposed in food, water, air, and soil. Arsenic has a long history of use as a homicidal agent, but in the past 100 years arsenic, has been used as a pesticide, a chemotherapeutic agent and a constituent of consumer products. In some areas of the world, high levels of arsenic are naturally present in drinking water and are a toxicological concern. There are several structural forms and oxidation states of arsenic because it forms alloys with metals and covalent bonds with hydrogen, oxygen, carbon, and other elements. Environmentally relevant forms of arsenic are inorganic and organic existing in the trivalent or pentavalent state. Metabolism of arsenic, catalyzed by arsenic (+3 oxidation state) methyltransferase, is a sequential process of reduction from pentavalency to trivalency followed by oxidative methylation back to pentavalency. Trivalent arsenic is generally more toxicologically potent than pentavalent arsenic. Acute effects of arsenic range from gastrointestinal distress to death. Depending on the dose, chronic arsenic exposure may affect several major organ systems. A major concern of ingested arsenic is cancer, primarily of skin, bladder, and lung. The mode of action of arsenic for its disease endpoints is currently under study. Two key areas are the interaction of trivalent arsenicals with sulfur in proteins and the ability of arsenic to generate oxidative stress. With advances in technology and the recent development of animal models for arsenic carcinogenicity, understanding of the toxicology of arsenic will continue to improve.","author":[{"dropping-particle":"","family":"Hughes","given":"Michael F.","non-dropping-particle":"","parse-names":false,"suffix":""},{"dropping-particle":"","family":"Beck","given":"Barbara D.","non-dropping-particle":"","parse-names":false,"suffix":""},{"dropping-particle":"","family":"Chen","given":"Yu","non-dropping-particle":"","parse-names":false,"suffix":""},{"dropping-particle":"","family":"Lewis","given":"Ari S.","non-dropping-particle":"","parse-names":false,"suffix":""},{"dropping-particle":"","family":"Thomas","given":"David J.","non-dropping-particle":"","parse-names":false,"suffix":""}],"container-title":"Toxicological Sciences","id":"ITEM-1","issue":"2","issued":{"date-parts":[["2011"]]},"page":"305-332","title":"Arsenic exposure and toxicology: A historical perspective","type":"article-journal","volume":"123"},"uris":["http://www.mendeley.com/documents/?uuid=6e8d2daa-9cbf-4f25-beeb-796e0e00aeaa"]}],"mendeley":{"formattedCitation":"&lt;sup&gt;4&lt;/sup&gt;","plainTextFormattedCitation":"4","previouslyFormattedCitation":"&lt;sup&gt;4&lt;/sup&gt;"},"properties":{"noteIndex":0},"schema":"https://github.com/citation-style-language/schema/raw/master/csl-citation.json"}</w:instrText>
      </w:r>
      <w:r w:rsidR="00FA4E15">
        <w:fldChar w:fldCharType="separate"/>
      </w:r>
      <w:r w:rsidR="00FA4E15" w:rsidRPr="00FA4E15">
        <w:rPr>
          <w:noProof/>
          <w:vertAlign w:val="superscript"/>
        </w:rPr>
        <w:t>4</w:t>
      </w:r>
      <w:r w:rsidR="00FA4E15">
        <w:fldChar w:fldCharType="end"/>
      </w:r>
    </w:p>
    <w:p w14:paraId="53D766D5" w14:textId="75151E4A" w:rsidR="00BC6725" w:rsidRDefault="005D75DC" w:rsidP="005D75DC">
      <w:r w:rsidRPr="005B7A7A">
        <w:t>Inorganic arsenic exposure is associated with several negative health effects, making the widespread exposure a major public health concern.</w:t>
      </w:r>
      <w:r w:rsidR="00010A75">
        <w:fldChar w:fldCharType="begin" w:fldLock="1"/>
      </w:r>
      <w:r w:rsidR="00BC570E">
        <w:instrText>ADDIN CSL_CITATION {"citationItems":[{"id":"ITEM-1","itemData":{"DOI":"10.17226/18594","ISBN":"978-0-309-29706-6","author":[{"dropping-particle":"","family":"Arsenic","given":"National Research Council; Division on Earth and Life Studies; Board on Environmental Studies and Toxicology; Committee on Inorganic","non-dropping-particle":"","parse-names":false,"suffix":""}],"id":"ITEM-1","issued":{"date-parts":[["2014","11","20"]]},"publisher":"National Academies Press","publisher-place":"Washington, D.C.","title":"Critical Aspects of EPA's IRIS Assessment of Inorganic Arsenic","type":"book"},"uris":["http://www.mendeley.com/documents/?uuid=bb218a6a-9e1e-4d45-a337-2d25690d5600"]}],"mendeley":{"formattedCitation":"&lt;sup&gt;6&lt;/sup&gt;","plainTextFormattedCitation":"6","previouslyFormattedCitation":"&lt;sup&gt;6&lt;/sup&gt;"},"properties":{"noteIndex":0},"schema":"https://github.com/citation-style-language/schema/raw/master/csl-citation.json"}</w:instrText>
      </w:r>
      <w:r w:rsidR="00010A75">
        <w:fldChar w:fldCharType="separate"/>
      </w:r>
      <w:r w:rsidR="00010A75" w:rsidRPr="00010A75">
        <w:rPr>
          <w:noProof/>
          <w:vertAlign w:val="superscript"/>
        </w:rPr>
        <w:t>6</w:t>
      </w:r>
      <w:r w:rsidR="00010A75">
        <w:fldChar w:fldCharType="end"/>
      </w:r>
      <w:r w:rsidRPr="005B7A7A">
        <w:t xml:space="preserve"> Human population studies and</w:t>
      </w:r>
      <w:r>
        <w:t xml:space="preserve"> molecular analysis in</w:t>
      </w:r>
      <w:r w:rsidRPr="005B7A7A">
        <w:t xml:space="preserve"> animal models have </w:t>
      </w:r>
      <w:r>
        <w:t xml:space="preserve">linked early life arsenic </w:t>
      </w:r>
      <w:r w:rsidRPr="005B7A7A">
        <w:t>exposure with a variety of cancers,</w:t>
      </w:r>
      <w:r w:rsidR="00FA4E15">
        <w:t xml:space="preserve"> including lung, liver, kidney, skin, and bladder cancers later in life.</w:t>
      </w:r>
      <w:r w:rsidRPr="005B7A7A">
        <w:fldChar w:fldCharType="begin" w:fldLock="1"/>
      </w:r>
      <w:r w:rsidR="00BC570E">
        <w:instrText>ADDIN CSL_CITATION {"citationItems":[{"id":"ITEM-1","itemData":{"DOI":"10.1289/ehp.1409360","ISBN":"1552-9924 (Electronic)\\r0091-6765 (Linking)","ISSN":"15529924","PMID":"26115410","abstract":"BACKGROUND: Millions of individuals worldwide, particularly those living in rural and developing areas, are exposed to harmful levels of inorganic arsenic (iAs) in their drinking water. Inorganic As exposure during key developmental periods is associated with a variety of adverse health effects including those that are evident in adulthood. There is considerable interest in identifying the molecular mechanisms that relate early-life iAs exposure to the development of these latent diseases, particularly in relationship to cancer.\\n\\nOBJECTIVES: This work summarizes research on the molecular mechanisms that underlie the increased risk of cancer development in adulthood that is associated with early-life iAs exposure.\\n\\nDISCUSSION: Epigenetic reprogramming that imparts functional changes in gene expression, the development of cancer stem cells, and immunomodulation are plausible underlying mechanisms by which early-life iAs exposure elicits latent carcinogenic effects.\\n\\nCONCLUSIONS: Evidence is mounting that relates early-life iAs exposure and cancer development later in life. Future research should include animal studies that address mechanistic hypotheses and studies of human populations that integrate early-life exposure, molecular alterations, and latent disease outcomes.","author":[{"dropping-particle":"","family":"Bailey","given":"Kathryn A.","non-dropping-particle":"","parse-names":false,"suffix":""},{"dropping-particle":"","family":"Smith","given":"Allan H.","non-dropping-particle":"","parse-names":false,"suffix":""},{"dropping-particle":"","family":"Tokar","given":"Erik J.","non-dropping-particle":"","parse-names":false,"suffix":""},{"dropping-particle":"","family":"Graziano","given":"Joseph H.","non-dropping-particle":"","parse-names":false,"suffix":""},{"dropping-particle":"","family":"Kim","given":"Kyoung Woong","non-dropping-particle":"","parse-names":false,"suffix":""},{"dropping-particle":"","family":"Navasumrit","given":"Panida","non-dropping-particle":"","parse-names":false,"suffix":""},{"dropping-particle":"","family":"Ruchirawat","given":"Mathuros","non-dropping-particle":"","parse-names":false,"suffix":""},{"dropping-particle":"","family":"Thiantanawat","given":"Apinya","non-dropping-particle":"","parse-names":false,"suffix":""},{"dropping-particle":"","family":"Suk","given":"William A.","non-dropping-particle":"","parse-names":false,"suffix":""},{"dropping-particle":"","family":"Fry","given":"Rebecca C.","non-dropping-particle":"","parse-names":false,"suffix":""}],"container-title":"Environmental Health Perspectives","id":"ITEM-1","issue":"2","issued":{"date-parts":[["2016"]]},"note":"r03 #18","page":"170-175","title":"Mechanisms underlying latent disease risk associated with early-life arsenic exposure: Current research trends and scientific gaps","type":"article-journal","volume":"124"},"uris":["http://www.mendeley.com/documents/?uuid=636895e3-30ad-399a-9d97-97b8bf992c9c"]}],"mendeley":{"formattedCitation":"&lt;sup&gt;7&lt;/sup&gt;","plainTextFormattedCitation":"7","previouslyFormattedCitation":"&lt;sup&gt;7&lt;/sup&gt;"},"properties":{"noteIndex":0},"schema":"https://github.com/citation-style-language/schema/raw/master/csl-citation.json"}</w:instrText>
      </w:r>
      <w:r w:rsidRPr="005B7A7A">
        <w:fldChar w:fldCharType="separate"/>
      </w:r>
      <w:r w:rsidR="00010A75" w:rsidRPr="00010A75">
        <w:rPr>
          <w:noProof/>
          <w:vertAlign w:val="superscript"/>
        </w:rPr>
        <w:t>7</w:t>
      </w:r>
      <w:r w:rsidRPr="005B7A7A">
        <w:fldChar w:fldCharType="end"/>
      </w:r>
      <w:r>
        <w:t xml:space="preserve"> High (&gt;100</w:t>
      </w:r>
      <w:r w:rsidR="00BC6725">
        <w:t xml:space="preserve"> </w:t>
      </w:r>
      <w:r>
        <w:t>µg/l in drinking water) arsenic exposure has been consistently found to be a risk fa</w:t>
      </w:r>
      <w:r w:rsidR="00FA4E15">
        <w:t xml:space="preserve">ctor for cardiovascular </w:t>
      </w:r>
      <w:r w:rsidR="00BC6725">
        <w:t xml:space="preserve">and metabolic </w:t>
      </w:r>
      <w:r w:rsidR="00FA4E15">
        <w:t>disease</w:t>
      </w:r>
      <w:r w:rsidR="00BC6725">
        <w:t>s</w:t>
      </w:r>
      <w:r w:rsidR="00FA4E15">
        <w:t>.</w:t>
      </w:r>
      <w:r>
        <w:t xml:space="preserve"> </w:t>
      </w:r>
      <w:r w:rsidR="00010A75" w:rsidRPr="0004322D">
        <w:rPr>
          <w:rStyle w:val="CommentReference"/>
          <w:sz w:val="24"/>
          <w:szCs w:val="24"/>
        </w:rPr>
        <w:t>A recent meta-analysis examined the dose-response relationship quantitatively and found increased pooled relative risks of cardiovascular disease and</w:t>
      </w:r>
      <w:r w:rsidR="00010A75" w:rsidRPr="0004322D">
        <w:t xml:space="preserve"> coronary</w:t>
      </w:r>
      <w:r w:rsidR="00010A75">
        <w:t xml:space="preserve"> heart disease between low-moderate and high levels </w:t>
      </w:r>
      <w:r w:rsidR="00BC6725">
        <w:t xml:space="preserve">(5-100 </w:t>
      </w:r>
      <w:r w:rsidR="00BC6725" w:rsidRPr="004B08F6">
        <w:rPr>
          <w:rFonts w:ascii="Symbol" w:hAnsi="Symbol"/>
        </w:rPr>
        <w:t></w:t>
      </w:r>
      <w:r w:rsidR="00BC6725">
        <w:t xml:space="preserve">g/L) </w:t>
      </w:r>
      <w:r w:rsidR="00010A75">
        <w:t>of drinking water arsenic.</w:t>
      </w:r>
      <w:r w:rsidR="00010A75">
        <w:fldChar w:fldCharType="begin" w:fldLock="1"/>
      </w:r>
      <w:r w:rsidR="00BC570E">
        <w:instrText>ADDIN CSL_CITATION {"citationItems":[{"id":"ITEM-1","itemData":{"DOI":"10.1093/ije/dyx202","ISSN":"14643685","PMID":"29040626","abstract":"Background: Consistent evidence at high levels of water arsenic (&gt;/=100 microg/l), and growing evidence at low-moderate levels (&lt;100 microg/l), support a link with cardiovascular disease (CVD). The shape of the dose-response across low-moderate and high levels of arsenic in drinking water is uncertain and critical for risk assessment. Methods: We conducted a systematic review of general population epidemiological studies of arsenic and incident clinical CVD (all CVD, coronary heart disease (CHD) and stroke) with three or more exposure categories. In a dose-response meta-analysis, we estimated the pooled association between log-transformed water arsenic (log-linear) and restricted cubic splines of log-transformed water arsenic (non-linear) and the relative risk of each CVD endpoint. Results: Twelve studies (pooled N = 408 945) conducted at high (N = 7) and low-moderate (N = 5) levels of water arsenic met inclusion criteria, and 11 studies were included in the meta-analysis. Compared with 10 microg/l, the estimated pooled relative risks [95% confidence interval (CI)] for 20 microg/l water arsenic, based on a log-linear model, were 1.09 (1.03, 1.14) (N = 2) for CVD incidence, 1.07 (1.01, 1.14) (N = 6) for CVD mortality, 1.11 (1.05, 1.17) (N = 4) for CHD incidence, 1.16 (1.07, 1.26) (N = 6) for CHD mortality, 1.08 (0.99, 1.17) (N = 2) for stroke incidence and 1.06 (0.93, 1.20) (N = 6) for stroke mortality. We found no evidence of non-linearity, although these tests had low statistical power. Conclusions: Although limited by the small number of studies, this analysis supports quantitatively including CVD in inorganic arsenic risk assessment, and strengthens the evidence for an association between arsenic and CVD across low-moderate to high levels.","author":[{"dropping-particle":"","family":"Moon","given":"Katherine A.","non-dropping-particle":"","parse-names":false,"suffix":""},{"dropping-particle":"","family":"Oberoi","given":"Shilpi","non-dropping-particle":"","parse-names":false,"suffix":""},{"dropping-particle":"","family":"Barchowsky","given":"Aaron","non-dropping-particle":"","parse-names":false,"suffix":""},{"dropping-particle":"","family":"Chen","given":"Yu","non-dropping-particle":"","parse-names":false,"suffix":""},{"dropping-particle":"","family":"Guallar","given":"Eliseo","non-dropping-particle":"","parse-names":false,"suffix":""},{"dropping-particle":"","family":"Nachman","given":"Keeve E.","non-dropping-particle":"","parse-names":false,"suffix":""},{"dropping-particle":"","family":"Rahman","given":"Mahfuzar","non-dropping-particle":"","parse-names":false,"suffix":""},{"dropping-particle":"","family":"Sohel","given":"Nazmul","non-dropping-particle":"","parse-names":false,"suffix":""},{"dropping-particle":"","family":"D'Ippoliti","given":"Daniela","non-dropping-particle":"","parse-names":false,"suffix":""},{"dropping-particle":"","family":"Wade","given":"Timothy J.","non-dropping-particle":"","parse-names":false,"suffix":""},{"dropping-particle":"","family":"James","given":"Katherine A.","non-dropping-particle":"","parse-names":false,"suffix":""},{"dropping-particle":"","family":"Farzan","given":"Shohreh F.","non-dropping-particle":"","parse-names":false,"suffix":""},{"dropping-particle":"","family":"Karagas","given":"Margaret R.","non-dropping-particle":"","parse-names":false,"suffix":""},{"dropping-particle":"","family":"Ahsan","given":"Habibul","non-dropping-particle":"","parse-names":false,"suffix":""},{"dropping-particle":"","family":"Navas-Acien","given":"Ana","non-dropping-particle":"","parse-names":false,"suffix":""}],"container-title":"International Journal of Epidemiology","id":"ITEM-1","issued":{"date-parts":[["2017"]]},"note":"ro3 38 and 24","title":"A dose-response meta-analysis of chronic arsenic exposure and incident cardiovascular disease","type":"article-journal"},"uris":["http://www.mendeley.com/documents/?uuid=5f9978d8-12d3-3ee7-8f4d-96985991f24c"]}],"mendeley":{"formattedCitation":"&lt;sup&gt;8&lt;/sup&gt;","plainTextFormattedCitation":"8","previouslyFormattedCitation":"&lt;sup&gt;8&lt;/sup&gt;"},"properties":{"noteIndex":0},"schema":"https://github.com/citation-style-language/schema/raw/master/csl-citation.json"}</w:instrText>
      </w:r>
      <w:r w:rsidR="00010A75">
        <w:fldChar w:fldCharType="separate"/>
      </w:r>
      <w:r w:rsidR="00010A75" w:rsidRPr="00010A75">
        <w:rPr>
          <w:noProof/>
          <w:vertAlign w:val="superscript"/>
        </w:rPr>
        <w:t>8</w:t>
      </w:r>
      <w:r w:rsidR="00010A75">
        <w:fldChar w:fldCharType="end"/>
      </w:r>
      <w:r w:rsidR="00010A75">
        <w:t xml:space="preserve"> </w:t>
      </w:r>
      <w:r w:rsidRPr="0004322D">
        <w:t xml:space="preserve">Animal and human studies have shown that arsenic exposure contributes to increased oxidative stress in cardiac </w:t>
      </w:r>
      <w:r w:rsidR="00BC6725">
        <w:t xml:space="preserve">and vascular </w:t>
      </w:r>
      <w:r w:rsidRPr="0004322D">
        <w:t>tissue</w:t>
      </w:r>
      <w:r w:rsidR="00BC6725">
        <w:t>s</w:t>
      </w:r>
      <w:r w:rsidRPr="0004322D">
        <w:t>.</w:t>
      </w:r>
      <w:r w:rsidRPr="0004322D">
        <w:fldChar w:fldCharType="begin" w:fldLock="1"/>
      </w:r>
      <w:r w:rsidR="00BC570E">
        <w:instrText>ADDIN CSL_CITATION {"citationItems":[{"id":"ITEM-1","itemData":{"DOI":"10.1038/nrcardio.2015.152","ISBN":"1759-5002","ISSN":"17595010","PMID":"26461967","abstract":"Environmental exposure is an important but underappreciated risk factor contributing to the development and severity of cardiovascular disease (CVD). The heart and vascular system are highly vulnerable to a number of environmental agents-ambient air pollution and the metals arsenic, cadmium, and lead are widespread and the most-extensively studied. Like traditional risk factors, such as smoking and diabetes mellitus, these exposures advance disease and mortality via augmentation or initiation of pathophysiological processes associated with CVD, including blood-pressure control, carbohydrate and lipid metabolism, vascular function, and atherogenesis. Although residence in highly polluted areas is associated with high levels of cardiovascular risk, adverse effects on cardiovascular health also occur at exposure levels below current regulatory standards. Considering the widespread prevalence of exposure, even modest contributions to CVD risk can have a substantial effect on population health. Evidence-based clinical and public-health strategies aimed at reducing environmental exposures from current levels could substantially lower the burden of CVD-related death and disability worldwide.","author":[{"dropping-particle":"","family":"Cosselman","given":"Kristen E.","non-dropping-particle":"","parse-names":false,"suffix":""},{"dropping-particle":"","family":"Navas-Acien","given":"Ana","non-dropping-particle":"","parse-names":false,"suffix":""},{"dropping-particle":"","family":"Kaufman","given":"Joel D.","non-dropping-particle":"","parse-names":false,"suffix":""}],"container-title":"Nature Reviews Cardiology","id":"ITEM-1","issue":"11","issued":{"date-parts":[["2015"]]},"note":"r03 #19","page":"627-642","title":"Environmental factors in cardiovascular disease","type":"article","volume":"12"},"uris":["http://www.mendeley.com/documents/?uuid=ec59e84c-3133-3029-be4c-2bbb04ea6ce2"]}],"mendeley":{"formattedCitation":"&lt;sup&gt;9&lt;/sup&gt;","plainTextFormattedCitation":"9","previouslyFormattedCitation":"&lt;sup&gt;9&lt;/sup&gt;"},"properties":{"noteIndex":0},"schema":"https://github.com/citation-style-language/schema/raw/master/csl-citation.json"}</w:instrText>
      </w:r>
      <w:r w:rsidRPr="0004322D">
        <w:fldChar w:fldCharType="separate"/>
      </w:r>
      <w:r w:rsidR="00010A75" w:rsidRPr="00010A75">
        <w:rPr>
          <w:noProof/>
          <w:vertAlign w:val="superscript"/>
        </w:rPr>
        <w:t>9</w:t>
      </w:r>
      <w:r w:rsidRPr="0004322D">
        <w:fldChar w:fldCharType="end"/>
      </w:r>
      <w:r w:rsidRPr="0004322D">
        <w:rPr>
          <w:rStyle w:val="CommentReference"/>
          <w:sz w:val="24"/>
          <w:szCs w:val="24"/>
        </w:rPr>
        <w:t xml:space="preserve">  </w:t>
      </w:r>
      <w:r>
        <w:t xml:space="preserve">Associations with inorganic arsenic exposure and respiratory problems have been found as well. </w:t>
      </w:r>
      <w:r>
        <w:rPr>
          <w:i/>
        </w:rPr>
        <w:t>In utero</w:t>
      </w:r>
      <w:r>
        <w:t xml:space="preserve"> exposure is associated with increased frequency and severity of respiratory tract infections throughout the lifespan, and association later in life is correlated with decreased lung function</w:t>
      </w:r>
      <w:r w:rsidRPr="005B7A7A">
        <w:t>.</w:t>
      </w:r>
      <w:r w:rsidRPr="005B7A7A">
        <w:fldChar w:fldCharType="begin" w:fldLock="1"/>
      </w:r>
      <w:r w:rsidR="00BC570E">
        <w:instrText>ADDIN CSL_CITATION {"citationItems":[{"id":"ITEM-1","itemData":{"DOI":"10.1016/j.envres.2016.02.009","ISBN":"0000000000000","ISSN":"10960953","PMID":"26891939","abstract":"This systematic review synthesizes the diverse body of epidemiologic research accrued on inorganic arsenic exposure and respiratory health effects. Twenty-nine articles were identified that examined the relationship between inorganic arsenic exposure and respiratory outcomes (i.e. lung function, symptoms, acute respiratory infections, chronic non-malignant lung diseases, and non-malignant lung disease mortality). There was strong evidence of a general association between arsenic and non-malignant respiratory illness, including consistent evidence on lung function impairment, acute respiratory tract infections, respiratory symptoms, and non-malignant lung disease mortality. Overall, early life exposure (i.e. in utero and/or early-childhood) had a marked effect throughout the lifespan. This review also identified some research gaps, including limited evidence at lower levels of exposure (water arsenic &lt;100. μg/L), mixed evidence of sex differences, and some uncertainty on arsenic and any single non-malignant respiratory disease or pathological process. Common limitations, including potential publication bias; non-comparability of outcome measures across included articles; incomplete exposure histories; and limited confounder control attenuated the cumulative strength of the evidence as it relates to US populations. This systematic review provides a comprehensive assessment of the epidemiologic evidence and should be used to guide future research on arsenic's detrimental effects on respiratory health.","author":[{"dropping-particle":"","family":"Sanchez","given":"Tiffany R.","non-dropping-particle":"","parse-names":false,"suffix":""},{"dropping-particle":"","family":"Perzanowski","given":"Matthew","non-dropping-particle":"","parse-names":false,"suffix":""},{"dropping-particle":"","family":"Graziano","given":"Joseph H.","non-dropping-particle":"","parse-names":false,"suffix":""}],"container-title":"Environmental Research","id":"ITEM-1","issued":{"date-parts":[["2016"]]},"note":"ro3 20","page":"537-555","title":"Inorganic arsenic and respiratory health, from early life exposure to sex-specific effects: A systematic review","type":"article","volume":"147"},"uris":["http://www.mendeley.com/documents/?uuid=cc4b852e-bad3-3417-8463-481ea64c9a99"]}],"mendeley":{"formattedCitation":"&lt;sup&gt;10&lt;/sup&gt;","plainTextFormattedCitation":"10","previouslyFormattedCitation":"&lt;sup&gt;10&lt;/sup&gt;"},"properties":{"noteIndex":0},"schema":"https://github.com/citation-style-language/schema/raw/master/csl-citation.json"}</w:instrText>
      </w:r>
      <w:r w:rsidRPr="005B7A7A">
        <w:fldChar w:fldCharType="separate"/>
      </w:r>
      <w:r w:rsidR="00010A75" w:rsidRPr="00010A75">
        <w:rPr>
          <w:noProof/>
          <w:vertAlign w:val="superscript"/>
        </w:rPr>
        <w:t>10</w:t>
      </w:r>
      <w:r w:rsidRPr="005B7A7A">
        <w:fldChar w:fldCharType="end"/>
      </w:r>
      <w:r>
        <w:t xml:space="preserve"> In addition, there is significant evidence linking inorganic arsenic exposure with diabetes. NHANES participants with diabetes were found to have 28% higher total arsenic concentrations</w:t>
      </w:r>
      <w:r>
        <w:fldChar w:fldCharType="begin" w:fldLock="1"/>
      </w:r>
      <w:r w:rsidR="00BC570E">
        <w:instrText>ADDIN CSL_CITATION {"citationItems":[{"id":"ITEM-1","itemData":{"DOI":"10.1097/EDE.0b013e3181afef88","ISSN":"10443983","PMID":"19713856","abstract":"The role of inorganic arsenic exposure in chronic diseases, including type 2 diabetes, is a major public health research question. This has been underscored by recent epidemiologic 1-4 and experimental 5-8 evidence supporting increased risks at low exposure levels. In this context, it is critical to understand the biology and the technical limitations of biomarkers of inorganic arsenic exposure, usually measured in urine. 9-11 Total urine arsenic integrates exposure from multiple sources including inorganic (arsenite, arsenate) and organic (mainly arsenobetaine, arsenosugars and arsenolipids) arsenic compounds and their metabolites (Figure 1). In population-based studies, arsenic speciation in urine is important to differentiate inorganic from organic exposure because organic arsenicals, mostly found in seafood, have little toxicity relative to inorganic arsenic and its metabolites. Despite analytic advances in the measurement of arsenosugars, arsenolipids and their metabolites, 9 their determination remains technically challenging in epidemiologic studies. For example, those compounds were not measured in the 2003-2004 National Health Nutrition Examination Survey (NHANES). Moreover, because arsenite, arsenate and methylarsonate-species that directly reflect inorganic arsenic exposure and metabolism (Figure 1)-were measured in NHANES 2003-2004 with high limits of detection, 9,12-14 only total arsenic, dimethylarsinate, arsenobetaine and arsenocholine (a minor seafood arsenical) were available for analyses of arsenic and health endpoints. To evaluate the association of inorganic arsenic exposure with the prevalence of type 2 diabetes in NHANES 2003-2004, 2 we reported two main strategies to remove the contribution of organic arsenicals of marine origin to total urine arsenic. First, we conducted analyses of the association between total urine arsenic and the prevalence of type 2 diabetes adjusted for","author":[{"dropping-particle":"","family":"Navas-Acien","given":"Ana","non-dropping-particle":"","parse-names":false,"suffix":""},{"dropping-particle":"","family":"Silbergeld","given":"Ellen K","non-dropping-particle":"","parse-names":false,"suffix":""},{"dropping-particle":"","family":"Pastor-Barriuso","given":"Roberto","non-dropping-particle":"","parse-names":false,"suffix":""},{"dropping-particle":"","family":"Guallar","given":"Eliseo","non-dropping-particle":"","parse-names":false,"suffix":""}],"container-title":"Epidemiology","id":"ITEM-1","issue":"6","issued":{"date-parts":[["2009"]]},"page":"816-820","title":"Rejoinder: Arsenic exposure and prevalence of type 2 diabetes updated findings from the national health nutrition and examination survey, 2003-2006","type":"article","volume":"20"},"uris":["http://www.mendeley.com/documents/?uuid=3a1e3e65-285b-3852-a530-2baf78157f11"]}],"mendeley":{"formattedCitation":"&lt;sup&gt;11&lt;/sup&gt;","plainTextFormattedCitation":"11","previouslyFormattedCitation":"&lt;sup&gt;11&lt;/sup&gt;"},"properties":{"noteIndex":0},"schema":"https://github.com/citation-style-language/schema/raw/master/csl-citation.json"}</w:instrText>
      </w:r>
      <w:r>
        <w:fldChar w:fldCharType="separate"/>
      </w:r>
      <w:r w:rsidR="00010A75" w:rsidRPr="00010A75">
        <w:rPr>
          <w:noProof/>
          <w:vertAlign w:val="superscript"/>
        </w:rPr>
        <w:t>11</w:t>
      </w:r>
      <w:r>
        <w:fldChar w:fldCharType="end"/>
      </w:r>
      <w:r w:rsidR="00BC6725">
        <w:t>.</w:t>
      </w:r>
    </w:p>
    <w:p w14:paraId="0990E55B" w14:textId="5369CCC5" w:rsidR="005D75DC" w:rsidRDefault="005D75DC" w:rsidP="005D75DC">
      <w:r w:rsidRPr="005B7A7A">
        <w:t>Previous epidemiological studies have found that muscle wasting, weakness, impaired gate, and sensorimotor deficits are associated with both acute and chronic arsenic exposure</w:t>
      </w:r>
      <w:r w:rsidRPr="005B7A7A">
        <w:fldChar w:fldCharType="begin" w:fldLock="1"/>
      </w:r>
      <w:r w:rsidR="00BC570E">
        <w:instrText>ADDIN CSL_CITATION {"citationItems":[{"id":"ITEM-1","itemData":{"DOI":"10.1289/ehp.5966","ISBN":"0091-6765","ISSN":"00916765","PMID":"12842773","abstract":"The pandemic of arsenic poisoning due to contaminated groundwater in West Bengal, India, and all of Bangladesh has been thought to be limited to the Ganges Delta (the Lower Ganga Plain), despite early survey reports of arsenic contamination in groundwater in the Union Territory of Chandigarh and its surroundings in the northwestern Upper Ganga Plain and recent findings in the Terai area of Nepal. Anecdotal reports of arsenical skin lesions in villagers led us to evaluate arsenic exposure and sequelae in the Semria Ojha Patti village in the Middle Ganga Plain, Bihar, where tube wells replaced dug wells about 20 years ago. Analyses of the arsenic content of 206 tube wells (95% of the total) showed that 56.8% exceeded arsenic concentrations of 50 micro g/L, with 19.9% &gt; 300 micro g/L, the concentration predicting overt arsenical skin lesions. On medical examination of a self-selected sample of 550 (390 adults and 160 children), 13% of the adults and 6.3% of the children had typical skin lesions, an unusually high involvement for children, except in extreme exposures combined with malnutrition. The urine, hair, and nail concentrations of arsenic correlated significantly (r = 0.72-0.77) with drinking water arsenic concentrations up to 1,654 micro g/L. On neurologic examination, arsenic-typical neuropathy was diagnosed in 63% of the adults, a prevalence previously seen only in severe, subacute exposures. We also observed an apparent increase in fetal loss and premature delivery in the women with the highest concentrations of arsenic in their drinking water. The possibility of contaminated groundwater at other sites in the Middle and Upper Ganga Plain merits investigation.","author":[{"dropping-particle":"","family":"Chakraborti","given":"Dipankar","non-dropping-particle":"","parse-names":false,"suffix":""},{"dropping-particle":"","family":"Mukherjee","given":"Subhash C.","non-dropping-particle":"","parse-names":false,"suffix":""},{"dropping-particle":"","family":"Pati","given":"Shyamapada","non-dropping-particle":"","parse-names":false,"suffix":""},{"dropping-particle":"","family":"Sengupta","given":"Mrinal K.","non-dropping-particle":"","parse-names":false,"suffix":""},{"dropping-particle":"","family":"Rahman","given":"Mohammad M.","non-dropping-particle":"","parse-names":false,"suffix":""},{"dropping-particle":"","family":"Chowdhury","given":"Uttam K.","non-dropping-particle":"","parse-names":false,"suffix":""},{"dropping-particle":"","family":"Lodh","given":"Dilip","non-dropping-particle":"","parse-names":false,"suffix":""},{"dropping-particle":"","family":"Chanda","given":"Chitta R.","non-dropping-particle":"","parse-names":false,"suffix":""},{"dropping-particle":"","family":"Chakraborti","given":"Anil K.","non-dropping-particle":"","parse-names":false,"suffix":""},{"dropping-particle":"","family":"Basu","given":"Gautam K.","non-dropping-particle":"","parse-names":false,"suffix":""}],"container-title":"Environmental Health Perspectives","id":"ITEM-1","issue":"9","issued":{"date-parts":[["2003"]]},"note":"r03 25","page":"1194-1201","title":"Arsenic groundwater contamination in Middle Ganga Plain, Bihar, India: A future danger?","type":"article","volume":"111"},"uris":["http://www.mendeley.com/documents/?uuid=205f83ea-a942-3242-bf82-fa1bf296b86b"]}],"mendeley":{"formattedCitation":"&lt;sup&gt;12&lt;/sup&gt;","plainTextFormattedCitation":"12","previouslyFormattedCitation":"&lt;sup&gt;12&lt;/sup&gt;"},"properties":{"noteIndex":0},"schema":"https://github.com/citation-style-language/schema/raw/master/csl-citation.json"}</w:instrText>
      </w:r>
      <w:r w:rsidRPr="005B7A7A">
        <w:fldChar w:fldCharType="separate"/>
      </w:r>
      <w:r w:rsidR="00010A75" w:rsidRPr="00010A75">
        <w:rPr>
          <w:noProof/>
          <w:vertAlign w:val="superscript"/>
        </w:rPr>
        <w:t>12</w:t>
      </w:r>
      <w:r w:rsidRPr="005B7A7A">
        <w:fldChar w:fldCharType="end"/>
      </w:r>
      <w:r w:rsidRPr="005B7A7A">
        <w:t xml:space="preserve">. Parvez et. Al. found an inverse association between blood arsenic levels and motor </w:t>
      </w:r>
      <w:r w:rsidR="00BC6725">
        <w:t xml:space="preserve">and muscle </w:t>
      </w:r>
      <w:r w:rsidRPr="005B7A7A">
        <w:lastRenderedPageBreak/>
        <w:t>function in 8-11 year old children</w:t>
      </w:r>
      <w:r w:rsidRPr="005B7A7A">
        <w:fldChar w:fldCharType="begin" w:fldLock="1"/>
      </w:r>
      <w:r w:rsidR="00BC570E">
        <w:instrText>ADDIN CSL_CITATION {"citationItems":[{"id":"ITEM-1","itemData":{"DOI":"10.1289/ehp.1103548","ISBN":"1552-9924 (Electronic)\\r0091-6765 (Linking)","PMID":"21742576","abstract":"BACKGROUND: Several reports indicate that drinking water arsenic (WAs) and manganese (WMn) are associated with children's intellectual function. Very little is known, however, about possible associations with other neurologic outcomes such as motor function. METHODS: We investigated the associations of WAs and WMn with motor function in 304 children in Bangladesh, 8-11 years of age. We measured As and Mn concentrations in drinking water, blood, urine, and toenails. We assessed motor function with the Bruininks-Oseretsky test, version 2, in four subscales-fine manual control (FMC), manual coordination (MC), body coordination (BC), and strength and agility-which can be summarized with a total motor composite score (TMC). REsults: Log-transformed blood As was associated with decreases in TMC [beta = -3.63; 95% confidence interval (CI): -6.72, -0.54; p &lt; 0.01], FMC (beta = -1.68; 95% CI: -3.19, -0.18; p &lt; 0.05), and BC (beta = -1.61; 95% CI: -2.72, -0.51; p &lt; 0.01), with adjustment for sex, school attendance, head circumference, mother's intelligence, plasma ferritin, and blood Mn, lead, and selenium. Other measures of As exposure (WAs, urinary As, and toenail As) also were inversely associated with motor function scores, particularly TMC and BC. Square-transformed blood selenium was positively associated with TMC (beta = 3.54; 95% CI: 1.10, 6.0; p &lt; 0.01), FMC (beta = 1.55; 95% CI: 0.40, 2.70; p &lt; 0.005), and MC (beta = 1.57; 95% CI: 0.60, 2.75; p &lt; 0.005) in the unadjusted models. Mn exposure was not significantly associated with motor function. CONCLUSION: Our research demonstrates an adverse association of As exposure and a protective association of Se on motor function in children.","author":[{"dropping-particle":"","family":"Parvez","given":"F","non-dropping-particle":"","parse-names":false,"suffix":""},{"dropping-particle":"","family":"Wasserman","given":"G A","non-dropping-particle":"","parse-names":false,"suffix":""},{"dropping-particle":"","family":"Factor-Litvak","given":"P","non-dropping-particle":"","parse-names":false,"suffix":""},{"dropping-particle":"","family":"Liu","given":"X","non-dropping-particle":"","parse-names":false,"suffix":""},{"dropping-particle":"","family":"Slavkovich","given":"V","non-dropping-particle":"","parse-names":false,"suffix":""},{"dropping-particle":"","family":"Siddique","given":"A B","non-dropping-particle":"","parse-names":false,"suffix":""},{"dropping-particle":"","family":"Sultana","given":"R","non-dropping-particle":"","parse-names":false,"suffix":""},{"dropping-particle":"","family":"Sultana","given":"R","non-dropping-particle":"","parse-names":false,"suffix":""},{"dropping-particle":"","family":"Islam","given":"T","non-dropping-particle":"","parse-names":false,"suffix":""},{"dropping-particle":"","family":"Levy","given":"D","non-dropping-particle":"","parse-names":false,"suffix":""},{"dropping-particle":"","family":"Mey","given":"J L","non-dropping-particle":"","parse-names":false,"suffix":""},{"dropping-particle":"","family":"Geen","given":"A","non-dropping-particle":"van","parse-names":false,"suffix":""},{"dropping-particle":"","family":"Khan","given":"K","non-dropping-particle":"","parse-names":false,"suffix":""},{"dropping-particle":"","family":"Kline","given":"J","non-dropping-particle":"","parse-names":false,"suffix":""},{"dropping-particle":"","family":"Ahsan","given":"H","non-dropping-particle":"","parse-names":false,"suffix":""},{"dropping-particle":"","family":"Graziano","given":"J H","non-dropping-particle":"","parse-names":false,"suffix":""}],"container-title":"Environ Health Perspect","id":"ITEM-1","issue":"11","issued":{"date-parts":[["2011"]]},"note":"ro3 27","page":"1665-1670","title":"Arsenic exposure and motor function among children in Bangladesh","type":"article-journal","volume":"119"},"uris":["http://www.mendeley.com/documents/?uuid=03c7d666-8125-4cdb-a497-e54820312acd"]}],"mendeley":{"formattedCitation":"&lt;sup&gt;13&lt;/sup&gt;","plainTextFormattedCitation":"13","previouslyFormattedCitation":"&lt;sup&gt;13&lt;/sup&gt;"},"properties":{"noteIndex":0},"schema":"https://github.com/citation-style-language/schema/raw/master/csl-citation.json"}</w:instrText>
      </w:r>
      <w:r w:rsidRPr="005B7A7A">
        <w:fldChar w:fldCharType="separate"/>
      </w:r>
      <w:r w:rsidR="00010A75" w:rsidRPr="00010A75">
        <w:rPr>
          <w:noProof/>
          <w:vertAlign w:val="superscript"/>
        </w:rPr>
        <w:t>13</w:t>
      </w:r>
      <w:r w:rsidRPr="005B7A7A">
        <w:fldChar w:fldCharType="end"/>
      </w:r>
      <w:r w:rsidRPr="005B7A7A">
        <w:t xml:space="preserve">. </w:t>
      </w:r>
      <w:r w:rsidR="00BC6725">
        <w:t xml:space="preserve"> While </w:t>
      </w:r>
      <w:r>
        <w:t>the mechanism by which this occurs is still poorly understood.</w:t>
      </w:r>
      <w:r w:rsidR="00240049">
        <w:fldChar w:fldCharType="begin" w:fldLock="1"/>
      </w:r>
      <w:r w:rsidR="008B4E74">
        <w:instrText>ADDIN CSL_CITATION {"citationItems":[{"id":"ITEM-1","itemData":{"DOI":"10.1080/07853890.2018.1511918","ISSN":"0785-3890","author":[{"dropping-particle":"","family":"Prado","given":"Carla M.","non-dropping-particle":"","parse-names":false,"suffix":""},{"dropping-particle":"","family":"Purcell","given":"Sarah A.","non-dropping-particle":"","parse-names":false,"suffix":""},{"dropping-particle":"","family":"Alish","given":"Carolyn","non-dropping-particle":"","parse-names":false,"suffix":""},{"dropping-particle":"","family":"Pereira","given":"Suzette L.","non-dropping-particle":"","parse-names":false,"suffix":""},{"dropping-particle":"","family":"Deutz","given":"Nicolaas E.","non-dropping-particle":"","parse-names":false,"suffix":""},{"dropping-particle":"","family":"Heyland","given":"Daren K.","non-dropping-particle":"","parse-names":false,"suffix":""},{"dropping-particle":"","family":"Goodpaster","given":"Bret H.","non-dropping-particle":"","parse-names":false,"suffix":""},{"dropping-particle":"","family":"Tappenden","given":"Kelly A.","non-dropping-particle":"","parse-names":false,"suffix":""},{"dropping-particle":"","family":"Heymsfield","given":"Steven B.","non-dropping-particle":"","parse-names":false,"suffix":""}],"container-title":"Annals of Medicine","id":"ITEM-1","issued":{"date-parts":[["2018","9","12"]]},"page":"1-19","title":"Implications of low muscle mass across the continuum of care: a narrative review","type":"article-journal"},"uris":["http://www.mendeley.com/documents/?uuid=719c5851-e27d-45da-ab33-4b87842310db"]}],"mendeley":{"formattedCitation":"&lt;sup&gt;14&lt;/sup&gt;","plainTextFormattedCitation":"14","previouslyFormattedCitation":"&lt;sup&gt;14&lt;/sup&gt;"},"properties":{"noteIndex":0},"schema":"https://github.com/citation-style-language/schema/raw/master/csl-citation.json"}</w:instrText>
      </w:r>
      <w:r w:rsidR="00240049">
        <w:fldChar w:fldCharType="separate"/>
      </w:r>
      <w:r w:rsidR="00240049" w:rsidRPr="00240049">
        <w:rPr>
          <w:noProof/>
          <w:vertAlign w:val="superscript"/>
        </w:rPr>
        <w:t>14</w:t>
      </w:r>
      <w:r w:rsidR="00240049">
        <w:fldChar w:fldCharType="end"/>
      </w:r>
      <w:r w:rsidR="005748AA">
        <w:t xml:space="preserve">  There is a great need to determine whether environmental factors, such as arsenic, cause disease or worsen disease outcomes by promoting muscle quality decline and loss of lean body mass.</w:t>
      </w:r>
    </w:p>
    <w:p w14:paraId="16BB7DB9" w14:textId="748DACA9" w:rsidR="00B917F0" w:rsidRDefault="00A45D1C" w:rsidP="00B917F0">
      <w:pPr>
        <w:pStyle w:val="Heading2"/>
      </w:pPr>
      <w:bookmarkStart w:id="7" w:name="_Toc532467855"/>
      <w:r>
        <w:t xml:space="preserve">Muscle </w:t>
      </w:r>
      <w:r w:rsidR="00CD3CC3">
        <w:t>Decline</w:t>
      </w:r>
      <w:r w:rsidR="00CD65B1">
        <w:t xml:space="preserve"> as a measure of disease risk</w:t>
      </w:r>
      <w:bookmarkEnd w:id="7"/>
    </w:p>
    <w:p w14:paraId="5CE54393" w14:textId="4D733138" w:rsidR="00D14DD8" w:rsidRDefault="00D65D63" w:rsidP="00F5549A">
      <w:bookmarkStart w:id="8" w:name="_Toc106513530"/>
      <w:bookmarkStart w:id="9" w:name="_Toc106717788"/>
      <w:r>
        <w:t xml:space="preserve">Muscle mass </w:t>
      </w:r>
      <w:r w:rsidRPr="00F5549A">
        <w:t xml:space="preserve">and muscle quality declines are </w:t>
      </w:r>
      <w:r w:rsidR="007A4BB5" w:rsidRPr="00F5549A">
        <w:t>increasingly understood to be</w:t>
      </w:r>
      <w:r w:rsidR="005D75DC" w:rsidRPr="00F5549A">
        <w:t xml:space="preserve"> </w:t>
      </w:r>
      <w:r w:rsidR="007A4BB5" w:rsidRPr="00F5549A">
        <w:t>key players in loss of physical function with aging.</w:t>
      </w:r>
      <w:r w:rsidR="00A32DE0" w:rsidRPr="00F5549A">
        <w:t xml:space="preserve"> </w:t>
      </w:r>
      <w:r w:rsidR="00F5549A" w:rsidRPr="00F5549A">
        <w:t>Increasing life expectancy results in higher prevalence of age-related disorders, including loss of muscle mass</w:t>
      </w:r>
      <w:r w:rsidR="004678FC">
        <w:t>.</w:t>
      </w:r>
      <w:r w:rsidR="00951CA7">
        <w:fldChar w:fldCharType="begin" w:fldLock="1"/>
      </w:r>
      <w:r w:rsidR="001A3B36">
        <w:instrText>ADDIN CSL_CITATION {"citationItems":[{"id":"ITEM-1","itemData":{"ISSN":"1079-5006","PMID":"17077199","abstract":"BACKGROUND The loss of muscle mass is considered to be a major determinant of strength loss in aging. However, large-scale longitudinal studies examining the association between the loss of mass and strength in older adults are lacking. METHODS Three-year changes in muscle mass and strength were determined in 1880 older adults in the Health, Aging and Body Composition Study. Knee extensor strength was measured by isokinetic dynamometry. Whole body and appendicular lean and fat mass were assessed by dual-energy x-ray absorptiometry and computed tomography. RESULTS Both men and women lost strength, with men losing almost twice as much strength as women. Blacks lost about 28% more strength than did whites. Annualized rates of leg strength decline (3.4% in white men, 4.1% in black men, 2.6% in white women, and 3.0% in black women) were about three times greater than the rates of loss of leg lean mass ( approximately 1% per year). The loss of lean mass, as well as higher baseline strength, lower baseline leg lean mass, and older age, was independently associated with strength decline in both men and women. However, gain of lean mass was not accompanied by strength maintenance or gain (ss coefficients; men, -0.48 +/- 4.61, p =.92, women, -1.68 +/- 3.57, p =.64). CONCLUSIONS Although the loss of muscle mass is associated with the decline in strength in older adults, this strength decline is much more rapid than the concomitant loss of muscle mass, suggesting a decline in muscle quality. Moreover, maintaining or gaining muscle mass does not prevent aging-associated declines in muscle strength.","author":[{"dropping-particle":"","family":"Goodpaster","given":"Bret H","non-dropping-particle":"","parse-names":false,"suffix":""},{"dropping-particle":"","family":"Park","given":"Seok Won","non-dropping-particle":"","parse-names":false,"suffix":""},{"dropping-particle":"","family":"Harris","given":"Tamara B","non-dropping-particle":"","parse-names":false,"suffix":""},{"dropping-particle":"","family":"Kritchevsky","given":"Steven B","non-dropping-particle":"","parse-names":false,"suffix":""},{"dropping-particle":"","family":"Nevitt","given":"Michael","non-dropping-particle":"","parse-names":false,"suffix":""},{"dropping-particle":"V","family":"Schwartz","given":"Ann","non-dropping-particle":"","parse-names":false,"suffix":""},{"dropping-particle":"","family":"Simonsick","given":"Eleanor M","non-dropping-particle":"","parse-names":false,"suffix":""},{"dropping-particle":"","family":"Tylavsky","given":"Frances A","non-dropping-particle":"","parse-names":false,"suffix":""},{"dropping-particle":"","family":"Visser","given":"Marjolein","non-dropping-particle":"","parse-names":false,"suffix":""},{"dropping-particle":"","family":"Newman","given":"Anne B","non-dropping-particle":"","parse-names":false,"suffix":""}],"container-title":"The journals of gerontology. Series A, Biological sciences and medical sciences","id":"ITEM-1","issue":"10","issued":{"date-parts":[["2006","10"]]},"page":"1059-64","title":"The loss of skeletal muscle strength, mass, and quality in older adults: the health, aging and body composition study.","type":"article-journal","volume":"61"},"uris":["http://www.mendeley.com/documents/?uuid=3cbfb60e-5eaf-4e6d-82af-6e04eb1b7bca"]}],"mendeley":{"formattedCitation":"&lt;sup&gt;15&lt;/sup&gt;","plainTextFormattedCitation":"15","previouslyFormattedCitation":"&lt;sup&gt;15&lt;/sup&gt;"},"properties":{"noteIndex":0},"schema":"https://github.com/citation-style-language/schema/raw/master/csl-citation.json"}</w:instrText>
      </w:r>
      <w:r w:rsidR="00951CA7">
        <w:fldChar w:fldCharType="separate"/>
      </w:r>
      <w:r w:rsidR="00951CA7" w:rsidRPr="00951CA7">
        <w:rPr>
          <w:noProof/>
          <w:vertAlign w:val="superscript"/>
        </w:rPr>
        <w:t>15</w:t>
      </w:r>
      <w:r w:rsidR="00951CA7">
        <w:fldChar w:fldCharType="end"/>
      </w:r>
      <w:r w:rsidR="00591810">
        <w:t xml:space="preserve"> </w:t>
      </w:r>
      <w:r w:rsidR="00613C7C">
        <w:t>It is estimated that older adults lose between 0.4%-2.6% muscle mass annually.</w:t>
      </w:r>
      <w:r w:rsidR="00613C7C">
        <w:fldChar w:fldCharType="begin" w:fldLock="1"/>
      </w:r>
      <w:r w:rsidR="00613C7C">
        <w:instrText>ADDIN CSL_CITATION {"citationItems":[{"id":"ITEM-1","itemData":{"DOI":"10.3389/fphys.2012.00260","ISSN":"1664-042X","author":[{"dropping-particle":"","family":"Mitchell","given":"W. Kyle","non-dropping-particle":"","parse-names":false,"suffix":""},{"dropping-particle":"","family":"Williams","given":"John","non-dropping-particle":"","parse-names":false,"suffix":""},{"dropping-particle":"","family":"Atherton","given":"Philip","non-dropping-particle":"","parse-names":false,"suffix":""},{"dropping-particle":"","family":"Larvin","given":"Mike","non-dropping-particle":"","parse-names":false,"suffix":""},{"dropping-particle":"","family":"Lund","given":"John","non-dropping-particle":"","parse-names":false,"suffix":""},{"dropping-particle":"","family":"Narici","given":"Marco","non-dropping-particle":"","parse-names":false,"suffix":""}],"container-title":"Frontiers in Physiology","id":"ITEM-1","issued":{"date-parts":[["2012"]]},"title":"Sarcopenia, Dynapenia, and the Impact of Advancing Age on Human Skeletal Muscle Size and Strength; a Quantitative Review","type":"article-journal","volume":"3"},"uris":["http://www.mendeley.com/documents/?uuid=0da4f8f0-4760-4f26-82d8-478238a98785"]}],"mendeley":{"formattedCitation":"&lt;sup&gt;16&lt;/sup&gt;","plainTextFormattedCitation":"16","previouslyFormattedCitation":"&lt;sup&gt;16&lt;/sup&gt;"},"properties":{"noteIndex":0},"schema":"https://github.com/citation-style-language/schema/raw/master/csl-citation.json"}</w:instrText>
      </w:r>
      <w:r w:rsidR="00613C7C">
        <w:fldChar w:fldCharType="separate"/>
      </w:r>
      <w:r w:rsidR="00613C7C" w:rsidRPr="00613C7C">
        <w:rPr>
          <w:noProof/>
          <w:vertAlign w:val="superscript"/>
        </w:rPr>
        <w:t>16</w:t>
      </w:r>
      <w:r w:rsidR="00613C7C">
        <w:fldChar w:fldCharType="end"/>
      </w:r>
      <w:r w:rsidR="00613C7C">
        <w:t xml:space="preserve"> </w:t>
      </w:r>
      <w:r w:rsidR="00591810">
        <w:t xml:space="preserve">This decline in muscle mass </w:t>
      </w:r>
      <w:r w:rsidR="00DF3876">
        <w:t>can lead to lack of strength and power required to participate in daily life and lead to serious disability.</w:t>
      </w:r>
      <w:r w:rsidR="004678FC">
        <w:fldChar w:fldCharType="begin" w:fldLock="1"/>
      </w:r>
      <w:r w:rsidR="00613C7C">
        <w:instrText>ADDIN CSL_CITATION {"citationItems":[{"id":"ITEM-1","itemData":{"DOI":"10.1016/S2213-8587(14)70034-8","ISSN":"2213-8595","PMID":"24731660","abstract":"The term sarcopenia refers to the loss of muscle mass that occurs with ageing. On the basis of study results showing that muscle mass is only moderately related to functional outcomes, international working groups have proposed that loss of muscle strength or physical function should also be included in the definition. Irrespective of how sarcopenia is defined, both low muscle mass and poor muscle strength are clearly highly prevalent and important risk factors for disability and potentially mortality in individuals as they age. Many chronic diseases, in addition to ageing, could also accelerate decrease of muscle mass and strength, and this effect could be a main underlying mechanism by which chronic diseases cause physical disability. In this Review, we address both age-related and disease-related muscle loss, with a focus on diabetes and obesity but including other disease states, and potential common mechanisms and treatments. Development of treatments for age-related and disease-related muscle loss might improve active life expectancy in older people, and lead to substantial health-care savings and improved quality of life.","author":[{"dropping-particle":"","family":"Kalyani","given":"Rita Rastogi","non-dropping-particle":"","parse-names":false,"suffix":""},{"dropping-particle":"","family":"Corriere","given":"Mark","non-dropping-particle":"","parse-names":false,"suffix":""},{"dropping-particle":"","family":"Ferrucci","given":"Luigi","non-dropping-particle":"","parse-names":false,"suffix":""}],"container-title":"The lancet. Diabetes &amp; endocrinology","id":"ITEM-1","issue":"10","issued":{"date-parts":[["2014","10"]]},"page":"819-29","title":"Age-related and disease-related muscle loss: the effect of diabetes, obesity, and other diseases.","type":"article-journal","volume":"2"},"uris":["http://www.mendeley.com/documents/?uuid=b89a20e5-5a11-4f68-9dac-26618c0aabf9"]}],"mendeley":{"formattedCitation":"&lt;sup&gt;17&lt;/sup&gt;","plainTextFormattedCitation":"17","previouslyFormattedCitation":"&lt;sup&gt;17&lt;/sup&gt;"},"properties":{"noteIndex":0},"schema":"https://github.com/citation-style-language/schema/raw/master/csl-citation.json"}</w:instrText>
      </w:r>
      <w:r w:rsidR="004678FC">
        <w:fldChar w:fldCharType="separate"/>
      </w:r>
      <w:r w:rsidR="00613C7C" w:rsidRPr="00613C7C">
        <w:rPr>
          <w:noProof/>
          <w:vertAlign w:val="superscript"/>
        </w:rPr>
        <w:t>17</w:t>
      </w:r>
      <w:r w:rsidR="004678FC">
        <w:fldChar w:fldCharType="end"/>
      </w:r>
      <w:r w:rsidR="00F5549A" w:rsidRPr="00F5549A">
        <w:t xml:space="preserve">  </w:t>
      </w:r>
      <w:r w:rsidR="00BB4173">
        <w:t xml:space="preserve">A recent study linked declines in muscle mass to </w:t>
      </w:r>
      <w:r w:rsidR="0041103C">
        <w:t>be a significant predic</w:t>
      </w:r>
      <w:r w:rsidR="00613C7C">
        <w:t>tor for reduced quality of life due to reduced mobility.</w:t>
      </w:r>
      <w:r w:rsidR="00613C7C">
        <w:fldChar w:fldCharType="begin" w:fldLock="1"/>
      </w:r>
      <w:r w:rsidR="00FD5E5E">
        <w:instrText>ADDIN CSL_CITATION {"citationItems":[{"id":"ITEM-1","itemData":{"DOI":"10.1007/s00198-015-3236-5","ISSN":"0937-941X","author":[{"dropping-particle":"","family":"Trombetti","given":"A.","non-dropping-particle":"","parse-names":false,"suffix":""},{"dropping-particle":"","family":"Reid","given":"K. F.","non-dropping-particle":"","parse-names":false,"suffix":""},{"dropping-particle":"","family":"Hars","given":"M.","non-dropping-particle":"","parse-names":false,"suffix":""},{"dropping-particle":"","family":"Herrmann","given":"F. R.","non-dropping-particle":"","parse-names":false,"suffix":""},{"dropping-particle":"","family":"Pasha","given":"E.","non-dropping-particle":"","parse-names":false,"suffix":""},{"dropping-particle":"","family":"Phillips","given":"E. M.","non-dropping-particle":"","parse-names":false,"suffix":""},{"dropping-particle":"","family":"Fielding","given":"R. A.","non-dropping-particle":"","parse-names":false,"suffix":""}],"container-title":"Osteoporosis International","id":"ITEM-1","issue":"2","issued":{"date-parts":[["2016","2","21"]]},"page":"463-471","title":"Age-associated declines in muscle mass, strength, power, and physical performance: impact on fear of falling and quality of life","type":"article-journal","volume":"27"},"uris":["http://www.mendeley.com/documents/?uuid=2fb2e3d2-c7e1-462b-ade1-2071e2635c85"]}],"mendeley":{"formattedCitation":"&lt;sup&gt;18&lt;/sup&gt;","plainTextFormattedCitation":"18","previouslyFormattedCitation":"&lt;sup&gt;18&lt;/sup&gt;"},"properties":{"noteIndex":0},"schema":"https://github.com/citation-style-language/schema/raw/master/csl-citation.json"}</w:instrText>
      </w:r>
      <w:r w:rsidR="00613C7C">
        <w:fldChar w:fldCharType="separate"/>
      </w:r>
      <w:r w:rsidR="00613C7C" w:rsidRPr="00613C7C">
        <w:rPr>
          <w:noProof/>
          <w:vertAlign w:val="superscript"/>
        </w:rPr>
        <w:t>18</w:t>
      </w:r>
      <w:r w:rsidR="00613C7C">
        <w:fldChar w:fldCharType="end"/>
      </w:r>
    </w:p>
    <w:p w14:paraId="2F8935B3" w14:textId="1E309778" w:rsidR="00F5549A" w:rsidRPr="00F37AF3" w:rsidRDefault="001A3B36" w:rsidP="00205E75">
      <w:r>
        <w:t>There is an ever increasing among of evidence that skeletal muscle decline is associated with mortality, particularly in the elderly.</w:t>
      </w:r>
      <w:r>
        <w:fldChar w:fldCharType="begin" w:fldLock="1"/>
      </w:r>
      <w:r w:rsidR="00FD5E5E">
        <w:instrText>ADDIN CSL_CITATION {"citationItems":[{"id":"ITEM-1","itemData":{"ISSN":"0954-3007","PMID":"11041073","abstract":"After the age of 60 y, body weight on average tends to decrease. The contribution of fat mass to this weight loss is relatively small, but fat tends to be redistributed with advancing age toward more abdominal (particularly visceral) fat. Anthropometric data are relatively poor indicators of these aging processes. This may be one of the explanations why the relationship between high body mass index and mortality is less pronounced in older than in younger people. Reduced lipolysis in the visceral fat depot with aging is among potential explanations why increased visceral fat seems to be less harmful in elderly subjects compared to young adults. Even though the relative contribution of increased fat mass to mortality may be less pronounced in elderly people, the impact on disability and functional limitations is found to be important from both a clinical and a public health point of view. At the other end of the scale studies have shown that low body mass index and weight loss in the elderly are both strong predictors of subsequent mortality. This cannot be explained by effects of smoking and early mortality after baseline. There are only few systematic studies comparing the predictive validity of different anthropometric data for mortality. One recent prospective study showed that a high waist circumference (in nonsmoking men) may be a better predictor of all-cause mortality than high body mass index and waist/hip ratio. Low BMI was a better predictor of mortality than low waist circumference. In conclusion changes in body composition and fat distribution with aging are poorly captured by standard anthropometric data. Low lean body mass is probably better reflected by low BMI, whereas increased (abdominal) fatness is better reflected by increased waist circumference.","author":[{"dropping-particle":"","family":"Seidell","given":"J C","non-dropping-particle":"","parse-names":false,"suffix":""},{"dropping-particle":"","family":"Visscher","given":"T L","non-dropping-particle":"","parse-names":false,"suffix":""}],"container-title":"European journal of clinical nutrition","id":"ITEM-1","issued":{"date-parts":[["2000","6"]]},"page":"S33-9","title":"Body weight and weight change and their health implications for the elderly.","type":"article-journal","volume":"54 Suppl 3"},"uris":["http://www.mendeley.com/documents/?uuid=319a8634-59ad-4cea-afe3-b527627894be"]}],"mendeley":{"formattedCitation":"&lt;sup&gt;19&lt;/sup&gt;","plainTextFormattedCitation":"19","previouslyFormattedCitation":"&lt;sup&gt;19&lt;/sup&gt;"},"properties":{"noteIndex":0},"schema":"https://github.com/citation-style-language/schema/raw/master/csl-citation.json"}</w:instrText>
      </w:r>
      <w:r>
        <w:fldChar w:fldCharType="separate"/>
      </w:r>
      <w:r w:rsidR="00613C7C" w:rsidRPr="00613C7C">
        <w:rPr>
          <w:noProof/>
          <w:vertAlign w:val="superscript"/>
        </w:rPr>
        <w:t>19</w:t>
      </w:r>
      <w:r>
        <w:fldChar w:fldCharType="end"/>
      </w:r>
      <w:r w:rsidR="00F5549A" w:rsidRPr="00F5549A">
        <w:t xml:space="preserve"> </w:t>
      </w:r>
      <w:r w:rsidR="00205E75">
        <w:t xml:space="preserve">Multiple studies have </w:t>
      </w:r>
      <w:r w:rsidR="00994EAA">
        <w:t>found that type 2 diabetic patients experienced greater age-related muscle mass and strength declines than nondiabetic counterparts.</w:t>
      </w:r>
      <w:r w:rsidR="00994EAA">
        <w:fldChar w:fldCharType="begin" w:fldLock="1"/>
      </w:r>
      <w:r w:rsidR="00FD5E5E">
        <w:instrText>ADDIN CSL_CITATION {"citationItems":[{"id":"ITEM-1","itemData":{"DOI":"10.1016/j.jamda.2013.02.006","ISSN":"15258610","author":[{"dropping-particle":"","family":"Leenders","given":"Marika","non-dropping-particle":"","parse-names":false,"suffix":""},{"dropping-particle":"","family":"Verdijk","given":"Lex B.","non-dropping-particle":"","parse-names":false,"suffix":""},{"dropping-particle":"","family":"Hoeven","given":"Letty","non-dropping-particle":"van der","parse-names":false,"suffix":""},{"dropping-particle":"","family":"Adam","given":"Jos J.","non-dropping-particle":"","parse-names":false,"suffix":""},{"dropping-particle":"","family":"Kranenburg","given":"Janneau","non-dropping-particle":"van","parse-names":false,"suffix":""},{"dropping-particle":"","family":"Nilwik","given":"Rachel","non-dropping-particle":"","parse-names":false,"suffix":""},{"dropping-particle":"","family":"Loon","given":"Luc J.C.","non-dropping-particle":"van","parse-names":false,"suffix":""}],"container-title":"Journal of the American Medical Directors Association","id":"ITEM-1","issue":"8","issued":{"date-parts":[["2013","8"]]},"page":"585-592","title":"Patients With Type 2 Diabetes Show a Greater Decline in Muscle Mass, Muscle Strength, and Functional Capacity With Aging","type":"article-journal","volume":"14"},"uris":["http://www.mendeley.com/documents/?uuid=f7407f0a-3d28-46fa-a9b1-08e8e77ad337"]}],"mendeley":{"formattedCitation":"&lt;sup&gt;20&lt;/sup&gt;","plainTextFormattedCitation":"20","previouslyFormattedCitation":"&lt;sup&gt;20&lt;/sup&gt;"},"properties":{"noteIndex":0},"schema":"https://github.com/citation-style-language/schema/raw/master/csl-citation.json"}</w:instrText>
      </w:r>
      <w:r w:rsidR="00994EAA">
        <w:fldChar w:fldCharType="separate"/>
      </w:r>
      <w:r w:rsidR="00613C7C" w:rsidRPr="00613C7C">
        <w:rPr>
          <w:noProof/>
          <w:vertAlign w:val="superscript"/>
        </w:rPr>
        <w:t>20</w:t>
      </w:r>
      <w:r w:rsidR="00994EAA">
        <w:fldChar w:fldCharType="end"/>
      </w:r>
      <w:r w:rsidR="00205E75" w:rsidRPr="00205E75">
        <w:rPr>
          <w:vertAlign w:val="superscript"/>
        </w:rPr>
        <w:t>,</w:t>
      </w:r>
      <w:r w:rsidR="00205E75">
        <w:fldChar w:fldCharType="begin" w:fldLock="1"/>
      </w:r>
      <w:r w:rsidR="00FD5E5E">
        <w:instrText>ADDIN CSL_CITATION {"citationItems":[{"id":"ITEM-1","itemData":{"DOI":"10.1002/jcsm.12238","ISSN":"21906009","PMID":"29151281","abstract":"The world population is ageing rapidly. As society ages, the incidence of physical limitations is dramatically increasing, which reduces the quality of life and increases healthcare expenditures. In western society, ~30% of the population over 55 years is confronted with moderate or severe physical limitations. These physical limitations increase the risk of falls, institutionalization, co-morbidity, and premature death. An important cause of physical limitations is the age-related loss of skeletal muscle mass, also referred to as sarcopenia. Emerging evidence, however, clearly shows that the decline in skeletal muscle mass is not the sole contributor to the decline in physical performance. For instance, the loss of muscle strength is also a strong contributor to reduced physical performance in the elderly. In addition, there is ample data to suggest that motor coordination, excitation-contraction coupling, skeletal integrity, and other factors related to the nervous, muscular, and skeletal systems are critically important for physical performance in the elderly. To better understand the loss of skeletal muscle performance with ageing, we aim to provide a broad overview on the underlying mechanisms associated with elderly skeletal muscle performance. We start with a system level discussion and continue with a discussion on the influence of lifestyle, biological, and psychosocial factors on elderly skeletal muscle performance. Developing a broad understanding of the many factors affecting elderly skeletal muscle performance has major implications for scientists, clinicians, and health professionals who are developing therapeutic interventions aiming to enhance muscle function and/or prevent mobility and physical limitations and, as such, support healthy ageing.","author":[{"dropping-particle":"","family":"Tieland","given":"Michael","non-dropping-particle":"","parse-names":false,"suffix":""},{"dropping-particle":"","family":"Trouwborst","given":"Inez","non-dropping-particle":"","parse-names":false,"suffix":""},{"dropping-particle":"","family":"Clark","given":"Brian C.","non-dropping-particle":"","parse-names":false,"suffix":""}],"container-title":"Journal of Cachexia, Sarcopenia and Muscle","id":"ITEM-1","issue":"1","issued":{"date-parts":[["2018"]]},"page":"3-19","title":"Skeletal muscle performance and ageing","type":"article","volume":"9"},"uris":["http://www.mendeley.com/documents/?uuid=79d55d08-d83a-30db-8d26-76ee3179c79d"]}],"mendeley":{"formattedCitation":"&lt;sup&gt;21&lt;/sup&gt;","plainTextFormattedCitation":"21","previouslyFormattedCitation":"&lt;sup&gt;21&lt;/sup&gt;"},"properties":{"noteIndex":0},"schema":"https://github.com/citation-style-language/schema/raw/master/csl-citation.json"}</w:instrText>
      </w:r>
      <w:r w:rsidR="00205E75">
        <w:fldChar w:fldCharType="separate"/>
      </w:r>
      <w:r w:rsidR="00613C7C" w:rsidRPr="00613C7C">
        <w:rPr>
          <w:noProof/>
          <w:vertAlign w:val="superscript"/>
        </w:rPr>
        <w:t>21</w:t>
      </w:r>
      <w:r w:rsidR="00205E75">
        <w:fldChar w:fldCharType="end"/>
      </w:r>
      <w:r w:rsidR="00994EAA">
        <w:t xml:space="preserve"> </w:t>
      </w:r>
      <w:r w:rsidR="009E210F">
        <w:t xml:space="preserve"> </w:t>
      </w:r>
      <w:r w:rsidR="004112E5">
        <w:t>Others have found that as strength and muscle mass decline, risk for insulin resistance and prediabetes increases.</w:t>
      </w:r>
      <w:r w:rsidR="004112E5">
        <w:fldChar w:fldCharType="begin" w:fldLock="1"/>
      </w:r>
      <w:r w:rsidR="00FD5E5E">
        <w:instrText>ADDIN CSL_CITATION {"citationItems":[{"id":"ITEM-1","itemData":{"DOI":"10.1016/j.metabol.2009.02.027","ISSN":"00260495","author":[{"dropping-particle":"","family":"Atlantis","given":"Evan","non-dropping-particle":"","parse-names":false,"suffix":""},{"dropping-particle":"","family":"Martin","given":"Sean A.","non-dropping-particle":"","parse-names":false,"suffix":""},{"dropping-particle":"","family":"Haren","given":"Matthew T.","non-dropping-particle":"","parse-names":false,"suffix":""},{"dropping-particle":"","family":"Taylor","given":"Anne W.","non-dropping-particle":"","parse-names":false,"suffix":""},{"dropping-particle":"","family":"Wittert","given":"Gary A.","non-dropping-particle":"","parse-names":false,"suffix":""}],"container-title":"Metabolism","id":"ITEM-1","issue":"7","issued":{"date-parts":[["2009","7"]]},"page":"1013-1022","title":"Inverse associations between muscle mass, strength, and the metabolic syndrome","type":"article-journal","volume":"58"},"uris":["http://www.mendeley.com/documents/?uuid=639145db-91ff-4f78-9652-f0c3fbed4c9d"]},{"id":"ITEM-2","itemData":{"DOI":"10.1210/jc.2011-0435","ISSN":"0021-972X","author":[{"dropping-particle":"","family":"Srikanthan","given":"Preethi","non-dropping-particle":"","parse-names":false,"suffix":""},{"dropping-particle":"","family":"Karlamangla","given":"Arun S.","non-dropping-particle":"","parse-names":false,"suffix":""}],"container-title":"The Journal of Clinical Endocrinology &amp; Metabolism","id":"ITEM-2","issue":"9","issued":{"date-parts":[["2011","9"]]},"page":"2898-2903","title":"Relative Muscle Mass Is Inversely Associated with Insulin Resistance and Prediabetes. Findings from The Third National Health and Nutrition Examination Survey","type":"article-journal","volume":"96"},"uris":["http://www.mendeley.com/documents/?uuid=7d490259-336b-439d-ab90-502ffba8a302"]}],"mendeley":{"formattedCitation":"&lt;sup&gt;22,23&lt;/sup&gt;","plainTextFormattedCitation":"22,23","previouslyFormattedCitation":"&lt;sup&gt;22,23&lt;/sup&gt;"},"properties":{"noteIndex":0},"schema":"https://github.com/citation-style-language/schema/raw/master/csl-citation.json"}</w:instrText>
      </w:r>
      <w:r w:rsidR="004112E5">
        <w:fldChar w:fldCharType="separate"/>
      </w:r>
      <w:r w:rsidR="00613C7C" w:rsidRPr="00613C7C">
        <w:rPr>
          <w:noProof/>
          <w:vertAlign w:val="superscript"/>
        </w:rPr>
        <w:t>22,23</w:t>
      </w:r>
      <w:r w:rsidR="004112E5">
        <w:fldChar w:fldCharType="end"/>
      </w:r>
      <w:r w:rsidR="004112E5">
        <w:t xml:space="preserve"> </w:t>
      </w:r>
      <w:r w:rsidR="00205E75">
        <w:t>There is a growing body of evidence linking poor muscle quality with metabolic disorders, such as type 2 diabetes.</w:t>
      </w:r>
      <w:r w:rsidR="00205E75">
        <w:fldChar w:fldCharType="begin" w:fldLock="1"/>
      </w:r>
      <w:r w:rsidR="00FD5E5E">
        <w:instrText>ADDIN CSL_CITATION {"citationItems":[{"id":"ITEM-1","itemData":{"DOI":"10.1097/MCO.0b013e328337d826","ISBN":"1473-6519 (Electronic)\\r1363-1950 (Linking)","ISSN":"13631950","PMID":"20179586","abstract":"PURPOSE OF REVIEW: To summarize the epidemiology of myosteatosis and its association with diabetes. RECENT FINDINGS: The role of myosteatosis (fat infiltration in skeletal muscle) in diabetes has received considerable attention. There is reasonably consistent evidence that myosteatosis contributes to glucose and insulin abnormalities and diabetes, possibly even independent of overall obesity. Novel hypotheses that link myosteatosis with insulin resistance and type 2 diabetes have also recently been proposed. These hypotheses suggest that impaired secretion of adipokines, modulation of nutritive blood flow to skeletal muscle, or both may be of importance for the development of myosteatosis. Recent longitudinal data also suggest that myosteatosis increases with aging, regardless of changes in body weight. SUMMARY: Further studies are needed to identify the specific physiological mechanisms that influence myosteatosis, and the mechanisms that link this fat depot with insulin resistance. Longitudinal studies are also needed to evaluate the remodeling of skeletal muscle fat with aging, across a wider age spectrum, and across different populations, especially those at high risk of developing diabetes. There is also a need to evaluate whether myosteatosis influences the incidence of type 2 diabetes independent of overall adiposity. A better understanding of the factors that regulate myosteatosis may lead to the development of novel therapies that influence a more metabolically 'healthy' skeletal muscle.","author":[{"dropping-particle":"","family":"Miljkovic","given":"Iva","non-dropping-particle":"","parse-names":false,"suffix":""},{"dropping-particle":"","family":"Zmuda","given":"Joseph M.","non-dropping-particle":"","parse-names":false,"suffix":""}],"container-title":"Current Opinion in Clinical Nutrition and Metabolic Care","id":"ITEM-1","issue":"3","issued":{"date-parts":[["2010"]]},"note":"r03 31","page":"260-264","title":"Epidemiology of myosteatosis","type":"article","volume":"13"},"uris":["http://www.mendeley.com/documents/?uuid=625b0aea-ada0-3970-8281-356b5b5a9a8d"]}],"mendeley":{"formattedCitation":"&lt;sup&gt;24&lt;/sup&gt;","plainTextFormattedCitation":"24","previouslyFormattedCitation":"&lt;sup&gt;24&lt;/sup&gt;"},"properties":{"noteIndex":0},"schema":"https://github.com/citation-style-language/schema/raw/master/csl-citation.json"}</w:instrText>
      </w:r>
      <w:r w:rsidR="00205E75">
        <w:fldChar w:fldCharType="separate"/>
      </w:r>
      <w:r w:rsidR="00613C7C" w:rsidRPr="00613C7C">
        <w:rPr>
          <w:noProof/>
          <w:vertAlign w:val="superscript"/>
        </w:rPr>
        <w:t>24</w:t>
      </w:r>
      <w:r w:rsidR="00205E75">
        <w:fldChar w:fldCharType="end"/>
      </w:r>
      <w:r w:rsidR="00205E75">
        <w:t xml:space="preserve"> In men without diabetes, muscle fat infiltration (myosteatosis) is associated with insulin resistance and excess insulin in the blood (hyperinsulinemia).</w:t>
      </w:r>
      <w:r w:rsidR="00205E75">
        <w:fldChar w:fldCharType="begin" w:fldLock="1"/>
      </w:r>
      <w:r w:rsidR="00FD5E5E">
        <w:instrText>ADDIN CSL_CITATION {"citationItems":[{"id":"ITEM-1","itemData":{"DOI":"10.1002/oby.20346","ISBN":"1930-739X (Electronic) 1930-7381 (Linking)","ISSN":"19307381","PMID":"23408772","abstract":"OBJECTIVE: Skeletal muscle adipose tissue (AT) infiltration (myosteatosis) increases with aging and may contribute to the development of Type 2 diabetes mellitus (T2DM). It remains unclear if myosteatosis is associated to glucose and insulin homeostasis independent of total and central adiposity.\\n\\nDESIGN AND METHODS: The association between intermuscular AT (IMAT) in the abdominal skeletal muscles (total, paraspinal, and psoas) and fasting serum glucose, insulin, and homeostasis model assessment of insulin resistance (HOMA-IR) in 393 nondiabetic Caucasian men aged 65+ was evaluated. Abdominal IMAT, visceral AT (VAT), and subcutaneous AT (SAT) (cm(3) ) were measured by quantitative computed tomography at the L4-L5 intervertebral space.\\n\\nRESULTS: In age, study site, height, and muscle volume adjusted regression analyses, total abdominal and psoas (but not paraspinal) IMAT were positively associated with glucose, insulin, and HOMA-IR (all P &lt; 0.003). The associations between total abdominal and psoas IMAT and insulin and HOMA-IR remained significant after further adjusting for lifestyle factors, as well as duel-energy x-ray absorptiometry (DXA) measured total body fat, VAT, or SAT in separate models (all P &lt; 0.009).\\n\\nCONCLUSIONS: A previously unreported, independent association between abdominal myosteatosis and hyperinsulinemia and insulin resistance among older Caucasian men was indicated. These associations may be specific for particular abdominal muscle depots, illustrating the potential importance of separately studying specific muscle groups.","author":[{"dropping-particle":"","family":"Miljkovic","given":"Iva","non-dropping-particle":"","parse-names":false,"suffix":""},{"dropping-particle":"","family":"Cauley","given":"Jane A.","non-dropping-particle":"","parse-names":false,"suffix":""},{"dropping-particle":"","family":"Wang","given":"Patty Y.","non-dropping-particle":"","parse-names":false,"suffix":""},{"dropping-particle":"","family":"Holton","given":"Kathleen F.","non-dropping-particle":"","parse-names":false,"suffix":""},{"dropping-particle":"","family":"Lee","given":"Christine G.","non-dropping-particle":"","parse-names":false,"suffix":""},{"dropping-particle":"","family":"Sheu","given":"Yahtyng","non-dropping-particle":"","parse-names":false,"suffix":""},{"dropping-particle":"","family":"Barrett-Connor","given":"Elizabeth","non-dropping-particle":"","parse-names":false,"suffix":""},{"dropping-particle":"","family":"Hoffman","given":"Andrew R.","non-dropping-particle":"","parse-names":false,"suffix":""},{"dropping-particle":"","family":"Lewis","given":"Cora B.","non-dropping-particle":"","parse-names":false,"suffix":""},{"dropping-particle":"","family":"Orwoll","given":"Eric S.","non-dropping-particle":"","parse-names":false,"suffix":""},{"dropping-particle":"","family":"Stefanick","given":"Marcia L.","non-dropping-particle":"","parse-names":false,"suffix":""},{"dropping-particle":"","family":"Strotmeyer","given":"Elsa S.","non-dropping-particle":"","parse-names":false,"suffix":""},{"dropping-particle":"","family":"Marshall","given":"Lynn M.","non-dropping-particle":"","parse-names":false,"suffix":""}],"container-title":"Obesity","id":"ITEM-1","issued":{"date-parts":[["2013"]]},"note":"ro3 #9\n\nweakness predicts mortality","title":"Abdominal myosteatosis is independently associated with hyperinsulinemia and insulin resistance among older men without diabetes","type":"article-journal"},"uris":["http://www.mendeley.com/documents/?uuid=7aab4e0a-f209-3846-b7a0-7972f31459f5"]}],"mendeley":{"formattedCitation":"&lt;sup&gt;25&lt;/sup&gt;","plainTextFormattedCitation":"25","previouslyFormattedCitation":"&lt;sup&gt;25&lt;/sup&gt;"},"properties":{"noteIndex":0},"schema":"https://github.com/citation-style-language/schema/raw/master/csl-citation.json"}</w:instrText>
      </w:r>
      <w:r w:rsidR="00205E75">
        <w:fldChar w:fldCharType="separate"/>
      </w:r>
      <w:r w:rsidR="00613C7C" w:rsidRPr="00613C7C">
        <w:rPr>
          <w:noProof/>
          <w:vertAlign w:val="superscript"/>
        </w:rPr>
        <w:t>25</w:t>
      </w:r>
      <w:r w:rsidR="00205E75">
        <w:fldChar w:fldCharType="end"/>
      </w:r>
      <w:r w:rsidR="00205E75">
        <w:t xml:space="preserve"> </w:t>
      </w:r>
      <w:r w:rsidR="00176312">
        <w:t>As lean muscle is a major site of glucose storage and disposal, it makes sense that lean muscle may interact with the pancreas and regulate insulin secretion.</w:t>
      </w:r>
      <w:r w:rsidR="00176312">
        <w:fldChar w:fldCharType="begin" w:fldLock="1"/>
      </w:r>
      <w:r w:rsidR="00FD5E5E">
        <w:instrText>ADDIN CSL_CITATION {"citationItems":[{"id":"ITEM-1","itemData":{"DOI":"10.1111/obr.12166","ISSN":"14677881","author":[{"dropping-particle":"","family":"Mizgier","given":"M. L.","non-dropping-particle":"","parse-names":false,"suffix":""},{"dropping-particle":"","family":"Casas","given":"M.","non-dropping-particle":"","parse-names":false,"suffix":""},{"dropping-particle":"","family":"Contreras-Ferrat","given":"A.","non-dropping-particle":"","parse-names":false,"suffix":""},{"dropping-particle":"","family":"Llanos","given":"P.","non-dropping-particle":"","parse-names":false,"suffix":""},{"dropping-particle":"","family":"Galgani","given":"J. E.","non-dropping-particle":"","parse-names":false,"suffix":""}],"container-title":"Obesity Reviews","id":"ITEM-1","issue":"7","issued":{"date-parts":[["2014","7"]]},"note":"myokines-come back to this!!!!!","page":"587-597","title":"Potential role of skeletal muscle glucose metabolism on the regulation of insulin secretion","type":"article-journal","volume":"15"},"uris":["http://www.mendeley.com/documents/?uuid=7c188f02-2edd-45fe-9530-fde4be9174fb"]}],"mendeley":{"formattedCitation":"&lt;sup&gt;26&lt;/sup&gt;","plainTextFormattedCitation":"26","previouslyFormattedCitation":"&lt;sup&gt;26&lt;/sup&gt;"},"properties":{"noteIndex":0},"schema":"https://github.com/citation-style-language/schema/raw/master/csl-citation.json"}</w:instrText>
      </w:r>
      <w:r w:rsidR="00176312">
        <w:fldChar w:fldCharType="separate"/>
      </w:r>
      <w:r w:rsidR="00613C7C" w:rsidRPr="00613C7C">
        <w:rPr>
          <w:noProof/>
          <w:vertAlign w:val="superscript"/>
        </w:rPr>
        <w:t>26</w:t>
      </w:r>
      <w:r w:rsidR="00176312">
        <w:fldChar w:fldCharType="end"/>
      </w:r>
      <w:r w:rsidR="00176312">
        <w:t xml:space="preserve"> </w:t>
      </w:r>
    </w:p>
    <w:p w14:paraId="0566656E" w14:textId="77777777" w:rsidR="00F5549A" w:rsidRPr="00F5549A" w:rsidRDefault="00F5549A" w:rsidP="00F5549A">
      <w:pPr>
        <w:spacing w:line="240" w:lineRule="auto"/>
        <w:ind w:firstLine="0"/>
      </w:pPr>
    </w:p>
    <w:p w14:paraId="245DB633" w14:textId="20AA5540" w:rsidR="00A6505A" w:rsidRDefault="00A6505A" w:rsidP="00A6505A">
      <w:r>
        <w:t>Changes to muscle quality can include myosteatosis, or infiltrat</w:t>
      </w:r>
      <w:r w:rsidR="00612EE5">
        <w:t xml:space="preserve">ion of the muscle tissue by fat, which may be responsible for the negative outcomes seen with aging. </w:t>
      </w:r>
      <w:r>
        <w:t xml:space="preserve"> A recent study found a significant association between skeletal muscle density and all-cause mortality as well as cardiovascular mortality.</w:t>
      </w:r>
      <w:r>
        <w:fldChar w:fldCharType="begin" w:fldLock="1"/>
      </w:r>
      <w:r w:rsidR="00FD5E5E">
        <w:instrText>ADDIN CSL_CITATION {"citationItems":[{"id":"ITEM-1","itemData":{"DOI":"10.1093/gerona/glv027","ISBN":"1758-535X (Electronic)\r1079-5006 (Linking)","ISSN":"1079-5006","PMID":"25838547","abstract":"BACKGROUND: Skeletal muscle fat infiltration (myosteatosis) increases with aging, and has been associated with poor metabolic and musculoskeletal health, independent of overall adiposity. Studies examining the relationship of myosteatosis and mortality among older individuals recruited without regard to their health status are sparse. METHODS: We evaluated the association of peripheral computed tomography measured calf myosteatosis (intermuscular fat and muscle density as a measure of intramuscular fat) with mortality in 1,063 community-dwelling older men. Cox proportional hazards models were used to estimate the risk of mortality independent of potential confounders. RESULTS: During a mean follow-up of 7.2 years, 317 participants died. After adjustment for potential covariates and additional adjustment for whole body fat, lower skeletal muscle density was associated with increased all-cause mortality and cardiovascular disease mortality (hazard ratio [95% confidence interval] per standard deviation lower skeletal muscle density: 1.24 [1.09-1.41] and 1.46 [1.15-1.86], respectively), and to some extent with noncardiovascular disease mortality (1.18 [1.0-1.38], p = .053). After adjusting for trunk fat in a separate multivariable model, the association between skeletal muscle density and all-cause and cardiovascular disease mortality remained significant (both p &lt; .01), while its association with noncardiovascular disease mortality became of borderline significance (p = .085). No other measures of adiposity, including calf intermuscular fat, were associated with mortality. CONCLUSION: Our study reveals an independent association between skeletal muscle density and mortality in a community-based sample of older, predominantly Caucasian men. Further studies are needed to establish if this association is independent of other ectopic fat depots, and to identify the biological mechanisms underlying this relationship.","author":[{"dropping-particle":"","family":"Miljkovic","given":"Iva","non-dropping-particle":"","parse-names":false,"suffix":""},{"dropping-particle":"","family":"Kuipers","given":"Allison L.","non-dropping-particle":"","parse-names":false,"suffix":""},{"dropping-particle":"","family":"Cauley","given":"Jane A.","non-dropping-particle":"","parse-names":false,"suffix":""},{"dropping-particle":"","family":"Prasad","given":"Tanushree","non-dropping-particle":"","parse-names":false,"suffix":""},{"dropping-particle":"","family":"Lee","given":"Christine G.","non-dropping-particle":"","parse-names":false,"suffix":""},{"dropping-particle":"","family":"Ensrud","given":"Kristine E.","non-dropping-particle":"","parse-names":false,"suffix":""},{"dropping-particle":"","family":"Cawthon","given":"Peggy M.","non-dropping-particle":"","parse-names":false,"suffix":""},{"dropping-particle":"","family":"Hoffman","given":"Andrew R.","non-dropping-particle":"","parse-names":false,"suffix":""},{"dropping-particle":"","family":"Dam","given":"Thuy-Tien","non-dropping-particle":"","parse-names":false,"suffix":""},{"dropping-particle":"","family":"Gordon","given":"Christopher L.","non-dropping-particle":"","parse-names":false,"suffix":""},{"dropping-particle":"","family":"Zmuda","given":"Joseph M.","non-dropping-particle":"","parse-names":false,"suffix":""}],"container-title":"The Journals of Gerontology Series A: Biological Sciences and Medical Sciences","id":"ITEM-1","issue":"9","issued":{"date-parts":[["2015"]]},"note":"r03 #10","page":"1133-1140","title":"Greater Skeletal Muscle Fat Infiltration Is Associated With Higher All-Cause and Cardiovascular Mortality in Older Men","type":"article-journal","volume":"70"},"uris":["http://www.mendeley.com/documents/?uuid=16ec5532-87be-4a4f-9a67-8523d921a3b4"]}],"mendeley":{"formattedCitation":"&lt;sup&gt;27&lt;/sup&gt;","plainTextFormattedCitation":"27","previouslyFormattedCitation":"&lt;sup&gt;27&lt;/sup&gt;"},"properties":{"noteIndex":0},"schema":"https://github.com/citation-style-language/schema/raw/master/csl-citation.json"}</w:instrText>
      </w:r>
      <w:r>
        <w:fldChar w:fldCharType="separate"/>
      </w:r>
      <w:r w:rsidR="00613C7C" w:rsidRPr="00613C7C">
        <w:rPr>
          <w:noProof/>
          <w:vertAlign w:val="superscript"/>
        </w:rPr>
        <w:t>27</w:t>
      </w:r>
      <w:r>
        <w:fldChar w:fldCharType="end"/>
      </w:r>
      <w:r>
        <w:t xml:space="preserve"> A second study in men of African ancestry supports this, finding that all-cause mortality was significantly associated with greater intramuscular fat and lower muscular density, markers of myosteatosis.</w:t>
      </w:r>
      <w:r>
        <w:fldChar w:fldCharType="begin" w:fldLock="1"/>
      </w:r>
      <w:r w:rsidR="00FD5E5E">
        <w:instrText>ADDIN CSL_CITATION {"citationItems":[{"id":"ITEM-1","itemData":{"DOI":"10.1093/ageing/afw062","ISBN":"1468-2834 (Electronic)\r0002-0729 (Linking)","ISSN":"14682834","PMID":"27076522","abstract":"BACKGROUND: fat infiltration within and around skeletal muscle (i.e. myosteatosis) increases with ageing, is greater in African versus European ancestry men and is associated with poor health. Myosteatosis studies of mortality are lacking, particularly among African ancestry populations.\\n\\nMETHODS: in the Tobago Health study, a prospective longitudinal study, we evaluated the association of all-cause mortality with quantitative computed tomography (QCT) measured lower leg myosteatosis (intermuscular fat (IM fat) and muscle density) in 1,652 African ancestry men using Cox proportional hazards models. Date of death was abstracted from death certificates and/or proxy.\\n\\nRESULTS: one hundred and twelve deaths occurred during follow-up (mean 5.9 years). In all men (age range 40-91 years), higher all-cause mortality was associated with greater IM fat (HR (95% CI) per SD: 1.29 (1.06-1.57)) and lower muscle density (HR (95% CI) per SD lower: 1.37 (1.08-1.75)) in fully adjusted models. Similar mortality hazard rates were seen in the subset of elderly men (aged ≥65 years) with greater IM fat (1.40 (1.11-1.78) or lower muscle density (1.66 (1.24-2.21)) in fully adjusted models.\\n\\nCONCLUSIONS: our study identified a novel, independent association between myosteatosis and all-cause mortality in African ancestry men. Further studies are needed to establish whether this association is independent of other ectopic fat depots and to identify possible biological mechanisms underlying this relationship.","author":[{"dropping-particle":"","family":"Zhao","given":"Qian","non-dropping-particle":"","parse-names":false,"suffix":""},{"dropping-particle":"","family":"Zmuda","given":"Joseph M.","non-dropping-particle":"","parse-names":false,"suffix":""},{"dropping-particle":"","family":"Kuipers","given":"Allison L.","non-dropping-particle":"","parse-names":false,"suffix":""},{"dropping-particle":"","family":"Jonnalagadda","given":"Pallavi","non-dropping-particle":"","parse-names":false,"suffix":""},{"dropping-particle":"","family":"Bunker","given":"Clareann H.","non-dropping-particle":"","parse-names":false,"suffix":""},{"dropping-particle":"","family":"Patrick","given":"Alan L.","non-dropping-particle":"","parse-names":false,"suffix":""},{"dropping-particle":"","family":"Youk","given":"Ada O.","non-dropping-particle":"","parse-names":false,"suffix":""},{"dropping-particle":"","family":"Miljkovic","given":"Iva","non-dropping-particle":"","parse-names":false,"suffix":""}],"container-title":"Age and Ageing","id":"ITEM-1","issued":{"date-parts":[["2016"]]},"note":"ro3 #8\n\nweakness predicts mortality","title":"Greater skeletal muscle fat infiltration is associated with higher all-cause mortality among men of African ancestry","type":"article-journal"},"uris":["http://www.mendeley.com/documents/?uuid=5a11245b-9b4a-3fe0-9458-0a2a704ae793"]}],"mendeley":{"formattedCitation":"&lt;sup&gt;28&lt;/sup&gt;","plainTextFormattedCitation":"28","previouslyFormattedCitation":"&lt;sup&gt;28&lt;/sup&gt;"},"properties":{"noteIndex":0},"schema":"https://github.com/citation-style-language/schema/raw/master/csl-citation.json"}</w:instrText>
      </w:r>
      <w:r>
        <w:fldChar w:fldCharType="separate"/>
      </w:r>
      <w:r w:rsidR="00613C7C" w:rsidRPr="00613C7C">
        <w:rPr>
          <w:noProof/>
          <w:vertAlign w:val="superscript"/>
        </w:rPr>
        <w:t>28</w:t>
      </w:r>
      <w:r>
        <w:fldChar w:fldCharType="end"/>
      </w:r>
      <w:r>
        <w:t xml:space="preserve"> </w:t>
      </w:r>
    </w:p>
    <w:p w14:paraId="4C47DF35" w14:textId="4CBF248F" w:rsidR="00B917F0" w:rsidRDefault="00DC2194" w:rsidP="00DC2194">
      <w:r>
        <w:t xml:space="preserve"> </w:t>
      </w:r>
      <w:r w:rsidR="006A666B">
        <w:t xml:space="preserve">The overall mechanism between </w:t>
      </w:r>
      <w:r w:rsidR="00DA3A55">
        <w:t>these associations is not well characterized</w:t>
      </w:r>
      <w:r w:rsidR="006A666B">
        <w:t>. However, it has been shown that myosteatosis leads to activation of proteolytic systems, increasing inflammation and lipolysis, and decreasing myokine secretion and blood flow, leading to metabolic changes.</w:t>
      </w:r>
      <w:r w:rsidR="002013DB">
        <w:fldChar w:fldCharType="begin" w:fldLock="1"/>
      </w:r>
      <w:r w:rsidR="00FD5E5E">
        <w:instrText>ADDIN CSL_CITATION {"citationItems":[{"id":"ITEM-1","itemData":{"DOI":"10.3389/fphys.2017.00087","ISBN":"1664-042X (Print) 1664-042X (Linking)","ISSN":"1664042X","PMID":"28261109","abstract":"A growing body of scientific literature suggests that not only changes in skeletal muscle mass, but also other factors underpinning muscle quality, play a role in the decline in skeletal muscle function and impaired mobility associated with aging. A symposium on muscle quality and the need for standardized assessment was held on April 28, 2016 at the International Conference on Frailty &amp; Sarcopenia Research in Philadelphia, Pennsylvania. The purpose of this symposium was to provide a venue for basic science and clinical researchers and expert clinicians to discuss muscle quality in the context of skeletal muscle function deficit and other aging-related muscle dysfunctions. The present article provides an expanded introduction concerning the emerging definitions of muscle quality and a potential framework for scientific inquiry within the field. Changes in muscle tissue composition, based on excessive levels of inter- and intramuscular adipose tissue and intramyocellular lipids, have been found to adversely impact metabolism and peak force generation. However, methods to easily and rapidly assess muscle tissue composition in multiple clinical settings and with minimal patient burden are needed. Diagnostic ultrasound and other assessment methods continue to be developed for characterizing muscle pathology, and enhanced sonography using sensors to provide user feedback and improve reliability is currently the subject of ongoing investigation and development. In addition, measures of relative muscle force such as specific force or grip strength adjusted for body size have been proposed as methods to assess changes in muscle quality. Furthermore, performance-based assessments of muscle power via timed tests of function and body size estimates, are associated with lower extremity muscle strength may be responsive to age-related changes in muscle quality. Future aims include reaching consensus on the definition and standardized assessments of muscle quality, and providing recommendations to address critical clinical and technology research gaps within the field.","author":[{"dropping-particle":"","family":"Correa-de-Araujo","given":"Rosaly","non-dropping-particle":"","parse-names":false,"suffix":""},{"dropping-particle":"","family":"Harris-Love","given":"Michael O.","non-dropping-particle":"","parse-names":false,"suffix":""},{"dropping-particle":"","family":"Miljkovic","given":"Iva","non-dropping-particle":"","parse-names":false,"suffix":""},{"dropping-particle":"","family":"Fragala","given":"Maren S.","non-dropping-particle":"","parse-names":false,"suffix":""},{"dropping-particle":"","family":"Anthony","given":"Brian W.","non-dropping-particle":"","parse-names":false,"suffix":""},{"dropping-particle":"","family":"Manini","given":"Todd M.","non-dropping-particle":"","parse-names":false,"suffix":""}],"container-title":"Frontiers in Physiology","id":"ITEM-1","issue":"FEB","issued":{"date-parts":[["2017"]]},"note":"ro3 #29","page":"1-19","title":"The Need for Standardized Assessment of Muscle Quality in Skeletal Muscle Function Deficit and Other Aging-Related Muscle Dysfunctions: A Symposium Report","type":"article-journal","volume":"8"},"uris":["http://www.mendeley.com/documents/?uuid=b303f824-3d25-42a6-b820-50ad78dc2f1d"]}],"mendeley":{"formattedCitation":"&lt;sup&gt;29&lt;/sup&gt;","plainTextFormattedCitation":"29","previouslyFormattedCitation":"&lt;sup&gt;29&lt;/sup&gt;"},"properties":{"noteIndex":0},"schema":"https://github.com/citation-style-language/schema/raw/master/csl-citation.json"}</w:instrText>
      </w:r>
      <w:r w:rsidR="002013DB">
        <w:fldChar w:fldCharType="separate"/>
      </w:r>
      <w:r w:rsidR="00613C7C" w:rsidRPr="00613C7C">
        <w:rPr>
          <w:noProof/>
          <w:vertAlign w:val="superscript"/>
        </w:rPr>
        <w:t>29</w:t>
      </w:r>
      <w:r w:rsidR="002013DB">
        <w:fldChar w:fldCharType="end"/>
      </w:r>
      <w:r w:rsidR="002013DB">
        <w:t xml:space="preserve"> </w:t>
      </w:r>
      <w:r w:rsidR="006A666B">
        <w:t>Recent work has show</w:t>
      </w:r>
      <w:r w:rsidR="00EF3BB0">
        <w:t>n</w:t>
      </w:r>
      <w:r w:rsidR="006A666B">
        <w:t xml:space="preserve"> that </w:t>
      </w:r>
      <w:r w:rsidR="006A666B" w:rsidRPr="00240049">
        <w:rPr>
          <w:i/>
        </w:rPr>
        <w:t>in-utero</w:t>
      </w:r>
      <w:r w:rsidR="006A666B">
        <w:t xml:space="preserve"> arsenic exposure affects gene expression, including proinflammatory cytokine TNF-α.</w:t>
      </w:r>
      <w:r w:rsidR="006A666B">
        <w:fldChar w:fldCharType="begin" w:fldLock="1"/>
      </w:r>
      <w:r w:rsidR="00FD5E5E">
        <w:instrText>ADDIN CSL_CITATION {"citationItems":[{"id":"ITEM-1","itemData":{"DOI":"10.1371/journal.pgen.0030207","ISBN":"1553-7404","ISSN":"15537390","PMID":"18039032","abstract":"The long-term health outcome of prenatal exposure to arsenic has been associated with increased mortality in human populations. In this study, the extent to which maternal arsenic exposure impacts gene expression in the newborn was addressed. We monitored gene expression profiles in a population of newborns whose mothers experienced varying levels of arsenic exposure during pregnancy. Through the application of machine learning-based two-class prediction algorithms, we identified expression signatures from babies born to arsenic-unexposed and -exposed mothers that were highly predictive of prenatal arsenic exposure in a subsequent test population. Furthermore, 11 transcripts were identified that captured the maximal predictive capacity to classify prenatal arsenic exposure. Network analysis of the arsenic-modulated transcripts identified the activation of extensive molecular networks that are indicative of stress, inflammation, metal exposure, and apoptosis in the newborn. Exposure to arsenic is an important health hazard both in the United States and around the world, and is associated with increased risk for several types of cancer and other chronic diseases. These studies clearly demonstrate the robust impact of a mother's arsenic consumption on fetal gene expression as evidenced by transcript levels in newborn cord blood.","author":[{"dropping-particle":"","family":"Fry","given":"Rebecca C.","non-dropping-particle":"","parse-names":false,"suffix":""},{"dropping-particle":"","family":"Navasumrit","given":"Panida","non-dropping-particle":"","parse-names":false,"suffix":""},{"dropping-particle":"","family":"Valiathan","given":"Chandni","non-dropping-particle":"","parse-names":false,"suffix":""},{"dropping-particle":"","family":"Svensson","given":"J. Peter","non-dropping-particle":"","parse-names":false,"suffix":""},{"dropping-particle":"","family":"Hogan","given":"Bradley J.","non-dropping-particle":"","parse-names":false,"suffix":""},{"dropping-particle":"","family":"Luo","given":"Manlin","non-dropping-particle":"","parse-names":false,"suffix":""},{"dropping-particle":"","family":"Bhattacharya","given":"Sanchita","non-dropping-particle":"","parse-names":false,"suffix":""},{"dropping-particle":"","family":"Kandjanapa","given":"Krittinee","non-dropping-particle":"","parse-names":false,"suffix":""},{"dropping-particle":"","family":"Soontararuks","given":"Sumitra","non-dropping-particle":"","parse-names":false,"suffix":""},{"dropping-particle":"","family":"Nookabkaew","given":"Sumontha","non-dropping-particle":"","parse-names":false,"suffix":""},{"dropping-particle":"","family":"Mahidol","given":"Chulabhorn","non-dropping-particle":"","parse-names":false,"suffix":""},{"dropping-particle":"","family":"Ruchirawat","given":"Mathuros","non-dropping-particle":"","parse-names":false,"suffix":""},{"dropping-particle":"","family":"Samson","given":"Leona D.","non-dropping-particle":"","parse-names":false,"suffix":""}],"container-title":"PLoS Genetics","id":"ITEM-1","issue":"11","issued":{"date-parts":[["2007"]]},"page":"2180-2189","title":"Activation of inflammation/NF-κB signaling in infants born to arsenic-exposed mothers","type":"article-journal","volume":"3"},"uris":["http://www.mendeley.com/documents/?uuid=be784cc8-8e3e-3bfd-af24-ee868f44c125"]}],"mendeley":{"formattedCitation":"&lt;sup&gt;30&lt;/sup&gt;","plainTextFormattedCitation":"30","previouslyFormattedCitation":"&lt;sup&gt;30&lt;/sup&gt;"},"properties":{"noteIndex":0},"schema":"https://github.com/citation-style-language/schema/raw/master/csl-citation.json"}</w:instrText>
      </w:r>
      <w:r w:rsidR="006A666B">
        <w:fldChar w:fldCharType="separate"/>
      </w:r>
      <w:r w:rsidR="00613C7C" w:rsidRPr="00613C7C">
        <w:rPr>
          <w:noProof/>
          <w:vertAlign w:val="superscript"/>
        </w:rPr>
        <w:t>30</w:t>
      </w:r>
      <w:r w:rsidR="006A666B">
        <w:fldChar w:fldCharType="end"/>
      </w:r>
      <w:bookmarkEnd w:id="8"/>
      <w:bookmarkEnd w:id="9"/>
      <w:r w:rsidR="002F66A5">
        <w:t xml:space="preserve"> </w:t>
      </w:r>
      <w:r w:rsidR="003268D3">
        <w:t>Given the known associations between diabetes and arsenic, and between diabetes and myosteatosis, as well as the lack of complete mechanistic understanding of either, it is logical to investigate the potential links between environmental arsenic exposure and muscle quality decline.</w:t>
      </w:r>
    </w:p>
    <w:p w14:paraId="7C4ADC7A" w14:textId="2429EE31" w:rsidR="002F5AB6" w:rsidRDefault="002F5AB6" w:rsidP="00DC2194">
      <w:r>
        <w:t>Currently, there is not a singular definition for muscle quality. Measures used in previous works have included functional tests that measure force production and body composition tests to measure, for example, proportional amounts of intramuscular fat. Imaging measures in research include MRI, CT and DXA, which are relatively inexpensive and non-invasive, but carry the serious limitation of being unable to directly measure lipid content within and around myocytes</w:t>
      </w:r>
      <w:r w:rsidR="00CD65B1">
        <w:t xml:space="preserve"> and muscle fibers</w:t>
      </w:r>
      <w:r>
        <w:t>.</w:t>
      </w:r>
      <w:r>
        <w:fldChar w:fldCharType="begin" w:fldLock="1"/>
      </w:r>
      <w:r w:rsidR="00FD5E5E">
        <w:instrText>ADDIN CSL_CITATION {"citationItems":[{"id":"ITEM-1","itemData":{"DOI":"10.3389/fphys.2017.00087","ISBN":"1664-042X (Print) 1664-042X (Linking)","ISSN":"1664042X","PMID":"28261109","abstract":"A growing body of scientific literature suggests that not only changes in skeletal muscle mass, but also other factors underpinning muscle quality, play a role in the decline in skeletal muscle function and impaired mobility associated with aging. A symposium on muscle quality and the need for standardized assessment was held on April 28, 2016 at the International Conference on Frailty &amp; Sarcopenia Research in Philadelphia, Pennsylvania. The purpose of this symposium was to provide a venue for basic science and clinical researchers and expert clinicians to discuss muscle quality in the context of skeletal muscle function deficit and other aging-related muscle dysfunctions. The present article provides an expanded introduction concerning the emerging definitions of muscle quality and a potential framework for scientific inquiry within the field. Changes in muscle tissue composition, based on excessive levels of inter- and intramuscular adipose tissue and intramyocellular lipids, have been found to adversely impact metabolism and peak force generation. However, methods to easily and rapidly assess muscle tissue composition in multiple clinical settings and with minimal patient burden are needed. Diagnostic ultrasound and other assessment methods continue to be developed for characterizing muscle pathology, and enhanced sonography using sensors to provide user feedback and improve reliability is currently the subject of ongoing investigation and development. In addition, measures of relative muscle force such as specific force or grip strength adjusted for body size have been proposed as methods to assess changes in muscle quality. Furthermore, performance-based assessments of muscle power via timed tests of function and body size estimates, are associated with lower extremity muscle strength may be responsive to age-related changes in muscle quality. Future aims include reaching consensus on the definition and standardized assessments of muscle quality, and providing recommendations to address critical clinical and technology research gaps within the field.","author":[{"dropping-particle":"","family":"Correa-de-Araujo","given":"Rosaly","non-dropping-particle":"","parse-names":false,"suffix":""},{"dropping-particle":"","family":"Harris-Love","given":"Michael O.","non-dropping-particle":"","parse-names":false,"suffix":""},{"dropping-particle":"","family":"Miljkovic","given":"Iva","non-dropping-particle":"","parse-names":false,"suffix":""},{"dropping-particle":"","family":"Fragala","given":"Maren S.","non-dropping-particle":"","parse-names":false,"suffix":""},{"dropping-particle":"","family":"Anthony","given":"Brian W.","non-dropping-particle":"","parse-names":false,"suffix":""},{"dropping-particle":"","family":"Manini","given":"Todd M.","non-dropping-particle":"","parse-names":false,"suffix":""}],"container-title":"Frontiers in Physiology","id":"ITEM-1","issue":"FEB","issued":{"date-parts":[["2017"]]},"note":"ro3 #29","page":"1-19","title":"The Need for Standardized Assessment of Muscle Quality in Skeletal Muscle Function Deficit and Other Aging-Related Muscle Dysfunctions: A Symposium Report","type":"article-journal","volume":"8"},"uris":["http://www.mendeley.com/documents/?uuid=b303f824-3d25-42a6-b820-50ad78dc2f1d"]}],"mendeley":{"formattedCitation":"&lt;sup&gt;29&lt;/sup&gt;","plainTextFormattedCitation":"29","previouslyFormattedCitation":"&lt;sup&gt;29&lt;/sup&gt;"},"properties":{"noteIndex":0},"schema":"https://github.com/citation-style-language/schema/raw/master/csl-citation.json"}</w:instrText>
      </w:r>
      <w:r>
        <w:fldChar w:fldCharType="separate"/>
      </w:r>
      <w:r w:rsidR="00613C7C" w:rsidRPr="00613C7C">
        <w:rPr>
          <w:noProof/>
          <w:vertAlign w:val="superscript"/>
        </w:rPr>
        <w:t>29</w:t>
      </w:r>
      <w:r>
        <w:fldChar w:fldCharType="end"/>
      </w:r>
      <w:r w:rsidR="004428C8">
        <w:t xml:space="preserve"> </w:t>
      </w:r>
      <w:r w:rsidR="00CD65B1">
        <w:t>This is important since</w:t>
      </w:r>
      <w:r w:rsidR="008B712D">
        <w:t>, as indicated above,</w:t>
      </w:r>
      <w:r w:rsidR="00CD65B1">
        <w:t xml:space="preserve"> increased myosteatosis </w:t>
      </w:r>
      <w:r w:rsidR="008B712D">
        <w:t xml:space="preserve">is associated with cardiovascular and metabolic disease or worsened disease outcomes.  </w:t>
      </w:r>
      <w:r w:rsidR="004428C8">
        <w:t>The growing realization of t</w:t>
      </w:r>
      <w:r w:rsidR="008B712D">
        <w:t xml:space="preserve">he importance of lean body mass and myosteatosis </w:t>
      </w:r>
      <w:r w:rsidR="004428C8">
        <w:t xml:space="preserve">in disease risk </w:t>
      </w:r>
      <w:r w:rsidR="008B712D">
        <w:t xml:space="preserve">has prompted </w:t>
      </w:r>
      <w:r w:rsidR="004428C8">
        <w:t xml:space="preserve">calls for improved accessible and standardized clinical assessment of </w:t>
      </w:r>
      <w:r w:rsidR="004428C8">
        <w:lastRenderedPageBreak/>
        <w:t xml:space="preserve">muscle </w:t>
      </w:r>
      <w:r w:rsidR="00A6505A">
        <w:t xml:space="preserve">mass and </w:t>
      </w:r>
      <w:r w:rsidR="004428C8">
        <w:t>quality.</w:t>
      </w:r>
      <w:r w:rsidR="008B4E74">
        <w:fldChar w:fldCharType="begin" w:fldLock="1"/>
      </w:r>
      <w:r w:rsidR="00FD5E5E">
        <w:instrText>ADDIN CSL_CITATION {"citationItems":[{"id":"ITEM-1","itemData":{"DOI":"10.1080/07853890.2018.1511918","ISSN":"0785-3890","author":[{"dropping-particle":"","family":"Prado","given":"Carla M.","non-dropping-particle":"","parse-names":false,"suffix":""},{"dropping-particle":"","family":"Purcell","given":"Sarah A.","non-dropping-particle":"","parse-names":false,"suffix":""},{"dropping-particle":"","family":"Alish","given":"Carolyn","non-dropping-particle":"","parse-names":false,"suffix":""},{"dropping-particle":"","family":"Pereira","given":"Suzette L.","non-dropping-particle":"","parse-names":false,"suffix":""},{"dropping-particle":"","family":"Deutz","given":"Nicolaas E.","non-dropping-particle":"","parse-names":false,"suffix":""},{"dropping-particle":"","family":"Heyland","given":"Daren K.","non-dropping-particle":"","parse-names":false,"suffix":""},{"dropping-particle":"","family":"Goodpaster","given":"Bret H.","non-dropping-particle":"","parse-names":false,"suffix":""},{"dropping-particle":"","family":"Tappenden","given":"Kelly A.","non-dropping-particle":"","parse-names":false,"suffix":""},{"dropping-particle":"","family":"Heymsfield","given":"Steven B.","non-dropping-particle":"","parse-names":false,"suffix":""}],"container-title":"Annals of Medicine","id":"ITEM-1","issued":{"date-parts":[["2018","9","12"]]},"page":"1-19","title":"Implications of low muscle mass across the continuum of care: a narrative review","type":"article-journal"},"uris":["http://www.mendeley.com/documents/?uuid=719c5851-e27d-45da-ab33-4b87842310db"]},{"id":"ITEM-2","itemData":{"DOI":"10.3389/fphys.2017.00087","ISBN":"1664-042X (Print) 1664-042X (Linking)","ISSN":"1664042X","PMID":"28261109","abstract":"A growing body of scientific literature suggests that not only changes in skeletal muscle mass, but also other factors underpinning muscle quality, play a role in the decline in skeletal muscle function and impaired mobility associated with aging. A symposium on muscle quality and the need for standardized assessment was held on April 28, 2016 at the International Conference on Frailty &amp; Sarcopenia Research in Philadelphia, Pennsylvania. The purpose of this symposium was to provide a venue for basic science and clinical researchers and expert clinicians to discuss muscle quality in the context of skeletal muscle function deficit and other aging-related muscle dysfunctions. The present article provides an expanded introduction concerning the emerging definitions of muscle quality and a potential framework for scientific inquiry within the field. Changes in muscle tissue composition, based on excessive levels of inter- and intramuscular adipose tissue and intramyocellular lipids, have been found to adversely impact metabolism and peak force generation. However, methods to easily and rapidly assess muscle tissue composition in multiple clinical settings and with minimal patient burden are needed. Diagnostic ultrasound and other assessment methods continue to be developed for characterizing muscle pathology, and enhanced sonography using sensors to provide user feedback and improve reliability is currently the subject of ongoing investigation and development. In addition, measures of relative muscle force such as specific force or grip strength adjusted for body size have been proposed as methods to assess changes in muscle quality. Furthermore, performance-based assessments of muscle power via timed tests of function and body size estimates, are associated with lower extremity muscle strength may be responsive to age-related changes in muscle quality. Future aims include reaching consensus on the definition and standardized assessments of muscle quality, and providing recommendations to address critical clinical and technology research gaps within the field.","author":[{"dropping-particle":"","family":"Correa-de-Araujo","given":"Rosaly","non-dropping-particle":"","parse-names":false,"suffix":""},{"dropping-particle":"","family":"Harris-Love","given":"Michael O.","non-dropping-particle":"","parse-names":false,"suffix":""},{"dropping-particle":"","family":"Miljkovic","given":"Iva","non-dropping-particle":"","parse-names":false,"suffix":""},{"dropping-particle":"","family":"Fragala","given":"Maren S.","non-dropping-particle":"","parse-names":false,"suffix":""},{"dropping-particle":"","family":"Anthony","given":"Brian W.","non-dropping-particle":"","parse-names":false,"suffix":""},{"dropping-particle":"","family":"Manini","given":"Todd M.","non-dropping-particle":"","parse-names":false,"suffix":""}],"container-title":"Frontiers in Physiology","id":"ITEM-2","issue":"FEB","issued":{"date-parts":[["2017"]]},"note":"ro3 #29","page":"1-19","title":"The Need for Standardized Assessment of Muscle Quality in Skeletal Muscle Function Deficit and Other Aging-Related Muscle Dysfunctions: A Symposium Report","type":"article-journal","volume":"8"},"uris":["http://www.mendeley.com/documents/?uuid=b303f824-3d25-42a6-b820-50ad78dc2f1d"]}],"mendeley":{"formattedCitation":"&lt;sup&gt;14,29&lt;/sup&gt;","plainTextFormattedCitation":"14,29","previouslyFormattedCitation":"&lt;sup&gt;14,29&lt;/sup&gt;"},"properties":{"noteIndex":0},"schema":"https://github.com/citation-style-language/schema/raw/master/csl-citation.json"}</w:instrText>
      </w:r>
      <w:r w:rsidR="008B4E74">
        <w:fldChar w:fldCharType="separate"/>
      </w:r>
      <w:r w:rsidR="00613C7C" w:rsidRPr="00613C7C">
        <w:rPr>
          <w:noProof/>
          <w:vertAlign w:val="superscript"/>
        </w:rPr>
        <w:t>14,29</w:t>
      </w:r>
      <w:r w:rsidR="008B4E74">
        <w:fldChar w:fldCharType="end"/>
      </w:r>
      <w:r w:rsidR="004428C8">
        <w:t xml:space="preserve">  Unfortunately, </w:t>
      </w:r>
      <w:r w:rsidR="00CD65B1">
        <w:t xml:space="preserve">the data available for correlating muscle quality with environmental exposures were collected at times when non-standardized or poorly developed measures of muscle quality were made.  </w:t>
      </w:r>
      <w:r w:rsidR="00F14A2A">
        <w:t>Thus, this study uses</w:t>
      </w:r>
      <w:r w:rsidR="00CD65B1">
        <w:t xml:space="preserve"> DXA measures of </w:t>
      </w:r>
      <w:r w:rsidR="00F37AF3">
        <w:t xml:space="preserve">lean mass </w:t>
      </w:r>
      <w:r w:rsidR="00CD65B1">
        <w:t xml:space="preserve">in participants in the </w:t>
      </w:r>
      <w:r w:rsidR="00CD65B1" w:rsidRPr="005B7A7A">
        <w:t>National Health and Nutrition Examination Survey (NHANES)</w:t>
      </w:r>
      <w:r w:rsidR="00CD65B1">
        <w:t xml:space="preserve">, who also had measures of arsenic exposure, to begin </w:t>
      </w:r>
      <w:r w:rsidR="00966871">
        <w:t>to answer the question of</w:t>
      </w:r>
      <w:r w:rsidR="00CD65B1">
        <w:t xml:space="preserve"> whether environmental exposures contribute to disease by </w:t>
      </w:r>
      <w:r w:rsidR="00F37AF3">
        <w:t xml:space="preserve">affecting muscle mass; and consequently, </w:t>
      </w:r>
      <w:r w:rsidR="00CD65B1">
        <w:t>compromis</w:t>
      </w:r>
      <w:r w:rsidR="00C6309D">
        <w:t>e</w:t>
      </w:r>
      <w:r w:rsidR="00CD65B1">
        <w:t xml:space="preserve"> muscle </w:t>
      </w:r>
      <w:r w:rsidR="00F37AF3">
        <w:t xml:space="preserve">health and </w:t>
      </w:r>
      <w:r w:rsidR="00CD65B1">
        <w:t>quality.</w:t>
      </w:r>
    </w:p>
    <w:p w14:paraId="5EF9278F" w14:textId="77777777" w:rsidR="00B917F0" w:rsidRDefault="00A45D1C" w:rsidP="00B917F0">
      <w:pPr>
        <w:pStyle w:val="Heading1"/>
      </w:pPr>
      <w:bookmarkStart w:id="10" w:name="_Toc532467856"/>
      <w:r>
        <w:lastRenderedPageBreak/>
        <w:t>Methods</w:t>
      </w:r>
      <w:bookmarkEnd w:id="10"/>
    </w:p>
    <w:p w14:paraId="2BAFE8BE" w14:textId="77777777" w:rsidR="00B917F0" w:rsidRDefault="005D75DC" w:rsidP="00B917F0">
      <w:pPr>
        <w:pStyle w:val="Heading2"/>
      </w:pPr>
      <w:bookmarkStart w:id="11" w:name="_Toc532467857"/>
      <w:r>
        <w:t>Study Population</w:t>
      </w:r>
      <w:bookmarkEnd w:id="11"/>
    </w:p>
    <w:p w14:paraId="168092EC" w14:textId="659559DA" w:rsidR="00827204" w:rsidRPr="00827204" w:rsidRDefault="005D75DC" w:rsidP="00827204">
      <w:pPr>
        <w:pStyle w:val="Noindent"/>
      </w:pPr>
      <w:r w:rsidRPr="005B7A7A">
        <w:tab/>
        <w:t xml:space="preserve">The </w:t>
      </w:r>
      <w:r w:rsidR="008B712D">
        <w:t>human cohort</w:t>
      </w:r>
      <w:r w:rsidR="008B712D" w:rsidRPr="005B7A7A">
        <w:t xml:space="preserve"> </w:t>
      </w:r>
      <w:r w:rsidRPr="005B7A7A">
        <w:t>used in this study was taken from the 2005-2006 NHANES</w:t>
      </w:r>
      <w:r w:rsidR="008B712D">
        <w:t xml:space="preserve"> data</w:t>
      </w:r>
      <w:r>
        <w:t>, which is conducted in 2 year cycles by the National Center for Health Statistics</w:t>
      </w:r>
      <w:r w:rsidRPr="005B7A7A">
        <w:t xml:space="preserve">. </w:t>
      </w:r>
      <w:r>
        <w:t>NHANES uses a complex stratified four stage sampling design to reach a representative sample of non-institutionalized US civilians. General demographic data is collected via computer-assisted personal interviews. The 2005-2006 cycle includes over-samples of low-income individuals, African Americans, Mexican Americans, and those in the 12-19 and 60+ year age groups.</w:t>
      </w:r>
      <w:r>
        <w:fldChar w:fldCharType="begin" w:fldLock="1"/>
      </w:r>
      <w:r w:rsidR="00FD5E5E">
        <w:instrText>ADDIN CSL_CITATION {"citationItems":[{"id":"ITEM-1","itemData":{"URL":"https://wwwn.cdc.gov/nchs/nhanes/continuousnhanes/overview.aspx?BeginYear=2005","author":[{"dropping-particle":"","family":"National Center for Health Statistics","given":"","non-dropping-particle":"","parse-names":false,"suffix":""}],"id":"ITEM-1","issued":{"date-parts":[["0"]]},"title":"NHANES 2005-2006 Overview","type":"webpage"},"uris":["http://www.mendeley.com/documents/?uuid=0973af60-f765-4edb-8164-b8a4681462b7"]}],"mendeley":{"formattedCitation":"&lt;sup&gt;31&lt;/sup&gt;","plainTextFormattedCitation":"31","previouslyFormattedCitation":"&lt;sup&gt;31&lt;/sup&gt;"},"properties":{"noteIndex":0},"schema":"https://github.com/citation-style-language/schema/raw/master/csl-citation.json"}</w:instrText>
      </w:r>
      <w:r>
        <w:fldChar w:fldCharType="separate"/>
      </w:r>
      <w:r w:rsidR="00613C7C" w:rsidRPr="00613C7C">
        <w:rPr>
          <w:noProof/>
          <w:vertAlign w:val="superscript"/>
        </w:rPr>
        <w:t>31</w:t>
      </w:r>
      <w:r>
        <w:fldChar w:fldCharType="end"/>
      </w:r>
      <w:r>
        <w:t xml:space="preserve"> The overall response rate in the 2005-2006 survey was 77%.</w:t>
      </w:r>
      <w:r>
        <w:fldChar w:fldCharType="begin" w:fldLock="1"/>
      </w:r>
      <w:r w:rsidR="00FD5E5E">
        <w:instrText>ADDIN CSL_CITATION {"citationItems":[{"id":"ITEM-1","itemData":{"URL":"https://wwwn.cdc.gov/nchs/nhanes/responserates.aspx","author":[{"dropping-particle":"","family":"National Center for Health Statistics","given":"","non-dropping-particle":"","parse-names":false,"suffix":""}],"id":"ITEM-1","issued":{"date-parts":[["0"]]},"title":"NHANES Response Rates and Population Totals","type":"webpage"},"uris":["http://www.mendeley.com/documents/?uuid=36a8c670-357e-4b25-bc0f-19c55869e84b"]}],"mendeley":{"formattedCitation":"&lt;sup&gt;32&lt;/sup&gt;","plainTextFormattedCitation":"32","previouslyFormattedCitation":"&lt;sup&gt;32&lt;/sup&gt;"},"properties":{"noteIndex":0},"schema":"https://github.com/citation-style-language/schema/raw/master/csl-citation.json"}</w:instrText>
      </w:r>
      <w:r>
        <w:fldChar w:fldCharType="separate"/>
      </w:r>
      <w:r w:rsidR="00613C7C" w:rsidRPr="00613C7C">
        <w:rPr>
          <w:noProof/>
          <w:vertAlign w:val="superscript"/>
        </w:rPr>
        <w:t>32</w:t>
      </w:r>
      <w:r>
        <w:fldChar w:fldCharType="end"/>
      </w:r>
      <w:r w:rsidR="00C2019D">
        <w:t xml:space="preserve"> </w:t>
      </w:r>
      <w:r w:rsidR="00827204">
        <w:t xml:space="preserve">For the purposes of this analysis, children and those who were missing arsenic or </w:t>
      </w:r>
      <w:r w:rsidR="008B712D">
        <w:t xml:space="preserve">DXA </w:t>
      </w:r>
      <w:r w:rsidR="00827204">
        <w:t>measurements were excluded.</w:t>
      </w:r>
    </w:p>
    <w:p w14:paraId="5D912FAA" w14:textId="77777777" w:rsidR="00B917F0" w:rsidRDefault="003268D3" w:rsidP="00B871C0">
      <w:pPr>
        <w:pStyle w:val="Heading3"/>
      </w:pPr>
      <w:bookmarkStart w:id="12" w:name="_Toc532467858"/>
      <w:r>
        <w:t>Urine</w:t>
      </w:r>
      <w:r w:rsidR="00B871C0">
        <w:t xml:space="preserve"> </w:t>
      </w:r>
      <w:r w:rsidR="008B712D">
        <w:t xml:space="preserve">Arsenical </w:t>
      </w:r>
      <w:r w:rsidR="00B871C0">
        <w:t>M</w:t>
      </w:r>
      <w:r w:rsidR="005D75DC">
        <w:t>easurements</w:t>
      </w:r>
      <w:bookmarkEnd w:id="12"/>
    </w:p>
    <w:p w14:paraId="25DE74FC" w14:textId="3653B349" w:rsidR="005D75DC" w:rsidRDefault="005D75DC" w:rsidP="005D75DC">
      <w:pPr>
        <w:pStyle w:val="Noindent"/>
        <w:ind w:firstLine="720"/>
      </w:pPr>
      <w:r>
        <w:t>Urinary speciated arsenic</w:t>
      </w:r>
      <w:r w:rsidR="008B712D">
        <w:t>als</w:t>
      </w:r>
      <w:r>
        <w:t xml:space="preserve"> </w:t>
      </w:r>
      <w:r w:rsidR="008B712D">
        <w:t xml:space="preserve">were </w:t>
      </w:r>
      <w:r>
        <w:t xml:space="preserve">measured in a subsample of one third of the </w:t>
      </w:r>
      <w:r w:rsidR="008B712D">
        <w:t xml:space="preserve">2005-2006 </w:t>
      </w:r>
      <w:r>
        <w:t>NHANES study population, excluding those under 6 years old. Total urinary arsenic was determined via inductively coupled-plasma dynamic reaction cell-mass spectrometry (ICP-DRC-MS). The concentrations of speciated arsenic</w:t>
      </w:r>
      <w:r w:rsidR="008B712D">
        <w:t>al</w:t>
      </w:r>
      <w:r>
        <w:t>s were determined via high performance liquid chromatography (HPLC) coupled to an ICP-DRC-MS. Detection limits were 0.74 µg/L for total arsenic and 0.4 µg/L for arsenobetaine.</w:t>
      </w:r>
      <w:r>
        <w:fldChar w:fldCharType="begin" w:fldLock="1"/>
      </w:r>
      <w:r w:rsidR="00FD5E5E">
        <w:instrText>ADDIN CSL_CITATION {"citationItems":[{"id":"ITEM-1","itemData":{"URL":"https://wwwn.cdc.gov/Nchs/Nhanes/2005-2006/UAS_D.htm","accessed":{"date-parts":[["2018","10","20"]]},"author":[{"dropping-particle":"","family":"National Center for Health Statistics","given":"","non-dropping-particle":"","parse-names":false,"suffix":""}],"id":"ITEM-1","issued":{"date-parts":[["2009"]]},"title":"National Health and Nutrition Examination Survey - 2005-2006 Data Documentation, Codebook, and Frequencies Arsenics - Total &amp; Speciated - Urine (UAS_D)","type":"webpage"},"uris":["http://www.mendeley.com/documents/?uuid=04507e78-c7af-4e29-b358-a896d61b5f58"]}],"mendeley":{"formattedCitation":"&lt;sup&gt;33&lt;/sup&gt;","plainTextFormattedCitation":"33","previouslyFormattedCitation":"&lt;sup&gt;33&lt;/sup&gt;"},"properties":{"noteIndex":0},"schema":"https://github.com/citation-style-language/schema/raw/master/csl-citation.json"}</w:instrText>
      </w:r>
      <w:r>
        <w:fldChar w:fldCharType="separate"/>
      </w:r>
      <w:r w:rsidR="00613C7C" w:rsidRPr="00613C7C">
        <w:rPr>
          <w:noProof/>
          <w:vertAlign w:val="superscript"/>
        </w:rPr>
        <w:t>33</w:t>
      </w:r>
      <w:r>
        <w:fldChar w:fldCharType="end"/>
      </w:r>
    </w:p>
    <w:p w14:paraId="6A7B73F5" w14:textId="4F4D71CB" w:rsidR="00FD5E5E" w:rsidRDefault="00BC570E" w:rsidP="003268D3">
      <w:r>
        <w:lastRenderedPageBreak/>
        <w:t xml:space="preserve">Urinary </w:t>
      </w:r>
      <w:r w:rsidR="005A407B">
        <w:t xml:space="preserve">total </w:t>
      </w:r>
      <w:r>
        <w:t xml:space="preserve">arsenic concentration </w:t>
      </w:r>
      <w:r w:rsidR="005A407B">
        <w:t xml:space="preserve">is </w:t>
      </w:r>
      <w:r>
        <w:t>generally regarded as</w:t>
      </w:r>
      <w:r w:rsidR="00F61A65">
        <w:t xml:space="preserve"> </w:t>
      </w:r>
      <w:r w:rsidR="005A407B">
        <w:t>an in</w:t>
      </w:r>
      <w:r w:rsidR="00F61A65">
        <w:t>sufficient marker</w:t>
      </w:r>
      <w:r w:rsidR="008B712D">
        <w:t xml:space="preserve"> of exposure</w:t>
      </w:r>
      <w:r w:rsidR="005A407B">
        <w:t xml:space="preserve"> to disease promoting arsenicals as a result of this measure including harmless arsenicals from seafood, such as arsenobetaine and arsenolipids.</w:t>
      </w:r>
      <w:r w:rsidR="007873E6">
        <w:fldChar w:fldCharType="begin" w:fldLock="1"/>
      </w:r>
      <w:r w:rsidR="00FD5E5E">
        <w:instrText>ADDIN CSL_CITATION {"citationItems":[{"id":"ITEM-1","itemData":{"DOI":"10.1093/aje/kww097","ISBN":"1476-6256 (Electronic) 0002-9262 (Linking)","ISSN":"14766256","PMID":"27702745","abstract":"The sum of urinary inorganic arsenic (iAs) and methylated arsenic (monomethylarsonate and dimethylarsinate (DMA)) species is the main biomarker of iAs exposure. Assessing iAs exposure, however, is difficult in populations with moderate-to-high seafood intakes. In the present study, we used subsamples from the Multi-Ethnic Study of Atherosclerosis (2000-2002) (n = 310) and the 2003-2006 National Health and Nutrition Examination Survey (n = 1,175). We calibrated urinary concentrations of non-seafood-derived iAs, DMA, and methylarsonate, as well as the sum of inorganic and methylated arsenic species, in the Multi-Ethnic Study of Atherosclerosis and of DMA in the National Health and Nutrition Examination Survey by regressing their original concentrations by arsenobetaine and extracting model residuals. To confirm that calibrated biomarkers reflected iAs exposure but not seafood intake, we compared urinary arsenic concentrations by levels of seafood and rice intakes. Self-reported seafood intakes, estimated n-3 polyunsaturated fatty acid levels, and measured n-3 polyunsaturated fatty acid levels were positively associated with the original urinary arsenic biomarkers. Using the calibrated arsenic biomarkers, we found a marked attenuation of the associations with self-reported seafood intake and estimated or measured n-3 fatty acids, whereas associations with self-reported rice intake remained similar. Our residual-based method provides estimates of iAs exposure and metabolism for each participant that no longer reflect seafood intake and can facilitate research about low-to-moderate levels of iAs exposure in populations with high seafood intakes.","author":[{"dropping-particle":"","family":"Jones","given":"Miranda R.","non-dropping-particle":"","parse-names":false,"suffix":""},{"dropping-particle":"","family":"Tellez-Plaza","given":"Maria","non-dropping-particle":"","parse-names":false,"suffix":""},{"dropping-particle":"","family":"Vaidya","given":"Dhananjay","non-dropping-particle":"","parse-names":false,"suffix":""},{"dropping-particle":"","family":"Grau","given":"Maria","non-dropping-particle":"","parse-names":false,"suffix":""},{"dropping-particle":"","family":"Francesconi","given":"Kevin A.","non-dropping-particle":"","parse-names":false,"suffix":""},{"dropping-particle":"","family":"Goessler","given":"Walter","non-dropping-particle":"","parse-names":false,"suffix":""},{"dropping-particle":"","family":"Guallar","given":"Eliseo","non-dropping-particle":"","parse-names":false,"suffix":""},{"dropping-particle":"","family":"Post","given":"Wendy S.","non-dropping-particle":"","parse-names":false,"suffix":""},{"dropping-particle":"","family":"Kaufman","given":"Joel D.","non-dropping-particle":"","parse-names":false,"suffix":""},{"dropping-particle":"","family":"Navas-Acien","given":"Ana","non-dropping-particle":"","parse-names":false,"suffix":""}],"container-title":"American Journal of Epidemiology","id":"ITEM-1","issued":{"date-parts":[["2016"]]},"note":"ro3 54","title":"Estimation of Inorganic Arsenic Exposure in Populations with Frequent Seafood Intake: Evidence from MESA and NHANES","type":"article-journal"},"uris":["http://www.mendeley.com/documents/?uuid=e38d6252-c85c-3b41-ae91-4c6cf07e3625"]}],"mendeley":{"formattedCitation":"&lt;sup&gt;34&lt;/sup&gt;","plainTextFormattedCitation":"34","previouslyFormattedCitation":"&lt;sup&gt;34&lt;/sup&gt;"},"properties":{"noteIndex":0},"schema":"https://github.com/citation-style-language/schema/raw/master/csl-citation.json"}</w:instrText>
      </w:r>
      <w:r w:rsidR="007873E6">
        <w:fldChar w:fldCharType="separate"/>
      </w:r>
      <w:r w:rsidR="00613C7C" w:rsidRPr="00613C7C">
        <w:rPr>
          <w:noProof/>
          <w:vertAlign w:val="superscript"/>
        </w:rPr>
        <w:t>34</w:t>
      </w:r>
      <w:r w:rsidR="007873E6">
        <w:fldChar w:fldCharType="end"/>
      </w:r>
      <w:r w:rsidR="005A407B">
        <w:t xml:space="preserve"> </w:t>
      </w:r>
      <w:r w:rsidR="00F61A65">
        <w:t xml:space="preserve"> </w:t>
      </w:r>
      <w:r>
        <w:t xml:space="preserve"> </w:t>
      </w:r>
      <w:r w:rsidR="005A407B">
        <w:t>Therefore, NHANES reports the levels of these harmless arsenicals and a</w:t>
      </w:r>
      <w:r w:rsidR="00074574">
        <w:t>r</w:t>
      </w:r>
      <w:r>
        <w:t xml:space="preserve">senobetaine was subtracted from total </w:t>
      </w:r>
      <w:r w:rsidR="005A407B">
        <w:t xml:space="preserve">urinary </w:t>
      </w:r>
      <w:r>
        <w:t>arsenic to account for harmless organic compounds often contained in fish, shellfish, and seaweed.</w:t>
      </w:r>
      <w:r w:rsidR="00803E1F">
        <w:t xml:space="preserve"> A recent analysis of NHANES arsenical data found very little </w:t>
      </w:r>
      <w:proofErr w:type="spellStart"/>
      <w:r w:rsidR="00803E1F">
        <w:t>arsenocholine</w:t>
      </w:r>
      <w:proofErr w:type="spellEnd"/>
      <w:r w:rsidR="00803E1F">
        <w:t xml:space="preserve"> and </w:t>
      </w:r>
      <w:proofErr w:type="spellStart"/>
      <w:r w:rsidR="00803E1F">
        <w:t>trimethylarsine</w:t>
      </w:r>
      <w:proofErr w:type="spellEnd"/>
      <w:r w:rsidR="00803E1F">
        <w:t xml:space="preserve"> oxide. Thus, total arsenic minus arsenobetaine is approximately equal to the total inorganic arsenic (largely </w:t>
      </w:r>
      <w:proofErr w:type="spellStart"/>
      <w:r w:rsidR="00803E1F">
        <w:t>dimethylars</w:t>
      </w:r>
      <w:r w:rsidR="00FD5E5E">
        <w:t>e</w:t>
      </w:r>
      <w:r w:rsidR="00803E1F">
        <w:t>nic</w:t>
      </w:r>
      <w:proofErr w:type="spellEnd"/>
      <w:r w:rsidR="00803E1F">
        <w:t xml:space="preserve"> acid) in urine.</w:t>
      </w:r>
      <w:r w:rsidR="00803E1F">
        <w:fldChar w:fldCharType="begin" w:fldLock="1"/>
      </w:r>
      <w:r w:rsidR="00FD5E5E">
        <w:instrText>ADDIN CSL_CITATION {"citationItems":[{"id":"ITEM-1","itemData":{"DOI":"10.1038/jes.2008.32","ISBN":"1559-064X (Electronic)\\r1559-0631 (Linking)","ISSN":"1559-064X","PMID":"18523458","abstract":"OBJECTIVE To provide levels of total and speciated urinary arsenic in a representative sample of the US population. METHODS For the first time, total arsenic and seven inorganic and organic arsenic species were measured in the urine of participants (n=2557) for the 2003-2004 National Health and Nutrition Examination Survey (NHANES). Data were compiled as geometric means and selected percentiles of urinary arsenic concentrations (microg/l) and creatinine-corrected urinary arsenic (microg/g creatinine) for total arsenic, dimethylarsinic acid, arsenobetaine, and a sum of the inorganic related species. RESULTS Arsenic acid, arsenous acid, arsenocholine, and trimethylarsine oxide were detected in 7.6%, 4.6%, 1.8%, and 0.3% of the participants, respectively (the limits of detection of 0.6-1.2 microg/l). Monomethylarsonic acid was detected in 35% of the overall population. For all participants aged &gt; or =6 years, dimethylarsinic acid (geometric mean of 3.71 microg/l) and arsenobetaine (geometric mean of 1.55 microg/l) had the greatest contribution to the total urinary arsenic levels. A relatively greater percentage contribution from arsenobetaine is seen at higher total urinary arsenic levels and from dimethylarsinic acid at lower total urinary arsenic levels. For all participants aged &gt; or =6 years, the 95th percentiles for total urinary arsenic and the sum of inorganic-related arsenic (arsenic acid, arsenous acid, dimethylarsinic acid, and monomethylarsonic acid) were 65.4 and 18.9 microg/l, respectively. For total arsenic and dimethylarsinic acid, covariate-adjusted geometric means demonstrated several slight differences due to age, gender, and race/ethnicity. CONCLUSIONS The data reflect relative background contributions of inorganic and seafood-related arsenic exposures in the US population. Arsenobetaine and dimethylarsinic acid are the major arsenic species present with arsenobetaine, accounting for a greater proportion of total arsenic as total arsenic levels increase.","author":[{"dropping-particle":"","family":"Caldwell","given":"Kathleen L","non-dropping-particle":"","parse-names":false,"suffix":""},{"dropping-particle":"","family":"Jones","given":"Robert L","non-dropping-particle":"","parse-names":false,"suffix":""},{"dropping-particle":"","family":"Verdon","given":"Carl P","non-dropping-particle":"","parse-names":false,"suffix":""},{"dropping-particle":"","family":"Jarrett","given":"Jeffery M","non-dropping-particle":"","parse-names":false,"suffix":""},{"dropping-particle":"","family":"Caudill","given":"Samuel P","non-dropping-particle":"","parse-names":false,"suffix":""},{"dropping-particle":"","family":"Osterloh","given":"John D","non-dropping-particle":"","parse-names":false,"suffix":""}],"container-title":"Journal of exposure science &amp; environmental epidemiology","id":"ITEM-1","issue":"1","issued":{"date-parts":[["2009","1"]]},"page":"59-68","title":"Levels of urinary total and speciated arsenic in the US population: National Health and Nutrition Examination Survey 2003-2004.","type":"article-journal","volume":"19"},"uris":["http://www.mendeley.com/documents/?uuid=cca627bb-4e03-31ff-a4e0-1842da9c7a83"]}],"mendeley":{"formattedCitation":"&lt;sup&gt;35&lt;/sup&gt;","plainTextFormattedCitation":"35","previouslyFormattedCitation":"&lt;sup&gt;35&lt;/sup&gt;"},"properties":{"noteIndex":0},"schema":"https://github.com/citation-style-language/schema/raw/master/csl-citation.json"}</w:instrText>
      </w:r>
      <w:r w:rsidR="00803E1F">
        <w:fldChar w:fldCharType="separate"/>
      </w:r>
      <w:r w:rsidR="00613C7C" w:rsidRPr="00613C7C">
        <w:rPr>
          <w:noProof/>
          <w:vertAlign w:val="superscript"/>
        </w:rPr>
        <w:t>35</w:t>
      </w:r>
      <w:r w:rsidR="00803E1F">
        <w:fldChar w:fldCharType="end"/>
      </w:r>
      <w:r w:rsidR="002E2E4E">
        <w:t xml:space="preserve"> Measures of other minor organic arsenic compounds that may result from complex metabolism of consumed seafood, such as </w:t>
      </w:r>
      <w:proofErr w:type="spellStart"/>
      <w:r w:rsidR="002E2E4E">
        <w:t>arsenolipids</w:t>
      </w:r>
      <w:proofErr w:type="spellEnd"/>
      <w:r w:rsidR="002E2E4E">
        <w:t xml:space="preserve"> and </w:t>
      </w:r>
      <w:proofErr w:type="spellStart"/>
      <w:r w:rsidR="002E2E4E">
        <w:t>aresenosugars</w:t>
      </w:r>
      <w:proofErr w:type="spellEnd"/>
      <w:r w:rsidR="002E2E4E">
        <w:t>, were not available.</w:t>
      </w:r>
      <w:r w:rsidR="003268D3">
        <w:t xml:space="preserve"> </w:t>
      </w:r>
      <w:r w:rsidR="00FD5E5E">
        <w:t>Inorganic arsenic concentrations in urine have been found to correlate with arsenic exposure via drinking water.</w:t>
      </w:r>
      <w:r w:rsidR="00FD5E5E">
        <w:fldChar w:fldCharType="begin" w:fldLock="1"/>
      </w:r>
      <w:r w:rsidR="00FD5E5E">
        <w:instrText>ADDIN CSL_CITATION {"citationItems":[{"id":"ITEM-1","itemData":{"DOI":"10.1016/j.envres.2005.02.007","ISSN":"0013-9351","PMID":"15820720","abstract":"The relationship of inorganic arsenic exposure through drinking water and total urinary arsenic excretion in a nonoccupationally exposed population was evaluated in a cross-sectional study in three mayor cities of Chile (Antofagasta, Santiago, and Temuco). A total of 756 individuals in three population strata (elderly, students, and workers) provided first morning void urine specimens the day after exposure and food surveys were administered. Arsenic intake from drinking water was estimated from analysis of tap water samples, plus 24-h dietary recall and food frequency questionnaires. Multilevel analysis was used to evaluate the effects of the age group and city factors adjusted by predictor variables. Arsenic levels in drinking water and urine were significantly higher in Antofagasta compared with the other cities. City-and individual-level factors, 12% and 88%, respectively, accounted for the variability in urinary arsenic concentration. The main predictors of urinary arsenic concentration were total arsenic consumption through water and age. These findings indicate that arsenic concentration in drinking water continues to be the principal contributing factor to exposure to inorganic arsenic in the Chilean population.","author":[{"dropping-particle":"","family":"Caceres","given":"Dante D","non-dropping-particle":"","parse-names":false,"suffix":""},{"dropping-particle":"","family":"Pino","given":"Paulina","non-dropping-particle":"","parse-names":false,"suffix":""},{"dropping-particle":"","family":"Montesinos","given":"Nestor","non-dropping-particle":"","parse-names":false,"suffix":""},{"dropping-particle":"","family":"Atalah","given":"Eduardo","non-dropping-particle":"","parse-names":false,"suffix":""},{"dropping-particle":"","family":"Amigo","given":"Hugo","non-dropping-particle":"","parse-names":false,"suffix":""},{"dropping-particle":"","family":"Loomis","given":"Dana","non-dropping-particle":"","parse-names":false,"suffix":""}],"container-title":"Environmental research","id":"ITEM-1","issue":"2","issued":{"date-parts":[["2005","6"]]},"page":"151-9","title":"Exposure to inorganic arsenic in drinking water and total urinary arsenic concentration in a Chilean population.","type":"article-journal","volume":"98"},"uris":["http://www.mendeley.com/documents/?uuid=3156bbdb-2997-4d6b-a387-d714f55baa58"]},{"id":"ITEM-2","itemData":{"DOI":"10.1038/srep25656","ISSN":"2045-2322","author":[{"dropping-particle":"","family":"Middleton","given":"D. R. S.","non-dropping-particle":"","parse-names":false,"suffix":""},{"dropping-particle":"","family":"Watts","given":"M. J.","non-dropping-particle":"","parse-names":false,"suffix":""},{"dropping-particle":"","family":"Hamilton","given":"E. M.","non-dropping-particle":"","parse-names":false,"suffix":""},{"dropping-particle":"","family":"Ander","given":"E. L.","non-dropping-particle":"","parse-names":false,"suffix":""},{"dropping-particle":"","family":"Close","given":"R. M.","non-dropping-particle":"","parse-names":false,"suffix":""},{"dropping-particle":"","family":"Exley","given":"K. S.","non-dropping-particle":"","parse-names":false,"suffix":""},{"dropping-particle":"","family":"Crabbe","given":"H.","non-dropping-particle":"","parse-names":false,"suffix":""},{"dropping-particle":"","family":"Leonardi","given":"G. S.","non-dropping-particle":"","parse-names":false,"suffix":""},{"dropping-particle":"","family":"Fletcher","given":"T.","non-dropping-particle":"","parse-names":false,"suffix":""},{"dropping-particle":"","family":"Polya","given":"D. A.","non-dropping-particle":"","parse-names":false,"suffix":""}],"container-title":"Scientific Reports","id":"ITEM-2","issue":"1","issued":{"date-parts":[["2016","9","9"]]},"page":"25656","title":"Urinary arsenic profiles reveal exposures to inorganic arsenic from private drinking water supplies in Cornwall, UK","type":"article-journal","volume":"6"},"uris":["http://www.mendeley.com/documents/?uuid=4b970b88-bc3c-4ae3-b1ae-ea6fb8592e2b"]}],"mendeley":{"formattedCitation":"&lt;sup&gt;36,37&lt;/sup&gt;","plainTextFormattedCitation":"36,37","previouslyFormattedCitation":"&lt;sup&gt;36,37&lt;/sup&gt;"},"properties":{"noteIndex":0},"schema":"https://github.com/citation-style-language/schema/raw/master/csl-citation.json"}</w:instrText>
      </w:r>
      <w:r w:rsidR="00FD5E5E">
        <w:fldChar w:fldCharType="separate"/>
      </w:r>
      <w:r w:rsidR="00FD5E5E" w:rsidRPr="00FD5E5E">
        <w:rPr>
          <w:noProof/>
          <w:vertAlign w:val="superscript"/>
        </w:rPr>
        <w:t>36,37</w:t>
      </w:r>
      <w:r w:rsidR="00FD5E5E">
        <w:fldChar w:fldCharType="end"/>
      </w:r>
      <w:r w:rsidR="00FD5E5E">
        <w:t xml:space="preserve"> </w:t>
      </w:r>
    </w:p>
    <w:p w14:paraId="623AB46C" w14:textId="5D55F293" w:rsidR="003268D3" w:rsidRDefault="005A407B" w:rsidP="003268D3">
      <w:r>
        <w:t>A</w:t>
      </w:r>
      <w:r w:rsidR="003268D3">
        <w:t xml:space="preserve">djustment for </w:t>
      </w:r>
      <w:r>
        <w:t xml:space="preserve">urinary </w:t>
      </w:r>
      <w:r w:rsidR="003268D3">
        <w:t xml:space="preserve">creatinine is often used </w:t>
      </w:r>
      <w:r>
        <w:t xml:space="preserve">to normalize to the dilution of the urine that varies with hydration.  However, </w:t>
      </w:r>
      <w:r w:rsidR="003A6250">
        <w:t>creatinine levels are not independent of arsenic levels since they share the same one carbon metabolic pathways and recent work suggests that correcting for creatinine may produce misleading interpretation of the impact of arsenic health effects.</w:t>
      </w:r>
      <w:r w:rsidR="003268D3">
        <w:fldChar w:fldCharType="begin" w:fldLock="1"/>
      </w:r>
      <w:r w:rsidR="00FD5E5E">
        <w:instrText>ADDIN CSL_CITATION {"citationItems":[{"id":"ITEM-1","itemData":{"DOI":"10.1006/enrs.2002.4339","ISSN":"00139351","author":[{"dropping-particle":"","family":"Hinwood","given":"Andrea L.","non-dropping-particle":"","parse-names":false,"suffix":""},{"dropping-particle":"","family":"Sim","given":"Malcolm R.","non-dropping-particle":"","parse-names":false,"suffix":""},{"dropping-particle":"","family":"Klerk","given":"Nick","non-dropping-particle":"de","parse-names":false,"suffix":""},{"dropping-particle":"","family":"Drummer","given":"Olaf","non-dropping-particle":"","parse-names":false,"suffix":""},{"dropping-particle":"","family":"Gerostamoulos","given":"Jim","non-dropping-particle":"","parse-names":false,"suffix":""},{"dropping-particle":"","family":"Bastone","given":"Elisa B.","non-dropping-particle":"","parse-names":false,"suffix":""}],"container-title":"Environmental Research","id":"ITEM-1","issue":"3","issued":{"date-parts":[["2002","3"]]},"page":"219-224","title":"Are 24-Hour Urine Samples and Creatinine Adjustment Required for Analysis of Inorganic Arsenic in Urine in Population Studies?","type":"article-journal","volume":"88"},"uris":["http://www.mendeley.com/documents/?uuid=7b6ff894-eff8-4b3a-8988-7f1ea051f2cf"]}],"mendeley":{"formattedCitation":"&lt;sup&gt;38&lt;/sup&gt;","plainTextFormattedCitation":"38","previouslyFormattedCitation":"&lt;sup&gt;38&lt;/sup&gt;"},"properties":{"noteIndex":0},"schema":"https://github.com/citation-style-language/schema/raw/master/csl-citation.json"}</w:instrText>
      </w:r>
      <w:r w:rsidR="003268D3">
        <w:fldChar w:fldCharType="separate"/>
      </w:r>
      <w:r w:rsidR="00FD5E5E" w:rsidRPr="00FD5E5E">
        <w:rPr>
          <w:noProof/>
          <w:vertAlign w:val="superscript"/>
        </w:rPr>
        <w:t>38</w:t>
      </w:r>
      <w:r w:rsidR="003268D3">
        <w:fldChar w:fldCharType="end"/>
      </w:r>
      <w:r w:rsidR="003A6250">
        <w:t xml:space="preserve">  In addition, creatinine levels are also linked to muscle mass changes and thus may complicate interpretation of muscle quality as well.</w:t>
      </w:r>
      <w:r w:rsidR="004B08F6">
        <w:fldChar w:fldCharType="begin" w:fldLock="1"/>
      </w:r>
      <w:r w:rsidR="00FD5E5E">
        <w:instrText>ADDIN CSL_CITATION {"citationItems":[{"id":"ITEM-1","itemData":{"DOI":"10.1289/ehp.113-a442a","ISBN":"0091-6765 (Print)\\r0091-6765 (Linking)","ISSN":"00916765","PMID":"16002357","author":[{"dropping-particle":"V.","family":"Gamble","given":"Mary","non-dropping-particle":"","parse-names":false,"suffix":""},{"dropping-particle":"","family":"Liu","given":"Xinhua","non-dropping-particle":"","parse-names":false,"suffix":""}],"container-title":"Environmental Health Perspectives","id":"ITEM-1","issue":"7","issued":{"date-parts":[["2005"]]},"note":"this is the dicussion on creatinine that is needed-add to methods section","title":"Urinary creatinine and arsenic metabolism [1]","type":"article","volume":"113"},"uris":["http://www.mendeley.com/documents/?uuid=26879c39-07b5-3f65-86ac-a9abd13051b2"]}],"mendeley":{"formattedCitation":"&lt;sup&gt;39&lt;/sup&gt;","plainTextFormattedCitation":"39","previouslyFormattedCitation":"&lt;sup&gt;39&lt;/sup&gt;"},"properties":{"noteIndex":0},"schema":"https://github.com/citation-style-language/schema/raw/master/csl-citation.json"}</w:instrText>
      </w:r>
      <w:r w:rsidR="004B08F6">
        <w:fldChar w:fldCharType="separate"/>
      </w:r>
      <w:r w:rsidR="00FD5E5E" w:rsidRPr="00FD5E5E">
        <w:rPr>
          <w:noProof/>
          <w:vertAlign w:val="superscript"/>
        </w:rPr>
        <w:t>39</w:t>
      </w:r>
      <w:r w:rsidR="004B08F6">
        <w:fldChar w:fldCharType="end"/>
      </w:r>
    </w:p>
    <w:p w14:paraId="0903EB86" w14:textId="032774C3" w:rsidR="005D75DC" w:rsidRDefault="00CD3CC3" w:rsidP="00B871C0">
      <w:pPr>
        <w:pStyle w:val="Heading3"/>
      </w:pPr>
      <w:bookmarkStart w:id="13" w:name="_Toc532467859"/>
      <w:r>
        <w:t>DXA Lean Mass</w:t>
      </w:r>
      <w:r w:rsidR="005D75DC">
        <w:t xml:space="preserve"> Measurements</w:t>
      </w:r>
      <w:bookmarkEnd w:id="13"/>
    </w:p>
    <w:p w14:paraId="766F2774" w14:textId="74380DA9" w:rsidR="005D75DC" w:rsidRDefault="00F37AF3" w:rsidP="005D75DC">
      <w:r>
        <w:t xml:space="preserve">Lean mass </w:t>
      </w:r>
      <w:r w:rsidR="003A6250">
        <w:t>was measured using d</w:t>
      </w:r>
      <w:r w:rsidR="005D75DC">
        <w:t xml:space="preserve">ual-energy X-ray absorptiometry (DXA) scans taken with a Hologic QDR-4500A fan-beam densitometer (Hologic, Inc, Bedford, Massachusetts) administered via Hologic Discovery v12.4 software at the </w:t>
      </w:r>
      <w:r w:rsidR="003A6250">
        <w:t xml:space="preserve">NHANES </w:t>
      </w:r>
      <w:r w:rsidR="005D75DC">
        <w:t xml:space="preserve">mobile examination center. Participants were scanned with an x-ray source using a fan-beam scan geometry in three one </w:t>
      </w:r>
      <w:r w:rsidR="005D75DC">
        <w:lastRenderedPageBreak/>
        <w:t>minute long passes while positioned supine with feet held neutral and hands flat by their sides. Participants who self-reported pregnancy or had a positive pregnancy test, had used a radiographic contrast material in the past 7 days, weighed over 300lbs, or were over 6’5” were not scanned.</w:t>
      </w:r>
      <w:r w:rsidR="005D75DC">
        <w:fldChar w:fldCharType="begin" w:fldLock="1"/>
      </w:r>
      <w:r w:rsidR="00FD5E5E">
        <w:instrText>ADDIN CSL_CITATION {"citationItems":[{"id":"ITEM-1","itemData":{"URL":"https://wwwn.cdc.gov/Nchs/Nhanes/2005-2006/DXX_D.htm#Protocol_and_Procedure","accessed":{"date-parts":[["2018","10","20"]]},"author":[{"dropping-particle":"","family":"National Center for Health Statistics","given":"","non-dropping-particle":"","parse-names":false,"suffix":""}],"id":"ITEM-1","issued":{"date-parts":[["2016"]]},"title":"National Health and Nutrition Examination Survey - 2005-2006 Data Documentation, Codebook, and Frequencies Dual-Energy X-ray Absorptiometry - Whole Body (DXX_D)","type":"webpage"},"uris":["http://www.mendeley.com/documents/?uuid=ac7ce52c-9fe0-4f33-a0b4-b5661dba8cf4"]}],"mendeley":{"formattedCitation":"&lt;sup&gt;40&lt;/sup&gt;","plainTextFormattedCitation":"40","previouslyFormattedCitation":"&lt;sup&gt;40&lt;/sup&gt;"},"properties":{"noteIndex":0},"schema":"https://github.com/citation-style-language/schema/raw/master/csl-citation.json"}</w:instrText>
      </w:r>
      <w:r w:rsidR="005D75DC">
        <w:fldChar w:fldCharType="separate"/>
      </w:r>
      <w:r w:rsidR="00FD5E5E" w:rsidRPr="00FD5E5E">
        <w:rPr>
          <w:noProof/>
          <w:vertAlign w:val="superscript"/>
        </w:rPr>
        <w:t>40</w:t>
      </w:r>
      <w:r w:rsidR="005D75DC">
        <w:fldChar w:fldCharType="end"/>
      </w:r>
    </w:p>
    <w:p w14:paraId="21498631" w14:textId="29F994CD" w:rsidR="003A6250" w:rsidRPr="00F37AF3" w:rsidRDefault="005D75DC" w:rsidP="00F37AF3">
      <w:r>
        <w:t>As the QDR-4500A was found to underestimate fat mass and overestimate lean mass</w:t>
      </w:r>
      <w:r>
        <w:fldChar w:fldCharType="begin" w:fldLock="1"/>
      </w:r>
      <w:r w:rsidR="00FD5E5E">
        <w:instrText>ADDIN CSL_CITATION {"citationItems":[{"id":"ITEM-1","itemData":{"DOI":"10.1093/ajcn/81.5.1018","ISSN":"0002-9165","PMID":"15883424","abstract":"BACKGROUND Dual-energy X-ray absorptiometry (DXA) has become one of the most frequently used methods for estimating human body composition. Although the DXA technique has been validated for the measurement of fat-free mass and fat mass, differences in calibration between instruments produced by different manufacturers, as well as between different models produced by the same manufacturer, have been reported. OBJECTIVE The objective was to compare the calibration of the QDR 4500A against criterion methods in a large heterogeneous population. DESIGN DXA-derived body-composition data were obtained from 7 studies: 6 data sets were provided by the investigators, one of which was published. The data included fat mass and fat-free mass measured with a QDR 4500A and criteria measurements of body composition from total body water by dilution at 4 centers, densitometry from 1 center, and four-compartment analysis at 2 centers. RESULTS In the cohort of 1195 subjects, 602 men and 593 women aged 19-82 y with a body mass index (in kg/m2) of 16-44, the fan-beam DXA overestimated fat-free mass (P &lt; 0.05). A significant difference was observed in all 7 data sets, and the mean (+/-SE) was 5 +/- 1%. CONCLUSIONS It is recommended that the lean soft tissue mass estimate with the fan-beam QDR 4500A be reduced by 5% and that for fat mass be increased by that same mass. This finding is particularly important because the National Health and Nutrition Examination Survey is using the QDR 4500A to assess body composition in a nationally representative sample of persons in the United States.","author":[{"dropping-particle":"","family":"Schoeller","given":"Dale A","non-dropping-particle":"","parse-names":false,"suffix":""},{"dropping-particle":"","family":"Tylavsky","given":"Frances A","non-dropping-particle":"","parse-names":false,"suffix":""},{"dropping-particle":"","family":"Baer","given":"David J","non-dropping-particle":"","parse-names":false,"suffix":""},{"dropping-particle":"","family":"Chumlea","given":"William C","non-dropping-particle":"","parse-names":false,"suffix":""},{"dropping-particle":"","family":"Earthman","given":"Carrie P","non-dropping-particle":"","parse-names":false,"suffix":""},{"dropping-particle":"","family":"Fuerst","given":"Thomas","non-dropping-particle":"","parse-names":false,"suffix":""},{"dropping-particle":"","family":"Harris","given":"Tamara B","non-dropping-particle":"","parse-names":false,"suffix":""},{"dropping-particle":"","family":"Heymsfield","given":"Steven B","non-dropping-particle":"","parse-names":false,"suffix":""},{"dropping-particle":"","family":"Horlick","given":"Mary","non-dropping-particle":"","parse-names":false,"suffix":""},{"dropping-particle":"","family":"Lohman","given":"Timothy G","non-dropping-particle":"","parse-names":false,"suffix":""},{"dropping-particle":"","family":"Lukaski","given":"Henry C","non-dropping-particle":"","parse-names":false,"suffix":""},{"dropping-particle":"","family":"Shepherd","given":"John","non-dropping-particle":"","parse-names":false,"suffix":""},{"dropping-particle":"","family":"Siervogel","given":"Roger M","non-dropping-particle":"","parse-names":false,"suffix":""},{"dropping-particle":"","family":"Borrud","given":"Lori G","non-dropping-particle":"","parse-names":false,"suffix":""}],"container-title":"The American journal of clinical nutrition","id":"ITEM-1","issue":"5","issued":{"date-parts":[["2005","5"]]},"page":"1018-25","title":"QDR 4500A dual-energy X-ray absorptiometer underestimates fat mass in comparison with criterion methods in adults.","type":"article-journal","volume":"81"},"uris":["http://www.mendeley.com/documents/?uuid=e5200e4c-82d0-4db0-bbbf-7b80e180eacd"]}],"mendeley":{"formattedCitation":"&lt;sup&gt;41&lt;/sup&gt;","plainTextFormattedCitation":"41","previouslyFormattedCitation":"&lt;sup&gt;41&lt;/sup&gt;"},"properties":{"noteIndex":0},"schema":"https://github.com/citation-style-language/schema/raw/master/csl-citation.json"}</w:instrText>
      </w:r>
      <w:r>
        <w:fldChar w:fldCharType="separate"/>
      </w:r>
      <w:r w:rsidR="00FD5E5E" w:rsidRPr="00FD5E5E">
        <w:rPr>
          <w:noProof/>
          <w:vertAlign w:val="superscript"/>
        </w:rPr>
        <w:t>41</w:t>
      </w:r>
      <w:r>
        <w:fldChar w:fldCharType="end"/>
      </w:r>
      <w:r w:rsidR="0065731D">
        <w:t xml:space="preserve"> the NHANES DX</w:t>
      </w:r>
      <w:r>
        <w:t xml:space="preserve">A lean mass </w:t>
      </w:r>
      <w:r w:rsidR="0065731D">
        <w:t>measurements were</w:t>
      </w:r>
      <w:r>
        <w:t xml:space="preserve"> decreased by 5% and the equivalent weight in kilograms w</w:t>
      </w:r>
      <w:r w:rsidR="0065731D">
        <w:t>ere</w:t>
      </w:r>
      <w:r>
        <w:t xml:space="preserve"> added to fat mass, in order to maintain consistency in overall mass</w:t>
      </w:r>
      <w:r w:rsidR="00224AAF">
        <w:t xml:space="preserve"> while accounting for this overestimation</w:t>
      </w:r>
      <w:r>
        <w:t xml:space="preserve">. NHANES DXA data was imputed via the </w:t>
      </w:r>
      <w:proofErr w:type="spellStart"/>
      <w:r>
        <w:t>IVEware</w:t>
      </w:r>
      <w:proofErr w:type="spellEnd"/>
      <w:r>
        <w:t xml:space="preserve"> software developed by the Survey Methodology Program at the University of Michigan’s Institute of Survey Research. Five complete records containing measured and/or imputed values were </w:t>
      </w:r>
      <w:r w:rsidRPr="00F37AF3">
        <w:t xml:space="preserve">created for each participant, each with a different set of imputed data. If a participant had </w:t>
      </w:r>
      <w:r w:rsidR="00A317DE" w:rsidRPr="00F37AF3">
        <w:t>valid data for a given DXA variable, the value is the same for all 5 imputation versions</w:t>
      </w:r>
      <w:r w:rsidRPr="00F37AF3">
        <w:t>.</w:t>
      </w:r>
      <w:r w:rsidRPr="00F37AF3">
        <w:fldChar w:fldCharType="begin" w:fldLock="1"/>
      </w:r>
      <w:r w:rsidR="00FD5E5E">
        <w:instrText>ADDIN CSL_CITATION {"citationItems":[{"id":"ITEM-1","itemData":{"URL":"https://wwwn.cdc.gov/Nchs/Nhanes/2005-2006/DXX_D.htm#Protocol_and_Procedure","accessed":{"date-parts":[["2018","10","20"]]},"author":[{"dropping-particle":"","family":"National Center for Health Statistics","given":"","non-dropping-particle":"","parse-names":false,"suffix":""}],"id":"ITEM-1","issued":{"date-parts":[["2016"]]},"title":"National Health and Nutrition Examination Survey - 2005-2006 Data Documentation, Codebook, and Frequencies Dual-Energy X-ray Absorptiometry - Whole Body (DXX_D)","type":"webpage"},"uris":["http://www.mendeley.com/documents/?uuid=ac7ce52c-9fe0-4f33-a0b4-b5661dba8cf4"]}],"mendeley":{"formattedCitation":"&lt;sup&gt;40&lt;/sup&gt;","plainTextFormattedCitation":"40","previouslyFormattedCitation":"&lt;sup&gt;40&lt;/sup&gt;"},"properties":{"noteIndex":0},"schema":"https://github.com/citation-style-language/schema/raw/master/csl-citation.json"}</w:instrText>
      </w:r>
      <w:r w:rsidRPr="00F37AF3">
        <w:fldChar w:fldCharType="separate"/>
      </w:r>
      <w:r w:rsidR="00FD5E5E" w:rsidRPr="00FD5E5E">
        <w:rPr>
          <w:noProof/>
          <w:vertAlign w:val="superscript"/>
        </w:rPr>
        <w:t>40</w:t>
      </w:r>
      <w:r w:rsidRPr="00F37AF3">
        <w:fldChar w:fldCharType="end"/>
      </w:r>
    </w:p>
    <w:p w14:paraId="3DD173FE" w14:textId="447B0CCC" w:rsidR="00F37AF3" w:rsidRPr="00F37AF3" w:rsidRDefault="00F37AF3" w:rsidP="00F37AF3">
      <w:pPr>
        <w:pStyle w:val="CommentText"/>
        <w:spacing w:line="480" w:lineRule="auto"/>
        <w:rPr>
          <w:sz w:val="24"/>
          <w:szCs w:val="24"/>
        </w:rPr>
      </w:pPr>
      <w:r>
        <w:rPr>
          <w:sz w:val="24"/>
          <w:szCs w:val="24"/>
        </w:rPr>
        <w:t>T</w:t>
      </w:r>
      <w:r w:rsidRPr="00F37AF3">
        <w:rPr>
          <w:sz w:val="24"/>
          <w:szCs w:val="24"/>
        </w:rPr>
        <w:t xml:space="preserve">he </w:t>
      </w:r>
      <w:r>
        <w:rPr>
          <w:sz w:val="24"/>
          <w:szCs w:val="24"/>
        </w:rPr>
        <w:t xml:space="preserve">DXA generated whole-body </w:t>
      </w:r>
      <w:r w:rsidRPr="00F37AF3">
        <w:rPr>
          <w:sz w:val="24"/>
          <w:szCs w:val="24"/>
        </w:rPr>
        <w:t xml:space="preserve">lean mass represents </w:t>
      </w:r>
      <w:r>
        <w:rPr>
          <w:sz w:val="24"/>
          <w:szCs w:val="24"/>
        </w:rPr>
        <w:t xml:space="preserve">some parameters </w:t>
      </w:r>
      <w:r w:rsidRPr="00F37AF3">
        <w:rPr>
          <w:sz w:val="24"/>
          <w:szCs w:val="24"/>
        </w:rPr>
        <w:t>other than muscle</w:t>
      </w:r>
      <w:r>
        <w:rPr>
          <w:sz w:val="24"/>
          <w:szCs w:val="24"/>
        </w:rPr>
        <w:t>, such as organ weight.</w:t>
      </w:r>
      <w:r w:rsidRPr="00F37AF3">
        <w:rPr>
          <w:sz w:val="24"/>
          <w:szCs w:val="24"/>
        </w:rPr>
        <w:t xml:space="preserve"> </w:t>
      </w:r>
      <w:r w:rsidR="005D75DC" w:rsidRPr="00F37AF3">
        <w:rPr>
          <w:sz w:val="24"/>
          <w:szCs w:val="24"/>
        </w:rPr>
        <w:t xml:space="preserve">For </w:t>
      </w:r>
      <w:r>
        <w:rPr>
          <w:sz w:val="24"/>
          <w:szCs w:val="24"/>
        </w:rPr>
        <w:t xml:space="preserve">that reason, for </w:t>
      </w:r>
      <w:r w:rsidR="005D75DC" w:rsidRPr="00F37AF3">
        <w:rPr>
          <w:sz w:val="24"/>
          <w:szCs w:val="24"/>
        </w:rPr>
        <w:t>the purposes of this study, we were interested in the appendicular lean mass (ALM). This was calculated as the sum of the lean mass, excluding bone mass, from the arms and legs</w:t>
      </w:r>
      <w:r w:rsidR="005D75DC" w:rsidRPr="00F37AF3">
        <w:rPr>
          <w:sz w:val="24"/>
          <w:szCs w:val="24"/>
        </w:rPr>
        <w:fldChar w:fldCharType="begin" w:fldLock="1"/>
      </w:r>
      <w:r w:rsidR="00FD5E5E">
        <w:rPr>
          <w:sz w:val="24"/>
          <w:szCs w:val="24"/>
        </w:rPr>
        <w:instrText>ADDIN CSL_CITATION {"citationItems":[{"id":"ITEM-1","itemData":{"DOI":"10.1093/ajcn/52.2.214","ISSN":"0002-9165","PMID":"2375286","abstract":"Dual-photon absorptiometry (DPA) allows separation of body mass into bone mineral, fat, and fat-free soft tissue. This report evaluates the potential of DPA to isolate appendages of human subjects and to quantify extremity skeletal muscle mass (limb fat-free soft tissue). The method was evaluated in 34 healthy adults who underwent DPA study, anthropometry of the limbs, and estimation of whole-body skeletal muscle by models based on total body potassium (TBK) and nitrogen (TBN) and on fat-free body mass (FFM). DPA appendicular skeletal muscle (22.0 +/- 3.1 kg, mean +/- SD) represented 38.7% of FFM, with similar proportions in males and females. There were strong correlations (all p less than 0.001) between limb muscle mass estimated by DPA and anthropometric limb muscle areas (r = 0.82-0.92), TBK (r = 0.94), and total-body muscle mass based on TBK-FFM (r = 0.82) and TBK-TBN (r = 0.82) models. Appendicular skeletal muscle mass estimated by DPA is thus a potentially practical and accurate method of quantifying human skeletal muscle mass in vivo.","author":[{"dropping-particle":"","family":"Heymsfield","given":"Steven B","non-dropping-particle":"","parse-names":false,"suffix":""},{"dropping-particle":"","family":"Smith","given":"Rebecca","non-dropping-particle":"","parse-names":false,"suffix":""},{"dropping-particle":"","family":"Aulet","given":"Mary","non-dropping-particle":"","parse-names":false,"suffix":""},{"dropping-particle":"","family":"Bensen","given":"Brooke","non-dropping-particle":"","parse-names":false,"suffix":""},{"dropping-particle":"","family":"Lichtman","given":"Steven","non-dropping-particle":"","parse-names":false,"suffix":""},{"dropping-particle":"","family":"Wang","given":"Jack","non-dropping-particle":"","parse-names":false,"suffix":""},{"dropping-particle":"","family":"Pierson","given":"R N","non-dropping-particle":"","parse-names":false,"suffix":""}],"container-title":"The American journal of clinical nutrition","id":"ITEM-1","issue":"2","issued":{"date-parts":[["1990","8"]]},"note":"how to measure alm","page":"214-8","title":"Appendicular skeletal muscle mass: measurement by dual-photon absorptiometry.","type":"article-journal","volume":"52"},"uris":["http://www.mendeley.com/documents/?uuid=5803359a-0b2b-30e6-bfa8-834ea2094ccc"]}],"mendeley":{"formattedCitation":"&lt;sup&gt;42&lt;/sup&gt;","plainTextFormattedCitation":"42","previouslyFormattedCitation":"&lt;sup&gt;42&lt;/sup&gt;"},"properties":{"noteIndex":0},"schema":"https://github.com/citation-style-language/schema/raw/master/csl-citation.json"}</w:instrText>
      </w:r>
      <w:r w:rsidR="005D75DC" w:rsidRPr="00F37AF3">
        <w:rPr>
          <w:sz w:val="24"/>
          <w:szCs w:val="24"/>
        </w:rPr>
        <w:fldChar w:fldCharType="separate"/>
      </w:r>
      <w:r w:rsidR="00FD5E5E" w:rsidRPr="00FD5E5E">
        <w:rPr>
          <w:noProof/>
          <w:sz w:val="24"/>
          <w:szCs w:val="24"/>
          <w:vertAlign w:val="superscript"/>
        </w:rPr>
        <w:t>42</w:t>
      </w:r>
      <w:r w:rsidR="005D75DC" w:rsidRPr="00F37AF3">
        <w:rPr>
          <w:sz w:val="24"/>
          <w:szCs w:val="24"/>
        </w:rPr>
        <w:fldChar w:fldCharType="end"/>
      </w:r>
      <w:r w:rsidR="005D75DC" w:rsidRPr="00F37AF3">
        <w:rPr>
          <w:sz w:val="24"/>
          <w:szCs w:val="24"/>
        </w:rPr>
        <w:t>.</w:t>
      </w:r>
      <w:r w:rsidRPr="00F37AF3">
        <w:rPr>
          <w:sz w:val="24"/>
          <w:szCs w:val="24"/>
        </w:rPr>
        <w:t xml:space="preserve"> </w:t>
      </w:r>
    </w:p>
    <w:p w14:paraId="4EBD07E6" w14:textId="77777777" w:rsidR="00E35361" w:rsidRDefault="002C042A" w:rsidP="00EF39FA">
      <w:pPr>
        <w:pStyle w:val="Heading2"/>
      </w:pPr>
      <w:bookmarkStart w:id="14" w:name="_Toc532467860"/>
      <w:r>
        <w:t>Statistical analys</w:t>
      </w:r>
      <w:r w:rsidR="00401D0C">
        <w:t>e</w:t>
      </w:r>
      <w:r w:rsidR="00EF39FA">
        <w:t>s</w:t>
      </w:r>
      <w:bookmarkEnd w:id="14"/>
    </w:p>
    <w:p w14:paraId="44E4EBE7" w14:textId="77777777" w:rsidR="007F0A87" w:rsidRPr="007F0A87" w:rsidRDefault="007F0A87" w:rsidP="007F0A87">
      <w:r>
        <w:t>All analyses were conducted using SAS 9.4. Due to the complex sampling scheme of NHANES, SAS survey procedures were used where appropriate.</w:t>
      </w:r>
      <w:r w:rsidR="002C042A">
        <w:t xml:space="preserve"> Multiple imputation analysis procedures were used to address the multiply imputed DXA measurements.</w:t>
      </w:r>
      <w:r w:rsidR="0066097B">
        <w:t xml:space="preserve"> </w:t>
      </w:r>
    </w:p>
    <w:p w14:paraId="0707059E" w14:textId="7D2A19F2" w:rsidR="0066097B" w:rsidRDefault="0066097B" w:rsidP="0066097B">
      <w:r>
        <w:lastRenderedPageBreak/>
        <w:t xml:space="preserve">Linear models were fit using SAS survey regression and analyzed using the multiple imputation function in order to account for the complex sampling scheme of NHANES and the imputation of missing DXA measurements. All models were adjusted for height, age, and gender, as they are known predictors of ALM. </w:t>
      </w:r>
      <w:r w:rsidR="001227A0">
        <w:t>In arsenic research, it is common to adjust for creatinine in order to account for varying urine dilu</w:t>
      </w:r>
      <w:r w:rsidR="00CD3CC3">
        <w:t xml:space="preserve">tion. However, creatinine is also correlated with overall lean body mass. </w:t>
      </w:r>
      <w:r>
        <w:t>All models are presented both with and without adjustment for creatinine, as there is not a clear scientific consensus on whether this adjustment is appropriate due to its role in 1-carbon metabolism and correlations with overall muscle mass.</w:t>
      </w:r>
      <w:r>
        <w:fldChar w:fldCharType="begin" w:fldLock="1"/>
      </w:r>
      <w:r w:rsidR="00FD5E5E">
        <w:instrText>ADDIN CSL_CITATION {"citationItems":[{"id":"ITEM-1","itemData":{"DOI":"10.1289/ehp.113-a442a","ISBN":"0091-6765 (Print)\\r0091-6765 (Linking)","ISSN":"00916765","PMID":"16002357","author":[{"dropping-particle":"V.","family":"Gamble","given":"Mary","non-dropping-particle":"","parse-names":false,"suffix":""},{"dropping-particle":"","family":"Liu","given":"Xinhua","non-dropping-particle":"","parse-names":false,"suffix":""}],"container-title":"Environmental Health Perspectives","id":"ITEM-1","issue":"7","issued":{"date-parts":[["2005"]]},"note":"this is the dicussion on creatinine that is needed-add to methods section","title":"Urinary creatinine and arsenic metabolism [1]","type":"article","volume":"113"},"uris":["http://www.mendeley.com/documents/?uuid=26879c39-07b5-3f65-86ac-a9abd13051b2"]}],"mendeley":{"formattedCitation":"&lt;sup&gt;39&lt;/sup&gt;","plainTextFormattedCitation":"39","previouslyFormattedCitation":"&lt;sup&gt;39&lt;/sup&gt;"},"properties":{"noteIndex":0},"schema":"https://github.com/citation-style-language/schema/raw/master/csl-citation.json"}</w:instrText>
      </w:r>
      <w:r>
        <w:fldChar w:fldCharType="separate"/>
      </w:r>
      <w:r w:rsidR="00FD5E5E" w:rsidRPr="00FD5E5E">
        <w:rPr>
          <w:noProof/>
          <w:vertAlign w:val="superscript"/>
        </w:rPr>
        <w:t>39</w:t>
      </w:r>
      <w:r>
        <w:fldChar w:fldCharType="end"/>
      </w:r>
    </w:p>
    <w:p w14:paraId="336F2403" w14:textId="77777777" w:rsidR="0066097B" w:rsidRPr="0066097B" w:rsidRDefault="0066097B" w:rsidP="0066097B"/>
    <w:p w14:paraId="49C567F9" w14:textId="77777777" w:rsidR="002D4801" w:rsidRDefault="002D4801" w:rsidP="002D4801">
      <w:pPr>
        <w:pStyle w:val="Heading1"/>
      </w:pPr>
      <w:bookmarkStart w:id="15" w:name="_Toc532467861"/>
      <w:r>
        <w:lastRenderedPageBreak/>
        <w:t>Results</w:t>
      </w:r>
      <w:bookmarkEnd w:id="15"/>
    </w:p>
    <w:p w14:paraId="35328FFA" w14:textId="011E061C" w:rsidR="000138D0" w:rsidRDefault="000138D0" w:rsidP="000138D0">
      <w:pPr>
        <w:pStyle w:val="Caption"/>
        <w:keepNext/>
        <w:ind w:firstLine="0"/>
        <w:jc w:val="center"/>
      </w:pPr>
      <w:bookmarkStart w:id="16" w:name="_Toc532468798"/>
      <w:bookmarkStart w:id="17" w:name="_Hlk531251470"/>
      <w:r>
        <w:t xml:space="preserve">Table </w:t>
      </w:r>
      <w:r w:rsidR="005F16D3">
        <w:rPr>
          <w:noProof/>
        </w:rPr>
        <w:fldChar w:fldCharType="begin"/>
      </w:r>
      <w:r w:rsidR="005F16D3">
        <w:rPr>
          <w:noProof/>
        </w:rPr>
        <w:instrText xml:space="preserve"> SEQ Table \* ARABIC </w:instrText>
      </w:r>
      <w:r w:rsidR="005F16D3">
        <w:rPr>
          <w:noProof/>
        </w:rPr>
        <w:fldChar w:fldCharType="separate"/>
      </w:r>
      <w:r w:rsidR="00485821">
        <w:rPr>
          <w:noProof/>
        </w:rPr>
        <w:t>1</w:t>
      </w:r>
      <w:r w:rsidR="005F16D3">
        <w:rPr>
          <w:noProof/>
        </w:rPr>
        <w:fldChar w:fldCharType="end"/>
      </w:r>
      <w:r>
        <w:t xml:space="preserve">. </w:t>
      </w:r>
      <w:r w:rsidRPr="002E5CEF">
        <w:t>Participant Characteristics</w:t>
      </w:r>
      <w:bookmarkEnd w:id="16"/>
    </w:p>
    <w:tbl>
      <w:tblPr>
        <w:tblW w:w="0" w:type="auto"/>
        <w:jc w:val="center"/>
        <w:tblLook w:val="01E0" w:firstRow="1" w:lastRow="1" w:firstColumn="1" w:lastColumn="1" w:noHBand="0" w:noVBand="0"/>
      </w:tblPr>
      <w:tblGrid>
        <w:gridCol w:w="2612"/>
        <w:gridCol w:w="2613"/>
      </w:tblGrid>
      <w:tr w:rsidR="00600735" w14:paraId="184747D7" w14:textId="77777777" w:rsidTr="00600735">
        <w:trPr>
          <w:jc w:val="center"/>
        </w:trPr>
        <w:tc>
          <w:tcPr>
            <w:tcW w:w="2612" w:type="dxa"/>
            <w:tcBorders>
              <w:top w:val="single" w:sz="4" w:space="0" w:color="auto"/>
              <w:bottom w:val="single" w:sz="4" w:space="0" w:color="auto"/>
            </w:tcBorders>
            <w:shd w:val="clear" w:color="auto" w:fill="auto"/>
          </w:tcPr>
          <w:p w14:paraId="6FCA3F76" w14:textId="77777777" w:rsidR="00600735" w:rsidRDefault="00600735" w:rsidP="00600735">
            <w:pPr>
              <w:spacing w:line="276" w:lineRule="auto"/>
              <w:ind w:firstLine="0"/>
              <w:jc w:val="center"/>
            </w:pPr>
          </w:p>
        </w:tc>
        <w:tc>
          <w:tcPr>
            <w:tcW w:w="2613" w:type="dxa"/>
            <w:tcBorders>
              <w:top w:val="single" w:sz="4" w:space="0" w:color="auto"/>
              <w:bottom w:val="single" w:sz="4" w:space="0" w:color="auto"/>
            </w:tcBorders>
            <w:shd w:val="clear" w:color="auto" w:fill="auto"/>
          </w:tcPr>
          <w:p w14:paraId="3CF1834F" w14:textId="77777777" w:rsidR="00600735" w:rsidRDefault="00600735" w:rsidP="00600735">
            <w:pPr>
              <w:spacing w:line="276" w:lineRule="auto"/>
              <w:ind w:firstLine="0"/>
              <w:jc w:val="center"/>
            </w:pPr>
            <w:r>
              <w:t>Median (IQR)</w:t>
            </w:r>
          </w:p>
        </w:tc>
      </w:tr>
      <w:tr w:rsidR="00600735" w14:paraId="7B64B21B" w14:textId="77777777" w:rsidTr="00600735">
        <w:trPr>
          <w:jc w:val="center"/>
        </w:trPr>
        <w:tc>
          <w:tcPr>
            <w:tcW w:w="2612" w:type="dxa"/>
            <w:tcBorders>
              <w:top w:val="single" w:sz="4" w:space="0" w:color="auto"/>
            </w:tcBorders>
            <w:shd w:val="clear" w:color="auto" w:fill="auto"/>
          </w:tcPr>
          <w:p w14:paraId="019BCA4B" w14:textId="77777777" w:rsidR="00600735" w:rsidRDefault="00600735" w:rsidP="00600735">
            <w:pPr>
              <w:spacing w:line="276" w:lineRule="auto"/>
              <w:ind w:firstLine="0"/>
              <w:jc w:val="center"/>
            </w:pPr>
            <w:r>
              <w:t>N</w:t>
            </w:r>
          </w:p>
        </w:tc>
        <w:tc>
          <w:tcPr>
            <w:tcW w:w="2613" w:type="dxa"/>
            <w:tcBorders>
              <w:top w:val="single" w:sz="4" w:space="0" w:color="auto"/>
            </w:tcBorders>
            <w:shd w:val="clear" w:color="auto" w:fill="auto"/>
          </w:tcPr>
          <w:p w14:paraId="50AC41CA" w14:textId="77777777" w:rsidR="00600735" w:rsidRDefault="00600735" w:rsidP="00600735">
            <w:pPr>
              <w:spacing w:line="276" w:lineRule="auto"/>
              <w:ind w:firstLine="0"/>
              <w:jc w:val="center"/>
            </w:pPr>
            <w:r>
              <w:t>1007</w:t>
            </w:r>
          </w:p>
        </w:tc>
      </w:tr>
      <w:tr w:rsidR="00600735" w14:paraId="6C036E9C" w14:textId="77777777" w:rsidTr="009851B1">
        <w:trPr>
          <w:jc w:val="center"/>
        </w:trPr>
        <w:tc>
          <w:tcPr>
            <w:tcW w:w="2612" w:type="dxa"/>
            <w:shd w:val="clear" w:color="auto" w:fill="auto"/>
          </w:tcPr>
          <w:p w14:paraId="6111A54D" w14:textId="77777777" w:rsidR="00600735" w:rsidRDefault="00600735" w:rsidP="00600735">
            <w:pPr>
              <w:spacing w:line="276" w:lineRule="auto"/>
              <w:ind w:firstLine="0"/>
              <w:jc w:val="center"/>
            </w:pPr>
            <w:r>
              <w:t>Age (years)</w:t>
            </w:r>
          </w:p>
        </w:tc>
        <w:tc>
          <w:tcPr>
            <w:tcW w:w="2613" w:type="dxa"/>
            <w:shd w:val="clear" w:color="auto" w:fill="auto"/>
          </w:tcPr>
          <w:p w14:paraId="7CFF5F99" w14:textId="77777777" w:rsidR="00600735" w:rsidRDefault="00600735" w:rsidP="00600735">
            <w:pPr>
              <w:spacing w:line="276" w:lineRule="auto"/>
              <w:ind w:firstLine="0"/>
              <w:jc w:val="center"/>
            </w:pPr>
            <w:r>
              <w:t>43.1 (31.5-53.3)</w:t>
            </w:r>
          </w:p>
        </w:tc>
      </w:tr>
      <w:tr w:rsidR="00600735" w14:paraId="3BCAE664" w14:textId="77777777" w:rsidTr="009851B1">
        <w:trPr>
          <w:jc w:val="center"/>
        </w:trPr>
        <w:tc>
          <w:tcPr>
            <w:tcW w:w="2612" w:type="dxa"/>
            <w:shd w:val="clear" w:color="auto" w:fill="auto"/>
          </w:tcPr>
          <w:p w14:paraId="5AB74497" w14:textId="77777777" w:rsidR="00600735" w:rsidRDefault="00600735" w:rsidP="00600735">
            <w:pPr>
              <w:spacing w:line="276" w:lineRule="auto"/>
              <w:ind w:firstLine="0"/>
              <w:jc w:val="center"/>
            </w:pPr>
            <w:r>
              <w:t>Gender</w:t>
            </w:r>
          </w:p>
        </w:tc>
        <w:tc>
          <w:tcPr>
            <w:tcW w:w="2613" w:type="dxa"/>
            <w:shd w:val="clear" w:color="auto" w:fill="auto"/>
          </w:tcPr>
          <w:p w14:paraId="43CF40AD" w14:textId="77777777" w:rsidR="00600735" w:rsidRDefault="00600735" w:rsidP="00600735">
            <w:pPr>
              <w:spacing w:line="276" w:lineRule="auto"/>
              <w:ind w:firstLine="0"/>
              <w:jc w:val="center"/>
            </w:pPr>
            <w:r>
              <w:t>50.9% (509) male</w:t>
            </w:r>
          </w:p>
          <w:p w14:paraId="00F1154D" w14:textId="77777777" w:rsidR="00600735" w:rsidRDefault="00600735" w:rsidP="00600735">
            <w:pPr>
              <w:spacing w:line="276" w:lineRule="auto"/>
              <w:ind w:firstLine="0"/>
              <w:jc w:val="center"/>
            </w:pPr>
            <w:r>
              <w:t>49.1% (498) female</w:t>
            </w:r>
          </w:p>
        </w:tc>
      </w:tr>
      <w:tr w:rsidR="00600735" w14:paraId="1B076D8E" w14:textId="77777777" w:rsidTr="009851B1">
        <w:trPr>
          <w:jc w:val="center"/>
        </w:trPr>
        <w:tc>
          <w:tcPr>
            <w:tcW w:w="2612" w:type="dxa"/>
            <w:shd w:val="clear" w:color="auto" w:fill="auto"/>
          </w:tcPr>
          <w:p w14:paraId="71F565BD" w14:textId="77777777" w:rsidR="00600735" w:rsidRDefault="00600735" w:rsidP="00600735">
            <w:pPr>
              <w:spacing w:line="276" w:lineRule="auto"/>
              <w:ind w:firstLine="0"/>
              <w:jc w:val="center"/>
            </w:pPr>
            <w:r>
              <w:t>Height (cm)</w:t>
            </w:r>
          </w:p>
        </w:tc>
        <w:tc>
          <w:tcPr>
            <w:tcW w:w="2613" w:type="dxa"/>
            <w:shd w:val="clear" w:color="auto" w:fill="auto"/>
          </w:tcPr>
          <w:p w14:paraId="6E4D000A" w14:textId="77777777" w:rsidR="00600735" w:rsidRDefault="00600735" w:rsidP="00600735">
            <w:pPr>
              <w:spacing w:line="276" w:lineRule="auto"/>
              <w:ind w:firstLine="0"/>
              <w:jc w:val="center"/>
            </w:pPr>
            <w:r>
              <w:t>169.2 (162.3-176.7)</w:t>
            </w:r>
          </w:p>
        </w:tc>
      </w:tr>
      <w:tr w:rsidR="00600735" w14:paraId="681DE332" w14:textId="77777777" w:rsidTr="009851B1">
        <w:trPr>
          <w:jc w:val="center"/>
        </w:trPr>
        <w:tc>
          <w:tcPr>
            <w:tcW w:w="2612" w:type="dxa"/>
            <w:shd w:val="clear" w:color="auto" w:fill="auto"/>
          </w:tcPr>
          <w:p w14:paraId="0702A60C" w14:textId="77777777" w:rsidR="00600735" w:rsidRDefault="00600735" w:rsidP="00600735">
            <w:pPr>
              <w:spacing w:line="276" w:lineRule="auto"/>
              <w:ind w:firstLine="0"/>
              <w:jc w:val="center"/>
            </w:pPr>
            <w:r>
              <w:t>Appendicular Lean Mass (kg)</w:t>
            </w:r>
          </w:p>
        </w:tc>
        <w:tc>
          <w:tcPr>
            <w:tcW w:w="2613" w:type="dxa"/>
            <w:shd w:val="clear" w:color="auto" w:fill="auto"/>
          </w:tcPr>
          <w:p w14:paraId="0BA8DC73" w14:textId="77777777" w:rsidR="00600735" w:rsidRDefault="00600735" w:rsidP="00600735">
            <w:pPr>
              <w:spacing w:line="276" w:lineRule="auto"/>
              <w:ind w:firstLine="0"/>
              <w:jc w:val="center"/>
            </w:pPr>
            <w:r>
              <w:t>22.5 (17.2-27.0)</w:t>
            </w:r>
          </w:p>
        </w:tc>
      </w:tr>
      <w:tr w:rsidR="00600735" w14:paraId="5239815D" w14:textId="77777777" w:rsidTr="009851B1">
        <w:trPr>
          <w:jc w:val="center"/>
        </w:trPr>
        <w:tc>
          <w:tcPr>
            <w:tcW w:w="2612" w:type="dxa"/>
            <w:shd w:val="clear" w:color="auto" w:fill="auto"/>
          </w:tcPr>
          <w:p w14:paraId="5DA1D093" w14:textId="77777777" w:rsidR="00600735" w:rsidRDefault="00600735" w:rsidP="00600735">
            <w:pPr>
              <w:spacing w:line="276" w:lineRule="auto"/>
              <w:ind w:firstLine="0"/>
              <w:jc w:val="center"/>
            </w:pPr>
            <w:r>
              <w:t>Total Arsenic (µg/L)</w:t>
            </w:r>
          </w:p>
        </w:tc>
        <w:tc>
          <w:tcPr>
            <w:tcW w:w="2613" w:type="dxa"/>
            <w:shd w:val="clear" w:color="auto" w:fill="auto"/>
          </w:tcPr>
          <w:p w14:paraId="23CB8852" w14:textId="77777777" w:rsidR="00600735" w:rsidRDefault="00600735" w:rsidP="00600735">
            <w:pPr>
              <w:spacing w:line="276" w:lineRule="auto"/>
              <w:ind w:firstLine="0"/>
              <w:jc w:val="center"/>
            </w:pPr>
            <w:r>
              <w:t>9.0 (4.6-18.5)</w:t>
            </w:r>
          </w:p>
        </w:tc>
      </w:tr>
      <w:tr w:rsidR="00600735" w14:paraId="443ED1F8" w14:textId="77777777" w:rsidTr="009851B1">
        <w:trPr>
          <w:jc w:val="center"/>
        </w:trPr>
        <w:tc>
          <w:tcPr>
            <w:tcW w:w="2612" w:type="dxa"/>
            <w:tcBorders>
              <w:bottom w:val="single" w:sz="4" w:space="0" w:color="auto"/>
            </w:tcBorders>
            <w:shd w:val="clear" w:color="auto" w:fill="auto"/>
          </w:tcPr>
          <w:p w14:paraId="0324A2E2" w14:textId="77777777" w:rsidR="00600735" w:rsidRDefault="00600735" w:rsidP="00600735">
            <w:pPr>
              <w:spacing w:line="276" w:lineRule="auto"/>
              <w:ind w:firstLine="0"/>
              <w:jc w:val="center"/>
            </w:pPr>
            <w:r>
              <w:t>Inorganic Arsenic (µg/L)</w:t>
            </w:r>
          </w:p>
        </w:tc>
        <w:tc>
          <w:tcPr>
            <w:tcW w:w="2613" w:type="dxa"/>
            <w:tcBorders>
              <w:bottom w:val="single" w:sz="4" w:space="0" w:color="auto"/>
            </w:tcBorders>
            <w:shd w:val="clear" w:color="auto" w:fill="auto"/>
          </w:tcPr>
          <w:p w14:paraId="2F896044" w14:textId="77777777" w:rsidR="00600735" w:rsidRDefault="00600735" w:rsidP="00600735">
            <w:pPr>
              <w:spacing w:line="276" w:lineRule="auto"/>
              <w:ind w:firstLine="0"/>
              <w:jc w:val="center"/>
            </w:pPr>
            <w:r>
              <w:t>6.2 (3.1-11.0)</w:t>
            </w:r>
          </w:p>
        </w:tc>
      </w:tr>
    </w:tbl>
    <w:p w14:paraId="3909E997" w14:textId="77777777" w:rsidR="002D4801" w:rsidRDefault="002D4801" w:rsidP="002C042A">
      <w:pPr>
        <w:pStyle w:val="Noindent"/>
        <w:outlineLvl w:val="1"/>
      </w:pPr>
    </w:p>
    <w:p w14:paraId="4C531F2B" w14:textId="77777777" w:rsidR="002C042A" w:rsidRDefault="009851B1" w:rsidP="00C839A9">
      <w:pPr>
        <w:pStyle w:val="Heading2"/>
      </w:pPr>
      <w:bookmarkStart w:id="18" w:name="_Toc532467862"/>
      <w:bookmarkEnd w:id="17"/>
      <w:r>
        <w:t>Descriptive analysis</w:t>
      </w:r>
      <w:bookmarkEnd w:id="18"/>
    </w:p>
    <w:p w14:paraId="2BDFA23E" w14:textId="77777777" w:rsidR="00543616" w:rsidRDefault="00C839A9" w:rsidP="00C839A9">
      <w:pPr>
        <w:pStyle w:val="Noindent"/>
        <w:ind w:firstLine="720"/>
        <w:jc w:val="left"/>
      </w:pPr>
      <w:r>
        <w:t>To understand whether there is an association between urinary inorganic arsenic and appendicular lean mass, first the data was visual inspected in total via histogram. Then, the data was split into quartiles by inorganic arsenic exposure, in order to see if there was a difference between the trends</w:t>
      </w:r>
      <w:r w:rsidR="00543616">
        <w:t>.</w:t>
      </w:r>
      <w:r w:rsidR="002F6538">
        <w:t xml:space="preserve"> The histograms below show the distribution of appendicular lean mass.</w:t>
      </w:r>
    </w:p>
    <w:p w14:paraId="6489848E" w14:textId="77777777" w:rsidR="009D40BE" w:rsidRDefault="00D929FB" w:rsidP="009D40BE">
      <w:pPr>
        <w:keepNext/>
        <w:jc w:val="center"/>
      </w:pPr>
      <w:r>
        <w:rPr>
          <w:noProof/>
        </w:rPr>
        <w:lastRenderedPageBreak/>
        <w:drawing>
          <wp:inline distT="0" distB="0" distL="0" distR="0" wp14:anchorId="3B3B84DC" wp14:editId="7564BA38">
            <wp:extent cx="3725332" cy="2794000"/>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eyni2 guayasami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752323" cy="2814243"/>
                    </a:xfrm>
                    <a:prstGeom prst="rect">
                      <a:avLst/>
                    </a:prstGeom>
                    <a:noFill/>
                    <a:ln>
                      <a:noFill/>
                    </a:ln>
                  </pic:spPr>
                </pic:pic>
              </a:graphicData>
            </a:graphic>
          </wp:inline>
        </w:drawing>
      </w:r>
    </w:p>
    <w:p w14:paraId="32CBE970" w14:textId="768E72E2" w:rsidR="00543616" w:rsidRDefault="009D40BE" w:rsidP="009D40BE">
      <w:pPr>
        <w:pStyle w:val="Caption"/>
        <w:jc w:val="center"/>
      </w:pPr>
      <w:bookmarkStart w:id="19" w:name="_Toc532467873"/>
      <w:r>
        <w:t xml:space="preserve">Figure </w:t>
      </w:r>
      <w:r w:rsidR="005F16D3">
        <w:rPr>
          <w:noProof/>
        </w:rPr>
        <w:fldChar w:fldCharType="begin"/>
      </w:r>
      <w:r w:rsidR="005F16D3">
        <w:rPr>
          <w:noProof/>
        </w:rPr>
        <w:instrText xml:space="preserve"> SEQ Figure \* ARABIC </w:instrText>
      </w:r>
      <w:r w:rsidR="005F16D3">
        <w:rPr>
          <w:noProof/>
        </w:rPr>
        <w:fldChar w:fldCharType="separate"/>
      </w:r>
      <w:r w:rsidR="00801A1A">
        <w:rPr>
          <w:noProof/>
        </w:rPr>
        <w:t>1</w:t>
      </w:r>
      <w:r w:rsidR="005F16D3">
        <w:rPr>
          <w:noProof/>
        </w:rPr>
        <w:fldChar w:fldCharType="end"/>
      </w:r>
      <w:r>
        <w:t>: Overall Distribution of Appendicular Lean Mass</w:t>
      </w:r>
      <w:bookmarkEnd w:id="19"/>
    </w:p>
    <w:p w14:paraId="1B83B60C" w14:textId="77777777" w:rsidR="00801A1A" w:rsidRPr="00801A1A" w:rsidRDefault="00801A1A" w:rsidP="00801A1A"/>
    <w:p w14:paraId="53C73073" w14:textId="52ED55EF" w:rsidR="00543616" w:rsidRDefault="002F6538" w:rsidP="00543616">
      <w:r>
        <w:t xml:space="preserve">The graph </w:t>
      </w:r>
      <w:r w:rsidR="00731695">
        <w:t xml:space="preserve">in Figure 1 </w:t>
      </w:r>
      <w:r>
        <w:t xml:space="preserve">shows the distribution of ALM across all exposure groups. However, graphing the </w:t>
      </w:r>
      <w:r w:rsidR="00731695">
        <w:t xml:space="preserve">population with arsenic </w:t>
      </w:r>
      <w:r>
        <w:t xml:space="preserve">exposure </w:t>
      </w:r>
      <w:r w:rsidR="00731695">
        <w:t xml:space="preserve">below the median </w:t>
      </w:r>
      <w:r>
        <w:t>(</w:t>
      </w:r>
      <w:r w:rsidR="00731695">
        <w:t>Figure 2</w:t>
      </w:r>
      <w:r>
        <w:t>, left) and the upper 50% (</w:t>
      </w:r>
      <w:r w:rsidR="00731695">
        <w:t>Figure 2</w:t>
      </w:r>
      <w:r>
        <w:t>, right) separately begins to suggest some differences. Of note, in the higher exposure group</w:t>
      </w:r>
      <w:r w:rsidR="00731695">
        <w:t>,</w:t>
      </w:r>
      <w:r>
        <w:t xml:space="preserve"> we being to see a larger proportion of individuals with higher ALM (particularly over </w:t>
      </w:r>
      <w:r w:rsidR="00731695">
        <w:t xml:space="preserve">22 </w:t>
      </w:r>
      <w:r>
        <w:t>kg).</w:t>
      </w:r>
    </w:p>
    <w:p w14:paraId="1B9A7F8D" w14:textId="77777777" w:rsidR="002F6538" w:rsidRPr="00543616" w:rsidRDefault="002F6538" w:rsidP="00543616"/>
    <w:p w14:paraId="1123AADA" w14:textId="77777777" w:rsidR="009D40BE" w:rsidRDefault="00543616" w:rsidP="009D40BE">
      <w:pPr>
        <w:keepNext/>
        <w:jc w:val="center"/>
      </w:pPr>
      <w:r>
        <w:rPr>
          <w:noProof/>
        </w:rPr>
        <w:drawing>
          <wp:inline distT="0" distB="0" distL="0" distR="0" wp14:anchorId="3448EF6E" wp14:editId="6D1616D1">
            <wp:extent cx="5215468" cy="195580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eyni2 guayasamin"/>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23492" cy="1958809"/>
                    </a:xfrm>
                    <a:prstGeom prst="rect">
                      <a:avLst/>
                    </a:prstGeom>
                    <a:noFill/>
                    <a:ln>
                      <a:noFill/>
                    </a:ln>
                  </pic:spPr>
                </pic:pic>
              </a:graphicData>
            </a:graphic>
          </wp:inline>
        </w:drawing>
      </w:r>
    </w:p>
    <w:p w14:paraId="111BFA8D" w14:textId="179818BE" w:rsidR="00543616" w:rsidRDefault="009D40BE" w:rsidP="009D40BE">
      <w:pPr>
        <w:pStyle w:val="Caption"/>
        <w:jc w:val="center"/>
      </w:pPr>
      <w:bookmarkStart w:id="20" w:name="_Toc532467874"/>
      <w:r>
        <w:t xml:space="preserve">Figure </w:t>
      </w:r>
      <w:r w:rsidR="005F16D3">
        <w:rPr>
          <w:noProof/>
        </w:rPr>
        <w:fldChar w:fldCharType="begin"/>
      </w:r>
      <w:r w:rsidR="005F16D3">
        <w:rPr>
          <w:noProof/>
        </w:rPr>
        <w:instrText xml:space="preserve"> SEQ Figure \* ARABIC </w:instrText>
      </w:r>
      <w:r w:rsidR="005F16D3">
        <w:rPr>
          <w:noProof/>
        </w:rPr>
        <w:fldChar w:fldCharType="separate"/>
      </w:r>
      <w:r w:rsidR="00801A1A">
        <w:rPr>
          <w:noProof/>
        </w:rPr>
        <w:t>2</w:t>
      </w:r>
      <w:r w:rsidR="005F16D3">
        <w:rPr>
          <w:noProof/>
        </w:rPr>
        <w:fldChar w:fldCharType="end"/>
      </w:r>
      <w:r>
        <w:t xml:space="preserve">: </w:t>
      </w:r>
      <w:r w:rsidR="00801A1A">
        <w:t>Distribution of ALM (kg) for upper and lower 50% of inorganic arsenic exposure</w:t>
      </w:r>
      <w:bookmarkEnd w:id="20"/>
    </w:p>
    <w:p w14:paraId="0F19D1E1" w14:textId="68D240C5" w:rsidR="002F6538" w:rsidRPr="002F6538" w:rsidRDefault="002F6538" w:rsidP="00801A1A">
      <w:pPr>
        <w:jc w:val="left"/>
      </w:pPr>
      <w:r>
        <w:lastRenderedPageBreak/>
        <w:t>When data is further broken down into exposure quartiles (</w:t>
      </w:r>
      <w:r w:rsidR="00731695">
        <w:t>Figure 3</w:t>
      </w:r>
      <w:r w:rsidR="00801A1A">
        <w:t>, below</w:t>
      </w:r>
      <w:r>
        <w:t xml:space="preserve">) the trend is amplified. </w:t>
      </w:r>
      <w:r w:rsidR="00801A1A">
        <w:t>We can see</w:t>
      </w:r>
      <w:r w:rsidR="00485821">
        <w:t xml:space="preserve"> that there are no individuals in the first quartile who have ALK over 34kg, but multiple participants up to 40kg in the fourth quartile. </w:t>
      </w:r>
      <w:r w:rsidR="00801A1A">
        <w:br/>
      </w:r>
    </w:p>
    <w:p w14:paraId="6C9564BA" w14:textId="77777777" w:rsidR="00543616" w:rsidRDefault="00543616" w:rsidP="00543616">
      <w:pPr>
        <w:keepNext/>
        <w:jc w:val="center"/>
      </w:pPr>
      <w:r>
        <w:rPr>
          <w:noProof/>
        </w:rPr>
        <w:drawing>
          <wp:inline distT="0" distB="0" distL="0" distR="0" wp14:anchorId="27CCF230" wp14:editId="7C73E9BC">
            <wp:extent cx="5238541" cy="39306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eyni2 guayasami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84785" cy="3965348"/>
                    </a:xfrm>
                    <a:prstGeom prst="rect">
                      <a:avLst/>
                    </a:prstGeom>
                    <a:noFill/>
                    <a:ln>
                      <a:noFill/>
                    </a:ln>
                  </pic:spPr>
                </pic:pic>
              </a:graphicData>
            </a:graphic>
          </wp:inline>
        </w:drawing>
      </w:r>
    </w:p>
    <w:p w14:paraId="558E27D2" w14:textId="3BC29F00" w:rsidR="00801A1A" w:rsidRDefault="00801A1A" w:rsidP="00801A1A">
      <w:pPr>
        <w:pStyle w:val="Caption"/>
        <w:jc w:val="center"/>
      </w:pPr>
      <w:bookmarkStart w:id="21" w:name="_Toc532467875"/>
      <w:r>
        <w:t xml:space="preserve">Figure </w:t>
      </w:r>
      <w:r w:rsidR="005F16D3">
        <w:rPr>
          <w:noProof/>
        </w:rPr>
        <w:fldChar w:fldCharType="begin"/>
      </w:r>
      <w:r w:rsidR="005F16D3">
        <w:rPr>
          <w:noProof/>
        </w:rPr>
        <w:instrText xml:space="preserve"> SEQ Figure \* ARABIC </w:instrText>
      </w:r>
      <w:r w:rsidR="005F16D3">
        <w:rPr>
          <w:noProof/>
        </w:rPr>
        <w:fldChar w:fldCharType="separate"/>
      </w:r>
      <w:r>
        <w:rPr>
          <w:noProof/>
        </w:rPr>
        <w:t>3</w:t>
      </w:r>
      <w:r w:rsidR="005F16D3">
        <w:rPr>
          <w:noProof/>
        </w:rPr>
        <w:fldChar w:fldCharType="end"/>
      </w:r>
      <w:r>
        <w:t xml:space="preserve">: </w:t>
      </w:r>
      <w:r w:rsidRPr="00733436">
        <w:t xml:space="preserve">Distribution of </w:t>
      </w:r>
      <w:r>
        <w:t>ALM by inorganic arsenic exposure quartiles</w:t>
      </w:r>
      <w:bookmarkEnd w:id="21"/>
    </w:p>
    <w:p w14:paraId="3A46120E" w14:textId="0840854A" w:rsidR="00C839A9" w:rsidRPr="003268D3" w:rsidRDefault="00C839A9" w:rsidP="003268D3">
      <w:pPr>
        <w:pStyle w:val="Caption"/>
        <w:jc w:val="center"/>
        <w:rPr>
          <w:b w:val="0"/>
          <w:i/>
        </w:rPr>
      </w:pPr>
      <w:r>
        <w:br/>
      </w:r>
    </w:p>
    <w:p w14:paraId="2D2F7EE0" w14:textId="77777777" w:rsidR="002C042A" w:rsidRDefault="006C32F0" w:rsidP="002C042A">
      <w:pPr>
        <w:pStyle w:val="Heading2"/>
      </w:pPr>
      <w:bookmarkStart w:id="22" w:name="_Toc532467863"/>
      <w:r>
        <w:lastRenderedPageBreak/>
        <w:t>Linear Regression</w:t>
      </w:r>
      <w:r w:rsidR="007244F9">
        <w:t xml:space="preserve"> Analyses</w:t>
      </w:r>
      <w:bookmarkEnd w:id="22"/>
    </w:p>
    <w:p w14:paraId="63B5A9A4" w14:textId="2F614635" w:rsidR="00485821" w:rsidRDefault="00485821" w:rsidP="00B8646E">
      <w:pPr>
        <w:pStyle w:val="Caption"/>
        <w:keepNext/>
        <w:ind w:hanging="540"/>
        <w:jc w:val="center"/>
      </w:pPr>
      <w:bookmarkStart w:id="23" w:name="_Toc532468799"/>
      <w:r>
        <w:t xml:space="preserve">Table </w:t>
      </w:r>
      <w:r w:rsidR="005F16D3">
        <w:rPr>
          <w:noProof/>
        </w:rPr>
        <w:fldChar w:fldCharType="begin"/>
      </w:r>
      <w:r w:rsidR="005F16D3">
        <w:rPr>
          <w:noProof/>
        </w:rPr>
        <w:instrText xml:space="preserve"> SEQ Table \* ARABIC </w:instrText>
      </w:r>
      <w:r w:rsidR="005F16D3">
        <w:rPr>
          <w:noProof/>
        </w:rPr>
        <w:fldChar w:fldCharType="separate"/>
      </w:r>
      <w:r>
        <w:rPr>
          <w:noProof/>
        </w:rPr>
        <w:t>2</w:t>
      </w:r>
      <w:r w:rsidR="005F16D3">
        <w:rPr>
          <w:noProof/>
        </w:rPr>
        <w:fldChar w:fldCharType="end"/>
      </w:r>
      <w:r>
        <w:t>: Continuous Linear Models</w:t>
      </w:r>
      <w:bookmarkEnd w:id="23"/>
    </w:p>
    <w:tbl>
      <w:tblPr>
        <w:tblW w:w="0" w:type="auto"/>
        <w:jc w:val="center"/>
        <w:tblLook w:val="01E0" w:firstRow="1" w:lastRow="1" w:firstColumn="1" w:lastColumn="1" w:noHBand="0" w:noVBand="0"/>
      </w:tblPr>
      <w:tblGrid>
        <w:gridCol w:w="1665"/>
        <w:gridCol w:w="2766"/>
        <w:gridCol w:w="2441"/>
        <w:gridCol w:w="2488"/>
      </w:tblGrid>
      <w:tr w:rsidR="00B013D8" w14:paraId="028973FC" w14:textId="77777777" w:rsidTr="00B013D8">
        <w:trPr>
          <w:trHeight w:val="635"/>
          <w:jc w:val="center"/>
        </w:trPr>
        <w:tc>
          <w:tcPr>
            <w:tcW w:w="1665" w:type="dxa"/>
            <w:tcBorders>
              <w:top w:val="single" w:sz="4" w:space="0" w:color="auto"/>
              <w:bottom w:val="single" w:sz="4" w:space="0" w:color="auto"/>
            </w:tcBorders>
            <w:shd w:val="clear" w:color="auto" w:fill="auto"/>
          </w:tcPr>
          <w:p w14:paraId="68525D1C" w14:textId="77777777" w:rsidR="00B013D8" w:rsidRDefault="00B013D8" w:rsidP="009851B1">
            <w:pPr>
              <w:spacing w:line="276" w:lineRule="auto"/>
              <w:ind w:firstLine="0"/>
              <w:jc w:val="center"/>
            </w:pPr>
          </w:p>
        </w:tc>
        <w:tc>
          <w:tcPr>
            <w:tcW w:w="2766" w:type="dxa"/>
            <w:tcBorders>
              <w:top w:val="single" w:sz="4" w:space="0" w:color="auto"/>
              <w:bottom w:val="single" w:sz="4" w:space="0" w:color="auto"/>
            </w:tcBorders>
            <w:shd w:val="clear" w:color="auto" w:fill="auto"/>
          </w:tcPr>
          <w:p w14:paraId="3ACAF980" w14:textId="77777777" w:rsidR="00B013D8" w:rsidRDefault="00B013D8" w:rsidP="009851B1">
            <w:pPr>
              <w:spacing w:line="276" w:lineRule="auto"/>
              <w:ind w:firstLine="0"/>
              <w:jc w:val="center"/>
            </w:pPr>
            <w:r>
              <w:t>Regression Coefficient (95% CI)</w:t>
            </w:r>
          </w:p>
        </w:tc>
        <w:tc>
          <w:tcPr>
            <w:tcW w:w="2441" w:type="dxa"/>
            <w:tcBorders>
              <w:top w:val="single" w:sz="4" w:space="0" w:color="auto"/>
              <w:bottom w:val="single" w:sz="4" w:space="0" w:color="auto"/>
            </w:tcBorders>
          </w:tcPr>
          <w:p w14:paraId="7EB50320" w14:textId="097F70DC" w:rsidR="00B013D8" w:rsidRDefault="00B013D8" w:rsidP="009851B1">
            <w:pPr>
              <w:spacing w:line="276" w:lineRule="auto"/>
              <w:ind w:firstLine="0"/>
              <w:jc w:val="center"/>
            </w:pPr>
            <w:r>
              <w:t>Adjusted Mean ALM (kg)</w:t>
            </w:r>
          </w:p>
        </w:tc>
        <w:tc>
          <w:tcPr>
            <w:tcW w:w="2488" w:type="dxa"/>
            <w:tcBorders>
              <w:top w:val="single" w:sz="4" w:space="0" w:color="auto"/>
              <w:bottom w:val="single" w:sz="4" w:space="0" w:color="auto"/>
            </w:tcBorders>
          </w:tcPr>
          <w:p w14:paraId="17D286C8" w14:textId="77D11CDB" w:rsidR="00B013D8" w:rsidRDefault="00B013D8" w:rsidP="009851B1">
            <w:pPr>
              <w:spacing w:line="276" w:lineRule="auto"/>
              <w:ind w:firstLine="0"/>
              <w:jc w:val="center"/>
            </w:pPr>
            <w:r>
              <w:t>P value</w:t>
            </w:r>
            <w:r w:rsidR="00D02E8E">
              <w:t xml:space="preserve"> for regression </w:t>
            </w:r>
            <w:r w:rsidR="00E32592">
              <w:t>coefficient</w:t>
            </w:r>
          </w:p>
        </w:tc>
      </w:tr>
      <w:tr w:rsidR="00B013D8" w14:paraId="3858EF87" w14:textId="77777777" w:rsidTr="00B013D8">
        <w:trPr>
          <w:trHeight w:val="635"/>
          <w:jc w:val="center"/>
        </w:trPr>
        <w:tc>
          <w:tcPr>
            <w:tcW w:w="1665" w:type="dxa"/>
            <w:tcBorders>
              <w:top w:val="single" w:sz="4" w:space="0" w:color="auto"/>
            </w:tcBorders>
            <w:shd w:val="clear" w:color="auto" w:fill="auto"/>
          </w:tcPr>
          <w:p w14:paraId="6E334F67" w14:textId="6238F060" w:rsidR="00B013D8" w:rsidRDefault="00557BC2" w:rsidP="009851B1">
            <w:pPr>
              <w:spacing w:line="276" w:lineRule="auto"/>
              <w:ind w:firstLine="0"/>
              <w:jc w:val="center"/>
            </w:pPr>
            <w:r>
              <w:t>Creatinine unadjusted</w:t>
            </w:r>
          </w:p>
        </w:tc>
        <w:tc>
          <w:tcPr>
            <w:tcW w:w="2766" w:type="dxa"/>
            <w:tcBorders>
              <w:top w:val="single" w:sz="4" w:space="0" w:color="auto"/>
            </w:tcBorders>
            <w:shd w:val="clear" w:color="auto" w:fill="auto"/>
          </w:tcPr>
          <w:p w14:paraId="417A1FDA" w14:textId="77777777" w:rsidR="00B013D8" w:rsidRDefault="00B013D8" w:rsidP="009851B1">
            <w:pPr>
              <w:spacing w:line="276" w:lineRule="auto"/>
              <w:ind w:firstLine="0"/>
              <w:jc w:val="center"/>
            </w:pPr>
            <w:r>
              <w:t>0.0014</w:t>
            </w:r>
          </w:p>
          <w:p w14:paraId="0524BB4D" w14:textId="77777777" w:rsidR="00B013D8" w:rsidRDefault="00B013D8" w:rsidP="009851B1">
            <w:pPr>
              <w:spacing w:line="276" w:lineRule="auto"/>
              <w:ind w:firstLine="0"/>
              <w:jc w:val="center"/>
            </w:pPr>
            <w:r>
              <w:t>(-0.0093, 0.0122)</w:t>
            </w:r>
          </w:p>
        </w:tc>
        <w:tc>
          <w:tcPr>
            <w:tcW w:w="2441" w:type="dxa"/>
            <w:tcBorders>
              <w:top w:val="single" w:sz="4" w:space="0" w:color="auto"/>
            </w:tcBorders>
          </w:tcPr>
          <w:p w14:paraId="6F7803A4" w14:textId="7F30F487" w:rsidR="00B013D8" w:rsidRDefault="00354204" w:rsidP="009851B1">
            <w:pPr>
              <w:spacing w:line="276" w:lineRule="auto"/>
              <w:ind w:firstLine="0"/>
              <w:jc w:val="center"/>
            </w:pPr>
            <w:r>
              <w:t>23.04</w:t>
            </w:r>
          </w:p>
        </w:tc>
        <w:tc>
          <w:tcPr>
            <w:tcW w:w="2488" w:type="dxa"/>
            <w:tcBorders>
              <w:top w:val="single" w:sz="4" w:space="0" w:color="auto"/>
            </w:tcBorders>
          </w:tcPr>
          <w:p w14:paraId="6D3228ED" w14:textId="0145D7E4" w:rsidR="00B013D8" w:rsidRDefault="00B013D8" w:rsidP="009851B1">
            <w:pPr>
              <w:spacing w:line="276" w:lineRule="auto"/>
              <w:ind w:firstLine="0"/>
              <w:jc w:val="center"/>
            </w:pPr>
            <w:r>
              <w:t>0.7931</w:t>
            </w:r>
          </w:p>
        </w:tc>
      </w:tr>
      <w:tr w:rsidR="00B013D8" w14:paraId="43675F96" w14:textId="77777777" w:rsidTr="00B013D8">
        <w:trPr>
          <w:jc w:val="center"/>
        </w:trPr>
        <w:tc>
          <w:tcPr>
            <w:tcW w:w="1665" w:type="dxa"/>
            <w:shd w:val="clear" w:color="auto" w:fill="auto"/>
          </w:tcPr>
          <w:p w14:paraId="46E9E961" w14:textId="12729C5C" w:rsidR="00B013D8" w:rsidRDefault="00557BC2" w:rsidP="009851B1">
            <w:pPr>
              <w:spacing w:line="276" w:lineRule="auto"/>
              <w:ind w:firstLine="0"/>
              <w:jc w:val="center"/>
            </w:pPr>
            <w:r>
              <w:t>Creatinine Adjusted</w:t>
            </w:r>
          </w:p>
        </w:tc>
        <w:tc>
          <w:tcPr>
            <w:tcW w:w="2766" w:type="dxa"/>
            <w:shd w:val="clear" w:color="auto" w:fill="auto"/>
          </w:tcPr>
          <w:p w14:paraId="16AB1831" w14:textId="77777777" w:rsidR="00B013D8" w:rsidRDefault="00B013D8" w:rsidP="009851B1">
            <w:pPr>
              <w:spacing w:line="276" w:lineRule="auto"/>
              <w:ind w:firstLine="0"/>
              <w:jc w:val="center"/>
            </w:pPr>
            <w:r>
              <w:t xml:space="preserve">-0.0086 </w:t>
            </w:r>
          </w:p>
          <w:p w14:paraId="3CCBBD22" w14:textId="77777777" w:rsidR="00B013D8" w:rsidRDefault="00B013D8" w:rsidP="009851B1">
            <w:pPr>
              <w:spacing w:line="276" w:lineRule="auto"/>
              <w:ind w:firstLine="0"/>
              <w:jc w:val="center"/>
            </w:pPr>
            <w:r>
              <w:t>(-0.0229, 0.0057)</w:t>
            </w:r>
          </w:p>
        </w:tc>
        <w:tc>
          <w:tcPr>
            <w:tcW w:w="2441" w:type="dxa"/>
          </w:tcPr>
          <w:p w14:paraId="673D0190" w14:textId="6D3AD92F" w:rsidR="00B013D8" w:rsidRDefault="00D02E8E" w:rsidP="009851B1">
            <w:pPr>
              <w:spacing w:line="276" w:lineRule="auto"/>
              <w:ind w:firstLine="0"/>
              <w:jc w:val="center"/>
            </w:pPr>
            <w:r>
              <w:t>22.94</w:t>
            </w:r>
          </w:p>
        </w:tc>
        <w:tc>
          <w:tcPr>
            <w:tcW w:w="2488" w:type="dxa"/>
          </w:tcPr>
          <w:p w14:paraId="6F239711" w14:textId="6A30A529" w:rsidR="00B013D8" w:rsidRDefault="00B013D8" w:rsidP="009851B1">
            <w:pPr>
              <w:spacing w:line="276" w:lineRule="auto"/>
              <w:ind w:firstLine="0"/>
              <w:jc w:val="center"/>
            </w:pPr>
            <w:r>
              <w:t>0.2379</w:t>
            </w:r>
          </w:p>
        </w:tc>
      </w:tr>
    </w:tbl>
    <w:p w14:paraId="6FCAD36F" w14:textId="77777777" w:rsidR="005C65DD" w:rsidRDefault="005C65DD" w:rsidP="005F16D3">
      <w:pPr>
        <w:spacing w:line="240" w:lineRule="auto"/>
        <w:ind w:firstLine="0"/>
      </w:pPr>
    </w:p>
    <w:p w14:paraId="6B23346B" w14:textId="77777777" w:rsidR="005F16D3" w:rsidRDefault="005F16D3" w:rsidP="005F16D3">
      <w:pPr>
        <w:spacing w:line="240" w:lineRule="auto"/>
      </w:pPr>
    </w:p>
    <w:p w14:paraId="1F81BDB9" w14:textId="7F729DF8" w:rsidR="00F547A6" w:rsidRPr="00585D35" w:rsidRDefault="00543616" w:rsidP="00557BC2">
      <w:r>
        <w:t>Since the frequency distributions su</w:t>
      </w:r>
      <w:r w:rsidR="007E7682">
        <w:t xml:space="preserve">ggested an increasing trend in </w:t>
      </w:r>
      <w:r>
        <w:t xml:space="preserve">ALM with arsenic exposure, a linear model was fit to attempt to quantify this relationship. This model was adjusted for age, gender, </w:t>
      </w:r>
      <w:r w:rsidR="00557BC2">
        <w:t xml:space="preserve">race/ethnicity, </w:t>
      </w:r>
      <w:r>
        <w:t>and height.</w:t>
      </w:r>
      <w:r w:rsidR="007909AC">
        <w:t xml:space="preserve"> While a 1 µg/L increase in urinary inorganic arsenic levels was associated with </w:t>
      </w:r>
      <w:r w:rsidR="009F6333">
        <w:t xml:space="preserve">4 </w:t>
      </w:r>
      <w:r w:rsidR="002F6538">
        <w:t xml:space="preserve">gram </w:t>
      </w:r>
      <w:r w:rsidR="007909AC">
        <w:t xml:space="preserve">increase in ALM in this model, the relationship was not statistically significant (p=0.5608). </w:t>
      </w:r>
      <w:r>
        <w:t>It is possible that a linear model may not be sufficient</w:t>
      </w:r>
      <w:r w:rsidR="007909AC">
        <w:t>ly complex</w:t>
      </w:r>
      <w:r w:rsidR="007244F9">
        <w:t xml:space="preserve"> to explain the relationship</w:t>
      </w:r>
      <w:r w:rsidR="002F6538">
        <w:t>.</w:t>
      </w:r>
    </w:p>
    <w:p w14:paraId="482EDD73" w14:textId="20BF8705" w:rsidR="008A720D" w:rsidRDefault="007E7682" w:rsidP="008A720D">
      <w:pPr>
        <w:ind w:firstLine="0"/>
      </w:pPr>
      <w:r>
        <w:tab/>
        <w:t>Next, a comparison between the quartiles of arsenic exposure was conducted. No significant association was found. The regression coefficients</w:t>
      </w:r>
      <w:r w:rsidR="007909AC">
        <w:t xml:space="preserve"> representing the average kilogram change in ALM between quartile 1 and quartiles 2, 3, and 4 of </w:t>
      </w:r>
      <w:r w:rsidR="002F6538">
        <w:t>inorganic arsenic exposure</w:t>
      </w:r>
      <w:r>
        <w:t xml:space="preserve"> are listed in the table </w:t>
      </w:r>
      <w:r w:rsidR="000733EC">
        <w:t xml:space="preserve">3 </w:t>
      </w:r>
      <w:r>
        <w:t>below</w:t>
      </w:r>
      <w:r w:rsidR="002F6538">
        <w:t>. We do see marginal significance between quartiles 1 and 4</w:t>
      </w:r>
      <w:r w:rsidR="00B447C2">
        <w:t xml:space="preserve"> in the creatinine adjusted models</w:t>
      </w:r>
      <w:r w:rsidR="002F6538">
        <w:t>.</w:t>
      </w:r>
    </w:p>
    <w:p w14:paraId="1B684BEF" w14:textId="53EDAC6C" w:rsidR="00485821" w:rsidRDefault="00485821" w:rsidP="00B8646E">
      <w:pPr>
        <w:pStyle w:val="Caption"/>
        <w:keepNext/>
        <w:ind w:hanging="90"/>
        <w:jc w:val="center"/>
      </w:pPr>
      <w:bookmarkStart w:id="24" w:name="_Toc532468800"/>
      <w:r>
        <w:t xml:space="preserve">Table </w:t>
      </w:r>
      <w:r w:rsidR="005F16D3">
        <w:rPr>
          <w:noProof/>
        </w:rPr>
        <w:fldChar w:fldCharType="begin"/>
      </w:r>
      <w:r w:rsidR="005F16D3">
        <w:rPr>
          <w:noProof/>
        </w:rPr>
        <w:instrText xml:space="preserve"> SEQ Table \* ARABIC </w:instrText>
      </w:r>
      <w:r w:rsidR="005F16D3">
        <w:rPr>
          <w:noProof/>
        </w:rPr>
        <w:fldChar w:fldCharType="separate"/>
      </w:r>
      <w:r>
        <w:rPr>
          <w:noProof/>
        </w:rPr>
        <w:t>3</w:t>
      </w:r>
      <w:r w:rsidR="005F16D3">
        <w:rPr>
          <w:noProof/>
        </w:rPr>
        <w:fldChar w:fldCharType="end"/>
      </w:r>
      <w:r>
        <w:t>:  Linear Model of Quartiles</w:t>
      </w:r>
      <w:bookmarkEnd w:id="24"/>
    </w:p>
    <w:tbl>
      <w:tblPr>
        <w:tblW w:w="0" w:type="auto"/>
        <w:jc w:val="center"/>
        <w:tblLook w:val="01E0" w:firstRow="1" w:lastRow="1" w:firstColumn="1" w:lastColumn="1" w:noHBand="0" w:noVBand="0"/>
      </w:tblPr>
      <w:tblGrid>
        <w:gridCol w:w="2612"/>
        <w:gridCol w:w="2613"/>
        <w:gridCol w:w="2613"/>
      </w:tblGrid>
      <w:tr w:rsidR="007909AC" w14:paraId="37247831" w14:textId="77777777" w:rsidTr="00864E50">
        <w:trPr>
          <w:trHeight w:val="683"/>
          <w:jc w:val="center"/>
        </w:trPr>
        <w:tc>
          <w:tcPr>
            <w:tcW w:w="2612" w:type="dxa"/>
            <w:tcBorders>
              <w:top w:val="single" w:sz="4" w:space="0" w:color="auto"/>
              <w:bottom w:val="single" w:sz="4" w:space="0" w:color="auto"/>
            </w:tcBorders>
            <w:shd w:val="clear" w:color="auto" w:fill="auto"/>
          </w:tcPr>
          <w:p w14:paraId="129262B0" w14:textId="77777777" w:rsidR="007909AC" w:rsidRDefault="007909AC" w:rsidP="009851B1">
            <w:pPr>
              <w:spacing w:line="276" w:lineRule="auto"/>
              <w:ind w:firstLine="0"/>
              <w:jc w:val="center"/>
            </w:pPr>
          </w:p>
        </w:tc>
        <w:tc>
          <w:tcPr>
            <w:tcW w:w="2613" w:type="dxa"/>
            <w:tcBorders>
              <w:top w:val="single" w:sz="4" w:space="0" w:color="auto"/>
              <w:bottom w:val="single" w:sz="4" w:space="0" w:color="auto"/>
            </w:tcBorders>
            <w:shd w:val="clear" w:color="auto" w:fill="auto"/>
          </w:tcPr>
          <w:p w14:paraId="14E0C3F8" w14:textId="66F82A41" w:rsidR="007909AC" w:rsidRDefault="00864E50" w:rsidP="009851B1">
            <w:pPr>
              <w:spacing w:line="276" w:lineRule="auto"/>
              <w:ind w:firstLine="0"/>
              <w:jc w:val="center"/>
            </w:pPr>
            <w:r>
              <w:br/>
            </w:r>
            <w:r w:rsidR="007909AC">
              <w:t xml:space="preserve">Regression </w:t>
            </w:r>
            <w:r w:rsidR="00230AB6">
              <w:t>Coefficients</w:t>
            </w:r>
            <w:r>
              <w:t xml:space="preserve"> (p value)</w:t>
            </w:r>
          </w:p>
        </w:tc>
        <w:tc>
          <w:tcPr>
            <w:tcW w:w="2613" w:type="dxa"/>
            <w:tcBorders>
              <w:top w:val="single" w:sz="4" w:space="0" w:color="auto"/>
              <w:bottom w:val="single" w:sz="4" w:space="0" w:color="auto"/>
            </w:tcBorders>
          </w:tcPr>
          <w:p w14:paraId="0DCAC642" w14:textId="77777777" w:rsidR="007909AC" w:rsidRDefault="00864E50" w:rsidP="009851B1">
            <w:pPr>
              <w:spacing w:line="276" w:lineRule="auto"/>
              <w:ind w:firstLine="0"/>
              <w:jc w:val="center"/>
            </w:pPr>
            <w:r>
              <w:t>Creatinine</w:t>
            </w:r>
            <w:r w:rsidR="00C835D0">
              <w:t xml:space="preserve"> adjusted</w:t>
            </w:r>
            <w:r>
              <w:br/>
              <w:t>Regression Coefficients (p value)</w:t>
            </w:r>
          </w:p>
        </w:tc>
      </w:tr>
      <w:tr w:rsidR="007909AC" w14:paraId="0A220618" w14:textId="77777777" w:rsidTr="009851B1">
        <w:trPr>
          <w:jc w:val="center"/>
        </w:trPr>
        <w:tc>
          <w:tcPr>
            <w:tcW w:w="2612" w:type="dxa"/>
            <w:tcBorders>
              <w:top w:val="single" w:sz="4" w:space="0" w:color="auto"/>
            </w:tcBorders>
            <w:shd w:val="clear" w:color="auto" w:fill="auto"/>
          </w:tcPr>
          <w:p w14:paraId="0D23BBB5" w14:textId="77777777" w:rsidR="007909AC" w:rsidRDefault="007909AC" w:rsidP="009851B1">
            <w:pPr>
              <w:spacing w:line="276" w:lineRule="auto"/>
              <w:ind w:firstLine="0"/>
              <w:jc w:val="center"/>
            </w:pPr>
            <w:r>
              <w:t>Q1 to Q2</w:t>
            </w:r>
          </w:p>
        </w:tc>
        <w:tc>
          <w:tcPr>
            <w:tcW w:w="2613" w:type="dxa"/>
            <w:tcBorders>
              <w:top w:val="single" w:sz="4" w:space="0" w:color="auto"/>
            </w:tcBorders>
            <w:shd w:val="clear" w:color="auto" w:fill="auto"/>
          </w:tcPr>
          <w:p w14:paraId="2EE4C24E" w14:textId="2516F01D" w:rsidR="007909AC" w:rsidRDefault="00312588" w:rsidP="009851B1">
            <w:pPr>
              <w:spacing w:line="276" w:lineRule="auto"/>
              <w:ind w:firstLine="0"/>
              <w:jc w:val="center"/>
            </w:pPr>
            <w:r>
              <w:t>0.</w:t>
            </w:r>
            <w:r w:rsidR="001F2F75">
              <w:t>3462</w:t>
            </w:r>
            <w:r>
              <w:t xml:space="preserve"> (0.1371)</w:t>
            </w:r>
          </w:p>
        </w:tc>
        <w:tc>
          <w:tcPr>
            <w:tcW w:w="2613" w:type="dxa"/>
            <w:tcBorders>
              <w:top w:val="single" w:sz="4" w:space="0" w:color="auto"/>
            </w:tcBorders>
          </w:tcPr>
          <w:p w14:paraId="18FF02FB" w14:textId="315CFDFF" w:rsidR="007909AC" w:rsidRDefault="00730413" w:rsidP="009851B1">
            <w:pPr>
              <w:spacing w:line="276" w:lineRule="auto"/>
              <w:ind w:firstLine="0"/>
              <w:jc w:val="center"/>
            </w:pPr>
            <w:r>
              <w:t>-0.15341 (0.5898</w:t>
            </w:r>
            <w:r w:rsidR="001D5BC5">
              <w:t>)</w:t>
            </w:r>
          </w:p>
        </w:tc>
      </w:tr>
      <w:tr w:rsidR="007909AC" w14:paraId="05B5B02A" w14:textId="77777777" w:rsidTr="009851B1">
        <w:trPr>
          <w:jc w:val="center"/>
        </w:trPr>
        <w:tc>
          <w:tcPr>
            <w:tcW w:w="2612" w:type="dxa"/>
            <w:shd w:val="clear" w:color="auto" w:fill="auto"/>
          </w:tcPr>
          <w:p w14:paraId="56506EF4" w14:textId="77777777" w:rsidR="007909AC" w:rsidRDefault="007909AC" w:rsidP="009851B1">
            <w:pPr>
              <w:spacing w:line="276" w:lineRule="auto"/>
              <w:ind w:firstLine="0"/>
              <w:jc w:val="center"/>
            </w:pPr>
            <w:r>
              <w:t>Q1 to Q3</w:t>
            </w:r>
          </w:p>
        </w:tc>
        <w:tc>
          <w:tcPr>
            <w:tcW w:w="2613" w:type="dxa"/>
            <w:shd w:val="clear" w:color="auto" w:fill="auto"/>
          </w:tcPr>
          <w:p w14:paraId="66BD753C" w14:textId="3C209859" w:rsidR="007909AC" w:rsidRDefault="00312588" w:rsidP="009851B1">
            <w:pPr>
              <w:spacing w:line="276" w:lineRule="auto"/>
              <w:ind w:firstLine="0"/>
              <w:jc w:val="center"/>
            </w:pPr>
            <w:r>
              <w:t>0.</w:t>
            </w:r>
            <w:r w:rsidR="001F2F75">
              <w:t>6404 (0.2609</w:t>
            </w:r>
            <w:r>
              <w:t>)</w:t>
            </w:r>
          </w:p>
        </w:tc>
        <w:tc>
          <w:tcPr>
            <w:tcW w:w="2613" w:type="dxa"/>
          </w:tcPr>
          <w:p w14:paraId="0D475C89" w14:textId="023B4ECE" w:rsidR="007909AC" w:rsidRDefault="00730413" w:rsidP="009851B1">
            <w:pPr>
              <w:spacing w:line="276" w:lineRule="auto"/>
              <w:ind w:firstLine="0"/>
              <w:jc w:val="center"/>
            </w:pPr>
            <w:r>
              <w:t>-0.2456 (0.5959</w:t>
            </w:r>
            <w:r w:rsidR="00CB30F9">
              <w:t>)</w:t>
            </w:r>
          </w:p>
        </w:tc>
      </w:tr>
      <w:tr w:rsidR="007909AC" w14:paraId="64104F0A" w14:textId="77777777" w:rsidTr="009851B1">
        <w:trPr>
          <w:jc w:val="center"/>
        </w:trPr>
        <w:tc>
          <w:tcPr>
            <w:tcW w:w="2612" w:type="dxa"/>
            <w:shd w:val="clear" w:color="auto" w:fill="auto"/>
          </w:tcPr>
          <w:p w14:paraId="2633FE2C" w14:textId="77777777" w:rsidR="007909AC" w:rsidRDefault="007909AC" w:rsidP="009851B1">
            <w:pPr>
              <w:spacing w:line="276" w:lineRule="auto"/>
              <w:ind w:firstLine="0"/>
              <w:jc w:val="center"/>
            </w:pPr>
            <w:r>
              <w:t>Q1 to Q4</w:t>
            </w:r>
          </w:p>
        </w:tc>
        <w:tc>
          <w:tcPr>
            <w:tcW w:w="2613" w:type="dxa"/>
            <w:shd w:val="clear" w:color="auto" w:fill="auto"/>
          </w:tcPr>
          <w:p w14:paraId="33AA9954" w14:textId="274B7946" w:rsidR="007909AC" w:rsidRDefault="00312588" w:rsidP="009851B1">
            <w:pPr>
              <w:spacing w:line="276" w:lineRule="auto"/>
              <w:ind w:firstLine="0"/>
              <w:jc w:val="center"/>
            </w:pPr>
            <w:r>
              <w:t>0.</w:t>
            </w:r>
            <w:r w:rsidR="001F2F75">
              <w:t>3371</w:t>
            </w:r>
            <w:r>
              <w:t xml:space="preserve"> (</w:t>
            </w:r>
            <w:r w:rsidR="001F2F75">
              <w:t>0.3731</w:t>
            </w:r>
            <w:r>
              <w:t>)</w:t>
            </w:r>
          </w:p>
        </w:tc>
        <w:tc>
          <w:tcPr>
            <w:tcW w:w="2613" w:type="dxa"/>
          </w:tcPr>
          <w:p w14:paraId="32C8FFF6" w14:textId="67695435" w:rsidR="007909AC" w:rsidRDefault="00CB30F9" w:rsidP="009851B1">
            <w:pPr>
              <w:spacing w:line="276" w:lineRule="auto"/>
              <w:ind w:firstLine="0"/>
              <w:jc w:val="center"/>
            </w:pPr>
            <w:r>
              <w:t>-0.</w:t>
            </w:r>
            <w:r w:rsidR="00730413">
              <w:t>7757</w:t>
            </w:r>
            <w:r>
              <w:t xml:space="preserve"> (0.0</w:t>
            </w:r>
            <w:r w:rsidR="00CD46F3">
              <w:t>539</w:t>
            </w:r>
            <w:r>
              <w:t>)</w:t>
            </w:r>
          </w:p>
        </w:tc>
      </w:tr>
    </w:tbl>
    <w:p w14:paraId="6FE8523C" w14:textId="4168EF84" w:rsidR="00485821" w:rsidRDefault="00485821" w:rsidP="00B8646E">
      <w:pPr>
        <w:pStyle w:val="Caption"/>
        <w:keepNext/>
        <w:ind w:hanging="270"/>
        <w:jc w:val="center"/>
      </w:pPr>
      <w:bookmarkStart w:id="25" w:name="_Toc532468801"/>
      <w:r>
        <w:lastRenderedPageBreak/>
        <w:t xml:space="preserve">Table </w:t>
      </w:r>
      <w:r w:rsidR="005F16D3">
        <w:rPr>
          <w:noProof/>
        </w:rPr>
        <w:fldChar w:fldCharType="begin"/>
      </w:r>
      <w:r w:rsidR="005F16D3">
        <w:rPr>
          <w:noProof/>
        </w:rPr>
        <w:instrText xml:space="preserve"> SEQ Table \* ARABIC </w:instrText>
      </w:r>
      <w:r w:rsidR="005F16D3">
        <w:rPr>
          <w:noProof/>
        </w:rPr>
        <w:fldChar w:fldCharType="separate"/>
      </w:r>
      <w:r>
        <w:rPr>
          <w:noProof/>
        </w:rPr>
        <w:t>4</w:t>
      </w:r>
      <w:r w:rsidR="005F16D3">
        <w:rPr>
          <w:noProof/>
        </w:rPr>
        <w:fldChar w:fldCharType="end"/>
      </w:r>
      <w:r>
        <w:t>: Adjusted Means for Exposure Quartiles</w:t>
      </w:r>
      <w:bookmarkEnd w:id="25"/>
    </w:p>
    <w:tbl>
      <w:tblPr>
        <w:tblW w:w="0" w:type="auto"/>
        <w:jc w:val="center"/>
        <w:tblLook w:val="01E0" w:firstRow="1" w:lastRow="1" w:firstColumn="1" w:lastColumn="1" w:noHBand="0" w:noVBand="0"/>
      </w:tblPr>
      <w:tblGrid>
        <w:gridCol w:w="2612"/>
        <w:gridCol w:w="2613"/>
        <w:gridCol w:w="2613"/>
      </w:tblGrid>
      <w:tr w:rsidR="00FC6F36" w14:paraId="46D3EF44" w14:textId="77777777" w:rsidTr="00F45452">
        <w:trPr>
          <w:trHeight w:val="683"/>
          <w:jc w:val="center"/>
        </w:trPr>
        <w:tc>
          <w:tcPr>
            <w:tcW w:w="2612" w:type="dxa"/>
            <w:tcBorders>
              <w:top w:val="single" w:sz="4" w:space="0" w:color="auto"/>
              <w:bottom w:val="single" w:sz="4" w:space="0" w:color="auto"/>
            </w:tcBorders>
            <w:shd w:val="clear" w:color="auto" w:fill="auto"/>
          </w:tcPr>
          <w:p w14:paraId="0B3DD020" w14:textId="77777777" w:rsidR="00FC6F36" w:rsidRDefault="00FC6F36" w:rsidP="00096593">
            <w:pPr>
              <w:spacing w:line="276" w:lineRule="auto"/>
              <w:ind w:firstLine="0"/>
              <w:jc w:val="center"/>
            </w:pPr>
          </w:p>
        </w:tc>
        <w:tc>
          <w:tcPr>
            <w:tcW w:w="2613" w:type="dxa"/>
            <w:tcBorders>
              <w:top w:val="single" w:sz="4" w:space="0" w:color="auto"/>
              <w:bottom w:val="single" w:sz="4" w:space="0" w:color="auto"/>
            </w:tcBorders>
            <w:shd w:val="clear" w:color="auto" w:fill="auto"/>
          </w:tcPr>
          <w:p w14:paraId="5D6604D6" w14:textId="18F70EF3" w:rsidR="00FC6F36" w:rsidRDefault="00F45452" w:rsidP="00096593">
            <w:pPr>
              <w:spacing w:line="276" w:lineRule="auto"/>
              <w:ind w:firstLine="0"/>
              <w:jc w:val="center"/>
            </w:pPr>
            <w:r>
              <w:t>Adjusted Mean (kg)</w:t>
            </w:r>
          </w:p>
        </w:tc>
        <w:tc>
          <w:tcPr>
            <w:tcW w:w="2613" w:type="dxa"/>
            <w:tcBorders>
              <w:top w:val="single" w:sz="4" w:space="0" w:color="auto"/>
              <w:bottom w:val="single" w:sz="4" w:space="0" w:color="auto"/>
            </w:tcBorders>
          </w:tcPr>
          <w:p w14:paraId="2DD45BD6" w14:textId="5957EC4B" w:rsidR="00FC6F36" w:rsidRDefault="00F45452" w:rsidP="00096593">
            <w:pPr>
              <w:spacing w:line="276" w:lineRule="auto"/>
              <w:ind w:firstLine="0"/>
              <w:jc w:val="center"/>
            </w:pPr>
            <w:r>
              <w:t>Adjusted Mean including creatinine (kg)</w:t>
            </w:r>
          </w:p>
        </w:tc>
      </w:tr>
      <w:tr w:rsidR="00F45452" w14:paraId="27F1CEBD" w14:textId="77777777" w:rsidTr="00F45452">
        <w:trPr>
          <w:jc w:val="center"/>
        </w:trPr>
        <w:tc>
          <w:tcPr>
            <w:tcW w:w="2612" w:type="dxa"/>
            <w:tcBorders>
              <w:top w:val="single" w:sz="4" w:space="0" w:color="auto"/>
            </w:tcBorders>
            <w:shd w:val="clear" w:color="auto" w:fill="auto"/>
          </w:tcPr>
          <w:p w14:paraId="5B60C19B" w14:textId="7CB1C3B3" w:rsidR="00F45452" w:rsidRDefault="00F45452" w:rsidP="00096593">
            <w:pPr>
              <w:spacing w:line="276" w:lineRule="auto"/>
              <w:ind w:firstLine="0"/>
              <w:jc w:val="center"/>
            </w:pPr>
            <w:r>
              <w:t>Q1</w:t>
            </w:r>
          </w:p>
        </w:tc>
        <w:tc>
          <w:tcPr>
            <w:tcW w:w="2613" w:type="dxa"/>
            <w:tcBorders>
              <w:top w:val="single" w:sz="4" w:space="0" w:color="auto"/>
            </w:tcBorders>
            <w:shd w:val="clear" w:color="auto" w:fill="auto"/>
          </w:tcPr>
          <w:p w14:paraId="29F04501" w14:textId="2BDEE3BE" w:rsidR="00F45452" w:rsidRDefault="00BF2BEF" w:rsidP="00096593">
            <w:pPr>
              <w:spacing w:line="276" w:lineRule="auto"/>
              <w:ind w:firstLine="0"/>
              <w:jc w:val="center"/>
            </w:pPr>
            <w:r>
              <w:t>22.66</w:t>
            </w:r>
          </w:p>
        </w:tc>
        <w:tc>
          <w:tcPr>
            <w:tcW w:w="2613" w:type="dxa"/>
            <w:tcBorders>
              <w:top w:val="single" w:sz="4" w:space="0" w:color="auto"/>
            </w:tcBorders>
          </w:tcPr>
          <w:p w14:paraId="01940E36" w14:textId="666714DA" w:rsidR="00F45452" w:rsidRDefault="00266000" w:rsidP="00096593">
            <w:pPr>
              <w:spacing w:line="276" w:lineRule="auto"/>
              <w:ind w:firstLine="0"/>
              <w:jc w:val="center"/>
            </w:pPr>
            <w:r>
              <w:t>23.27</w:t>
            </w:r>
          </w:p>
        </w:tc>
      </w:tr>
      <w:tr w:rsidR="00FC6F36" w14:paraId="6976CC9F" w14:textId="77777777" w:rsidTr="00F45452">
        <w:trPr>
          <w:jc w:val="center"/>
        </w:trPr>
        <w:tc>
          <w:tcPr>
            <w:tcW w:w="2612" w:type="dxa"/>
            <w:shd w:val="clear" w:color="auto" w:fill="auto"/>
          </w:tcPr>
          <w:p w14:paraId="4B8EEB54" w14:textId="1D10D137" w:rsidR="00FC6F36" w:rsidRDefault="00FC6F36" w:rsidP="00096593">
            <w:pPr>
              <w:spacing w:line="276" w:lineRule="auto"/>
              <w:ind w:firstLine="0"/>
              <w:jc w:val="center"/>
            </w:pPr>
            <w:r>
              <w:t>Q2</w:t>
            </w:r>
          </w:p>
        </w:tc>
        <w:tc>
          <w:tcPr>
            <w:tcW w:w="2613" w:type="dxa"/>
            <w:shd w:val="clear" w:color="auto" w:fill="auto"/>
          </w:tcPr>
          <w:p w14:paraId="44E6D75F" w14:textId="0A27BA61" w:rsidR="00FC6F36" w:rsidRDefault="00BF2BEF" w:rsidP="00096593">
            <w:pPr>
              <w:spacing w:line="276" w:lineRule="auto"/>
              <w:ind w:firstLine="0"/>
              <w:jc w:val="center"/>
            </w:pPr>
            <w:r>
              <w:t>23.01</w:t>
            </w:r>
          </w:p>
        </w:tc>
        <w:tc>
          <w:tcPr>
            <w:tcW w:w="2613" w:type="dxa"/>
          </w:tcPr>
          <w:p w14:paraId="66E139E4" w14:textId="3732D973" w:rsidR="00FC6F36" w:rsidRDefault="00266000" w:rsidP="00096593">
            <w:pPr>
              <w:spacing w:line="276" w:lineRule="auto"/>
              <w:ind w:firstLine="0"/>
              <w:jc w:val="center"/>
            </w:pPr>
            <w:r>
              <w:t>23.11</w:t>
            </w:r>
          </w:p>
        </w:tc>
      </w:tr>
      <w:tr w:rsidR="00FC6F36" w14:paraId="1ECA88A9" w14:textId="77777777" w:rsidTr="00096593">
        <w:trPr>
          <w:jc w:val="center"/>
        </w:trPr>
        <w:tc>
          <w:tcPr>
            <w:tcW w:w="2612" w:type="dxa"/>
            <w:shd w:val="clear" w:color="auto" w:fill="auto"/>
          </w:tcPr>
          <w:p w14:paraId="0D94E614" w14:textId="2936E7E6" w:rsidR="00FC6F36" w:rsidRDefault="00FC6F36" w:rsidP="00096593">
            <w:pPr>
              <w:spacing w:line="276" w:lineRule="auto"/>
              <w:ind w:firstLine="0"/>
              <w:jc w:val="center"/>
            </w:pPr>
            <w:r>
              <w:t>Q3</w:t>
            </w:r>
          </w:p>
        </w:tc>
        <w:tc>
          <w:tcPr>
            <w:tcW w:w="2613" w:type="dxa"/>
            <w:shd w:val="clear" w:color="auto" w:fill="auto"/>
          </w:tcPr>
          <w:p w14:paraId="244B397A" w14:textId="7E65F4E5" w:rsidR="00FC6F36" w:rsidRDefault="00BF2BEF" w:rsidP="00096593">
            <w:pPr>
              <w:spacing w:line="276" w:lineRule="auto"/>
              <w:ind w:firstLine="0"/>
              <w:jc w:val="center"/>
            </w:pPr>
            <w:r>
              <w:t>23.30</w:t>
            </w:r>
          </w:p>
        </w:tc>
        <w:tc>
          <w:tcPr>
            <w:tcW w:w="2613" w:type="dxa"/>
          </w:tcPr>
          <w:p w14:paraId="74E8B73D" w14:textId="518829B8" w:rsidR="00FC6F36" w:rsidRDefault="00266000" w:rsidP="00096593">
            <w:pPr>
              <w:spacing w:line="276" w:lineRule="auto"/>
              <w:ind w:firstLine="0"/>
              <w:jc w:val="center"/>
            </w:pPr>
            <w:r>
              <w:t>23.02</w:t>
            </w:r>
          </w:p>
        </w:tc>
      </w:tr>
      <w:tr w:rsidR="00FC6F36" w14:paraId="439FEBD1" w14:textId="77777777" w:rsidTr="00096593">
        <w:trPr>
          <w:jc w:val="center"/>
        </w:trPr>
        <w:tc>
          <w:tcPr>
            <w:tcW w:w="2612" w:type="dxa"/>
            <w:shd w:val="clear" w:color="auto" w:fill="auto"/>
          </w:tcPr>
          <w:p w14:paraId="5AE98BA4" w14:textId="3A6B2FE2" w:rsidR="00FC6F36" w:rsidRDefault="00FC6F36" w:rsidP="00096593">
            <w:pPr>
              <w:spacing w:line="276" w:lineRule="auto"/>
              <w:ind w:firstLine="0"/>
              <w:jc w:val="center"/>
            </w:pPr>
            <w:r>
              <w:t>Q4</w:t>
            </w:r>
          </w:p>
        </w:tc>
        <w:tc>
          <w:tcPr>
            <w:tcW w:w="2613" w:type="dxa"/>
            <w:shd w:val="clear" w:color="auto" w:fill="auto"/>
          </w:tcPr>
          <w:p w14:paraId="4C9F0106" w14:textId="54BE4B85" w:rsidR="00FC6F36" w:rsidRDefault="00BF2BEF" w:rsidP="00096593">
            <w:pPr>
              <w:spacing w:line="276" w:lineRule="auto"/>
              <w:ind w:firstLine="0"/>
              <w:jc w:val="center"/>
            </w:pPr>
            <w:r>
              <w:t>23.00</w:t>
            </w:r>
          </w:p>
        </w:tc>
        <w:tc>
          <w:tcPr>
            <w:tcW w:w="2613" w:type="dxa"/>
          </w:tcPr>
          <w:p w14:paraId="0AF712FB" w14:textId="3AA24FBD" w:rsidR="00FC6F36" w:rsidRDefault="00266000" w:rsidP="00096593">
            <w:pPr>
              <w:spacing w:line="276" w:lineRule="auto"/>
              <w:ind w:firstLine="0"/>
              <w:jc w:val="center"/>
            </w:pPr>
            <w:r>
              <w:t>22.49</w:t>
            </w:r>
          </w:p>
        </w:tc>
      </w:tr>
    </w:tbl>
    <w:p w14:paraId="60B52832" w14:textId="77777777" w:rsidR="007909AC" w:rsidRDefault="007909AC" w:rsidP="007909AC">
      <w:pPr>
        <w:pStyle w:val="Noindent"/>
        <w:outlineLvl w:val="1"/>
      </w:pPr>
    </w:p>
    <w:p w14:paraId="20D3DFC8" w14:textId="77777777" w:rsidR="007909AC" w:rsidRPr="008A720D" w:rsidRDefault="007909AC" w:rsidP="008A720D">
      <w:pPr>
        <w:ind w:firstLine="0"/>
      </w:pPr>
    </w:p>
    <w:p w14:paraId="7B3CB86B" w14:textId="77777777" w:rsidR="001B751F" w:rsidRDefault="001B751F" w:rsidP="001B751F">
      <w:pPr>
        <w:pStyle w:val="Heading1"/>
      </w:pPr>
      <w:bookmarkStart w:id="26" w:name="_Toc532467864"/>
      <w:r>
        <w:lastRenderedPageBreak/>
        <w:t>Discussion</w:t>
      </w:r>
      <w:bookmarkEnd w:id="26"/>
    </w:p>
    <w:p w14:paraId="243F732A" w14:textId="536E14A4" w:rsidR="001B751F" w:rsidRDefault="007E7682" w:rsidP="00713582">
      <w:r>
        <w:t xml:space="preserve">This study is exploratory and novel, as the existing literature on the association between appendicular lean mass (or other markers of muscle mass/quality) and arsenic exposure is extremely limited. </w:t>
      </w:r>
      <w:r w:rsidR="00C835D0">
        <w:t xml:space="preserve">  The premise for studying this relationship; however, is highly significant since there is a growing realization that </w:t>
      </w:r>
      <w:r w:rsidR="000733EC">
        <w:t>decline of</w:t>
      </w:r>
      <w:r w:rsidR="00C835D0">
        <w:t xml:space="preserve"> muscle quality,</w:t>
      </w:r>
      <w:r w:rsidR="000733EC">
        <w:t xml:space="preserve"> loss of</w:t>
      </w:r>
      <w:r w:rsidR="00C835D0">
        <w:t xml:space="preserve"> lean mass, and </w:t>
      </w:r>
      <w:r w:rsidR="000733EC">
        <w:t xml:space="preserve">increases of </w:t>
      </w:r>
      <w:r w:rsidR="00C835D0">
        <w:t>myosteatosis are strong indicators</w:t>
      </w:r>
      <w:r w:rsidR="004B08F6">
        <w:t xml:space="preserve"> risk for </w:t>
      </w:r>
      <w:r w:rsidR="000733EC">
        <w:t xml:space="preserve">musculoskeletal, but also metabolic </w:t>
      </w:r>
      <w:r w:rsidR="004B08F6">
        <w:t>diseases such as diabetes and cardiovascular disease</w:t>
      </w:r>
      <w:r w:rsidR="001227A0">
        <w:t xml:space="preserve">. </w:t>
      </w:r>
      <w:r w:rsidR="00C835D0">
        <w:t>The number of studies that investigate the role of any environmental contaminant in diminishing muscle</w:t>
      </w:r>
      <w:r w:rsidR="000733EC">
        <w:t xml:space="preserve"> mass and</w:t>
      </w:r>
      <w:r w:rsidR="00C835D0">
        <w:t xml:space="preserve"> quality and increasing myosteatosis is negligible. </w:t>
      </w:r>
      <w:r>
        <w:t>While no statistically significant associations were found, this can be explained by inadequate sample</w:t>
      </w:r>
      <w:r w:rsidR="00230AB6">
        <w:t xml:space="preserve"> sizes to detect small changes, especially given the </w:t>
      </w:r>
      <w:r w:rsidR="00CE3162">
        <w:t xml:space="preserve">high </w:t>
      </w:r>
      <w:r w:rsidR="00230AB6">
        <w:t xml:space="preserve">variability </w:t>
      </w:r>
      <w:r w:rsidR="00401D0C">
        <w:t>with higher exposures.</w:t>
      </w:r>
      <w:r w:rsidR="00CE3162">
        <w:t xml:space="preserve"> </w:t>
      </w:r>
      <w:r w:rsidR="00401D0C">
        <w:t xml:space="preserve">However, upon visual inspection, it seems there is a trend of increasing appendicular lean mass with increasing inorganic arsenic exposure, indicating the potential for a protective </w:t>
      </w:r>
      <w:r w:rsidR="00C835D0">
        <w:t xml:space="preserve">effect of low level exposure. </w:t>
      </w:r>
      <w:r w:rsidR="003B77E2">
        <w:t>This preliminary assessment is surprising; although the limitations of the study suggest that more analyses are needed in larger cohorts with a greater range of arsenic exposures before conclusive interpretations can be made.</w:t>
      </w:r>
    </w:p>
    <w:p w14:paraId="3131D026" w14:textId="77777777" w:rsidR="001B751F" w:rsidRDefault="001B751F" w:rsidP="001B751F">
      <w:pPr>
        <w:pStyle w:val="Heading2"/>
      </w:pPr>
      <w:bookmarkStart w:id="27" w:name="_Toc532467865"/>
      <w:r>
        <w:lastRenderedPageBreak/>
        <w:t>Limitations</w:t>
      </w:r>
      <w:bookmarkEnd w:id="27"/>
    </w:p>
    <w:p w14:paraId="5F0B1CFE" w14:textId="65F6354F" w:rsidR="001B751F" w:rsidRDefault="00386F39" w:rsidP="00713582">
      <w:pPr>
        <w:pStyle w:val="Noindent"/>
        <w:ind w:firstLine="720"/>
      </w:pPr>
      <w:r>
        <w:t>As this study is preliminary, there are some significant limitations, particularly in the measurements of arsenic</w:t>
      </w:r>
      <w:r w:rsidR="003B77E2">
        <w:t xml:space="preserve"> and the clinical assessment of muscle composition</w:t>
      </w:r>
      <w:r>
        <w:t xml:space="preserve">. </w:t>
      </w:r>
      <w:r w:rsidR="003B77E2">
        <w:t>S</w:t>
      </w:r>
      <w:r>
        <w:t>ubtracti</w:t>
      </w:r>
      <w:r w:rsidR="003B77E2">
        <w:t>ng</w:t>
      </w:r>
      <w:r>
        <w:t xml:space="preserve"> arsenobetaine from total urinary arsenic accounts for a large portion of the harmless organic arsen</w:t>
      </w:r>
      <w:r w:rsidR="00554FC8">
        <w:t>ic</w:t>
      </w:r>
      <w:r w:rsidR="003B77E2">
        <w:t xml:space="preserve">.  However, </w:t>
      </w:r>
      <w:r w:rsidR="009C7C50">
        <w:t>those who have high levels of arsenobetaine have high intake of seafood that may have positive nutritional effects on ALM.  Re-evaluating the data focusing on the correlation between arsenobetaine and ALM may resolve this possibility. There</w:t>
      </w:r>
      <w:r w:rsidR="003B77E2">
        <w:t xml:space="preserve"> is a substantial body of epidemiological studies that </w:t>
      </w:r>
      <w:r w:rsidR="009C7C50">
        <w:t>implicate</w:t>
      </w:r>
      <w:r w:rsidR="003B77E2">
        <w:t xml:space="preserve"> the methylated organic arsenicals created from </w:t>
      </w:r>
      <w:r w:rsidR="009C7C50">
        <w:t>metabolism of ingested</w:t>
      </w:r>
      <w:r w:rsidR="003B77E2">
        <w:t xml:space="preserve"> inorganic arsenic </w:t>
      </w:r>
      <w:r w:rsidR="009C7C50">
        <w:t>in</w:t>
      </w:r>
      <w:r w:rsidR="003B77E2">
        <w:t xml:space="preserve"> significantly contribut</w:t>
      </w:r>
      <w:r w:rsidR="009C7C50">
        <w:t>ing</w:t>
      </w:r>
      <w:r w:rsidR="003B77E2">
        <w:t xml:space="preserve"> to disease risk.</w:t>
      </w:r>
      <w:r w:rsidR="007873E6">
        <w:fldChar w:fldCharType="begin" w:fldLock="1"/>
      </w:r>
      <w:r w:rsidR="00FD5E5E">
        <w:instrText>ADDIN CSL_CITATION {"citationItems":[{"id":"ITEM-1","itemData":{"DOI":"10.1093/aje/kww097","ISBN":"1476-6256 (Electronic) 0002-9262 (Linking)","ISSN":"14766256","PMID":"27702745","abstract":"The sum of urinary inorganic arsenic (iAs) and methylated arsenic (monomethylarsonate and dimethylarsinate (DMA)) species is the main biomarker of iAs exposure. Assessing iAs exposure, however, is difficult in populations with moderate-to-high seafood intakes. In the present study, we used subsamples from the Multi-Ethnic Study of Atherosclerosis (2000-2002) (n = 310) and the 2003-2006 National Health and Nutrition Examination Survey (n = 1,175). We calibrated urinary concentrations of non-seafood-derived iAs, DMA, and methylarsonate, as well as the sum of inorganic and methylated arsenic species, in the Multi-Ethnic Study of Atherosclerosis and of DMA in the National Health and Nutrition Examination Survey by regressing their original concentrations by arsenobetaine and extracting model residuals. To confirm that calibrated biomarkers reflected iAs exposure but not seafood intake, we compared urinary arsenic concentrations by levels of seafood and rice intakes. Self-reported seafood intakes, estimated n-3 polyunsaturated fatty acid levels, and measured n-3 polyunsaturated fatty acid levels were positively associated with the original urinary arsenic biomarkers. Using the calibrated arsenic biomarkers, we found a marked attenuation of the associations with self-reported seafood intake and estimated or measured n-3 fatty acids, whereas associations with self-reported rice intake remained similar. Our residual-based method provides estimates of iAs exposure and metabolism for each participant that no longer reflect seafood intake and can facilitate research about low-to-moderate levels of iAs exposure in populations with high seafood intakes.","author":[{"dropping-particle":"","family":"Jones","given":"Miranda R.","non-dropping-particle":"","parse-names":false,"suffix":""},{"dropping-particle":"","family":"Tellez-Plaza","given":"Maria","non-dropping-particle":"","parse-names":false,"suffix":""},{"dropping-particle":"","family":"Vaidya","given":"Dhananjay","non-dropping-particle":"","parse-names":false,"suffix":""},{"dropping-particle":"","family":"Grau","given":"Maria","non-dropping-particle":"","parse-names":false,"suffix":""},{"dropping-particle":"","family":"Francesconi","given":"Kevin A.","non-dropping-particle":"","parse-names":false,"suffix":""},{"dropping-particle":"","family":"Goessler","given":"Walter","non-dropping-particle":"","parse-names":false,"suffix":""},{"dropping-particle":"","family":"Guallar","given":"Eliseo","non-dropping-particle":"","parse-names":false,"suffix":""},{"dropping-particle":"","family":"Post","given":"Wendy S.","non-dropping-particle":"","parse-names":false,"suffix":""},{"dropping-particle":"","family":"Kaufman","given":"Joel D.","non-dropping-particle":"","parse-names":false,"suffix":""},{"dropping-particle":"","family":"Navas-Acien","given":"Ana","non-dropping-particle":"","parse-names":false,"suffix":""}],"container-title":"American Journal of Epidemiology","id":"ITEM-1","issued":{"date-parts":[["2016"]]},"note":"ro3 54","title":"Estimation of Inorganic Arsenic Exposure in Populations with Frequent Seafood Intake: Evidence from MESA and NHANES","type":"article-journal"},"uris":["http://www.mendeley.com/documents/?uuid=e38d6252-c85c-3b41-ae91-4c6cf07e3625"]},{"id":"ITEM-2","itemData":{"DOI":"10.1093/toxsci/kfr184","ISBN":"1096-0929","ISSN":"10966080","PMID":"21750349","abstract":"The metalloid arsenic is a natural environmental contaminant to which humans are routinely exposed in food, water, air, and soil. Arsenic has a long history of use as a homicidal agent, but in the past 100 years arsenic, has been used as a pesticide, a chemotherapeutic agent and a constituent of consumer products. In some areas of the world, high levels of arsenic are naturally present in drinking water and are a toxicological concern. There are several structural forms and oxidation states of arsenic because it forms alloys with metals and covalent bonds with hydrogen, oxygen, carbon, and other elements. Environmentally relevant forms of arsenic are inorganic and organic existing in the trivalent or pentavalent state. Metabolism of arsenic, catalyzed by arsenic (+3 oxidation state) methyltransferase, is a sequential process of reduction from pentavalency to trivalency followed by oxidative methylation back to pentavalency. Trivalent arsenic is generally more toxicologically potent than pentavalent arsenic. Acute effects of arsenic range from gastrointestinal distress to death. Depending on the dose, chronic arsenic exposure may affect several major organ systems. A major concern of ingested arsenic is cancer, primarily of skin, bladder, and lung. The mode of action of arsenic for its disease endpoints is currently under study. Two key areas are the interaction of trivalent arsenicals with sulfur in proteins and the ability of arsenic to generate oxidative stress. With advances in technology and the recent development of animal models for arsenic carcinogenicity, understanding of the toxicology of arsenic will continue to improve.","author":[{"dropping-particle":"","family":"Hughes","given":"Michael F.","non-dropping-particle":"","parse-names":false,"suffix":""},{"dropping-particle":"","family":"Beck","given":"Barbara D.","non-dropping-particle":"","parse-names":false,"suffix":""},{"dropping-particle":"","family":"Chen","given":"Yu","non-dropping-particle":"","parse-names":false,"suffix":""},{"dropping-particle":"","family":"Lewis","given":"Ari S.","non-dropping-particle":"","parse-names":false,"suffix":""},{"dropping-particle":"","family":"Thomas","given":"David J.","non-dropping-particle":"","parse-names":false,"suffix":""}],"container-title":"Toxicological Sciences","id":"ITEM-2","issue":"2","issued":{"date-parts":[["2011"]]},"page":"305-332","title":"Arsenic exposure and toxicology: A historical perspective","type":"article-journal","volume":"123"},"uris":["http://www.mendeley.com/documents/?uuid=6e8d2daa-9cbf-4f25-beeb-796e0e00aeaa"]}],"mendeley":{"formattedCitation":"&lt;sup&gt;4,34&lt;/sup&gt;","plainTextFormattedCitation":"4,34","previouslyFormattedCitation":"&lt;sup&gt;4,34&lt;/sup&gt;"},"properties":{"noteIndex":0},"schema":"https://github.com/citation-style-language/schema/raw/master/csl-citation.json"}</w:instrText>
      </w:r>
      <w:r w:rsidR="007873E6">
        <w:fldChar w:fldCharType="separate"/>
      </w:r>
      <w:r w:rsidR="00613C7C" w:rsidRPr="00613C7C">
        <w:rPr>
          <w:noProof/>
          <w:vertAlign w:val="superscript"/>
        </w:rPr>
        <w:t>4,34</w:t>
      </w:r>
      <w:r w:rsidR="007873E6">
        <w:fldChar w:fldCharType="end"/>
      </w:r>
      <w:r w:rsidR="003B77E2">
        <w:t xml:space="preserve">   </w:t>
      </w:r>
      <w:r w:rsidR="009C7C50">
        <w:t xml:space="preserve">The NHANES measure of speciated urinary arsenicals includes the monomethyl and dimethyl arsenic metabolites and it would be important to determine how the levels of these metabolites correlate to ALM, as their contributions would be masked by using total urinary arsenic as the exposure marker. </w:t>
      </w:r>
      <w:r w:rsidR="00964894">
        <w:t>Another limitation is that u</w:t>
      </w:r>
      <w:r w:rsidR="00554FC8">
        <w:t xml:space="preserve">rine measurements from a single time point are not ideal to assess chronic exposure. In addition, </w:t>
      </w:r>
      <w:r w:rsidR="00964894">
        <w:t xml:space="preserve">the </w:t>
      </w:r>
      <w:r w:rsidR="00554FC8">
        <w:t>sampling design did not include a large number of individuals with high urinary inorganic arsenic, limiting power on the upper levels of exposure.</w:t>
      </w:r>
    </w:p>
    <w:p w14:paraId="781FF08A" w14:textId="29B3E912" w:rsidR="00C66365" w:rsidRDefault="009F6333" w:rsidP="00C418E2">
      <w:r>
        <w:t xml:space="preserve">DXA measures are subject to error, as fat versus lean muscle composition can only </w:t>
      </w:r>
      <w:proofErr w:type="spellStart"/>
      <w:r>
        <w:t>ber</w:t>
      </w:r>
      <w:proofErr w:type="spellEnd"/>
      <w:r>
        <w:t xml:space="preserve"> assessed in pixels containing no bone. In those that do contain bone,</w:t>
      </w:r>
      <w:r w:rsidR="00F16F74">
        <w:t xml:space="preserve"> DXA uses proprietary equations to infer the amount of fat based on </w:t>
      </w:r>
      <w:r>
        <w:t xml:space="preserve">the </w:t>
      </w:r>
      <w:r w:rsidR="00F16F74">
        <w:t>relative density. DXA quantifies fat, rather than adipose tissue. 80% of adipose tissue is composed of fat (ref).  On the other hand, fat can be distributed in tissue other than adipose tissue</w:t>
      </w:r>
      <w:r>
        <w:t>,</w:t>
      </w:r>
      <w:r w:rsidR="00F16F74">
        <w:t xml:space="preserve"> such as muscle</w:t>
      </w:r>
      <w:r w:rsidR="00EF3BB0">
        <w:t>.</w:t>
      </w:r>
      <w:r w:rsidR="00EF3BB0">
        <w:fldChar w:fldCharType="begin" w:fldLock="1"/>
      </w:r>
      <w:r w:rsidR="00FD5E5E">
        <w:instrText>ADDIN CSL_CITATION {"citationItems":[{"id":"ITEM-1","itemData":{"DOI":"10.1038/oby.2003.3","ISSN":"10717323","author":[{"dropping-particle":"","family":"Shen","given":"Wei","non-dropping-particle":"","parse-names":false,"suffix":""},{"dropping-particle":"","family":"Wang","given":"ZiMian","non-dropping-particle":"","parse-names":false,"suffix":""},{"dropping-particle":"","family":"Punyanita","given":"Mark","non-dropping-particle":"","parse-names":false,"suffix":""},{"dropping-particle":"","family":"Lei","given":"Jianbo","non-dropping-particle":"","parse-names":false,"suffix":""},{"dropping-particle":"","family":"Sinav","given":"Ahmet","non-dropping-particle":"","parse-names":false,"suffix":""},{"dropping-particle":"","family":"Kral","given":"John G.","non-dropping-particle":"","parse-names":false,"suffix":""},{"dropping-particle":"","family":"Imielinska","given":"Celina","non-dropping-particle":"","parse-names":false,"suffix":""},{"dropping-particle":"","family":"Ross","given":"Robert","non-dropping-particle":"","parse-names":false,"suffix":""},{"dropping-particle":"","family":"Heymsfield","given":"Steven B.","non-dropping-particle":"","parse-names":false,"suffix":""}],"container-title":"Obesity Research","id":"ITEM-1","issue":"1","issued":{"date-parts":[["2003","1"]]},"page":"5-16","title":"Adipose Tissue Quantification by Imaging Methods: A Proposed Classification","type":"article-journal","volume":"11"},"uris":["http://www.mendeley.com/documents/?uuid=0b2afc56-706f-4979-94e0-b9dc4ed49bf4"]}],"mendeley":{"formattedCitation":"&lt;sup&gt;43&lt;/sup&gt;","plainTextFormattedCitation":"43","previouslyFormattedCitation":"&lt;sup&gt;43&lt;/sup&gt;"},"properties":{"noteIndex":0},"schema":"https://github.com/citation-style-language/schema/raw/master/csl-citation.json"}</w:instrText>
      </w:r>
      <w:r w:rsidR="00EF3BB0">
        <w:fldChar w:fldCharType="separate"/>
      </w:r>
      <w:r w:rsidR="00FD5E5E" w:rsidRPr="00FD5E5E">
        <w:rPr>
          <w:noProof/>
          <w:vertAlign w:val="superscript"/>
        </w:rPr>
        <w:t>43</w:t>
      </w:r>
      <w:r w:rsidR="00EF3BB0">
        <w:fldChar w:fldCharType="end"/>
      </w:r>
      <w:r w:rsidR="00EF3BB0">
        <w:t xml:space="preserve"> </w:t>
      </w:r>
      <w:r w:rsidR="00C6309D">
        <w:t>Determining</w:t>
      </w:r>
      <w:r w:rsidR="00C418E2">
        <w:t xml:space="preserve"> clinical </w:t>
      </w:r>
      <w:r w:rsidR="003268D3">
        <w:t>m</w:t>
      </w:r>
      <w:r w:rsidR="00C6309D">
        <w:t>arkers</w:t>
      </w:r>
      <w:r w:rsidR="003268D3">
        <w:t xml:space="preserve"> </w:t>
      </w:r>
      <w:r w:rsidR="00964894">
        <w:t xml:space="preserve">of muscle quality </w:t>
      </w:r>
      <w:r w:rsidR="00C6309D">
        <w:t>is</w:t>
      </w:r>
      <w:r w:rsidR="00964894">
        <w:t xml:space="preserve"> </w:t>
      </w:r>
      <w:r w:rsidR="00B00FBA">
        <w:t xml:space="preserve">challenging </w:t>
      </w:r>
      <w:r w:rsidR="00964894">
        <w:t xml:space="preserve">given the new realization of the importance of </w:t>
      </w:r>
      <w:r w:rsidR="00C6309D">
        <w:t xml:space="preserve">both </w:t>
      </w:r>
      <w:r w:rsidR="00964894">
        <w:t>lean muscle mass and myosteatosis in disease promotion</w:t>
      </w:r>
      <w:r w:rsidR="00C418E2">
        <w:t>.</w:t>
      </w:r>
      <w:r w:rsidR="00194EE9">
        <w:fldChar w:fldCharType="begin" w:fldLock="1"/>
      </w:r>
      <w:r w:rsidR="00FD5E5E">
        <w:instrText>ADDIN CSL_CITATION {"citationItems":[{"id":"ITEM-1","itemData":{"DOI":"10.1080/07853890.2018.1511918","ISSN":"0785-3890","author":[{"dropping-particle":"","family":"Prado","given":"Carla M.","non-dropping-particle":"","parse-names":false,"suffix":""},{"dropping-particle":"","family":"Purcell","given":"Sarah A.","non-dropping-particle":"","parse-names":false,"suffix":""},{"dropping-particle":"","family":"Alish","given":"Carolyn","non-dropping-particle":"","parse-names":false,"suffix":""},{"dropping-particle":"","family":"Pereira","given":"Suzette L.","non-dropping-particle":"","parse-names":false,"suffix":""},{"dropping-particle":"","family":"Deutz","given":"Nicolaas E.","non-dropping-particle":"","parse-names":false,"suffix":""},{"dropping-particle":"","family":"Heyland","given":"Daren K.","non-dropping-particle":"","parse-names":false,"suffix":""},{"dropping-particle":"","family":"Goodpaster","given":"Bret H.","non-dropping-particle":"","parse-names":false,"suffix":""},{"dropping-particle":"","family":"Tappenden","given":"Kelly A.","non-dropping-particle":"","parse-names":false,"suffix":""},{"dropping-particle":"","family":"Heymsfield","given":"Steven B.","non-dropping-particle":"","parse-names":false,"suffix":""}],"container-title":"Annals of Medicine","id":"ITEM-1","issued":{"date-parts":[["2018","9","12"]]},"page":"1-19","title":"Implications of low muscle mass across the continuum of care: a narrative review","type":"article-journal"},"uris":["http://www.mendeley.com/documents/?uuid=719c5851-e27d-45da-ab33-4b87842310db"]},{"id":"ITEM-2","itemData":{"DOI":"10.3389/fphys.2017.00087","ISBN":"1664-042X (Print) 1664-042X (Linking)","ISSN":"1664042X","PMID":"28261109","abstract":"A growing body of scientific literature suggests that not only changes in skeletal muscle mass, but also other factors underpinning muscle quality, play a role in the decline in skeletal muscle function and impaired mobility associated with aging. A symposium on muscle quality and the need for standardized assessment was held on April 28, 2016 at the International Conference on Frailty &amp; Sarcopenia Research in Philadelphia, Pennsylvania. The purpose of this symposium was to provide a venue for basic science and clinical researchers and expert clinicians to discuss muscle quality in the context of skeletal muscle function deficit and other aging-related muscle dysfunctions. The present article provides an expanded introduction concerning the emerging definitions of muscle quality and a potential framework for scientific inquiry within the field. Changes in muscle tissue composition, based on excessive levels of inter- and intramuscular adipose tissue and intramyocellular lipids, have been found to adversely impact metabolism and peak force generation. However, methods to easily and rapidly assess muscle tissue composition in multiple clinical settings and with minimal patient burden are needed. Diagnostic ultrasound and other assessment methods continue to be developed for characterizing muscle pathology, and enhanced sonography using sensors to provide user feedback and improve reliability is currently the subject of ongoing investigation and development. In addition, measures of relative muscle force such as specific force or grip strength adjusted for body size have been proposed as methods to assess changes in muscle quality. Furthermore, performance-based assessments of muscle power via timed tests of function and body size estimates, are associated with lower extremity muscle strength may be responsive to age-related changes in muscle quality. Future aims include reaching consensus on the definition and standardized assessments of muscle quality, and providing recommendations to address critical clinical and technology research gaps within the field.","author":[{"dropping-particle":"","family":"Correa-de-Araujo","given":"Rosaly","non-dropping-particle":"","parse-names":false,"suffix":""},{"dropping-particle":"","family":"Harris-Love","given":"Michael O.","non-dropping-particle":"","parse-names":false,"suffix":""},{"dropping-particle":"","family":"Miljkovic","given":"Iva","non-dropping-particle":"","parse-names":false,"suffix":""},{"dropping-particle":"","family":"Fragala","given":"Maren S.","non-dropping-particle":"","parse-names":false,"suffix":""},{"dropping-particle":"","family":"Anthony","given":"Brian W.","non-dropping-particle":"","parse-names":false,"suffix":""},{"dropping-particle":"","family":"Manini","given":"Todd M.","non-dropping-particle":"","parse-names":false,"suffix":""}],"container-title":"Frontiers in Physiology","id":"ITEM-2","issue":"FEB","issued":{"date-parts":[["2017"]]},"note":"ro3 #29","page":"1-19","title":"The Need for Standardized Assessment of Muscle Quality in Skeletal Muscle Function Deficit and Other Aging-Related Muscle Dysfunctions: A Symposium Report","type":"article-journal","volume":"8"},"uris":["http://www.mendeley.com/documents/?uuid=b303f824-3d25-42a6-b820-50ad78dc2f1d"]}],"mendeley":{"formattedCitation":"&lt;sup&gt;14,29&lt;/sup&gt;","plainTextFormattedCitation":"14,29","previouslyFormattedCitation":"&lt;sup&gt;14,29&lt;/sup&gt;"},"properties":{"noteIndex":0},"schema":"https://github.com/citation-style-language/schema/raw/master/csl-citation.json"}</w:instrText>
      </w:r>
      <w:r w:rsidR="00194EE9">
        <w:fldChar w:fldCharType="separate"/>
      </w:r>
      <w:r w:rsidR="00613C7C" w:rsidRPr="00613C7C">
        <w:rPr>
          <w:noProof/>
          <w:vertAlign w:val="superscript"/>
        </w:rPr>
        <w:t>14,29</w:t>
      </w:r>
      <w:r w:rsidR="00194EE9">
        <w:fldChar w:fldCharType="end"/>
      </w:r>
      <w:r w:rsidR="00C418E2">
        <w:t xml:space="preserve"> There are a number of ways to measure muscle </w:t>
      </w:r>
      <w:r w:rsidR="00C418E2">
        <w:lastRenderedPageBreak/>
        <w:t>mass and quality</w:t>
      </w:r>
      <w:r w:rsidR="00711323">
        <w:t>, varying in both quality and expense</w:t>
      </w:r>
      <w:r w:rsidR="00964894">
        <w:t xml:space="preserve">. </w:t>
      </w:r>
      <w:r w:rsidR="00C418E2">
        <w:t>DXA measurem</w:t>
      </w:r>
      <w:r w:rsidR="00CB4265">
        <w:t xml:space="preserve">ents </w:t>
      </w:r>
      <w:r w:rsidR="00964894">
        <w:t xml:space="preserve">are limited as they measure </w:t>
      </w:r>
      <w:r w:rsidR="00F16F74">
        <w:t xml:space="preserve">tissue </w:t>
      </w:r>
      <w:r w:rsidR="00964894">
        <w:t>density</w:t>
      </w:r>
      <w:r w:rsidR="00711323">
        <w:t xml:space="preserve"> and lean mass,</w:t>
      </w:r>
      <w:r w:rsidR="00964894">
        <w:t xml:space="preserve"> </w:t>
      </w:r>
      <w:r>
        <w:t xml:space="preserve"> </w:t>
      </w:r>
      <w:r w:rsidR="00964894">
        <w:t xml:space="preserve">but </w:t>
      </w:r>
      <w:r w:rsidR="00CB4265">
        <w:t>fail to show intra and extra muscular</w:t>
      </w:r>
      <w:r w:rsidR="003268D3">
        <w:t xml:space="preserve"> fat</w:t>
      </w:r>
      <w:r w:rsidR="00964894">
        <w:t xml:space="preserve"> content</w:t>
      </w:r>
      <w:r w:rsidR="003268D3">
        <w:t xml:space="preserve">. </w:t>
      </w:r>
    </w:p>
    <w:p w14:paraId="48641849" w14:textId="5E0E4376" w:rsidR="00C418E2" w:rsidRPr="00C418E2" w:rsidRDefault="003268D3" w:rsidP="00C418E2">
      <w:r>
        <w:t>In addition, it is common in arsenic research to adjust for urine creatinine to account for varying urine dilution. However, creatinine is highly correlated with lean body mass, which proves to be problematic here.</w:t>
      </w:r>
      <w:r w:rsidR="00C66365">
        <w:t xml:space="preserve"> In addition, without another marker to adjust for urine dilution, creatinine is also correlated with arsenic exposure. However, it is impossible to discern whether this correlation is simply due to hydration, or due to arsenic-induced changes in body mass that then cause changes in creatinine excretion. Without more information, it is difficult to discern whether the creatinine adjusted models are correct. As they have the opposite trend of the non-creatinine adjusted models, the answer to this question is critic</w:t>
      </w:r>
      <w:r w:rsidR="00065738">
        <w:t>al to interpretation of results.</w:t>
      </w:r>
      <w:r w:rsidR="00065738">
        <w:fldChar w:fldCharType="begin" w:fldLock="1"/>
      </w:r>
      <w:r w:rsidR="00FD5E5E">
        <w:instrText>ADDIN CSL_CITATION {"citationItems":[{"id":"ITEM-1","itemData":{"DOI":"10.1289/ehp.113-a442a","ISBN":"0091-6765 (Print)\\r0091-6765 (Linking)","ISSN":"00916765","PMID":"16002357","author":[{"dropping-particle":"V.","family":"Gamble","given":"Mary","non-dropping-particle":"","parse-names":false,"suffix":""},{"dropping-particle":"","family":"Liu","given":"Xinhua","non-dropping-particle":"","parse-names":false,"suffix":""}],"container-title":"Environmental Health Perspectives","id":"ITEM-1","issue":"7","issued":{"date-parts":[["2005"]]},"note":"this is the dicussion on creatinine that is needed-add to methods section","title":"Urinary creatinine and arsenic metabolism [1]","type":"article","volume":"113"},"uris":["http://www.mendeley.com/documents/?uuid=26879c39-07b5-3f65-86ac-a9abd13051b2"]}],"mendeley":{"formattedCitation":"&lt;sup&gt;39&lt;/sup&gt;","plainTextFormattedCitation":"39","previouslyFormattedCitation":"&lt;sup&gt;39&lt;/sup&gt;"},"properties":{"noteIndex":0},"schema":"https://github.com/citation-style-language/schema/raw/master/csl-citation.json"}</w:instrText>
      </w:r>
      <w:r w:rsidR="00065738">
        <w:fldChar w:fldCharType="separate"/>
      </w:r>
      <w:r w:rsidR="00FD5E5E" w:rsidRPr="00FD5E5E">
        <w:rPr>
          <w:noProof/>
          <w:vertAlign w:val="superscript"/>
        </w:rPr>
        <w:t>39</w:t>
      </w:r>
      <w:r w:rsidR="00065738">
        <w:fldChar w:fldCharType="end"/>
      </w:r>
    </w:p>
    <w:p w14:paraId="43048475" w14:textId="77777777" w:rsidR="001B751F" w:rsidRDefault="001B751F" w:rsidP="001B751F">
      <w:pPr>
        <w:pStyle w:val="Heading2"/>
      </w:pPr>
      <w:bookmarkStart w:id="28" w:name="_Toc532467866"/>
      <w:r>
        <w:t>Future work</w:t>
      </w:r>
      <w:bookmarkEnd w:id="28"/>
    </w:p>
    <w:p w14:paraId="1F5A517A" w14:textId="77777777" w:rsidR="00B10E35" w:rsidRDefault="007E7682" w:rsidP="00B10E35">
      <w:pPr>
        <w:pStyle w:val="Noindent"/>
        <w:ind w:firstLine="720"/>
      </w:pPr>
      <w:bookmarkStart w:id="29" w:name="_Toc106513533"/>
      <w:bookmarkStart w:id="30" w:name="_Toc106717791"/>
      <w:r>
        <w:t xml:space="preserve">There are </w:t>
      </w:r>
      <w:r w:rsidR="0054431C">
        <w:t>several</w:t>
      </w:r>
      <w:r>
        <w:t xml:space="preserve"> opportuniti</w:t>
      </w:r>
      <w:r w:rsidR="00401D0C">
        <w:t xml:space="preserve">es for future work in this area. In particular, applications of more advanced statistical methods </w:t>
      </w:r>
      <w:r w:rsidR="0054431C">
        <w:t xml:space="preserve">would be useful in understanding </w:t>
      </w:r>
    </w:p>
    <w:p w14:paraId="66F4680B" w14:textId="1143777D" w:rsidR="003239FB" w:rsidRDefault="00B10E35" w:rsidP="000C0B40">
      <w:pPr>
        <w:pStyle w:val="Noindent"/>
        <w:ind w:firstLine="720"/>
      </w:pPr>
      <w:r>
        <w:t>Repeat and further analyses on d</w:t>
      </w:r>
      <w:r w:rsidR="00CB4265">
        <w:t xml:space="preserve">ata from a study with a larger sample size and more clear clinical endpoints would be useful. </w:t>
      </w:r>
      <w:r w:rsidR="00864F94">
        <w:t xml:space="preserve">In particular, </w:t>
      </w:r>
      <w:r w:rsidR="00BB060A">
        <w:t>this</w:t>
      </w:r>
      <w:r w:rsidR="00864F94">
        <w:t xml:space="preserve"> cohort would not only be larger in size, but have significantly more participants who have higher exposure levels. The vast majority of those sampled by NHANES </w:t>
      </w:r>
      <w:r w:rsidR="00BB060A">
        <w:t xml:space="preserve">had exposure levels that were quite low. </w:t>
      </w:r>
      <w:r w:rsidR="00CB4265">
        <w:t>The overlap between arsenic measurement collection and relevant DXA measurements in NHANES is limited to two cycles. A study which uses CT imaging to assess ALM would be a logical next step.</w:t>
      </w:r>
      <w:r w:rsidR="000C0B40">
        <w:t xml:space="preserve"> </w:t>
      </w:r>
      <w:r w:rsidR="003239FB">
        <w:t>In addition, adjustment for other analytes in urine should be considered.</w:t>
      </w:r>
      <w:r w:rsidR="00610B1A">
        <w:t xml:space="preserve"> </w:t>
      </w:r>
      <w:r w:rsidR="00CB4265">
        <w:t>It is possible that there are interactions between arsenic and other metals</w:t>
      </w:r>
      <w:r w:rsidR="00BB060A">
        <w:t xml:space="preserve"> occurring here. In addition, it would be helpful to </w:t>
      </w:r>
      <w:r w:rsidR="00BB060A">
        <w:lastRenderedPageBreak/>
        <w:t xml:space="preserve">study this prospectively, in order to measure and control for other potential confounds, like diet, that are difficult to measure in a cross-sectional study like NHANES. A prospective cohort study would also give a clear picture of arsenic exposure over time and chronic exposure-though if the main source is the drinking water in </w:t>
      </w:r>
      <w:r w:rsidR="001C28CA">
        <w:t>the</w:t>
      </w:r>
      <w:r w:rsidR="00BB060A">
        <w:t xml:space="preserve"> home, as is most common</w:t>
      </w:r>
      <w:r w:rsidR="00F16F74">
        <w:t>.</w:t>
      </w:r>
      <w:r w:rsidR="00F41998">
        <w:t xml:space="preserve"> In addition, a stud</w:t>
      </w:r>
      <w:r w:rsidR="009F6333">
        <w:t xml:space="preserve">y containing </w:t>
      </w:r>
      <w:r w:rsidR="00B50A1C">
        <w:t>measures of strength and fat mass in addition to lean mass</w:t>
      </w:r>
      <w:r w:rsidR="009F6333">
        <w:t>, such as the combination of sub</w:t>
      </w:r>
      <w:r w:rsidR="00B50A1C">
        <w:t>cutaneous fat, intermuscular fat</w:t>
      </w:r>
      <w:r w:rsidR="009F6333">
        <w:t xml:space="preserve">, isokinetic muscle torque, and  </w:t>
      </w:r>
      <w:r w:rsidR="00B50A1C">
        <w:t>cross sectional area used by Delmonico et. Al.</w:t>
      </w:r>
      <w:r w:rsidR="00B50A1C">
        <w:fldChar w:fldCharType="begin" w:fldLock="1"/>
      </w:r>
      <w:r w:rsidR="00FD5E5E">
        <w:instrText>ADDIN CSL_CITATION {"citationItems":[{"id":"ITEM-1","itemData":{"DOI":"10.3945/ajcn.2009.28047","ISSN":"1938-3207","PMID":"19864405","abstract":"BACKGROUND Sarcopenia is thought to be accompanied by increased muscle fat infiltration. However, no longitudinal studies have examined concomitant changes in muscle mass, strength, or fat infiltration in older adults. OBJECTIVE We present longitudinal data on age-related changes in leg composition, strength, and muscle quality (MQ) in ambulatory, well-functioning men and women. We hypothesized that muscle cross-sectional area (CSA) and strength would decrease and muscular fat infiltration would increase over 5 y. DESIGN Midthigh muscle, subcutaneous fat (SF), and intermuscular fat (IMF) CSAs and isokinetic leg muscle torque (MT) and MQ (MT/quadriceps CSA) were examined over 5 y in the Health, Aging, and Body Composition study cohort (n = 1678). RESULTS Men experienced a 16.1% loss of MT, whereas women experienced a 13.4% loss. Adjusted annualized decreases in MT were 2-5 times greater than the loss of muscle CSA in those who lost weight and in those who remained weight-stable. Weight gain did not prevent the loss of MT, despite a small increase in muscle CSA. Only those who gained weight had an increase in SF (P &lt; 0.001), whereas those who lost weight also lost SF (P &lt; 0.001). There was an age-related increase in IMF in men and women (P &lt; 0.001), and IMF increased in those who lost weight, gained weight, or remained weight-stable (all P &lt; 0.001). CONCLUSIONS Loss of leg MT in older adults is greater than muscle CSA loss, which suggests a decrease in MQ. Additionally, aging is associated with an increase in IMF regardless of changes in weight or SF.","author":[{"dropping-particle":"","family":"Delmonico","given":"Matthew J","non-dropping-particle":"","parse-names":false,"suffix":""},{"dropping-particle":"","family":"Harris","given":"Tamara B","non-dropping-particle":"","parse-names":false,"suffix":""},{"dropping-particle":"","family":"Visser","given":"Marjolein","non-dropping-particle":"","parse-names":false,"suffix":""},{"dropping-particle":"","family":"Park","given":"Seok Won","non-dropping-particle":"","parse-names":false,"suffix":""},{"dropping-particle":"","family":"Conroy","given":"Molly B","non-dropping-particle":"","parse-names":false,"suffix":""},{"dropping-particle":"","family":"Velasquez-Mieyer","given":"Pedro","non-dropping-particle":"","parse-names":false,"suffix":""},{"dropping-particle":"","family":"Boudreau","given":"Robert","non-dropping-particle":"","parse-names":false,"suffix":""},{"dropping-particle":"","family":"Manini","given":"Todd M","non-dropping-particle":"","parse-names":false,"suffix":""},{"dropping-particle":"","family":"Nevitt","given":"Michael","non-dropping-particle":"","parse-names":false,"suffix":""},{"dropping-particle":"","family":"Newman","given":"Anne B","non-dropping-particle":"","parse-names":false,"suffix":""},{"dropping-particle":"","family":"Goodpaster","given":"Bret H","non-dropping-particle":"","parse-names":false,"suffix":""},{"dropping-particle":"","family":"Health, Aging","given":"and Body","non-dropping-particle":"","parse-names":false,"suffix":""}],"container-title":"The American journal of clinical nutrition","id":"ITEM-1","issue":"6","issued":{"date-parts":[["2009","12"]]},"page":"1579-85","title":"Longitudinal study of muscle strength, quality, and adipose tissue infiltration.","type":"article-journal","volume":"90"},"uris":["http://www.mendeley.com/documents/?uuid=d69906d9-5a2f-4216-a14b-3439f3807dd7"]}],"mendeley":{"formattedCitation":"&lt;sup&gt;44&lt;/sup&gt;","plainTextFormattedCitation":"44","previouslyFormattedCitation":"&lt;sup&gt;44&lt;/sup&gt;"},"properties":{"noteIndex":0},"schema":"https://github.com/citation-style-language/schema/raw/master/csl-citation.json"}</w:instrText>
      </w:r>
      <w:r w:rsidR="00B50A1C">
        <w:fldChar w:fldCharType="separate"/>
      </w:r>
      <w:r w:rsidR="00FD5E5E" w:rsidRPr="00FD5E5E">
        <w:rPr>
          <w:noProof/>
          <w:vertAlign w:val="superscript"/>
        </w:rPr>
        <w:t>44</w:t>
      </w:r>
      <w:r w:rsidR="00B50A1C">
        <w:fldChar w:fldCharType="end"/>
      </w:r>
      <w:r w:rsidR="00B50A1C">
        <w:t xml:space="preserve"> would better reveal the effect of arsenic exposure on muscle quality.</w:t>
      </w:r>
    </w:p>
    <w:p w14:paraId="49486D13" w14:textId="77777777" w:rsidR="0054431C" w:rsidRPr="0054431C" w:rsidRDefault="0054431C" w:rsidP="0054431C">
      <w:r>
        <w:t xml:space="preserve">Overall, this work is preliminary and exploratory, </w:t>
      </w:r>
      <w:r w:rsidR="00964894">
        <w:t xml:space="preserve">yet it identified the complexity of associating an environmental exposure with disease risk </w:t>
      </w:r>
      <w:r>
        <w:t>and sets the stage for a number of different avenues for further investigation.</w:t>
      </w:r>
      <w:r w:rsidR="00964894">
        <w:t xml:space="preserve"> </w:t>
      </w:r>
    </w:p>
    <w:p w14:paraId="7A8D4E23" w14:textId="77777777" w:rsidR="00230AB6" w:rsidRDefault="00230AB6" w:rsidP="00230AB6">
      <w:pPr>
        <w:pStyle w:val="Heading1"/>
      </w:pPr>
      <w:bookmarkStart w:id="31" w:name="_Toc532467867"/>
      <w:r>
        <w:lastRenderedPageBreak/>
        <w:t>Conclusion</w:t>
      </w:r>
      <w:bookmarkEnd w:id="31"/>
    </w:p>
    <w:p w14:paraId="19FB858F" w14:textId="77777777" w:rsidR="00230AB6" w:rsidRPr="00230AB6" w:rsidRDefault="00230AB6" w:rsidP="00230AB6">
      <w:pPr>
        <w:pStyle w:val="Noindent"/>
        <w:ind w:firstLine="720"/>
      </w:pPr>
      <w:r>
        <w:t>This preliminary exploration has highlighted the need for a more thorough investigation of the association between inorganic arsenic exposure and muscle quality.</w:t>
      </w:r>
      <w:r w:rsidR="009851B1">
        <w:t xml:space="preserve"> It is possible that inorganic arsenic exposure may increase appendicular lean mass, but more work is needed to draw definitive conclusions.</w:t>
      </w:r>
    </w:p>
    <w:bookmarkEnd w:id="29"/>
    <w:bookmarkEnd w:id="30"/>
    <w:p w14:paraId="613F87B4" w14:textId="77777777" w:rsidR="00B917F0" w:rsidRDefault="00B917F0" w:rsidP="005F16D3"/>
    <w:p w14:paraId="5D45EC8A" w14:textId="77777777" w:rsidR="00DA5BA8" w:rsidRDefault="00DA5BA8" w:rsidP="00DA5BA8">
      <w:pPr>
        <w:pStyle w:val="Heading"/>
      </w:pPr>
      <w:bookmarkStart w:id="32" w:name="_Toc532467868"/>
      <w:r>
        <w:lastRenderedPageBreak/>
        <w:t>bibliography</w:t>
      </w:r>
      <w:bookmarkEnd w:id="32"/>
    </w:p>
    <w:p w14:paraId="2274EB23" w14:textId="7E892EEE" w:rsidR="00FD5E5E" w:rsidRPr="00FD5E5E" w:rsidRDefault="00E70B73" w:rsidP="006058E1">
      <w:pPr>
        <w:widowControl w:val="0"/>
        <w:autoSpaceDE w:val="0"/>
        <w:autoSpaceDN w:val="0"/>
        <w:adjustRightInd w:val="0"/>
        <w:spacing w:after="100" w:afterAutospacing="1" w:line="240" w:lineRule="auto"/>
        <w:ind w:left="640" w:hanging="640"/>
        <w:rPr>
          <w:noProof/>
        </w:rPr>
      </w:pPr>
      <w:r>
        <w:fldChar w:fldCharType="begin" w:fldLock="1"/>
      </w:r>
      <w:r>
        <w:instrText xml:space="preserve">ADDIN Mendeley Bibliography CSL_BIBLIOGRAPHY </w:instrText>
      </w:r>
      <w:r>
        <w:fldChar w:fldCharType="separate"/>
      </w:r>
      <w:r w:rsidR="00FD5E5E" w:rsidRPr="00FD5E5E">
        <w:rPr>
          <w:noProof/>
        </w:rPr>
        <w:t xml:space="preserve">1. </w:t>
      </w:r>
      <w:r w:rsidR="00FD5E5E" w:rsidRPr="00FD5E5E">
        <w:rPr>
          <w:noProof/>
        </w:rPr>
        <w:tab/>
        <w:t>World Health Organization. International Programme on Chemical Safety: Ten chemicals of major public health concern. https://www.who.int/ipcs/assessment/public_health/chemicals_phc/en/. Published 2010.</w:t>
      </w:r>
    </w:p>
    <w:p w14:paraId="7A6D6F9C"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 </w:t>
      </w:r>
      <w:r w:rsidRPr="00FD5E5E">
        <w:rPr>
          <w:noProof/>
        </w:rPr>
        <w:tab/>
        <w:t xml:space="preserve">Naujokas MF, Anderson B, Ahsan H, et al. The broad scope of health effects from chronic arsenic exposure: Update on a worldwide public health problem. </w:t>
      </w:r>
      <w:r w:rsidRPr="00FD5E5E">
        <w:rPr>
          <w:i/>
          <w:iCs/>
          <w:noProof/>
        </w:rPr>
        <w:t>Environ Health Perspect</w:t>
      </w:r>
      <w:r w:rsidRPr="00FD5E5E">
        <w:rPr>
          <w:noProof/>
        </w:rPr>
        <w:t>. 2013;121(3):295-302. doi:10.1289/ehp.1205875</w:t>
      </w:r>
    </w:p>
    <w:p w14:paraId="535FA1F7"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 </w:t>
      </w:r>
      <w:r w:rsidRPr="00FD5E5E">
        <w:rPr>
          <w:noProof/>
        </w:rPr>
        <w:tab/>
        <w:t xml:space="preserve">Podgorski JE, Eqani SAMAS, Khanam T, Ullah R, Shen H, Berg M. Extensive arsenic contamination in high-pH unconfined aquifers in the Indus Valley. </w:t>
      </w:r>
      <w:r w:rsidRPr="00FD5E5E">
        <w:rPr>
          <w:i/>
          <w:iCs/>
          <w:noProof/>
        </w:rPr>
        <w:t>Sci Adv</w:t>
      </w:r>
      <w:r w:rsidRPr="00FD5E5E">
        <w:rPr>
          <w:noProof/>
        </w:rPr>
        <w:t>. 2017;3(8). doi:10.1126/sciadv.1700935</w:t>
      </w:r>
    </w:p>
    <w:p w14:paraId="16D568F5"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4. </w:t>
      </w:r>
      <w:r w:rsidRPr="00FD5E5E">
        <w:rPr>
          <w:noProof/>
        </w:rPr>
        <w:tab/>
        <w:t xml:space="preserve">Hughes MF, Beck BD, Chen Y, Lewis AS, Thomas DJ. Arsenic exposure and toxicology: A historical perspective. </w:t>
      </w:r>
      <w:r w:rsidRPr="00FD5E5E">
        <w:rPr>
          <w:i/>
          <w:iCs/>
          <w:noProof/>
        </w:rPr>
        <w:t>Toxicol Sci</w:t>
      </w:r>
      <w:r w:rsidRPr="00FD5E5E">
        <w:rPr>
          <w:noProof/>
        </w:rPr>
        <w:t>. 2011;123(2):305-332. doi:10.1093/toxsci/kfr184</w:t>
      </w:r>
    </w:p>
    <w:p w14:paraId="14284BE2"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5. </w:t>
      </w:r>
      <w:r w:rsidRPr="00FD5E5E">
        <w:rPr>
          <w:noProof/>
        </w:rPr>
        <w:tab/>
        <w:t xml:space="preserve">States JC. </w:t>
      </w:r>
      <w:r w:rsidRPr="00FD5E5E">
        <w:rPr>
          <w:i/>
          <w:iCs/>
          <w:noProof/>
        </w:rPr>
        <w:t>Arsenic: Exposure Sources, Health Risks, and Mechanisms of Toxicity</w:t>
      </w:r>
      <w:r w:rsidRPr="00FD5E5E">
        <w:rPr>
          <w:noProof/>
        </w:rPr>
        <w:t>. Hoboken, NJ: John Wiley &amp; Sons, Inc; 2016.</w:t>
      </w:r>
    </w:p>
    <w:p w14:paraId="68F3DE83"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6. </w:t>
      </w:r>
      <w:r w:rsidRPr="00FD5E5E">
        <w:rPr>
          <w:noProof/>
        </w:rPr>
        <w:tab/>
        <w:t xml:space="preserve">Arsenic NRCD on E and LSB on ES and TC on I. </w:t>
      </w:r>
      <w:r w:rsidRPr="00FD5E5E">
        <w:rPr>
          <w:i/>
          <w:iCs/>
          <w:noProof/>
        </w:rPr>
        <w:t>Critical Aspects of EPA’s IRIS Assessment of Inorganic Arsenic</w:t>
      </w:r>
      <w:r w:rsidRPr="00FD5E5E">
        <w:rPr>
          <w:noProof/>
        </w:rPr>
        <w:t>. Washington, D.C.: National Academies Press; 2014. doi:10.17226/18594</w:t>
      </w:r>
    </w:p>
    <w:p w14:paraId="6EAC3761"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7. </w:t>
      </w:r>
      <w:r w:rsidRPr="00FD5E5E">
        <w:rPr>
          <w:noProof/>
        </w:rPr>
        <w:tab/>
        <w:t xml:space="preserve">Bailey KA, Smith AH, Tokar EJ, et al. Mechanisms underlying latent disease risk associated with early-life arsenic exposure: Current research trends and scientific gaps. </w:t>
      </w:r>
      <w:r w:rsidRPr="00FD5E5E">
        <w:rPr>
          <w:i/>
          <w:iCs/>
          <w:noProof/>
        </w:rPr>
        <w:t>Environ Health Perspect</w:t>
      </w:r>
      <w:r w:rsidRPr="00FD5E5E">
        <w:rPr>
          <w:noProof/>
        </w:rPr>
        <w:t>. 2016;124(2):170-175. doi:10.1289/ehp.1409360</w:t>
      </w:r>
    </w:p>
    <w:p w14:paraId="5FD584BD"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8. </w:t>
      </w:r>
      <w:r w:rsidRPr="00FD5E5E">
        <w:rPr>
          <w:noProof/>
        </w:rPr>
        <w:tab/>
        <w:t xml:space="preserve">Moon KA, Oberoi S, Barchowsky A, et al. A dose-response meta-analysis of chronic arsenic exposure and incident cardiovascular disease. </w:t>
      </w:r>
      <w:r w:rsidRPr="00FD5E5E">
        <w:rPr>
          <w:i/>
          <w:iCs/>
          <w:noProof/>
        </w:rPr>
        <w:t>Int J Epidemiol</w:t>
      </w:r>
      <w:r w:rsidRPr="00FD5E5E">
        <w:rPr>
          <w:noProof/>
        </w:rPr>
        <w:t>. 2017. doi:10.1093/ije/dyx202</w:t>
      </w:r>
    </w:p>
    <w:p w14:paraId="1D523448"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9. </w:t>
      </w:r>
      <w:r w:rsidRPr="00FD5E5E">
        <w:rPr>
          <w:noProof/>
        </w:rPr>
        <w:tab/>
        <w:t xml:space="preserve">Cosselman KE, Navas-Acien A, Kaufman JD. Environmental factors in cardiovascular disease. </w:t>
      </w:r>
      <w:r w:rsidRPr="00FD5E5E">
        <w:rPr>
          <w:i/>
          <w:iCs/>
          <w:noProof/>
        </w:rPr>
        <w:t>Nat Rev Cardiol</w:t>
      </w:r>
      <w:r w:rsidRPr="00FD5E5E">
        <w:rPr>
          <w:noProof/>
        </w:rPr>
        <w:t>. 2015;12(11):627-642. doi:10.1038/nrcardio.2015.152</w:t>
      </w:r>
    </w:p>
    <w:p w14:paraId="75AC7E07"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10. </w:t>
      </w:r>
      <w:r w:rsidRPr="00FD5E5E">
        <w:rPr>
          <w:noProof/>
        </w:rPr>
        <w:tab/>
        <w:t xml:space="preserve">Sanchez TR, Perzanowski M, Graziano JH. Inorganic arsenic and respiratory health, from early life exposure to sex-specific effects: A systematic review. </w:t>
      </w:r>
      <w:r w:rsidRPr="00FD5E5E">
        <w:rPr>
          <w:i/>
          <w:iCs/>
          <w:noProof/>
        </w:rPr>
        <w:t>Environ Res</w:t>
      </w:r>
      <w:r w:rsidRPr="00FD5E5E">
        <w:rPr>
          <w:noProof/>
        </w:rPr>
        <w:t>. 2016;147:537-555. doi:10.1016/j.envres.2016.02.009</w:t>
      </w:r>
    </w:p>
    <w:p w14:paraId="756BC482"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lastRenderedPageBreak/>
        <w:t xml:space="preserve">11. </w:t>
      </w:r>
      <w:r w:rsidRPr="00FD5E5E">
        <w:rPr>
          <w:noProof/>
        </w:rPr>
        <w:tab/>
        <w:t xml:space="preserve">Navas-Acien A, Silbergeld EK, Pastor-Barriuso R, Guallar E. Rejoinder: Arsenic exposure and prevalence of type 2 diabetes updated findings from the national health nutrition and examination survey, 2003-2006. </w:t>
      </w:r>
      <w:r w:rsidRPr="00FD5E5E">
        <w:rPr>
          <w:i/>
          <w:iCs/>
          <w:noProof/>
        </w:rPr>
        <w:t>Epidemiology</w:t>
      </w:r>
      <w:r w:rsidRPr="00FD5E5E">
        <w:rPr>
          <w:noProof/>
        </w:rPr>
        <w:t>. 2009;20(6):816-820. doi:10.1097/EDE.0b013e3181afef88</w:t>
      </w:r>
    </w:p>
    <w:p w14:paraId="425E93B5"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12. </w:t>
      </w:r>
      <w:r w:rsidRPr="00FD5E5E">
        <w:rPr>
          <w:noProof/>
        </w:rPr>
        <w:tab/>
        <w:t xml:space="preserve">Chakraborti D, Mukherjee SC, Pati S, et al. Arsenic groundwater contamination in Middle Ganga Plain, Bihar, India: A future danger? </w:t>
      </w:r>
      <w:r w:rsidRPr="00FD5E5E">
        <w:rPr>
          <w:i/>
          <w:iCs/>
          <w:noProof/>
        </w:rPr>
        <w:t>Environ Health Perspect</w:t>
      </w:r>
      <w:r w:rsidRPr="00FD5E5E">
        <w:rPr>
          <w:noProof/>
        </w:rPr>
        <w:t>. 2003;111(9):1194-1201. doi:10.1289/ehp.5966</w:t>
      </w:r>
    </w:p>
    <w:p w14:paraId="4155508F"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13. </w:t>
      </w:r>
      <w:r w:rsidRPr="00FD5E5E">
        <w:rPr>
          <w:noProof/>
        </w:rPr>
        <w:tab/>
        <w:t xml:space="preserve">Parvez F, Wasserman GA, Factor-Litvak P, et al. Arsenic exposure and motor function among children in Bangladesh. </w:t>
      </w:r>
      <w:r w:rsidRPr="00FD5E5E">
        <w:rPr>
          <w:i/>
          <w:iCs/>
          <w:noProof/>
        </w:rPr>
        <w:t>Env Heal Perspect</w:t>
      </w:r>
      <w:r w:rsidRPr="00FD5E5E">
        <w:rPr>
          <w:noProof/>
        </w:rPr>
        <w:t>. 2011;119(11):1665-1670. doi:10.1289/ehp.1103548</w:t>
      </w:r>
    </w:p>
    <w:p w14:paraId="01005492"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14. </w:t>
      </w:r>
      <w:r w:rsidRPr="00FD5E5E">
        <w:rPr>
          <w:noProof/>
        </w:rPr>
        <w:tab/>
        <w:t xml:space="preserve">Prado CM, Purcell SA, Alish C, et al. Implications of low muscle mass across the continuum of care: a narrative review. </w:t>
      </w:r>
      <w:r w:rsidRPr="00FD5E5E">
        <w:rPr>
          <w:i/>
          <w:iCs/>
          <w:noProof/>
        </w:rPr>
        <w:t>Ann Med</w:t>
      </w:r>
      <w:r w:rsidRPr="00FD5E5E">
        <w:rPr>
          <w:noProof/>
        </w:rPr>
        <w:t>. September 2018:1-19. doi:10.1080/07853890.2018.1511918</w:t>
      </w:r>
    </w:p>
    <w:p w14:paraId="04B9179F"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15. </w:t>
      </w:r>
      <w:r w:rsidRPr="00FD5E5E">
        <w:rPr>
          <w:noProof/>
        </w:rPr>
        <w:tab/>
        <w:t xml:space="preserve">Goodpaster BH, Park SW, Harris TB, et al. The loss of skeletal muscle strength, mass, and quality in older adults: the health, aging and body composition study. </w:t>
      </w:r>
      <w:r w:rsidRPr="00FD5E5E">
        <w:rPr>
          <w:i/>
          <w:iCs/>
          <w:noProof/>
        </w:rPr>
        <w:t>J Gerontol A Biol Sci Med Sci</w:t>
      </w:r>
      <w:r w:rsidRPr="00FD5E5E">
        <w:rPr>
          <w:noProof/>
        </w:rPr>
        <w:t>. 2006;61(10):1059-1064. http://www.ncbi.nlm.nih.gov/pubmed/17077199.</w:t>
      </w:r>
    </w:p>
    <w:p w14:paraId="4BCBD32D"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16. </w:t>
      </w:r>
      <w:r w:rsidRPr="00FD5E5E">
        <w:rPr>
          <w:noProof/>
        </w:rPr>
        <w:tab/>
        <w:t xml:space="preserve">Mitchell WK, Williams J, Atherton P, Larvin M, Lund J, Narici M. Sarcopenia, Dynapenia, and the Impact of Advancing Age on Human Skeletal Muscle Size and Strength; a Quantitative Review. </w:t>
      </w:r>
      <w:r w:rsidRPr="00FD5E5E">
        <w:rPr>
          <w:i/>
          <w:iCs/>
          <w:noProof/>
        </w:rPr>
        <w:t>Front Physiol</w:t>
      </w:r>
      <w:r w:rsidRPr="00FD5E5E">
        <w:rPr>
          <w:noProof/>
        </w:rPr>
        <w:t>. 2012;3. doi:10.3389/fphys.2012.00260</w:t>
      </w:r>
    </w:p>
    <w:p w14:paraId="65715552"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17. </w:t>
      </w:r>
      <w:r w:rsidRPr="00FD5E5E">
        <w:rPr>
          <w:noProof/>
        </w:rPr>
        <w:tab/>
        <w:t xml:space="preserve">Kalyani RR, Corriere M, Ferrucci L. Age-related and disease-related muscle loss: the effect of diabetes, obesity, and other diseases. </w:t>
      </w:r>
      <w:r w:rsidRPr="00FD5E5E">
        <w:rPr>
          <w:i/>
          <w:iCs/>
          <w:noProof/>
        </w:rPr>
        <w:t>lancet Diabetes Endocrinol</w:t>
      </w:r>
      <w:r w:rsidRPr="00FD5E5E">
        <w:rPr>
          <w:noProof/>
        </w:rPr>
        <w:t>. 2014;2(10):819-829. doi:10.1016/S2213-8587(14)70034-8</w:t>
      </w:r>
    </w:p>
    <w:p w14:paraId="47E321ED"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18. </w:t>
      </w:r>
      <w:r w:rsidRPr="00FD5E5E">
        <w:rPr>
          <w:noProof/>
        </w:rPr>
        <w:tab/>
        <w:t xml:space="preserve">Trombetti A, Reid KF, Hars M, et al. Age-associated declines in muscle mass, strength, power, and physical performance: impact on fear of falling and quality of life. </w:t>
      </w:r>
      <w:r w:rsidRPr="00FD5E5E">
        <w:rPr>
          <w:i/>
          <w:iCs/>
          <w:noProof/>
        </w:rPr>
        <w:t>Osteoporos Int</w:t>
      </w:r>
      <w:r w:rsidRPr="00FD5E5E">
        <w:rPr>
          <w:noProof/>
        </w:rPr>
        <w:t>. 2016;27(2):463-471. doi:10.1007/s00198-015-3236-5</w:t>
      </w:r>
    </w:p>
    <w:p w14:paraId="6F995397"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19. </w:t>
      </w:r>
      <w:r w:rsidRPr="00FD5E5E">
        <w:rPr>
          <w:noProof/>
        </w:rPr>
        <w:tab/>
        <w:t xml:space="preserve">Seidell JC, Visscher TL. Body weight and weight change and their health implications for the elderly. </w:t>
      </w:r>
      <w:r w:rsidRPr="00FD5E5E">
        <w:rPr>
          <w:i/>
          <w:iCs/>
          <w:noProof/>
        </w:rPr>
        <w:t>Eur J Clin Nutr</w:t>
      </w:r>
      <w:r w:rsidRPr="00FD5E5E">
        <w:rPr>
          <w:noProof/>
        </w:rPr>
        <w:t>. 2000;54 Suppl 3:S33-9. http://www.ncbi.nlm.nih.gov/pubmed/11041073.</w:t>
      </w:r>
    </w:p>
    <w:p w14:paraId="6828C788"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20. </w:t>
      </w:r>
      <w:r w:rsidRPr="00FD5E5E">
        <w:rPr>
          <w:noProof/>
        </w:rPr>
        <w:tab/>
        <w:t xml:space="preserve">Leenders M, Verdijk LB, van der Hoeven L, et al. Patients With Type 2 Diabetes Show a Greater Decline in Muscle Mass, Muscle Strength, and Functional Capacity With Aging. </w:t>
      </w:r>
      <w:r w:rsidRPr="00FD5E5E">
        <w:rPr>
          <w:i/>
          <w:iCs/>
          <w:noProof/>
        </w:rPr>
        <w:t>J Am Med Dir Assoc</w:t>
      </w:r>
      <w:r w:rsidRPr="00FD5E5E">
        <w:rPr>
          <w:noProof/>
        </w:rPr>
        <w:t>. 2013;14(8):585-592. doi:10.1016/j.jamda.2013.02.006</w:t>
      </w:r>
    </w:p>
    <w:p w14:paraId="7F7B9A06" w14:textId="1C79F82D" w:rsid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21. </w:t>
      </w:r>
      <w:r w:rsidRPr="00FD5E5E">
        <w:rPr>
          <w:noProof/>
        </w:rPr>
        <w:tab/>
        <w:t xml:space="preserve">Tieland M, Trouwborst I, Clark BC. Skeletal muscle performance and ageing. </w:t>
      </w:r>
      <w:r w:rsidRPr="00FD5E5E">
        <w:rPr>
          <w:i/>
          <w:iCs/>
          <w:noProof/>
        </w:rPr>
        <w:t>J Cachexia Sarcopenia Muscle</w:t>
      </w:r>
      <w:r w:rsidRPr="00FD5E5E">
        <w:rPr>
          <w:noProof/>
        </w:rPr>
        <w:t>. 2018;9(1):3-19. doi:10.1002/jcsm.12238</w:t>
      </w:r>
    </w:p>
    <w:p w14:paraId="0E3293F1" w14:textId="77777777" w:rsidR="00BA3052" w:rsidRPr="00FD5E5E" w:rsidRDefault="00BA3052" w:rsidP="006058E1">
      <w:pPr>
        <w:widowControl w:val="0"/>
        <w:autoSpaceDE w:val="0"/>
        <w:autoSpaceDN w:val="0"/>
        <w:adjustRightInd w:val="0"/>
        <w:spacing w:after="100" w:afterAutospacing="1" w:line="240" w:lineRule="auto"/>
        <w:ind w:left="640" w:hanging="640"/>
        <w:rPr>
          <w:noProof/>
        </w:rPr>
      </w:pPr>
    </w:p>
    <w:p w14:paraId="43D0CE6B"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lastRenderedPageBreak/>
        <w:t xml:space="preserve">22. </w:t>
      </w:r>
      <w:r w:rsidRPr="00FD5E5E">
        <w:rPr>
          <w:noProof/>
        </w:rPr>
        <w:tab/>
        <w:t xml:space="preserve">Atlantis E, Martin SA, Haren MT, Taylor AW, Wittert GA. Inverse associations between muscle mass, strength, and the metabolic syndrome. </w:t>
      </w:r>
      <w:r w:rsidRPr="00FD5E5E">
        <w:rPr>
          <w:i/>
          <w:iCs/>
          <w:noProof/>
        </w:rPr>
        <w:t>Metabolism</w:t>
      </w:r>
      <w:r w:rsidRPr="00FD5E5E">
        <w:rPr>
          <w:noProof/>
        </w:rPr>
        <w:t>. 2009;58(7):1013-1022. doi:10.1016/j.metabol.2009.02.027</w:t>
      </w:r>
    </w:p>
    <w:p w14:paraId="3C8BAAA0"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23. </w:t>
      </w:r>
      <w:r w:rsidRPr="00FD5E5E">
        <w:rPr>
          <w:noProof/>
        </w:rPr>
        <w:tab/>
        <w:t xml:space="preserve">Srikanthan P, Karlamangla AS. Relative Muscle Mass Is Inversely Associated with Insulin Resistance and Prediabetes. Findings from The Third National Health and Nutrition Examination Survey. </w:t>
      </w:r>
      <w:r w:rsidRPr="00FD5E5E">
        <w:rPr>
          <w:i/>
          <w:iCs/>
          <w:noProof/>
        </w:rPr>
        <w:t>J Clin Endocrinol Metab</w:t>
      </w:r>
      <w:r w:rsidRPr="00FD5E5E">
        <w:rPr>
          <w:noProof/>
        </w:rPr>
        <w:t>. 2011;96(9):2898-2903. doi:10.1210/jc.2011-0435</w:t>
      </w:r>
    </w:p>
    <w:p w14:paraId="551D881A"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24. </w:t>
      </w:r>
      <w:r w:rsidRPr="00FD5E5E">
        <w:rPr>
          <w:noProof/>
        </w:rPr>
        <w:tab/>
        <w:t xml:space="preserve">Miljkovic I, Zmuda JM. Epidemiology of myosteatosis. </w:t>
      </w:r>
      <w:r w:rsidRPr="00FD5E5E">
        <w:rPr>
          <w:i/>
          <w:iCs/>
          <w:noProof/>
        </w:rPr>
        <w:t>Curr Opin Clin Nutr Metab Care</w:t>
      </w:r>
      <w:r w:rsidRPr="00FD5E5E">
        <w:rPr>
          <w:noProof/>
        </w:rPr>
        <w:t>. 2010;13(3):260-264. doi:10.1097/MCO.0b013e328337d826</w:t>
      </w:r>
    </w:p>
    <w:p w14:paraId="68FB2E53"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25. </w:t>
      </w:r>
      <w:r w:rsidRPr="00FD5E5E">
        <w:rPr>
          <w:noProof/>
        </w:rPr>
        <w:tab/>
        <w:t xml:space="preserve">Miljkovic I, Cauley JA, Wang PY, et al. Abdominal myosteatosis is independently associated with hyperinsulinemia and insulin resistance among older men without diabetes. </w:t>
      </w:r>
      <w:r w:rsidRPr="00FD5E5E">
        <w:rPr>
          <w:i/>
          <w:iCs/>
          <w:noProof/>
        </w:rPr>
        <w:t>Obesity</w:t>
      </w:r>
      <w:r w:rsidRPr="00FD5E5E">
        <w:rPr>
          <w:noProof/>
        </w:rPr>
        <w:t>. 2013. doi:10.1002/oby.20346</w:t>
      </w:r>
    </w:p>
    <w:p w14:paraId="072D210A"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26. </w:t>
      </w:r>
      <w:r w:rsidRPr="00FD5E5E">
        <w:rPr>
          <w:noProof/>
        </w:rPr>
        <w:tab/>
        <w:t xml:space="preserve">Mizgier ML, Casas M, Contreras-Ferrat A, Llanos P, Galgani JE. Potential role of skeletal muscle glucose metabolism on the regulation of insulin secretion. </w:t>
      </w:r>
      <w:r w:rsidRPr="00FD5E5E">
        <w:rPr>
          <w:i/>
          <w:iCs/>
          <w:noProof/>
        </w:rPr>
        <w:t>Obes Rev</w:t>
      </w:r>
      <w:r w:rsidRPr="00FD5E5E">
        <w:rPr>
          <w:noProof/>
        </w:rPr>
        <w:t>. 2014;15(7):587-597. doi:10.1111/obr.12166</w:t>
      </w:r>
    </w:p>
    <w:p w14:paraId="69592BE9"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27. </w:t>
      </w:r>
      <w:r w:rsidRPr="00FD5E5E">
        <w:rPr>
          <w:noProof/>
        </w:rPr>
        <w:tab/>
        <w:t xml:space="preserve">Miljkovic I, Kuipers AL, Cauley JA, et al. Greater Skeletal Muscle Fat Infiltration Is Associated With Higher All-Cause and Cardiovascular Mortality in Older Men. </w:t>
      </w:r>
      <w:r w:rsidRPr="00FD5E5E">
        <w:rPr>
          <w:i/>
          <w:iCs/>
          <w:noProof/>
        </w:rPr>
        <w:t>Journals Gerontol Ser A Biol Sci Med Sci</w:t>
      </w:r>
      <w:r w:rsidRPr="00FD5E5E">
        <w:rPr>
          <w:noProof/>
        </w:rPr>
        <w:t>. 2015;70(9):1133-1140. doi:10.1093/gerona/glv027</w:t>
      </w:r>
    </w:p>
    <w:p w14:paraId="1CF67B17"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28. </w:t>
      </w:r>
      <w:r w:rsidRPr="00FD5E5E">
        <w:rPr>
          <w:noProof/>
        </w:rPr>
        <w:tab/>
        <w:t xml:space="preserve">Zhao Q, Zmuda JM, Kuipers AL, et al. Greater skeletal muscle fat infiltration is associated with higher all-cause mortality among men of African ancestry. </w:t>
      </w:r>
      <w:r w:rsidRPr="00FD5E5E">
        <w:rPr>
          <w:i/>
          <w:iCs/>
          <w:noProof/>
        </w:rPr>
        <w:t>Age Ageing</w:t>
      </w:r>
      <w:r w:rsidRPr="00FD5E5E">
        <w:rPr>
          <w:noProof/>
        </w:rPr>
        <w:t>. 2016. doi:10.1093/ageing/afw062</w:t>
      </w:r>
    </w:p>
    <w:p w14:paraId="36DCD4FB"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29. </w:t>
      </w:r>
      <w:r w:rsidRPr="00FD5E5E">
        <w:rPr>
          <w:noProof/>
        </w:rPr>
        <w:tab/>
        <w:t xml:space="preserve">Correa-de-Araujo R, Harris-Love MO, Miljkovic I, Fragala MS, Anthony BW, Manini TM. The Need for Standardized Assessment of Muscle Quality in Skeletal Muscle Function Deficit and Other Aging-Related Muscle Dysfunctions: A Symposium Report. </w:t>
      </w:r>
      <w:r w:rsidRPr="00FD5E5E">
        <w:rPr>
          <w:i/>
          <w:iCs/>
          <w:noProof/>
        </w:rPr>
        <w:t>Front Physiol</w:t>
      </w:r>
      <w:r w:rsidRPr="00FD5E5E">
        <w:rPr>
          <w:noProof/>
        </w:rPr>
        <w:t>. 2017;8(FEB):1-19. doi:10.3389/fphys.2017.00087</w:t>
      </w:r>
    </w:p>
    <w:p w14:paraId="50E380CB"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30. </w:t>
      </w:r>
      <w:r w:rsidRPr="00FD5E5E">
        <w:rPr>
          <w:noProof/>
        </w:rPr>
        <w:tab/>
        <w:t xml:space="preserve">Fry RC, Navasumrit P, Valiathan C, et al. Activation of inflammation/NF-κB signaling in infants born to arsenic-exposed mothers. </w:t>
      </w:r>
      <w:r w:rsidRPr="00FD5E5E">
        <w:rPr>
          <w:i/>
          <w:iCs/>
          <w:noProof/>
        </w:rPr>
        <w:t>PLoS Genet</w:t>
      </w:r>
      <w:r w:rsidRPr="00FD5E5E">
        <w:rPr>
          <w:noProof/>
        </w:rPr>
        <w:t>. 2007;3(11):2180-2189. doi:10.1371/journal.pgen.0030207</w:t>
      </w:r>
    </w:p>
    <w:p w14:paraId="42D0BCE5"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31. </w:t>
      </w:r>
      <w:r w:rsidRPr="00FD5E5E">
        <w:rPr>
          <w:noProof/>
        </w:rPr>
        <w:tab/>
        <w:t>National Center for Health Statistics. NHANES 2005-2006 Overview. https://wwwn.cdc.gov/nchs/nhanes/continuousnhanes/overview.aspx?BeginYear=2005.</w:t>
      </w:r>
    </w:p>
    <w:p w14:paraId="5CEB6C2A" w14:textId="44586786" w:rsid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32. </w:t>
      </w:r>
      <w:r w:rsidRPr="00FD5E5E">
        <w:rPr>
          <w:noProof/>
        </w:rPr>
        <w:tab/>
        <w:t>National Center for Health Statistics. NHANES Response Rates and Population Totals. https://wwwn.cdc.gov/nchs/nhanes/responserates.aspx.</w:t>
      </w:r>
    </w:p>
    <w:p w14:paraId="0E8859E6" w14:textId="6F2BE1CD" w:rsidR="003D58CD" w:rsidRDefault="003D58CD" w:rsidP="006058E1">
      <w:pPr>
        <w:widowControl w:val="0"/>
        <w:autoSpaceDE w:val="0"/>
        <w:autoSpaceDN w:val="0"/>
        <w:adjustRightInd w:val="0"/>
        <w:spacing w:after="100" w:afterAutospacing="1" w:line="240" w:lineRule="auto"/>
        <w:ind w:left="640" w:hanging="640"/>
        <w:rPr>
          <w:noProof/>
        </w:rPr>
      </w:pPr>
    </w:p>
    <w:p w14:paraId="01825C47" w14:textId="77777777" w:rsidR="003D58CD" w:rsidRPr="00FD5E5E" w:rsidRDefault="003D58CD" w:rsidP="006058E1">
      <w:pPr>
        <w:widowControl w:val="0"/>
        <w:autoSpaceDE w:val="0"/>
        <w:autoSpaceDN w:val="0"/>
        <w:adjustRightInd w:val="0"/>
        <w:spacing w:after="100" w:afterAutospacing="1" w:line="240" w:lineRule="auto"/>
        <w:ind w:left="640" w:hanging="640"/>
        <w:rPr>
          <w:noProof/>
        </w:rPr>
      </w:pPr>
    </w:p>
    <w:p w14:paraId="4EA17254"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lastRenderedPageBreak/>
        <w:t xml:space="preserve">33. </w:t>
      </w:r>
      <w:r w:rsidRPr="00FD5E5E">
        <w:rPr>
          <w:noProof/>
        </w:rPr>
        <w:tab/>
        <w:t>National Center for Health Statistics. National Health and Nutrition Examination Survey - 2005-2006 Data Documentation, Codebook, and Frequencies Arsenics - Total &amp; Speciated - Urine (UAS_D). https://wwwn.cdc.gov/Nchs/Nhanes/2005-2006/UAS_D.htm. Published 2009. Accessed October 20, 2018.</w:t>
      </w:r>
    </w:p>
    <w:p w14:paraId="22ABF003"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34. </w:t>
      </w:r>
      <w:r w:rsidRPr="00FD5E5E">
        <w:rPr>
          <w:noProof/>
        </w:rPr>
        <w:tab/>
        <w:t xml:space="preserve">Jones MR, Tellez-Plaza M, Vaidya D, et al. Estimation of Inorganic Arsenic Exposure in Populations with Frequent Seafood Intake: Evidence from MESA and NHANES. </w:t>
      </w:r>
      <w:r w:rsidRPr="00FD5E5E">
        <w:rPr>
          <w:i/>
          <w:iCs/>
          <w:noProof/>
        </w:rPr>
        <w:t>Am J Epidemiol</w:t>
      </w:r>
      <w:r w:rsidRPr="00FD5E5E">
        <w:rPr>
          <w:noProof/>
        </w:rPr>
        <w:t>. 2016. doi:10.1093/aje/kww097</w:t>
      </w:r>
    </w:p>
    <w:p w14:paraId="3923615B"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35. </w:t>
      </w:r>
      <w:r w:rsidRPr="00FD5E5E">
        <w:rPr>
          <w:noProof/>
        </w:rPr>
        <w:tab/>
        <w:t xml:space="preserve">Caldwell KL, Jones RL, Verdon CP, Jarrett JM, Caudill SP, Osterloh JD. Levels of urinary total and speciated arsenic in the US population: National Health and Nutrition Examination Survey 2003-2004. </w:t>
      </w:r>
      <w:r w:rsidRPr="00FD5E5E">
        <w:rPr>
          <w:i/>
          <w:iCs/>
          <w:noProof/>
        </w:rPr>
        <w:t>J Expo Sci Environ Epidemiol</w:t>
      </w:r>
      <w:r w:rsidRPr="00FD5E5E">
        <w:rPr>
          <w:noProof/>
        </w:rPr>
        <w:t>. 2009;19(1):59-68. doi:10.1038/jes.2008.32</w:t>
      </w:r>
    </w:p>
    <w:p w14:paraId="1D5AB7BA"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36. </w:t>
      </w:r>
      <w:r w:rsidRPr="00FD5E5E">
        <w:rPr>
          <w:noProof/>
        </w:rPr>
        <w:tab/>
        <w:t xml:space="preserve">Caceres DD, Pino P, Montesinos N, Atalah E, Amigo H, Loomis D. Exposure to inorganic arsenic in drinking water and total urinary arsenic concentration in a Chilean population. </w:t>
      </w:r>
      <w:r w:rsidRPr="00FD5E5E">
        <w:rPr>
          <w:i/>
          <w:iCs/>
          <w:noProof/>
        </w:rPr>
        <w:t>Environ Res</w:t>
      </w:r>
      <w:r w:rsidRPr="00FD5E5E">
        <w:rPr>
          <w:noProof/>
        </w:rPr>
        <w:t>. 2005;98(2):151-159. doi:10.1016/j.envres.2005.02.007</w:t>
      </w:r>
    </w:p>
    <w:p w14:paraId="3C4721FA"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37. </w:t>
      </w:r>
      <w:r w:rsidRPr="00FD5E5E">
        <w:rPr>
          <w:noProof/>
        </w:rPr>
        <w:tab/>
        <w:t xml:space="preserve">Middleton DRS, Watts MJ, Hamilton EM, et al. Urinary arsenic profiles reveal exposures to inorganic arsenic from private drinking water supplies in Cornwall, UK. </w:t>
      </w:r>
      <w:r w:rsidRPr="00FD5E5E">
        <w:rPr>
          <w:i/>
          <w:iCs/>
          <w:noProof/>
        </w:rPr>
        <w:t>Sci Rep</w:t>
      </w:r>
      <w:r w:rsidRPr="00FD5E5E">
        <w:rPr>
          <w:noProof/>
        </w:rPr>
        <w:t>. 2016;6(1):25656. doi:10.1038/srep25656</w:t>
      </w:r>
    </w:p>
    <w:p w14:paraId="0FEF51A2"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38. </w:t>
      </w:r>
      <w:r w:rsidRPr="00FD5E5E">
        <w:rPr>
          <w:noProof/>
        </w:rPr>
        <w:tab/>
        <w:t xml:space="preserve">Hinwood AL, Sim MR, de Klerk N, Drummer O, Gerostamoulos J, Bastone EB. Are 24-Hour Urine Samples and Creatinine Adjustment Required for Analysis of Inorganic Arsenic in Urine in Population Studies? </w:t>
      </w:r>
      <w:r w:rsidRPr="00FD5E5E">
        <w:rPr>
          <w:i/>
          <w:iCs/>
          <w:noProof/>
        </w:rPr>
        <w:t>Environ Res</w:t>
      </w:r>
      <w:r w:rsidRPr="00FD5E5E">
        <w:rPr>
          <w:noProof/>
        </w:rPr>
        <w:t>. 2002;88(3):219-224. doi:10.1006/enrs.2002.4339</w:t>
      </w:r>
    </w:p>
    <w:p w14:paraId="6B1B7736"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39. </w:t>
      </w:r>
      <w:r w:rsidRPr="00FD5E5E">
        <w:rPr>
          <w:noProof/>
        </w:rPr>
        <w:tab/>
        <w:t xml:space="preserve">Gamble M V., Liu X. Urinary creatinine and arsenic metabolism [1]. </w:t>
      </w:r>
      <w:r w:rsidRPr="00FD5E5E">
        <w:rPr>
          <w:i/>
          <w:iCs/>
          <w:noProof/>
        </w:rPr>
        <w:t>Environ Health Perspect</w:t>
      </w:r>
      <w:r w:rsidRPr="00FD5E5E">
        <w:rPr>
          <w:noProof/>
        </w:rPr>
        <w:t>. 2005;113(7). doi:10.1289/ehp.113-a442a</w:t>
      </w:r>
    </w:p>
    <w:p w14:paraId="17B937C6"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40. </w:t>
      </w:r>
      <w:r w:rsidRPr="00FD5E5E">
        <w:rPr>
          <w:noProof/>
        </w:rPr>
        <w:tab/>
        <w:t>National Center for Health Statistics. National Health and Nutrition Examination Survey - 2005-2006 Data Documentation, Codebook, and Frequencies Dual-Energy X-ray Absorptiometry - Whole Body (DXX_D). https://wwwn.cdc.gov/Nchs/Nhanes/2005-2006/DXX_D.htm#Protocol_and_Procedure. Published 2016. Accessed October 20, 2018.</w:t>
      </w:r>
    </w:p>
    <w:p w14:paraId="379D62CC"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41. </w:t>
      </w:r>
      <w:r w:rsidRPr="00FD5E5E">
        <w:rPr>
          <w:noProof/>
        </w:rPr>
        <w:tab/>
        <w:t xml:space="preserve">Schoeller DA, Tylavsky FA, Baer DJ, et al. QDR 4500A dual-energy X-ray absorptiometer underestimates fat mass in comparison with criterion methods in adults. </w:t>
      </w:r>
      <w:r w:rsidRPr="00FD5E5E">
        <w:rPr>
          <w:i/>
          <w:iCs/>
          <w:noProof/>
        </w:rPr>
        <w:t>Am J Clin Nutr</w:t>
      </w:r>
      <w:r w:rsidRPr="00FD5E5E">
        <w:rPr>
          <w:noProof/>
        </w:rPr>
        <w:t>. 2005;81(5):1018-1025. doi:10.1093/ajcn/81.5.1018</w:t>
      </w:r>
    </w:p>
    <w:p w14:paraId="2BE40AF8"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42. </w:t>
      </w:r>
      <w:r w:rsidRPr="00FD5E5E">
        <w:rPr>
          <w:noProof/>
        </w:rPr>
        <w:tab/>
        <w:t xml:space="preserve">Heymsfield SB, Smith R, Aulet M, et al. Appendicular skeletal muscle mass: measurement by dual-photon absorptiometry. </w:t>
      </w:r>
      <w:r w:rsidRPr="00FD5E5E">
        <w:rPr>
          <w:i/>
          <w:iCs/>
          <w:noProof/>
        </w:rPr>
        <w:t>Am J Clin Nutr</w:t>
      </w:r>
      <w:r w:rsidRPr="00FD5E5E">
        <w:rPr>
          <w:noProof/>
        </w:rPr>
        <w:t>. 1990;52(2):214-218. doi:10.1093/ajcn/52.2.214</w:t>
      </w:r>
    </w:p>
    <w:p w14:paraId="6685A448"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t xml:space="preserve">43. </w:t>
      </w:r>
      <w:r w:rsidRPr="00FD5E5E">
        <w:rPr>
          <w:noProof/>
        </w:rPr>
        <w:tab/>
        <w:t xml:space="preserve">Shen W, Wang Z, Punyanita M, et al. Adipose Tissue Quantification by Imaging Methods: A Proposed Classification. </w:t>
      </w:r>
      <w:r w:rsidRPr="00FD5E5E">
        <w:rPr>
          <w:i/>
          <w:iCs/>
          <w:noProof/>
        </w:rPr>
        <w:t>Obes Res</w:t>
      </w:r>
      <w:r w:rsidRPr="00FD5E5E">
        <w:rPr>
          <w:noProof/>
        </w:rPr>
        <w:t>. 2003;11(1):5-16. doi:10.1038/oby.2003.3</w:t>
      </w:r>
    </w:p>
    <w:p w14:paraId="2FFC5658" w14:textId="77777777" w:rsidR="00FD5E5E" w:rsidRPr="00FD5E5E" w:rsidRDefault="00FD5E5E" w:rsidP="006058E1">
      <w:pPr>
        <w:widowControl w:val="0"/>
        <w:autoSpaceDE w:val="0"/>
        <w:autoSpaceDN w:val="0"/>
        <w:adjustRightInd w:val="0"/>
        <w:spacing w:after="100" w:afterAutospacing="1" w:line="240" w:lineRule="auto"/>
        <w:ind w:left="640" w:hanging="640"/>
        <w:rPr>
          <w:noProof/>
        </w:rPr>
      </w:pPr>
      <w:r w:rsidRPr="00FD5E5E">
        <w:rPr>
          <w:noProof/>
        </w:rPr>
        <w:lastRenderedPageBreak/>
        <w:t xml:space="preserve">44. </w:t>
      </w:r>
      <w:r w:rsidRPr="00FD5E5E">
        <w:rPr>
          <w:noProof/>
        </w:rPr>
        <w:tab/>
        <w:t xml:space="preserve">Delmonico MJ, Harris TB, Visser M, et al. Longitudinal study of muscle strength, quality, and adipose tissue infiltration. </w:t>
      </w:r>
      <w:r w:rsidRPr="00FD5E5E">
        <w:rPr>
          <w:i/>
          <w:iCs/>
          <w:noProof/>
        </w:rPr>
        <w:t>Am J Clin Nutr</w:t>
      </w:r>
      <w:r w:rsidRPr="00FD5E5E">
        <w:rPr>
          <w:noProof/>
        </w:rPr>
        <w:t>. 2009;90(6):1579-1585. doi:10.3945/ajcn.2009.28047</w:t>
      </w:r>
    </w:p>
    <w:p w14:paraId="535F9EE3" w14:textId="77777777" w:rsidR="00E70B73" w:rsidRPr="00E70B73" w:rsidRDefault="00E70B73" w:rsidP="006058E1">
      <w:pPr>
        <w:pStyle w:val="Noindent"/>
        <w:spacing w:after="100" w:afterAutospacing="1" w:line="240" w:lineRule="auto"/>
        <w:jc w:val="left"/>
      </w:pPr>
      <w:r>
        <w:fldChar w:fldCharType="end"/>
      </w:r>
    </w:p>
    <w:sectPr w:rsidR="00E70B73" w:rsidRPr="00E70B73" w:rsidSect="006B112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EEE0" w14:textId="77777777" w:rsidR="00E7055A" w:rsidRDefault="00E7055A">
      <w:r>
        <w:separator/>
      </w:r>
    </w:p>
  </w:endnote>
  <w:endnote w:type="continuationSeparator" w:id="0">
    <w:p w14:paraId="3BECE771" w14:textId="77777777" w:rsidR="00E7055A" w:rsidRDefault="00E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491D" w14:textId="02532AB4" w:rsidR="005F16D3" w:rsidRDefault="005F16D3" w:rsidP="006B1124">
    <w:pPr>
      <w:tabs>
        <w:tab w:val="center" w:pos="4680"/>
      </w:tabs>
      <w:ind w:firstLine="0"/>
    </w:pPr>
    <w:r>
      <w:tab/>
    </w:r>
    <w:r>
      <w:fldChar w:fldCharType="begin"/>
    </w:r>
    <w:r>
      <w:instrText xml:space="preserve"> PAGE </w:instrText>
    </w:r>
    <w:r>
      <w:fldChar w:fldCharType="separate"/>
    </w:r>
    <w:r w:rsidR="002731E6">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A534" w14:textId="380CB717" w:rsidR="005F16D3" w:rsidRDefault="005F16D3" w:rsidP="006B1124">
    <w:pPr>
      <w:tabs>
        <w:tab w:val="center" w:pos="4680"/>
      </w:tabs>
      <w:ind w:firstLine="0"/>
    </w:pPr>
    <w:r>
      <w:tab/>
    </w:r>
    <w:r>
      <w:fldChar w:fldCharType="begin"/>
    </w:r>
    <w:r>
      <w:instrText xml:space="preserve"> PAGE </w:instrText>
    </w:r>
    <w:r>
      <w:fldChar w:fldCharType="separate"/>
    </w:r>
    <w:r w:rsidR="002731E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8A78" w14:textId="77777777" w:rsidR="00E7055A" w:rsidRDefault="00E7055A">
      <w:r>
        <w:separator/>
      </w:r>
    </w:p>
  </w:footnote>
  <w:footnote w:type="continuationSeparator" w:id="0">
    <w:p w14:paraId="5EA180E6" w14:textId="77777777" w:rsidR="00E7055A" w:rsidRDefault="00E7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541"/>
    <w:rsid w:val="000109B3"/>
    <w:rsid w:val="00010A75"/>
    <w:rsid w:val="000138D0"/>
    <w:rsid w:val="00013D6C"/>
    <w:rsid w:val="00021212"/>
    <w:rsid w:val="00030D3B"/>
    <w:rsid w:val="00035D1E"/>
    <w:rsid w:val="00037CEE"/>
    <w:rsid w:val="0004322D"/>
    <w:rsid w:val="0006389C"/>
    <w:rsid w:val="00065738"/>
    <w:rsid w:val="000733EC"/>
    <w:rsid w:val="00074574"/>
    <w:rsid w:val="00083C6B"/>
    <w:rsid w:val="00095A88"/>
    <w:rsid w:val="00096593"/>
    <w:rsid w:val="00097699"/>
    <w:rsid w:val="000A6BBE"/>
    <w:rsid w:val="000C0B40"/>
    <w:rsid w:val="000D0DA5"/>
    <w:rsid w:val="00103E53"/>
    <w:rsid w:val="001042A1"/>
    <w:rsid w:val="00105AA6"/>
    <w:rsid w:val="00105D04"/>
    <w:rsid w:val="00116DCC"/>
    <w:rsid w:val="001227A0"/>
    <w:rsid w:val="00150EF7"/>
    <w:rsid w:val="00173924"/>
    <w:rsid w:val="00173BA9"/>
    <w:rsid w:val="00176312"/>
    <w:rsid w:val="00194EE9"/>
    <w:rsid w:val="001A3B36"/>
    <w:rsid w:val="001A5457"/>
    <w:rsid w:val="001A6BC1"/>
    <w:rsid w:val="001B751F"/>
    <w:rsid w:val="001C23C9"/>
    <w:rsid w:val="001C28CA"/>
    <w:rsid w:val="001C7CDC"/>
    <w:rsid w:val="001D0D3B"/>
    <w:rsid w:val="001D5BC5"/>
    <w:rsid w:val="001D74D5"/>
    <w:rsid w:val="001F2F75"/>
    <w:rsid w:val="001F531C"/>
    <w:rsid w:val="00200B2E"/>
    <w:rsid w:val="002013DB"/>
    <w:rsid w:val="002036FE"/>
    <w:rsid w:val="0020577E"/>
    <w:rsid w:val="00205E75"/>
    <w:rsid w:val="00206C7F"/>
    <w:rsid w:val="002102E6"/>
    <w:rsid w:val="002145C2"/>
    <w:rsid w:val="002165EC"/>
    <w:rsid w:val="00224AAF"/>
    <w:rsid w:val="00227211"/>
    <w:rsid w:val="00230AB6"/>
    <w:rsid w:val="00240049"/>
    <w:rsid w:val="00266000"/>
    <w:rsid w:val="002706BA"/>
    <w:rsid w:val="002731E6"/>
    <w:rsid w:val="00273649"/>
    <w:rsid w:val="0027486B"/>
    <w:rsid w:val="00275766"/>
    <w:rsid w:val="00276E7E"/>
    <w:rsid w:val="002824B5"/>
    <w:rsid w:val="0028782F"/>
    <w:rsid w:val="002A30C7"/>
    <w:rsid w:val="002C042A"/>
    <w:rsid w:val="002D01B1"/>
    <w:rsid w:val="002D11E0"/>
    <w:rsid w:val="002D4801"/>
    <w:rsid w:val="002E2E4E"/>
    <w:rsid w:val="002E470C"/>
    <w:rsid w:val="002E5661"/>
    <w:rsid w:val="002E5CEF"/>
    <w:rsid w:val="002F5AB6"/>
    <w:rsid w:val="002F5DEF"/>
    <w:rsid w:val="002F6538"/>
    <w:rsid w:val="002F66A5"/>
    <w:rsid w:val="0030330C"/>
    <w:rsid w:val="00312588"/>
    <w:rsid w:val="003239FB"/>
    <w:rsid w:val="003268D3"/>
    <w:rsid w:val="00333567"/>
    <w:rsid w:val="00337CC7"/>
    <w:rsid w:val="0034035B"/>
    <w:rsid w:val="00341419"/>
    <w:rsid w:val="00354204"/>
    <w:rsid w:val="00357E8B"/>
    <w:rsid w:val="00367476"/>
    <w:rsid w:val="00376F6A"/>
    <w:rsid w:val="00386F39"/>
    <w:rsid w:val="003A6250"/>
    <w:rsid w:val="003A68BE"/>
    <w:rsid w:val="003B77E2"/>
    <w:rsid w:val="003D4175"/>
    <w:rsid w:val="003D58CD"/>
    <w:rsid w:val="003E3BF4"/>
    <w:rsid w:val="003F1F87"/>
    <w:rsid w:val="00401D0C"/>
    <w:rsid w:val="0041103C"/>
    <w:rsid w:val="004112E5"/>
    <w:rsid w:val="00437C2C"/>
    <w:rsid w:val="00441C23"/>
    <w:rsid w:val="004428C8"/>
    <w:rsid w:val="00447812"/>
    <w:rsid w:val="00457691"/>
    <w:rsid w:val="004678FC"/>
    <w:rsid w:val="00481515"/>
    <w:rsid w:val="00485821"/>
    <w:rsid w:val="00493699"/>
    <w:rsid w:val="004B08F6"/>
    <w:rsid w:val="004B7B28"/>
    <w:rsid w:val="004C2B49"/>
    <w:rsid w:val="004C67DD"/>
    <w:rsid w:val="004D236E"/>
    <w:rsid w:val="004D7AA4"/>
    <w:rsid w:val="004E3B59"/>
    <w:rsid w:val="004E44A5"/>
    <w:rsid w:val="004F23C7"/>
    <w:rsid w:val="00512607"/>
    <w:rsid w:val="005133F9"/>
    <w:rsid w:val="00514828"/>
    <w:rsid w:val="00522EB9"/>
    <w:rsid w:val="00536110"/>
    <w:rsid w:val="00543616"/>
    <w:rsid w:val="0054431C"/>
    <w:rsid w:val="00554FC8"/>
    <w:rsid w:val="00557BC2"/>
    <w:rsid w:val="00560182"/>
    <w:rsid w:val="005748AA"/>
    <w:rsid w:val="00581D9B"/>
    <w:rsid w:val="00585D35"/>
    <w:rsid w:val="00591606"/>
    <w:rsid w:val="00591810"/>
    <w:rsid w:val="00596371"/>
    <w:rsid w:val="005A1367"/>
    <w:rsid w:val="005A224B"/>
    <w:rsid w:val="005A407B"/>
    <w:rsid w:val="005A5D20"/>
    <w:rsid w:val="005C65DD"/>
    <w:rsid w:val="005D75DC"/>
    <w:rsid w:val="005F16D3"/>
    <w:rsid w:val="005F1BB6"/>
    <w:rsid w:val="00600735"/>
    <w:rsid w:val="006058E1"/>
    <w:rsid w:val="00607DC1"/>
    <w:rsid w:val="00610B1A"/>
    <w:rsid w:val="00612EE5"/>
    <w:rsid w:val="0061334D"/>
    <w:rsid w:val="00613C7C"/>
    <w:rsid w:val="00622F43"/>
    <w:rsid w:val="00636C11"/>
    <w:rsid w:val="006425BF"/>
    <w:rsid w:val="006456C7"/>
    <w:rsid w:val="00650040"/>
    <w:rsid w:val="00654B12"/>
    <w:rsid w:val="00656EE6"/>
    <w:rsid w:val="0065731D"/>
    <w:rsid w:val="00657B59"/>
    <w:rsid w:val="0066097B"/>
    <w:rsid w:val="0067449F"/>
    <w:rsid w:val="006861B0"/>
    <w:rsid w:val="00692565"/>
    <w:rsid w:val="006934C0"/>
    <w:rsid w:val="006A5780"/>
    <w:rsid w:val="006A666B"/>
    <w:rsid w:val="006B1124"/>
    <w:rsid w:val="006B550D"/>
    <w:rsid w:val="006C32F0"/>
    <w:rsid w:val="006C377B"/>
    <w:rsid w:val="006D3034"/>
    <w:rsid w:val="006F6B3A"/>
    <w:rsid w:val="006F7C15"/>
    <w:rsid w:val="0070706E"/>
    <w:rsid w:val="00711323"/>
    <w:rsid w:val="00713582"/>
    <w:rsid w:val="007244F9"/>
    <w:rsid w:val="00730413"/>
    <w:rsid w:val="00731695"/>
    <w:rsid w:val="00742DA3"/>
    <w:rsid w:val="00752DC6"/>
    <w:rsid w:val="0076326C"/>
    <w:rsid w:val="007632A6"/>
    <w:rsid w:val="00775294"/>
    <w:rsid w:val="00776F3F"/>
    <w:rsid w:val="007775C5"/>
    <w:rsid w:val="007873E6"/>
    <w:rsid w:val="007909AC"/>
    <w:rsid w:val="007A4BB5"/>
    <w:rsid w:val="007B3848"/>
    <w:rsid w:val="007E7682"/>
    <w:rsid w:val="007F0A87"/>
    <w:rsid w:val="007F32C8"/>
    <w:rsid w:val="007F763B"/>
    <w:rsid w:val="00801A1A"/>
    <w:rsid w:val="00803E1F"/>
    <w:rsid w:val="0082487F"/>
    <w:rsid w:val="0082520F"/>
    <w:rsid w:val="00827204"/>
    <w:rsid w:val="00834193"/>
    <w:rsid w:val="00836C99"/>
    <w:rsid w:val="00863D37"/>
    <w:rsid w:val="00864E50"/>
    <w:rsid w:val="00864F94"/>
    <w:rsid w:val="008650E7"/>
    <w:rsid w:val="00875353"/>
    <w:rsid w:val="00875477"/>
    <w:rsid w:val="00884E1F"/>
    <w:rsid w:val="008862DD"/>
    <w:rsid w:val="00895BD0"/>
    <w:rsid w:val="008A110F"/>
    <w:rsid w:val="008A4541"/>
    <w:rsid w:val="008A5FBA"/>
    <w:rsid w:val="008A720D"/>
    <w:rsid w:val="008B4E74"/>
    <w:rsid w:val="008B712D"/>
    <w:rsid w:val="008F0AA9"/>
    <w:rsid w:val="008F41A0"/>
    <w:rsid w:val="00901CC9"/>
    <w:rsid w:val="00912CB4"/>
    <w:rsid w:val="00914852"/>
    <w:rsid w:val="00923007"/>
    <w:rsid w:val="00927D80"/>
    <w:rsid w:val="00936D40"/>
    <w:rsid w:val="00951CA7"/>
    <w:rsid w:val="00964894"/>
    <w:rsid w:val="00966871"/>
    <w:rsid w:val="009704ED"/>
    <w:rsid w:val="00984683"/>
    <w:rsid w:val="00984A4D"/>
    <w:rsid w:val="009851B1"/>
    <w:rsid w:val="00985CAD"/>
    <w:rsid w:val="00994EAA"/>
    <w:rsid w:val="0099539E"/>
    <w:rsid w:val="009B18B4"/>
    <w:rsid w:val="009C3A8E"/>
    <w:rsid w:val="009C7C50"/>
    <w:rsid w:val="009D40BE"/>
    <w:rsid w:val="009E1A55"/>
    <w:rsid w:val="009E210F"/>
    <w:rsid w:val="009F6333"/>
    <w:rsid w:val="00A161DB"/>
    <w:rsid w:val="00A208D2"/>
    <w:rsid w:val="00A3143D"/>
    <w:rsid w:val="00A317DE"/>
    <w:rsid w:val="00A3281F"/>
    <w:rsid w:val="00A32DE0"/>
    <w:rsid w:val="00A35269"/>
    <w:rsid w:val="00A4495A"/>
    <w:rsid w:val="00A45D1C"/>
    <w:rsid w:val="00A45F73"/>
    <w:rsid w:val="00A52A0B"/>
    <w:rsid w:val="00A6505A"/>
    <w:rsid w:val="00A86569"/>
    <w:rsid w:val="00A95D47"/>
    <w:rsid w:val="00AA2C6A"/>
    <w:rsid w:val="00AA3E52"/>
    <w:rsid w:val="00AA7F34"/>
    <w:rsid w:val="00AB08F3"/>
    <w:rsid w:val="00AB142C"/>
    <w:rsid w:val="00AB3A92"/>
    <w:rsid w:val="00AB3F8B"/>
    <w:rsid w:val="00AB5160"/>
    <w:rsid w:val="00AC4CF3"/>
    <w:rsid w:val="00AF340B"/>
    <w:rsid w:val="00AF5753"/>
    <w:rsid w:val="00B00FBA"/>
    <w:rsid w:val="00B013D8"/>
    <w:rsid w:val="00B10856"/>
    <w:rsid w:val="00B10E35"/>
    <w:rsid w:val="00B156FB"/>
    <w:rsid w:val="00B20779"/>
    <w:rsid w:val="00B32755"/>
    <w:rsid w:val="00B33801"/>
    <w:rsid w:val="00B369C2"/>
    <w:rsid w:val="00B424B6"/>
    <w:rsid w:val="00B42812"/>
    <w:rsid w:val="00B447C2"/>
    <w:rsid w:val="00B50A1C"/>
    <w:rsid w:val="00B52204"/>
    <w:rsid w:val="00B56F3C"/>
    <w:rsid w:val="00B57E9B"/>
    <w:rsid w:val="00B6011A"/>
    <w:rsid w:val="00B614F2"/>
    <w:rsid w:val="00B704EE"/>
    <w:rsid w:val="00B8646E"/>
    <w:rsid w:val="00B871C0"/>
    <w:rsid w:val="00B917F0"/>
    <w:rsid w:val="00B91812"/>
    <w:rsid w:val="00B94105"/>
    <w:rsid w:val="00B9551C"/>
    <w:rsid w:val="00B972E3"/>
    <w:rsid w:val="00BA3052"/>
    <w:rsid w:val="00BB060A"/>
    <w:rsid w:val="00BB37ED"/>
    <w:rsid w:val="00BB4173"/>
    <w:rsid w:val="00BC570E"/>
    <w:rsid w:val="00BC6725"/>
    <w:rsid w:val="00BD22F0"/>
    <w:rsid w:val="00BD6D9F"/>
    <w:rsid w:val="00BE3D83"/>
    <w:rsid w:val="00BF2B29"/>
    <w:rsid w:val="00BF2BEF"/>
    <w:rsid w:val="00C1354F"/>
    <w:rsid w:val="00C17C66"/>
    <w:rsid w:val="00C2019D"/>
    <w:rsid w:val="00C2375F"/>
    <w:rsid w:val="00C349A8"/>
    <w:rsid w:val="00C40D61"/>
    <w:rsid w:val="00C418E2"/>
    <w:rsid w:val="00C43878"/>
    <w:rsid w:val="00C54154"/>
    <w:rsid w:val="00C6309D"/>
    <w:rsid w:val="00C66365"/>
    <w:rsid w:val="00C815E9"/>
    <w:rsid w:val="00C835D0"/>
    <w:rsid w:val="00C839A9"/>
    <w:rsid w:val="00C87233"/>
    <w:rsid w:val="00C9228E"/>
    <w:rsid w:val="00CA7D09"/>
    <w:rsid w:val="00CB03F9"/>
    <w:rsid w:val="00CB30F9"/>
    <w:rsid w:val="00CB4265"/>
    <w:rsid w:val="00CB6734"/>
    <w:rsid w:val="00CB75B6"/>
    <w:rsid w:val="00CC39D9"/>
    <w:rsid w:val="00CD1959"/>
    <w:rsid w:val="00CD3CC3"/>
    <w:rsid w:val="00CD46F3"/>
    <w:rsid w:val="00CD65B1"/>
    <w:rsid w:val="00CE2FA5"/>
    <w:rsid w:val="00CE3162"/>
    <w:rsid w:val="00CF4325"/>
    <w:rsid w:val="00D02E8E"/>
    <w:rsid w:val="00D14DD8"/>
    <w:rsid w:val="00D1693B"/>
    <w:rsid w:val="00D16C75"/>
    <w:rsid w:val="00D170E9"/>
    <w:rsid w:val="00D220EE"/>
    <w:rsid w:val="00D446F3"/>
    <w:rsid w:val="00D44A01"/>
    <w:rsid w:val="00D530BC"/>
    <w:rsid w:val="00D60021"/>
    <w:rsid w:val="00D65D63"/>
    <w:rsid w:val="00D67956"/>
    <w:rsid w:val="00D82823"/>
    <w:rsid w:val="00D82CF8"/>
    <w:rsid w:val="00D82E17"/>
    <w:rsid w:val="00D929FB"/>
    <w:rsid w:val="00D97F86"/>
    <w:rsid w:val="00DA3A55"/>
    <w:rsid w:val="00DA5BA8"/>
    <w:rsid w:val="00DB4E86"/>
    <w:rsid w:val="00DC2194"/>
    <w:rsid w:val="00DE4F11"/>
    <w:rsid w:val="00DE4F56"/>
    <w:rsid w:val="00DF3876"/>
    <w:rsid w:val="00DF739D"/>
    <w:rsid w:val="00E01136"/>
    <w:rsid w:val="00E02686"/>
    <w:rsid w:val="00E201EB"/>
    <w:rsid w:val="00E32592"/>
    <w:rsid w:val="00E35361"/>
    <w:rsid w:val="00E36565"/>
    <w:rsid w:val="00E456F4"/>
    <w:rsid w:val="00E5762E"/>
    <w:rsid w:val="00E7055A"/>
    <w:rsid w:val="00E70B73"/>
    <w:rsid w:val="00E770D3"/>
    <w:rsid w:val="00E8011E"/>
    <w:rsid w:val="00EB39B9"/>
    <w:rsid w:val="00EC14F8"/>
    <w:rsid w:val="00EF39FA"/>
    <w:rsid w:val="00EF3BB0"/>
    <w:rsid w:val="00EF7B73"/>
    <w:rsid w:val="00F0330D"/>
    <w:rsid w:val="00F04F03"/>
    <w:rsid w:val="00F0664F"/>
    <w:rsid w:val="00F14A2A"/>
    <w:rsid w:val="00F14B42"/>
    <w:rsid w:val="00F16F74"/>
    <w:rsid w:val="00F34251"/>
    <w:rsid w:val="00F37AF3"/>
    <w:rsid w:val="00F41998"/>
    <w:rsid w:val="00F43797"/>
    <w:rsid w:val="00F45452"/>
    <w:rsid w:val="00F45C08"/>
    <w:rsid w:val="00F45D96"/>
    <w:rsid w:val="00F46A24"/>
    <w:rsid w:val="00F547A6"/>
    <w:rsid w:val="00F5549A"/>
    <w:rsid w:val="00F56B64"/>
    <w:rsid w:val="00F60005"/>
    <w:rsid w:val="00F61A65"/>
    <w:rsid w:val="00F7653C"/>
    <w:rsid w:val="00F91BDB"/>
    <w:rsid w:val="00FA4E15"/>
    <w:rsid w:val="00FB28E5"/>
    <w:rsid w:val="00FC082D"/>
    <w:rsid w:val="00FC6F36"/>
    <w:rsid w:val="00FD269E"/>
    <w:rsid w:val="00FD5E5E"/>
    <w:rsid w:val="00FD790D"/>
    <w:rsid w:val="00FE7FC6"/>
    <w:rsid w:val="00FF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A0F1973"/>
  <w15:docId w15:val="{AB3013EA-3FBB-48C2-B1E9-11576560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styleId="CommentReference">
    <w:name w:val="annotation reference"/>
    <w:basedOn w:val="DefaultParagraphFont"/>
    <w:uiPriority w:val="99"/>
    <w:unhideWhenUsed/>
    <w:rsid w:val="005D75DC"/>
    <w:rPr>
      <w:sz w:val="16"/>
      <w:szCs w:val="16"/>
    </w:rPr>
  </w:style>
  <w:style w:type="paragraph" w:styleId="Revision">
    <w:name w:val="Revision"/>
    <w:hidden/>
    <w:uiPriority w:val="99"/>
    <w:semiHidden/>
    <w:rsid w:val="000A6BBE"/>
    <w:rPr>
      <w:sz w:val="24"/>
      <w:szCs w:val="24"/>
    </w:rPr>
  </w:style>
  <w:style w:type="paragraph" w:styleId="CommentText">
    <w:name w:val="annotation text"/>
    <w:basedOn w:val="Normal"/>
    <w:link w:val="CommentTextChar"/>
    <w:uiPriority w:val="99"/>
    <w:rsid w:val="002C042A"/>
    <w:pPr>
      <w:spacing w:line="240" w:lineRule="auto"/>
    </w:pPr>
    <w:rPr>
      <w:sz w:val="20"/>
      <w:szCs w:val="20"/>
    </w:rPr>
  </w:style>
  <w:style w:type="character" w:customStyle="1" w:styleId="CommentTextChar">
    <w:name w:val="Comment Text Char"/>
    <w:basedOn w:val="DefaultParagraphFont"/>
    <w:link w:val="CommentText"/>
    <w:uiPriority w:val="99"/>
    <w:rsid w:val="002C042A"/>
  </w:style>
  <w:style w:type="paragraph" w:styleId="CommentSubject">
    <w:name w:val="annotation subject"/>
    <w:basedOn w:val="CommentText"/>
    <w:next w:val="CommentText"/>
    <w:link w:val="CommentSubjectChar"/>
    <w:rsid w:val="002C042A"/>
    <w:rPr>
      <w:b/>
      <w:bCs/>
    </w:rPr>
  </w:style>
  <w:style w:type="character" w:customStyle="1" w:styleId="CommentSubjectChar">
    <w:name w:val="Comment Subject Char"/>
    <w:basedOn w:val="CommentTextChar"/>
    <w:link w:val="CommentSubject"/>
    <w:rsid w:val="002C042A"/>
    <w:rPr>
      <w:b/>
      <w:bCs/>
    </w:rPr>
  </w:style>
  <w:style w:type="paragraph" w:styleId="BalloonText">
    <w:name w:val="Balloon Text"/>
    <w:basedOn w:val="Normal"/>
    <w:link w:val="BalloonTextChar"/>
    <w:rsid w:val="002C04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C042A"/>
    <w:rPr>
      <w:rFonts w:ascii="Segoe UI" w:hAnsi="Segoe UI" w:cs="Segoe UI"/>
      <w:sz w:val="18"/>
      <w:szCs w:val="18"/>
    </w:rPr>
  </w:style>
  <w:style w:type="character" w:styleId="FollowedHyperlink">
    <w:name w:val="FollowedHyperlink"/>
    <w:basedOn w:val="DefaultParagraphFont"/>
    <w:semiHidden/>
    <w:unhideWhenUsed/>
    <w:rsid w:val="00EF3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8012">
      <w:bodyDiv w:val="1"/>
      <w:marLeft w:val="0"/>
      <w:marRight w:val="0"/>
      <w:marTop w:val="0"/>
      <w:marBottom w:val="0"/>
      <w:divBdr>
        <w:top w:val="none" w:sz="0" w:space="0" w:color="auto"/>
        <w:left w:val="none" w:sz="0" w:space="0" w:color="auto"/>
        <w:bottom w:val="none" w:sz="0" w:space="0" w:color="auto"/>
        <w:right w:val="none" w:sz="0" w:space="0" w:color="auto"/>
      </w:divBdr>
      <w:divsChild>
        <w:div w:id="1357124196">
          <w:marLeft w:val="0"/>
          <w:marRight w:val="0"/>
          <w:marTop w:val="0"/>
          <w:marBottom w:val="0"/>
          <w:divBdr>
            <w:top w:val="none" w:sz="0" w:space="0" w:color="auto"/>
            <w:left w:val="none" w:sz="0" w:space="0" w:color="auto"/>
            <w:bottom w:val="none" w:sz="0" w:space="0" w:color="auto"/>
            <w:right w:val="none" w:sz="0" w:space="0" w:color="auto"/>
          </w:divBdr>
        </w:div>
        <w:div w:id="103498266">
          <w:marLeft w:val="0"/>
          <w:marRight w:val="0"/>
          <w:marTop w:val="0"/>
          <w:marBottom w:val="0"/>
          <w:divBdr>
            <w:top w:val="none" w:sz="0" w:space="0" w:color="auto"/>
            <w:left w:val="none" w:sz="0" w:space="0" w:color="auto"/>
            <w:bottom w:val="none" w:sz="0" w:space="0" w:color="auto"/>
            <w:right w:val="none" w:sz="0" w:space="0" w:color="auto"/>
          </w:divBdr>
        </w:div>
        <w:div w:id="2014527702">
          <w:marLeft w:val="0"/>
          <w:marRight w:val="0"/>
          <w:marTop w:val="0"/>
          <w:marBottom w:val="0"/>
          <w:divBdr>
            <w:top w:val="none" w:sz="0" w:space="0" w:color="auto"/>
            <w:left w:val="none" w:sz="0" w:space="0" w:color="auto"/>
            <w:bottom w:val="none" w:sz="0" w:space="0" w:color="auto"/>
            <w:right w:val="none" w:sz="0" w:space="0" w:color="auto"/>
          </w:divBdr>
        </w:div>
        <w:div w:id="2131317130">
          <w:marLeft w:val="0"/>
          <w:marRight w:val="0"/>
          <w:marTop w:val="0"/>
          <w:marBottom w:val="0"/>
          <w:divBdr>
            <w:top w:val="none" w:sz="0" w:space="0" w:color="auto"/>
            <w:left w:val="none" w:sz="0" w:space="0" w:color="auto"/>
            <w:bottom w:val="none" w:sz="0" w:space="0" w:color="auto"/>
            <w:right w:val="none" w:sz="0" w:space="0" w:color="auto"/>
          </w:divBdr>
        </w:div>
        <w:div w:id="1131289196">
          <w:marLeft w:val="0"/>
          <w:marRight w:val="0"/>
          <w:marTop w:val="0"/>
          <w:marBottom w:val="0"/>
          <w:divBdr>
            <w:top w:val="none" w:sz="0" w:space="0" w:color="auto"/>
            <w:left w:val="none" w:sz="0" w:space="0" w:color="auto"/>
            <w:bottom w:val="none" w:sz="0" w:space="0" w:color="auto"/>
            <w:right w:val="none" w:sz="0" w:space="0" w:color="auto"/>
          </w:divBdr>
        </w:div>
      </w:divsChild>
    </w:div>
    <w:div w:id="1155686249">
      <w:bodyDiv w:val="1"/>
      <w:marLeft w:val="0"/>
      <w:marRight w:val="0"/>
      <w:marTop w:val="0"/>
      <w:marBottom w:val="0"/>
      <w:divBdr>
        <w:top w:val="none" w:sz="0" w:space="0" w:color="auto"/>
        <w:left w:val="none" w:sz="0" w:space="0" w:color="auto"/>
        <w:bottom w:val="none" w:sz="0" w:space="0" w:color="auto"/>
        <w:right w:val="none" w:sz="0" w:space="0" w:color="auto"/>
      </w:divBdr>
    </w:div>
    <w:div w:id="1662389697">
      <w:bodyDiv w:val="1"/>
      <w:marLeft w:val="0"/>
      <w:marRight w:val="0"/>
      <w:marTop w:val="0"/>
      <w:marBottom w:val="0"/>
      <w:divBdr>
        <w:top w:val="none" w:sz="0" w:space="0" w:color="auto"/>
        <w:left w:val="none" w:sz="0" w:space="0" w:color="auto"/>
        <w:bottom w:val="none" w:sz="0" w:space="0" w:color="auto"/>
        <w:right w:val="none" w:sz="0" w:space="0" w:color="auto"/>
      </w:divBdr>
    </w:div>
    <w:div w:id="1873613003">
      <w:bodyDiv w:val="1"/>
      <w:marLeft w:val="0"/>
      <w:marRight w:val="0"/>
      <w:marTop w:val="0"/>
      <w:marBottom w:val="0"/>
      <w:divBdr>
        <w:top w:val="none" w:sz="0" w:space="0" w:color="auto"/>
        <w:left w:val="none" w:sz="0" w:space="0" w:color="auto"/>
        <w:bottom w:val="none" w:sz="0" w:space="0" w:color="auto"/>
        <w:right w:val="none" w:sz="0" w:space="0" w:color="auto"/>
      </w:divBdr>
      <w:divsChild>
        <w:div w:id="1438673936">
          <w:marLeft w:val="0"/>
          <w:marRight w:val="0"/>
          <w:marTop w:val="0"/>
          <w:marBottom w:val="0"/>
          <w:divBdr>
            <w:top w:val="none" w:sz="0" w:space="0" w:color="auto"/>
            <w:left w:val="none" w:sz="0" w:space="0" w:color="auto"/>
            <w:bottom w:val="none" w:sz="0" w:space="0" w:color="auto"/>
            <w:right w:val="none" w:sz="0" w:space="0" w:color="auto"/>
          </w:divBdr>
        </w:div>
        <w:div w:id="1415084372">
          <w:marLeft w:val="0"/>
          <w:marRight w:val="0"/>
          <w:marTop w:val="0"/>
          <w:marBottom w:val="0"/>
          <w:divBdr>
            <w:top w:val="none" w:sz="0" w:space="0" w:color="auto"/>
            <w:left w:val="none" w:sz="0" w:space="0" w:color="auto"/>
            <w:bottom w:val="none" w:sz="0" w:space="0" w:color="auto"/>
            <w:right w:val="none" w:sz="0" w:space="0" w:color="auto"/>
          </w:divBdr>
        </w:div>
        <w:div w:id="648174150">
          <w:marLeft w:val="0"/>
          <w:marRight w:val="0"/>
          <w:marTop w:val="0"/>
          <w:marBottom w:val="0"/>
          <w:divBdr>
            <w:top w:val="none" w:sz="0" w:space="0" w:color="auto"/>
            <w:left w:val="none" w:sz="0" w:space="0" w:color="auto"/>
            <w:bottom w:val="none" w:sz="0" w:space="0" w:color="auto"/>
            <w:right w:val="none" w:sz="0" w:space="0" w:color="auto"/>
          </w:divBdr>
        </w:div>
        <w:div w:id="1082021717">
          <w:marLeft w:val="0"/>
          <w:marRight w:val="0"/>
          <w:marTop w:val="0"/>
          <w:marBottom w:val="0"/>
          <w:divBdr>
            <w:top w:val="none" w:sz="0" w:space="0" w:color="auto"/>
            <w:left w:val="none" w:sz="0" w:space="0" w:color="auto"/>
            <w:bottom w:val="none" w:sz="0" w:space="0" w:color="auto"/>
            <w:right w:val="none" w:sz="0" w:space="0" w:color="auto"/>
          </w:divBdr>
        </w:div>
      </w:divsChild>
    </w:div>
    <w:div w:id="1921743938">
      <w:bodyDiv w:val="1"/>
      <w:marLeft w:val="0"/>
      <w:marRight w:val="0"/>
      <w:marTop w:val="0"/>
      <w:marBottom w:val="0"/>
      <w:divBdr>
        <w:top w:val="none" w:sz="0" w:space="0" w:color="auto"/>
        <w:left w:val="none" w:sz="0" w:space="0" w:color="auto"/>
        <w:bottom w:val="none" w:sz="0" w:space="0" w:color="auto"/>
        <w:right w:val="none" w:sz="0" w:space="0" w:color="auto"/>
      </w:divBdr>
      <w:divsChild>
        <w:div w:id="462968688">
          <w:marLeft w:val="0"/>
          <w:marRight w:val="0"/>
          <w:marTop w:val="0"/>
          <w:marBottom w:val="0"/>
          <w:divBdr>
            <w:top w:val="none" w:sz="0" w:space="0" w:color="auto"/>
            <w:left w:val="none" w:sz="0" w:space="0" w:color="auto"/>
            <w:bottom w:val="none" w:sz="0" w:space="0" w:color="auto"/>
            <w:right w:val="none" w:sz="0" w:space="0" w:color="auto"/>
          </w:divBdr>
        </w:div>
        <w:div w:id="166753613">
          <w:marLeft w:val="0"/>
          <w:marRight w:val="0"/>
          <w:marTop w:val="0"/>
          <w:marBottom w:val="0"/>
          <w:divBdr>
            <w:top w:val="none" w:sz="0" w:space="0" w:color="auto"/>
            <w:left w:val="none" w:sz="0" w:space="0" w:color="auto"/>
            <w:bottom w:val="none" w:sz="0" w:space="0" w:color="auto"/>
            <w:right w:val="none" w:sz="0" w:space="0" w:color="auto"/>
          </w:divBdr>
        </w:div>
        <w:div w:id="851380012">
          <w:marLeft w:val="0"/>
          <w:marRight w:val="0"/>
          <w:marTop w:val="0"/>
          <w:marBottom w:val="0"/>
          <w:divBdr>
            <w:top w:val="none" w:sz="0" w:space="0" w:color="auto"/>
            <w:left w:val="none" w:sz="0" w:space="0" w:color="auto"/>
            <w:bottom w:val="none" w:sz="0" w:space="0" w:color="auto"/>
            <w:right w:val="none" w:sz="0" w:space="0" w:color="auto"/>
          </w:divBdr>
        </w:div>
        <w:div w:id="869344455">
          <w:marLeft w:val="0"/>
          <w:marRight w:val="0"/>
          <w:marTop w:val="0"/>
          <w:marBottom w:val="0"/>
          <w:divBdr>
            <w:top w:val="none" w:sz="0" w:space="0" w:color="auto"/>
            <w:left w:val="none" w:sz="0" w:space="0" w:color="auto"/>
            <w:bottom w:val="none" w:sz="0" w:space="0" w:color="auto"/>
            <w:right w:val="none" w:sz="0" w:space="0" w:color="auto"/>
          </w:divBdr>
        </w:div>
        <w:div w:id="2001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5745-067B-4A61-AE1D-94BD7461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24</TotalTime>
  <Pages>32</Pages>
  <Words>25800</Words>
  <Characters>147064</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172519</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Mikaela Kosich</cp:lastModifiedBy>
  <cp:revision>18</cp:revision>
  <cp:lastPrinted>2005-09-30T13:41:00Z</cp:lastPrinted>
  <dcterms:created xsi:type="dcterms:W3CDTF">2018-12-13T17:27:00Z</dcterms:created>
  <dcterms:modified xsi:type="dcterms:W3CDTF">2018-12-13T19:04:00Z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886775df-4f14-3a39-b21f-a3bebbe605ef</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