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91E" w:rsidRDefault="00BB500A" w:rsidP="0011612C">
      <w:pPr>
        <w:pStyle w:val="TitlePage"/>
        <w:outlineLvl w:val="9"/>
      </w:pPr>
      <w:r>
        <w:t>Title Page</w:t>
      </w:r>
    </w:p>
    <w:p w:rsidR="00023292" w:rsidRPr="00023292" w:rsidRDefault="00023292" w:rsidP="00023292">
      <w:pPr>
        <w:ind w:firstLine="0"/>
        <w:jc w:val="center"/>
        <w:rPr>
          <w:b/>
        </w:rPr>
      </w:pPr>
      <w:r w:rsidRPr="00023292">
        <w:rPr>
          <w:b/>
        </w:rPr>
        <w:t>The Effects of Thyroid Medication on Bone Mineral Density: A Study of Women’s Health Across the Nation (SWAN) Pharmacoepidemiology Study</w:t>
      </w:r>
    </w:p>
    <w:p w:rsidR="000635D4" w:rsidRDefault="000635D4" w:rsidP="00486073">
      <w:pPr>
        <w:spacing w:line="240" w:lineRule="auto"/>
        <w:ind w:firstLine="0"/>
        <w:jc w:val="center"/>
      </w:pPr>
    </w:p>
    <w:p w:rsidR="00932701" w:rsidRDefault="00932701" w:rsidP="00486073">
      <w:pPr>
        <w:spacing w:line="240" w:lineRule="auto"/>
        <w:ind w:firstLine="0"/>
        <w:jc w:val="center"/>
      </w:pPr>
    </w:p>
    <w:p w:rsidR="007A43BC" w:rsidRDefault="007A43BC" w:rsidP="00486073">
      <w:pPr>
        <w:spacing w:line="240" w:lineRule="auto"/>
        <w:ind w:firstLine="0"/>
        <w:jc w:val="center"/>
      </w:pPr>
    </w:p>
    <w:p w:rsidR="007A43BC" w:rsidRDefault="007A43BC" w:rsidP="00486073">
      <w:pPr>
        <w:spacing w:line="240" w:lineRule="auto"/>
        <w:ind w:firstLine="0"/>
        <w:jc w:val="center"/>
      </w:pPr>
    </w:p>
    <w:p w:rsidR="00486073" w:rsidRDefault="00486073" w:rsidP="00486073">
      <w:pPr>
        <w:spacing w:line="240" w:lineRule="auto"/>
        <w:ind w:firstLine="0"/>
        <w:jc w:val="center"/>
      </w:pPr>
    </w:p>
    <w:p w:rsidR="00486073" w:rsidRDefault="00486073" w:rsidP="00486073">
      <w:pPr>
        <w:spacing w:line="240" w:lineRule="auto"/>
        <w:ind w:firstLine="0"/>
        <w:jc w:val="center"/>
      </w:pPr>
    </w:p>
    <w:p w:rsidR="00486073" w:rsidRDefault="00486073" w:rsidP="00486073">
      <w:pPr>
        <w:spacing w:line="240" w:lineRule="auto"/>
        <w:ind w:firstLine="0"/>
        <w:jc w:val="center"/>
      </w:pPr>
    </w:p>
    <w:p w:rsidR="003C791E" w:rsidRDefault="00486073" w:rsidP="00486073">
      <w:pPr>
        <w:spacing w:line="240" w:lineRule="auto"/>
        <w:ind w:firstLine="0"/>
        <w:jc w:val="center"/>
      </w:pPr>
      <w:r>
        <w:t>b</w:t>
      </w:r>
      <w:r w:rsidR="003C791E">
        <w:t>y</w:t>
      </w:r>
    </w:p>
    <w:p w:rsidR="00486073" w:rsidRDefault="00486073" w:rsidP="00486073">
      <w:pPr>
        <w:spacing w:line="240" w:lineRule="auto"/>
        <w:ind w:firstLine="0"/>
        <w:jc w:val="center"/>
      </w:pPr>
    </w:p>
    <w:p w:rsidR="003C791E" w:rsidRDefault="00023292" w:rsidP="00486073">
      <w:pPr>
        <w:spacing w:line="240" w:lineRule="auto"/>
        <w:ind w:firstLine="0"/>
        <w:jc w:val="center"/>
        <w:rPr>
          <w:b/>
        </w:rPr>
      </w:pPr>
      <w:r>
        <w:rPr>
          <w:b/>
        </w:rPr>
        <w:t>Eric E. Edwards</w:t>
      </w:r>
    </w:p>
    <w:p w:rsidR="00486073" w:rsidRDefault="00486073" w:rsidP="00486073">
      <w:pPr>
        <w:spacing w:line="240" w:lineRule="auto"/>
        <w:ind w:firstLine="0"/>
        <w:jc w:val="center"/>
        <w:rPr>
          <w:b/>
        </w:rPr>
      </w:pPr>
    </w:p>
    <w:p w:rsidR="000635D4" w:rsidRDefault="00023292" w:rsidP="00486073">
      <w:pPr>
        <w:spacing w:line="240" w:lineRule="auto"/>
        <w:ind w:firstLine="0"/>
        <w:jc w:val="center"/>
      </w:pPr>
      <w:r>
        <w:t>BS, Saint Francis University,, 2019</w:t>
      </w:r>
    </w:p>
    <w:p w:rsidR="000635D4" w:rsidRDefault="000635D4" w:rsidP="00486073">
      <w:pPr>
        <w:spacing w:line="240" w:lineRule="auto"/>
        <w:ind w:firstLine="0"/>
        <w:jc w:val="center"/>
        <w:rPr>
          <w:b/>
        </w:rPr>
      </w:pPr>
    </w:p>
    <w:p w:rsidR="000635D4" w:rsidRDefault="000635D4" w:rsidP="00486073">
      <w:pPr>
        <w:spacing w:line="240" w:lineRule="auto"/>
        <w:ind w:firstLine="0"/>
        <w:jc w:val="center"/>
        <w:rPr>
          <w:b/>
        </w:rPr>
      </w:pPr>
    </w:p>
    <w:p w:rsidR="00486073" w:rsidRDefault="00486073" w:rsidP="00486073">
      <w:pPr>
        <w:spacing w:line="240" w:lineRule="auto"/>
        <w:ind w:firstLine="0"/>
        <w:jc w:val="center"/>
        <w:rPr>
          <w:b/>
        </w:rPr>
      </w:pPr>
    </w:p>
    <w:p w:rsidR="00486073" w:rsidRDefault="00486073" w:rsidP="00486073">
      <w:pPr>
        <w:spacing w:line="240" w:lineRule="auto"/>
        <w:ind w:firstLine="0"/>
        <w:jc w:val="center"/>
        <w:rPr>
          <w:b/>
        </w:rPr>
      </w:pPr>
    </w:p>
    <w:p w:rsidR="00486073" w:rsidRDefault="00486073" w:rsidP="00486073">
      <w:pPr>
        <w:spacing w:line="240" w:lineRule="auto"/>
        <w:ind w:firstLine="0"/>
        <w:jc w:val="center"/>
        <w:rPr>
          <w:b/>
        </w:rPr>
      </w:pPr>
    </w:p>
    <w:p w:rsidR="00486073" w:rsidRDefault="00486073" w:rsidP="00486073">
      <w:pPr>
        <w:spacing w:line="240" w:lineRule="auto"/>
        <w:ind w:firstLine="0"/>
        <w:jc w:val="center"/>
        <w:rPr>
          <w:b/>
        </w:rPr>
      </w:pPr>
    </w:p>
    <w:p w:rsidR="00486073" w:rsidRDefault="00486073" w:rsidP="00486073">
      <w:pPr>
        <w:spacing w:line="240" w:lineRule="auto"/>
        <w:ind w:firstLine="0"/>
        <w:jc w:val="center"/>
        <w:rPr>
          <w:b/>
        </w:rPr>
      </w:pPr>
    </w:p>
    <w:p w:rsidR="00023292" w:rsidRDefault="000635D4" w:rsidP="00023292">
      <w:pPr>
        <w:spacing w:line="240" w:lineRule="auto"/>
        <w:ind w:firstLine="0"/>
        <w:jc w:val="center"/>
      </w:pPr>
      <w:r>
        <w:t>Submitted to the Graduate Faculty of</w:t>
      </w:r>
    </w:p>
    <w:p w:rsidR="00023292" w:rsidRDefault="00023292" w:rsidP="00023292">
      <w:pPr>
        <w:spacing w:line="240" w:lineRule="auto"/>
        <w:ind w:firstLine="0"/>
        <w:jc w:val="center"/>
      </w:pPr>
    </w:p>
    <w:p w:rsidR="00023292" w:rsidRDefault="00023292" w:rsidP="00023292">
      <w:pPr>
        <w:spacing w:line="240" w:lineRule="auto"/>
        <w:ind w:firstLine="0"/>
        <w:jc w:val="center"/>
      </w:pPr>
      <w:r>
        <w:t>the Department of Epidemiology</w:t>
      </w:r>
    </w:p>
    <w:p w:rsidR="00486073" w:rsidRDefault="00486073" w:rsidP="00486073">
      <w:pPr>
        <w:spacing w:line="240" w:lineRule="auto"/>
        <w:ind w:firstLine="0"/>
        <w:jc w:val="center"/>
      </w:pPr>
    </w:p>
    <w:p w:rsidR="00486073" w:rsidRDefault="00023292" w:rsidP="00486073">
      <w:pPr>
        <w:spacing w:line="240" w:lineRule="auto"/>
        <w:ind w:firstLine="0"/>
        <w:jc w:val="center"/>
      </w:pPr>
      <w:r>
        <w:t>Graduate School of Public Health</w:t>
      </w:r>
      <w:r w:rsidR="000635D4">
        <w:t xml:space="preserve"> in partial fulfillment</w:t>
      </w:r>
    </w:p>
    <w:p w:rsidR="000635D4" w:rsidRDefault="000635D4" w:rsidP="00486073">
      <w:pPr>
        <w:spacing w:line="240" w:lineRule="auto"/>
        <w:ind w:firstLine="0"/>
        <w:jc w:val="center"/>
      </w:pPr>
      <w:r>
        <w:t xml:space="preserve"> </w:t>
      </w:r>
    </w:p>
    <w:p w:rsidR="000635D4" w:rsidRDefault="000635D4" w:rsidP="00486073">
      <w:pPr>
        <w:spacing w:line="240" w:lineRule="auto"/>
        <w:ind w:firstLine="0"/>
        <w:jc w:val="center"/>
      </w:pPr>
      <w:r>
        <w:t>of the requirements for the degree of</w:t>
      </w:r>
    </w:p>
    <w:p w:rsidR="00486073" w:rsidRDefault="00486073" w:rsidP="00486073">
      <w:pPr>
        <w:spacing w:line="240" w:lineRule="auto"/>
        <w:ind w:firstLine="0"/>
        <w:jc w:val="center"/>
      </w:pPr>
    </w:p>
    <w:sdt>
      <w:sdtPr>
        <w:alias w:val="Degree"/>
        <w:tag w:val="Degree"/>
        <w:id w:val="1063456363"/>
        <w:placeholder>
          <w:docPart w:val="4050AC5FC4CF434CAF81B3CE03BFC2D8"/>
        </w:placeholder>
        <w:dropDownList>
          <w:listItem w:displayText="Doctor of Dental Medicine" w:value="Doctor of Dental Medicine"/>
          <w:listItem w:displayText="Doctor of Education" w:value="Doctor of Education"/>
          <w:listItem w:displayText="Doctor of Juridical Science" w:value="Doctor of Juridical Science"/>
          <w:listItem w:displayText="Doctor of Medicine" w:value="Doctor of Medicine"/>
          <w:listItem w:displayText="Doctor of Pharmacy" w:value="Doctor of Pharmacy"/>
          <w:listItem w:displayText="Doctor of Philosophy" w:value="Doctor of Philosophy"/>
          <w:listItem w:displayText="Doctor of Psychology" w:value="Doctor of Psychology"/>
          <w:listItem w:displayText="Doctor of Public Health" w:value="Doctor of Public Health"/>
          <w:listItem w:displayText="Master of Arts" w:value="Master of Arts"/>
          <w:listItem w:displayText="Master of Arts in Teaching" w:value="Master of Arts in Teaching"/>
          <w:listItem w:displayText="Master of Business Administration" w:value="Master of Business Administration"/>
          <w:listItem w:displayText="Master of Dental Science" w:value="Master of Dental Science"/>
          <w:listItem w:displayText="Master of Education" w:value="Master of Education"/>
          <w:listItem w:displayText="Master of Fine Arts" w:value="Master of Fine Arts"/>
          <w:listItem w:displayText="Master of Health Administration" w:value="Master of Health Administration"/>
          <w:listItem w:displayText="Master of Health Promotion and Education" w:value="Master of Health Promotion and Education"/>
          <w:listItem w:displayText="Master of International Business" w:value="Master of International Business"/>
          <w:listItem w:displayText="Master of International Development" w:value="Master of International Development"/>
          <w:listItem w:displayText="Master of Library and Information Science" w:value="Master of Library and Information Science"/>
          <w:listItem w:displayText="Master of Occupational Therapy" w:value="Master of Occupational Therapy"/>
          <w:listItem w:displayText="Master of Physical Therapy" w:value="Master of Physical Therapy"/>
          <w:listItem w:displayText="Master of Public Administration" w:value="Master of Public Administration"/>
          <w:listItem w:displayText="Master of Public Health" w:value="Master of Public Health"/>
          <w:listItem w:displayText="Master of Public and International Affairs" w:value="Master of Public and International Affairs"/>
          <w:listItem w:displayText="Master of Public Policy and Management" w:value="Master of Public Policy and Management"/>
          <w:listItem w:displayText="Master of Science" w:value="Master of Science"/>
          <w:listItem w:displayText="Master of Science in Bioengineering" w:value="Master of Science in Bioengineering"/>
          <w:listItem w:displayText="Master of Science in Civil Engeineering" w:value="Master of Science in Civil Engeineering"/>
          <w:listItem w:displayText="Master of Science in Chemical Engineering" w:value="Master of Science in Chemical Engineering"/>
          <w:listItem w:displayText="Master of Science in Computer Engineering" w:value="Master of Science in Computer Engineering"/>
          <w:listItem w:displayText="Master of Science in Electrical Engineering" w:value="Master of Science in Electrical Engineering"/>
          <w:listItem w:displayText="Master of Science in Industrial Engeineering" w:value="Master of Science in Industrial Engeineering"/>
          <w:listItem w:displayText="Master of Science in Information Science" w:value="Master of Science in Information Science"/>
          <w:listItem w:displayText="Master of Studies in Law" w:value="Master of Studies in Law"/>
          <w:listItem w:displayText="Master of Science in Mechanical Engineering" w:value="Master of Science in Mechanical Engineering"/>
          <w:listItem w:displayText="Master of Science in Metallurgical Engineering" w:value="Master of Science in Metallurgical Engineering"/>
          <w:listItem w:displayText="Master of Science in Manufacturing Systems Engineering" w:value="Master of Science in Manufacturing Systems Engineering"/>
          <w:listItem w:displayText="Master of Science in Materials Science and Engineering" w:value="Master of Science in Materials Science and Engineering"/>
          <w:listItem w:displayText="Master of Science in Nursing" w:value="Master of Science in Nursing"/>
          <w:listItem w:displayText="Master of Science in Petroleum Engineering" w:value="Master of Science in Petroleum Engineering"/>
          <w:listItem w:displayText="Master of Science in Telecommunications" w:value="Master of Science in Telecommunications"/>
          <w:listItem w:displayText="Master of Social Work" w:value="Master of Social Work"/>
          <w:listItem w:displayText="Bachelor of Philosophy" w:value="Bachelor of Philosophy"/>
          <w:listItem w:displayText="Bachelor of Arts" w:value="Bachelor of Arts"/>
          <w:listItem w:displayText="Bachelor of Science" w:value="Bachelor of Science"/>
          <w:listItem w:displayText="Bachelor of Science in Business Administration" w:value="Bachelor of Science in Business Administration"/>
          <w:listItem w:displayText="Bachelor of Science in Engineering" w:value="Bachelor of Science in Engineering"/>
          <w:listItem w:displayText="Bachelor of Science in Nursing" w:value="Bachelor of Science in Nursing"/>
        </w:dropDownList>
      </w:sdtPr>
      <w:sdtEndPr>
        <w:rPr>
          <w:color w:val="A6A6A6" w:themeColor="background1" w:themeShade="A6"/>
        </w:rPr>
      </w:sdtEndPr>
      <w:sdtContent>
        <w:p w:rsidR="000635D4" w:rsidRPr="00174952" w:rsidRDefault="00023292" w:rsidP="00486073">
          <w:pPr>
            <w:spacing w:line="240" w:lineRule="auto"/>
            <w:ind w:firstLine="0"/>
            <w:jc w:val="center"/>
            <w:rPr>
              <w:color w:val="A6A6A6" w:themeColor="background1" w:themeShade="A6"/>
            </w:rPr>
          </w:pPr>
          <w:r>
            <w:t>Master of Public Health</w:t>
          </w:r>
        </w:p>
      </w:sdtContent>
    </w:sdt>
    <w:p w:rsidR="000635D4" w:rsidRDefault="000635D4" w:rsidP="00486073">
      <w:pPr>
        <w:tabs>
          <w:tab w:val="left" w:pos="3600"/>
        </w:tabs>
        <w:spacing w:line="240" w:lineRule="auto"/>
        <w:ind w:firstLine="0"/>
        <w:jc w:val="center"/>
      </w:pPr>
    </w:p>
    <w:p w:rsidR="00486073" w:rsidRDefault="00486073" w:rsidP="00486073">
      <w:pPr>
        <w:tabs>
          <w:tab w:val="left" w:pos="3600"/>
        </w:tabs>
        <w:spacing w:line="240" w:lineRule="auto"/>
        <w:ind w:firstLine="0"/>
        <w:jc w:val="center"/>
      </w:pPr>
    </w:p>
    <w:p w:rsidR="00486073" w:rsidRDefault="00486073" w:rsidP="00486073">
      <w:pPr>
        <w:tabs>
          <w:tab w:val="left" w:pos="3600"/>
        </w:tabs>
        <w:spacing w:line="240" w:lineRule="auto"/>
        <w:ind w:firstLine="0"/>
        <w:jc w:val="center"/>
      </w:pPr>
    </w:p>
    <w:p w:rsidR="00486073" w:rsidRDefault="00486073" w:rsidP="00486073">
      <w:pPr>
        <w:tabs>
          <w:tab w:val="left" w:pos="3600"/>
        </w:tabs>
        <w:spacing w:line="240" w:lineRule="auto"/>
        <w:ind w:firstLine="0"/>
        <w:jc w:val="center"/>
      </w:pPr>
    </w:p>
    <w:p w:rsidR="00486073" w:rsidRDefault="00486073" w:rsidP="00486073">
      <w:pPr>
        <w:tabs>
          <w:tab w:val="left" w:pos="3600"/>
        </w:tabs>
        <w:spacing w:line="240" w:lineRule="auto"/>
        <w:ind w:firstLine="0"/>
        <w:jc w:val="center"/>
      </w:pPr>
    </w:p>
    <w:p w:rsidR="00486073" w:rsidRDefault="00486073" w:rsidP="00486073">
      <w:pPr>
        <w:tabs>
          <w:tab w:val="left" w:pos="3600"/>
        </w:tabs>
        <w:spacing w:line="240" w:lineRule="auto"/>
        <w:ind w:firstLine="0"/>
        <w:jc w:val="center"/>
      </w:pPr>
    </w:p>
    <w:p w:rsidR="00486073" w:rsidRDefault="00486073" w:rsidP="00486073">
      <w:pPr>
        <w:tabs>
          <w:tab w:val="left" w:pos="3600"/>
        </w:tabs>
        <w:spacing w:line="240" w:lineRule="auto"/>
        <w:ind w:firstLine="0"/>
        <w:jc w:val="center"/>
      </w:pPr>
    </w:p>
    <w:p w:rsidR="00486073" w:rsidRDefault="00486073" w:rsidP="00486073">
      <w:pPr>
        <w:tabs>
          <w:tab w:val="left" w:pos="3600"/>
        </w:tabs>
        <w:spacing w:line="240" w:lineRule="auto"/>
        <w:ind w:firstLine="0"/>
        <w:jc w:val="center"/>
      </w:pPr>
    </w:p>
    <w:p w:rsidR="00486073" w:rsidRDefault="00486073" w:rsidP="00486073">
      <w:pPr>
        <w:tabs>
          <w:tab w:val="left" w:pos="3600"/>
        </w:tabs>
        <w:spacing w:line="240" w:lineRule="auto"/>
        <w:ind w:firstLine="0"/>
        <w:jc w:val="center"/>
      </w:pPr>
    </w:p>
    <w:p w:rsidR="00BB500A" w:rsidRDefault="000635D4" w:rsidP="00486073">
      <w:pPr>
        <w:spacing w:line="240" w:lineRule="auto"/>
        <w:ind w:firstLine="0"/>
        <w:jc w:val="center"/>
      </w:pPr>
      <w:r w:rsidRPr="00AB08F3">
        <w:t>University of Pittsburg</w:t>
      </w:r>
      <w:r>
        <w:t>h</w:t>
      </w:r>
    </w:p>
    <w:p w:rsidR="00486073" w:rsidRDefault="00486073" w:rsidP="00486073">
      <w:pPr>
        <w:spacing w:line="240" w:lineRule="auto"/>
        <w:ind w:firstLine="0"/>
        <w:jc w:val="center"/>
      </w:pPr>
    </w:p>
    <w:p w:rsidR="00023292" w:rsidRDefault="00023292" w:rsidP="00486073">
      <w:pPr>
        <w:spacing w:line="240" w:lineRule="auto"/>
        <w:ind w:firstLine="0"/>
        <w:jc w:val="center"/>
      </w:pPr>
      <w:r>
        <w:t>2019</w:t>
      </w:r>
    </w:p>
    <w:p w:rsidR="00BB500A" w:rsidRDefault="00A21542" w:rsidP="00A21542">
      <w:pPr>
        <w:ind w:firstLine="0"/>
        <w:jc w:val="center"/>
        <w:sectPr w:rsidR="00BB500A" w:rsidSect="00367476">
          <w:footerReference w:type="default" r:id="rId8"/>
          <w:headerReference w:type="first" r:id="rId9"/>
          <w:footerReference w:type="first" r:id="rId10"/>
          <w:pgSz w:w="12240" w:h="15840"/>
          <w:pgMar w:top="1440" w:right="1440" w:bottom="1440" w:left="1440" w:header="720" w:footer="720" w:gutter="0"/>
          <w:pgNumType w:fmt="lowerRoman" w:start="1"/>
          <w:cols w:space="720"/>
          <w:titlePg/>
          <w:docGrid w:linePitch="360"/>
        </w:sectPr>
      </w:pPr>
      <w:r>
        <w:t>Year</w:t>
      </w:r>
    </w:p>
    <w:p w:rsidR="000635D4" w:rsidRPr="00B40E08" w:rsidRDefault="000635D4" w:rsidP="0011612C">
      <w:pPr>
        <w:pStyle w:val="CommitteePage"/>
        <w:outlineLvl w:val="9"/>
      </w:pPr>
      <w:r w:rsidRPr="00B40E08">
        <w:lastRenderedPageBreak/>
        <w:t xml:space="preserve">Committee </w:t>
      </w:r>
      <w:r w:rsidR="00B40E08" w:rsidRPr="00B40E08">
        <w:t xml:space="preserve">Membership </w:t>
      </w:r>
      <w:r w:rsidRPr="00B40E08">
        <w:t>Page</w:t>
      </w:r>
    </w:p>
    <w:p w:rsidR="000635D4" w:rsidRDefault="008F60CE" w:rsidP="00486073">
      <w:pPr>
        <w:spacing w:line="240" w:lineRule="auto"/>
        <w:ind w:firstLine="0"/>
        <w:jc w:val="center"/>
      </w:pPr>
      <w:r>
        <w:t>UNIVERSITY OF PITTSBURGH</w:t>
      </w:r>
    </w:p>
    <w:p w:rsidR="007A43BC" w:rsidRDefault="007A43BC" w:rsidP="00486073">
      <w:pPr>
        <w:spacing w:line="240" w:lineRule="auto"/>
        <w:ind w:firstLine="0"/>
        <w:jc w:val="center"/>
      </w:pPr>
    </w:p>
    <w:sdt>
      <w:sdtPr>
        <w:rPr>
          <w:rStyle w:val="TitleHeading"/>
        </w:rPr>
        <w:alias w:val="Name of School"/>
        <w:tag w:val="Name of School"/>
        <w:id w:val="833486643"/>
        <w:placeholder>
          <w:docPart w:val="08C639D7560D47549777506C1024DCA3"/>
        </w:placeholder>
        <w:dropDownList>
          <w:listItem w:displayText="College of Business Administration" w:value="College of Business Administration"/>
          <w:listItem w:displayText="Dietrich School of Arts and Sciences" w:value="Dietrich School of Arts and Sciences"/>
          <w:listItem w:displayText="Graduate School of Public Health" w:value="Graduate School of Public Health"/>
          <w:listItem w:displayText="Joseph M. Katz Graduate School of Business" w:value="Joseph M. Katz Graduate School of Business"/>
          <w:listItem w:displayText="School of Computing and Information" w:value="School of Computing and Information"/>
          <w:listItem w:displayText="School of Dental Medicine" w:value="School of Dental Medicine"/>
          <w:listItem w:displayText="School of Education" w:value="School of Education"/>
          <w:listItem w:displayText="School of Health and Rehabilitation Sciences" w:value="School of Health and Rehabilitation Sciences"/>
          <w:listItem w:displayText="School of Law" w:value="School of Law"/>
          <w:listItem w:displayText="School of Medicine" w:value="School of Medicine"/>
          <w:listItem w:displayText="School of Nursing" w:value="School of Nursing"/>
          <w:listItem w:displayText="School of Pharmacy" w:value="School of Pharmacy"/>
          <w:listItem w:displayText="School of Social Work" w:value="School of Social Work"/>
          <w:listItem w:displayText="Swanson School of Engineering" w:value="Swanson School of Engineering"/>
          <w:listItem w:displayText="University Honors College" w:value="University Honors College"/>
        </w:dropDownList>
      </w:sdtPr>
      <w:sdtEndPr>
        <w:rPr>
          <w:rStyle w:val="TitleHeading"/>
        </w:rPr>
      </w:sdtEndPr>
      <w:sdtContent>
        <w:p w:rsidR="008F60CE" w:rsidRDefault="00023292" w:rsidP="00486073">
          <w:pPr>
            <w:spacing w:line="240" w:lineRule="auto"/>
            <w:ind w:firstLine="0"/>
            <w:jc w:val="center"/>
          </w:pPr>
          <w:r>
            <w:rPr>
              <w:rStyle w:val="TitleHeading"/>
            </w:rPr>
            <w:t>Graduate School of Public Health</w:t>
          </w:r>
        </w:p>
      </w:sdtContent>
    </w:sdt>
    <w:p w:rsidR="008F60CE" w:rsidRDefault="008F60CE" w:rsidP="00486073">
      <w:pPr>
        <w:spacing w:line="240" w:lineRule="auto"/>
        <w:ind w:firstLine="0"/>
        <w:jc w:val="center"/>
      </w:pPr>
    </w:p>
    <w:p w:rsidR="008F60CE" w:rsidRDefault="008F60CE" w:rsidP="00486073">
      <w:pPr>
        <w:spacing w:line="240" w:lineRule="auto"/>
        <w:ind w:firstLine="0"/>
        <w:jc w:val="center"/>
      </w:pPr>
    </w:p>
    <w:p w:rsidR="00023292" w:rsidRDefault="00023292" w:rsidP="00023292">
      <w:pPr>
        <w:spacing w:line="240" w:lineRule="auto"/>
        <w:ind w:firstLine="0"/>
        <w:jc w:val="center"/>
      </w:pPr>
      <w:r w:rsidRPr="004C3245">
        <w:t>This essay is submitted</w:t>
      </w:r>
    </w:p>
    <w:p w:rsidR="00023292" w:rsidRPr="004C3245" w:rsidRDefault="00023292" w:rsidP="00023292">
      <w:pPr>
        <w:spacing w:line="240" w:lineRule="auto"/>
        <w:ind w:firstLine="0"/>
        <w:jc w:val="center"/>
      </w:pPr>
    </w:p>
    <w:p w:rsidR="00023292" w:rsidRPr="004C3245" w:rsidRDefault="00023292" w:rsidP="00023292">
      <w:pPr>
        <w:spacing w:line="240" w:lineRule="auto"/>
        <w:ind w:firstLine="0"/>
        <w:jc w:val="center"/>
      </w:pPr>
      <w:r>
        <w:t>b</w:t>
      </w:r>
      <w:r w:rsidRPr="004C3245">
        <w:t>y</w:t>
      </w:r>
    </w:p>
    <w:p w:rsidR="00023292" w:rsidRDefault="00023292" w:rsidP="00023292">
      <w:pPr>
        <w:spacing w:line="240" w:lineRule="auto"/>
        <w:ind w:firstLine="0"/>
        <w:jc w:val="center"/>
      </w:pPr>
      <w:r w:rsidRPr="004C3245">
        <w:t>Eric E. Edwards</w:t>
      </w:r>
    </w:p>
    <w:p w:rsidR="00023292" w:rsidRPr="004C3245" w:rsidRDefault="00023292" w:rsidP="00023292">
      <w:pPr>
        <w:spacing w:line="240" w:lineRule="auto"/>
        <w:ind w:firstLine="0"/>
        <w:jc w:val="center"/>
      </w:pPr>
    </w:p>
    <w:p w:rsidR="00023292" w:rsidRDefault="00023292" w:rsidP="00023292">
      <w:pPr>
        <w:spacing w:line="240" w:lineRule="auto"/>
        <w:ind w:firstLine="0"/>
        <w:jc w:val="center"/>
      </w:pPr>
      <w:r>
        <w:t>O</w:t>
      </w:r>
      <w:r w:rsidRPr="004C3245">
        <w:t>n</w:t>
      </w:r>
    </w:p>
    <w:p w:rsidR="00023292" w:rsidRPr="004C3245" w:rsidRDefault="00023292" w:rsidP="00023292">
      <w:pPr>
        <w:spacing w:line="240" w:lineRule="auto"/>
        <w:ind w:firstLine="0"/>
        <w:jc w:val="center"/>
      </w:pPr>
    </w:p>
    <w:p w:rsidR="00023292" w:rsidRPr="004C3245" w:rsidRDefault="00353979" w:rsidP="00023292">
      <w:pPr>
        <w:spacing w:line="240" w:lineRule="auto"/>
        <w:ind w:firstLine="0"/>
        <w:jc w:val="center"/>
      </w:pPr>
      <w:r>
        <w:t>April 24,</w:t>
      </w:r>
      <w:r w:rsidR="00023292">
        <w:t xml:space="preserve"> 2019</w:t>
      </w:r>
    </w:p>
    <w:p w:rsidR="00023292" w:rsidRPr="004C3245" w:rsidRDefault="00023292" w:rsidP="00023292">
      <w:pPr>
        <w:ind w:firstLine="0"/>
        <w:jc w:val="center"/>
      </w:pPr>
    </w:p>
    <w:p w:rsidR="00023292" w:rsidRPr="00023292" w:rsidRDefault="00023292" w:rsidP="00023292">
      <w:pPr>
        <w:spacing w:line="240" w:lineRule="auto"/>
        <w:ind w:firstLine="0"/>
        <w:jc w:val="center"/>
        <w:rPr>
          <w:b/>
        </w:rPr>
      </w:pPr>
      <w:r w:rsidRPr="00023292">
        <w:rPr>
          <w:b/>
        </w:rPr>
        <w:t>Essay Advisor:</w:t>
      </w:r>
    </w:p>
    <w:p w:rsidR="00023292" w:rsidRPr="004C3245" w:rsidRDefault="00023292" w:rsidP="00023292">
      <w:pPr>
        <w:spacing w:line="240" w:lineRule="auto"/>
        <w:ind w:firstLine="0"/>
        <w:jc w:val="center"/>
      </w:pPr>
      <w:r w:rsidRPr="004C3245">
        <w:t>Nancy Glynn, PhD</w:t>
      </w:r>
    </w:p>
    <w:p w:rsidR="00023292" w:rsidRPr="004C3245" w:rsidRDefault="00023292" w:rsidP="00023292">
      <w:pPr>
        <w:spacing w:line="240" w:lineRule="auto"/>
        <w:ind w:firstLine="0"/>
        <w:jc w:val="center"/>
      </w:pPr>
      <w:r w:rsidRPr="004C3245">
        <w:t>Director, Master’s Degree Program, Epidemiology</w:t>
      </w:r>
    </w:p>
    <w:p w:rsidR="00023292" w:rsidRPr="004C3245" w:rsidRDefault="00023292" w:rsidP="00023292">
      <w:pPr>
        <w:spacing w:line="240" w:lineRule="auto"/>
        <w:ind w:firstLine="0"/>
        <w:jc w:val="center"/>
      </w:pPr>
      <w:r w:rsidRPr="004C3245">
        <w:t>Assistant Professor, Epidemiology</w:t>
      </w:r>
    </w:p>
    <w:p w:rsidR="00023292" w:rsidRPr="004C3245" w:rsidRDefault="00023292" w:rsidP="00023292">
      <w:pPr>
        <w:spacing w:line="240" w:lineRule="auto"/>
        <w:ind w:firstLine="0"/>
        <w:jc w:val="center"/>
      </w:pPr>
      <w:r w:rsidRPr="004C3245">
        <w:t>Graduate School of Public Health</w:t>
      </w:r>
    </w:p>
    <w:p w:rsidR="00023292" w:rsidRPr="004C3245" w:rsidRDefault="00023292" w:rsidP="00023292">
      <w:pPr>
        <w:spacing w:line="240" w:lineRule="auto"/>
        <w:ind w:firstLine="0"/>
        <w:jc w:val="center"/>
      </w:pPr>
      <w:r w:rsidRPr="004C3245">
        <w:t>University of Pittsburgh</w:t>
      </w:r>
    </w:p>
    <w:p w:rsidR="00023292" w:rsidRPr="004C3245" w:rsidRDefault="00023292" w:rsidP="00023292">
      <w:pPr>
        <w:spacing w:line="240" w:lineRule="auto"/>
        <w:ind w:firstLine="0"/>
        <w:jc w:val="center"/>
      </w:pPr>
    </w:p>
    <w:p w:rsidR="00023292" w:rsidRDefault="00023292" w:rsidP="00023292">
      <w:pPr>
        <w:spacing w:line="240" w:lineRule="auto"/>
        <w:ind w:firstLine="0"/>
        <w:jc w:val="center"/>
      </w:pPr>
      <w:r w:rsidRPr="004C3245">
        <w:t>Essay Reader</w:t>
      </w:r>
      <w:r>
        <w:t>s</w:t>
      </w:r>
      <w:r w:rsidRPr="004C3245">
        <w:t>:</w:t>
      </w:r>
      <w:r>
        <w:t xml:space="preserve"> </w:t>
      </w:r>
    </w:p>
    <w:p w:rsidR="00023292" w:rsidRPr="00023292" w:rsidRDefault="00023292" w:rsidP="00023292">
      <w:pPr>
        <w:spacing w:line="240" w:lineRule="auto"/>
        <w:ind w:firstLine="0"/>
        <w:jc w:val="center"/>
        <w:rPr>
          <w:sz w:val="16"/>
          <w:szCs w:val="16"/>
        </w:rPr>
      </w:pPr>
    </w:p>
    <w:p w:rsidR="00023292" w:rsidRPr="004C3245" w:rsidRDefault="00023292" w:rsidP="00023292">
      <w:pPr>
        <w:spacing w:line="240" w:lineRule="auto"/>
        <w:ind w:firstLine="0"/>
        <w:jc w:val="center"/>
      </w:pPr>
      <w:r>
        <w:t>Kristine Ruppert, Dr</w:t>
      </w:r>
      <w:r w:rsidRPr="004C3245">
        <w:t>PH</w:t>
      </w:r>
    </w:p>
    <w:p w:rsidR="00023292" w:rsidRPr="004C3245" w:rsidRDefault="00023292" w:rsidP="00023292">
      <w:pPr>
        <w:spacing w:line="240" w:lineRule="auto"/>
        <w:ind w:firstLine="0"/>
        <w:jc w:val="center"/>
      </w:pPr>
      <w:r w:rsidRPr="004C3245">
        <w:t>Assistant Professor, Epidemiology</w:t>
      </w:r>
    </w:p>
    <w:p w:rsidR="00023292" w:rsidRPr="004C3245" w:rsidRDefault="00023292" w:rsidP="00023292">
      <w:pPr>
        <w:spacing w:line="240" w:lineRule="auto"/>
        <w:ind w:firstLine="0"/>
        <w:jc w:val="center"/>
      </w:pPr>
      <w:r w:rsidRPr="004C3245">
        <w:t>Graduate School of Public Health</w:t>
      </w:r>
    </w:p>
    <w:p w:rsidR="00023292" w:rsidRPr="004C3245" w:rsidRDefault="00023292" w:rsidP="00023292">
      <w:pPr>
        <w:spacing w:line="240" w:lineRule="auto"/>
        <w:ind w:firstLine="0"/>
        <w:jc w:val="center"/>
      </w:pPr>
      <w:r w:rsidRPr="004C3245">
        <w:t>University of Pittsburgh</w:t>
      </w:r>
    </w:p>
    <w:p w:rsidR="00023292" w:rsidRPr="004C3245" w:rsidRDefault="00023292" w:rsidP="00023292">
      <w:pPr>
        <w:spacing w:line="240" w:lineRule="auto"/>
        <w:ind w:firstLine="0"/>
        <w:jc w:val="center"/>
      </w:pPr>
    </w:p>
    <w:p w:rsidR="00023292" w:rsidRPr="004C3245" w:rsidRDefault="00023292" w:rsidP="00023292">
      <w:pPr>
        <w:spacing w:line="240" w:lineRule="auto"/>
        <w:ind w:firstLine="0"/>
        <w:jc w:val="center"/>
      </w:pPr>
      <w:r w:rsidRPr="004C3245">
        <w:t>Inmaculada Hernandez, PharmD, PhD</w:t>
      </w:r>
    </w:p>
    <w:p w:rsidR="00023292" w:rsidRPr="004C3245" w:rsidRDefault="00023292" w:rsidP="00023292">
      <w:pPr>
        <w:spacing w:line="240" w:lineRule="auto"/>
        <w:ind w:firstLine="0"/>
        <w:jc w:val="center"/>
      </w:pPr>
      <w:r w:rsidRPr="004C3245">
        <w:t>Assistant Professor, Pharmacy and Therapeutics</w:t>
      </w:r>
    </w:p>
    <w:p w:rsidR="00023292" w:rsidRPr="004C3245" w:rsidRDefault="00023292" w:rsidP="00023292">
      <w:pPr>
        <w:spacing w:line="240" w:lineRule="auto"/>
        <w:ind w:firstLine="0"/>
        <w:jc w:val="center"/>
      </w:pPr>
      <w:r w:rsidRPr="004C3245">
        <w:t>School of Pharmacy</w:t>
      </w:r>
    </w:p>
    <w:p w:rsidR="00023292" w:rsidRPr="004C3245" w:rsidRDefault="00023292" w:rsidP="00023292">
      <w:pPr>
        <w:spacing w:line="240" w:lineRule="auto"/>
        <w:ind w:firstLine="0"/>
        <w:jc w:val="center"/>
      </w:pPr>
      <w:r w:rsidRPr="004C3245">
        <w:t>University of Pittsburgh</w:t>
      </w:r>
    </w:p>
    <w:p w:rsidR="00023292" w:rsidRPr="004C3245" w:rsidRDefault="00023292" w:rsidP="00023292">
      <w:pPr>
        <w:spacing w:line="240" w:lineRule="auto"/>
        <w:ind w:firstLine="0"/>
        <w:jc w:val="center"/>
      </w:pPr>
    </w:p>
    <w:p w:rsidR="00023292" w:rsidRPr="004C3245" w:rsidRDefault="00023292" w:rsidP="00023292">
      <w:pPr>
        <w:spacing w:line="240" w:lineRule="auto"/>
        <w:ind w:firstLine="0"/>
        <w:jc w:val="center"/>
      </w:pPr>
      <w:r w:rsidRPr="004C3245">
        <w:t>Martha Terry, PhD</w:t>
      </w:r>
    </w:p>
    <w:p w:rsidR="00023292" w:rsidRPr="004C3245" w:rsidRDefault="00023292" w:rsidP="00023292">
      <w:pPr>
        <w:spacing w:line="240" w:lineRule="auto"/>
        <w:ind w:firstLine="0"/>
        <w:jc w:val="center"/>
      </w:pPr>
      <w:r w:rsidRPr="004C3245">
        <w:t>Assistant Professor, Behavioral and Community Health</w:t>
      </w:r>
    </w:p>
    <w:p w:rsidR="00023292" w:rsidRPr="004C3245" w:rsidRDefault="00023292" w:rsidP="00023292">
      <w:pPr>
        <w:spacing w:line="240" w:lineRule="auto"/>
        <w:ind w:firstLine="0"/>
        <w:jc w:val="center"/>
      </w:pPr>
      <w:r w:rsidRPr="004C3245">
        <w:t>Graduate School of Public Health</w:t>
      </w:r>
    </w:p>
    <w:p w:rsidR="00023292" w:rsidRPr="004C3245" w:rsidRDefault="00023292" w:rsidP="00023292">
      <w:pPr>
        <w:spacing w:line="240" w:lineRule="auto"/>
        <w:ind w:firstLine="0"/>
        <w:jc w:val="center"/>
      </w:pPr>
      <w:r w:rsidRPr="004C3245">
        <w:t>University of Pittsburgh</w:t>
      </w:r>
    </w:p>
    <w:p w:rsidR="00486073" w:rsidRDefault="00486073" w:rsidP="00486073">
      <w:pPr>
        <w:spacing w:line="240" w:lineRule="auto"/>
        <w:ind w:firstLine="0"/>
        <w:jc w:val="center"/>
      </w:pPr>
    </w:p>
    <w:p w:rsidR="0046438E" w:rsidRDefault="0046438E" w:rsidP="00486073">
      <w:pPr>
        <w:spacing w:line="240" w:lineRule="auto"/>
        <w:ind w:firstLine="0"/>
        <w:jc w:val="center"/>
      </w:pPr>
    </w:p>
    <w:p w:rsidR="00023292" w:rsidRDefault="00023292" w:rsidP="00486073">
      <w:pPr>
        <w:spacing w:line="240" w:lineRule="auto"/>
        <w:ind w:firstLine="0"/>
        <w:jc w:val="center"/>
      </w:pPr>
    </w:p>
    <w:p w:rsidR="0028782F" w:rsidRDefault="00834193" w:rsidP="00130B6B">
      <w:pPr>
        <w:ind w:left="720" w:hanging="720"/>
      </w:pPr>
      <w:r>
        <w:br w:type="page"/>
      </w:r>
    </w:p>
    <w:p w:rsidR="004F0846" w:rsidRDefault="004F0846" w:rsidP="00486073">
      <w:pPr>
        <w:spacing w:line="240" w:lineRule="auto"/>
        <w:ind w:firstLine="0"/>
        <w:jc w:val="center"/>
      </w:pPr>
    </w:p>
    <w:p w:rsidR="004F0846" w:rsidRDefault="004F0846" w:rsidP="00486073">
      <w:pPr>
        <w:spacing w:line="240" w:lineRule="auto"/>
        <w:ind w:firstLine="0"/>
        <w:jc w:val="center"/>
      </w:pPr>
    </w:p>
    <w:p w:rsidR="004F0846" w:rsidRDefault="004F0846" w:rsidP="00486073">
      <w:pPr>
        <w:spacing w:line="240" w:lineRule="auto"/>
        <w:ind w:firstLine="0"/>
        <w:jc w:val="center"/>
      </w:pPr>
    </w:p>
    <w:p w:rsidR="004F0846" w:rsidRDefault="004F0846" w:rsidP="00486073">
      <w:pPr>
        <w:spacing w:line="240" w:lineRule="auto"/>
        <w:ind w:firstLine="0"/>
        <w:jc w:val="center"/>
      </w:pPr>
    </w:p>
    <w:p w:rsidR="004F0846" w:rsidRDefault="004F0846" w:rsidP="00486073">
      <w:pPr>
        <w:spacing w:line="240" w:lineRule="auto"/>
        <w:ind w:firstLine="0"/>
        <w:jc w:val="center"/>
      </w:pPr>
    </w:p>
    <w:p w:rsidR="00486073" w:rsidRDefault="00486073" w:rsidP="00486073">
      <w:pPr>
        <w:spacing w:line="240" w:lineRule="auto"/>
        <w:ind w:firstLine="0"/>
        <w:jc w:val="center"/>
      </w:pPr>
    </w:p>
    <w:p w:rsidR="00486073" w:rsidRDefault="00486073" w:rsidP="00486073">
      <w:pPr>
        <w:spacing w:line="240" w:lineRule="auto"/>
        <w:ind w:firstLine="0"/>
        <w:jc w:val="center"/>
      </w:pPr>
    </w:p>
    <w:p w:rsidR="00486073" w:rsidRDefault="00486073" w:rsidP="00486073">
      <w:pPr>
        <w:spacing w:line="240" w:lineRule="auto"/>
        <w:ind w:firstLine="0"/>
        <w:jc w:val="center"/>
      </w:pPr>
    </w:p>
    <w:p w:rsidR="00486073" w:rsidRDefault="00486073" w:rsidP="00486073">
      <w:pPr>
        <w:spacing w:line="240" w:lineRule="auto"/>
        <w:ind w:firstLine="0"/>
        <w:jc w:val="center"/>
      </w:pPr>
    </w:p>
    <w:p w:rsidR="00486073" w:rsidRDefault="00486073" w:rsidP="00486073">
      <w:pPr>
        <w:spacing w:line="240" w:lineRule="auto"/>
        <w:ind w:firstLine="0"/>
        <w:jc w:val="center"/>
      </w:pPr>
    </w:p>
    <w:p w:rsidR="004F0846" w:rsidRDefault="004F0846" w:rsidP="00486073">
      <w:pPr>
        <w:spacing w:line="240" w:lineRule="auto"/>
        <w:ind w:firstLine="0"/>
        <w:jc w:val="center"/>
      </w:pPr>
    </w:p>
    <w:p w:rsidR="004F0846" w:rsidRDefault="004F0846" w:rsidP="00486073">
      <w:pPr>
        <w:spacing w:line="240" w:lineRule="auto"/>
        <w:ind w:firstLine="0"/>
        <w:jc w:val="center"/>
      </w:pPr>
    </w:p>
    <w:p w:rsidR="004F0846" w:rsidRDefault="004F0846" w:rsidP="00486073">
      <w:pPr>
        <w:spacing w:line="240" w:lineRule="auto"/>
        <w:ind w:firstLine="0"/>
        <w:jc w:val="center"/>
      </w:pPr>
    </w:p>
    <w:p w:rsidR="004F0846" w:rsidRDefault="004F0846" w:rsidP="00486073">
      <w:pPr>
        <w:spacing w:line="240" w:lineRule="auto"/>
        <w:ind w:firstLine="0"/>
        <w:jc w:val="center"/>
      </w:pPr>
    </w:p>
    <w:p w:rsidR="004F0846" w:rsidRDefault="004F0846" w:rsidP="00486073">
      <w:pPr>
        <w:spacing w:line="240" w:lineRule="auto"/>
        <w:ind w:firstLine="0"/>
        <w:jc w:val="center"/>
      </w:pPr>
    </w:p>
    <w:p w:rsidR="004F0846" w:rsidRDefault="004F0846" w:rsidP="00486073">
      <w:pPr>
        <w:spacing w:line="240" w:lineRule="auto"/>
        <w:ind w:firstLine="0"/>
        <w:jc w:val="center"/>
      </w:pPr>
      <w:r>
        <w:t xml:space="preserve">Copyright © by </w:t>
      </w:r>
      <w:r w:rsidR="00023292">
        <w:t>Eric E. Edwards</w:t>
      </w:r>
    </w:p>
    <w:p w:rsidR="00486073" w:rsidRDefault="00486073" w:rsidP="00486073">
      <w:pPr>
        <w:spacing w:line="240" w:lineRule="auto"/>
        <w:ind w:firstLine="0"/>
        <w:jc w:val="center"/>
      </w:pPr>
    </w:p>
    <w:p w:rsidR="004F0846" w:rsidRDefault="00023292" w:rsidP="00486073">
      <w:pPr>
        <w:spacing w:line="240" w:lineRule="auto"/>
        <w:ind w:firstLine="0"/>
        <w:jc w:val="center"/>
      </w:pPr>
      <w:r>
        <w:t>2019</w:t>
      </w:r>
    </w:p>
    <w:p w:rsidR="004F0846" w:rsidRDefault="004F0846" w:rsidP="00486073">
      <w:pPr>
        <w:spacing w:line="240" w:lineRule="auto"/>
        <w:ind w:left="720" w:hanging="720"/>
      </w:pPr>
    </w:p>
    <w:p w:rsidR="004F0846" w:rsidRDefault="004F0846" w:rsidP="00486073">
      <w:pPr>
        <w:spacing w:line="240" w:lineRule="auto"/>
        <w:ind w:left="720" w:hanging="720"/>
      </w:pPr>
    </w:p>
    <w:p w:rsidR="004F0846" w:rsidRDefault="004F0846" w:rsidP="00130B6B">
      <w:pPr>
        <w:ind w:left="720" w:hanging="720"/>
      </w:pPr>
    </w:p>
    <w:p w:rsidR="004F0846" w:rsidRDefault="004F0846" w:rsidP="00130B6B">
      <w:pPr>
        <w:ind w:left="720" w:hanging="720"/>
      </w:pPr>
    </w:p>
    <w:p w:rsidR="004F0846" w:rsidRDefault="004F0846" w:rsidP="00130B6B">
      <w:pPr>
        <w:ind w:left="720" w:hanging="720"/>
        <w:sectPr w:rsidR="004F0846" w:rsidSect="00BB4FAE">
          <w:footerReference w:type="default" r:id="rId11"/>
          <w:pgSz w:w="12240" w:h="15840"/>
          <w:pgMar w:top="1440" w:right="1440" w:bottom="1440" w:left="1440" w:header="720" w:footer="720" w:gutter="0"/>
          <w:pgNumType w:fmt="lowerRoman" w:start="2"/>
          <w:cols w:space="720"/>
          <w:docGrid w:linePitch="360"/>
        </w:sectPr>
      </w:pPr>
    </w:p>
    <w:p w:rsidR="002B41A8" w:rsidRDefault="002B41A8" w:rsidP="0011612C">
      <w:pPr>
        <w:pStyle w:val="AbstractHeading"/>
        <w:outlineLvl w:val="9"/>
      </w:pPr>
      <w:r>
        <w:lastRenderedPageBreak/>
        <w:t>Abstract</w:t>
      </w:r>
    </w:p>
    <w:p w:rsidR="00F47990" w:rsidRPr="004C3245" w:rsidRDefault="00F47990" w:rsidP="00F47990">
      <w:pPr>
        <w:spacing w:line="240" w:lineRule="auto"/>
        <w:jc w:val="right"/>
      </w:pPr>
      <w:r w:rsidRPr="004C3245">
        <w:t>Nancy Glynn, PhD</w:t>
      </w:r>
    </w:p>
    <w:p w:rsidR="00F47990" w:rsidRDefault="00F47990" w:rsidP="00F47990">
      <w:pPr>
        <w:ind w:firstLine="0"/>
        <w:jc w:val="center"/>
        <w:rPr>
          <w:b/>
        </w:rPr>
      </w:pPr>
    </w:p>
    <w:p w:rsidR="00F47990" w:rsidRPr="00023292" w:rsidRDefault="00F47990" w:rsidP="00F47990">
      <w:pPr>
        <w:ind w:firstLine="0"/>
        <w:jc w:val="center"/>
        <w:rPr>
          <w:b/>
        </w:rPr>
      </w:pPr>
      <w:r w:rsidRPr="00023292">
        <w:rPr>
          <w:b/>
        </w:rPr>
        <w:t>The Effects of Thyroid Medication on Bone Mineral Density: A Study of Women’s Health Across the Nation (SWAN) Pharmacoepidemiology Study</w:t>
      </w:r>
    </w:p>
    <w:p w:rsidR="00486073" w:rsidRPr="00F47990" w:rsidRDefault="00F47990" w:rsidP="00486073">
      <w:pPr>
        <w:spacing w:line="240" w:lineRule="auto"/>
        <w:ind w:firstLine="0"/>
        <w:jc w:val="center"/>
      </w:pPr>
      <w:r w:rsidRPr="00F47990">
        <w:t>Eric E. Edwards, MPH</w:t>
      </w:r>
    </w:p>
    <w:p w:rsidR="00486073" w:rsidRDefault="00486073" w:rsidP="00486073">
      <w:pPr>
        <w:spacing w:line="240" w:lineRule="auto"/>
        <w:ind w:firstLine="0"/>
        <w:jc w:val="center"/>
      </w:pPr>
    </w:p>
    <w:p w:rsidR="002B41A8" w:rsidRDefault="00F47990" w:rsidP="00486073">
      <w:pPr>
        <w:spacing w:line="240" w:lineRule="auto"/>
        <w:ind w:firstLine="0"/>
        <w:jc w:val="center"/>
      </w:pPr>
      <w:r>
        <w:t>University of Pittsburgh, 2019</w:t>
      </w:r>
    </w:p>
    <w:p w:rsidR="002B41A8" w:rsidRDefault="002B41A8" w:rsidP="00486073">
      <w:pPr>
        <w:spacing w:line="240" w:lineRule="auto"/>
        <w:ind w:firstLine="0"/>
        <w:jc w:val="center"/>
      </w:pPr>
    </w:p>
    <w:p w:rsidR="0046438E" w:rsidRDefault="0046438E" w:rsidP="00486073">
      <w:pPr>
        <w:spacing w:line="240" w:lineRule="auto"/>
        <w:ind w:firstLine="0"/>
        <w:jc w:val="center"/>
      </w:pPr>
    </w:p>
    <w:p w:rsidR="00486073" w:rsidRPr="00F47990" w:rsidRDefault="00F47990" w:rsidP="00486073">
      <w:pPr>
        <w:spacing w:line="240" w:lineRule="auto"/>
        <w:ind w:firstLine="0"/>
        <w:jc w:val="center"/>
        <w:rPr>
          <w:b/>
        </w:rPr>
      </w:pPr>
      <w:r w:rsidRPr="00F47990">
        <w:rPr>
          <w:b/>
        </w:rPr>
        <w:t>Abstract</w:t>
      </w:r>
    </w:p>
    <w:p w:rsidR="00486073" w:rsidRDefault="00486073" w:rsidP="00486073">
      <w:pPr>
        <w:spacing w:line="240" w:lineRule="auto"/>
        <w:ind w:firstLine="0"/>
        <w:jc w:val="center"/>
      </w:pPr>
    </w:p>
    <w:p w:rsidR="00F47990" w:rsidRPr="004C3245" w:rsidRDefault="00F47990" w:rsidP="00B95809">
      <w:r w:rsidRPr="004C3245">
        <w:rPr>
          <w:b/>
        </w:rPr>
        <w:t>Background:</w:t>
      </w:r>
      <w:r w:rsidRPr="004C3245">
        <w:t xml:space="preserve"> As women progress through menopause, bone mineral density (BMD) slowly decreases due to estrogen loss. Several studies suggest that medications taken for hypothyroidism do not have a significant effect on the rate of BMD loss, while others suggest that thyroid medication could decrease BMD and increase the risk of fractures, osteoarthritis, and osteoporosis.</w:t>
      </w:r>
    </w:p>
    <w:p w:rsidR="00F47990" w:rsidRPr="004C3245" w:rsidRDefault="00F47990" w:rsidP="00B95809">
      <w:r w:rsidRPr="004C3245">
        <w:rPr>
          <w:b/>
        </w:rPr>
        <w:t>Objective:</w:t>
      </w:r>
      <w:r w:rsidRPr="004C3245">
        <w:t xml:space="preserve"> To determine if women who initiate thyroid medication for hypothyroidism experience an increase loss in BMD at the femoral neck (FN), hip or spine compared to non -initiators.</w:t>
      </w:r>
    </w:p>
    <w:p w:rsidR="00F47990" w:rsidRPr="004C3245" w:rsidRDefault="00F47990" w:rsidP="00B95809">
      <w:r w:rsidRPr="004C3245">
        <w:rPr>
          <w:b/>
        </w:rPr>
        <w:t>Methods:</w:t>
      </w:r>
      <w:r w:rsidRPr="004C3245">
        <w:t xml:space="preserve"> We investigated changes in BMD associated with new use of thyroid hormone therapy in a prospective longitudinal cohort of mid-life women. BMD and medication use were measured annually over a period of 16 years. Propensity score matching (PS) was applied to balance baseline characteristics of women who did and did not initiate thyroid medications. Mixed model regression was used to examine annualized change in BMD. Covariates with a known impact on bone health (age, race, body mass index (BMI), menopausal status, thiazide diuretic and hormone use) were included in all models.</w:t>
      </w:r>
    </w:p>
    <w:p w:rsidR="00F47990" w:rsidRPr="004C3245" w:rsidRDefault="00F47990" w:rsidP="00B95809">
      <w:r w:rsidRPr="004C3245">
        <w:rPr>
          <w:b/>
        </w:rPr>
        <w:lastRenderedPageBreak/>
        <w:t>Results:</w:t>
      </w:r>
      <w:r w:rsidRPr="004C3245">
        <w:t xml:space="preserve"> Our cohort included 356 women (n=178 in each group) with a mean age of 52.9 (SD=5.6) years and BMI of 29.4 (SD=6.8). 64.3 % of the women were Caucasian, 19.9% African American, 9.6% Chinese and 6.2% Japanese. Median follow-up time was 9.5 years. After adjusting for the variables mentioned above, the annual rate of bone loss at the FN, hip and spine for the treatment and control groups were FN (- 0.71% vs. – 0.85% p= 0.22), hip (-0.57% vs -0.66% p=0.47), and spine (-0.59 vs -0.71% p=0.41).</w:t>
      </w:r>
    </w:p>
    <w:p w:rsidR="00F47990" w:rsidRPr="004C3245" w:rsidRDefault="00F47990" w:rsidP="00B95809">
      <w:r w:rsidRPr="004C3245">
        <w:rPr>
          <w:b/>
        </w:rPr>
        <w:t>Conclusion:</w:t>
      </w:r>
      <w:r w:rsidRPr="004C3245">
        <w:t xml:space="preserve"> After employing a pharmacoepidemiology design and PS matching there were no significant differences in BMD between those who used thyroid medications and those who did not at either the FN, total hip, or spine.</w:t>
      </w:r>
    </w:p>
    <w:p w:rsidR="00F47990" w:rsidRPr="004C3245" w:rsidRDefault="00F47990" w:rsidP="00B95809">
      <w:r w:rsidRPr="004C3245">
        <w:rPr>
          <w:b/>
        </w:rPr>
        <w:t xml:space="preserve">Public Health Significance: </w:t>
      </w:r>
      <w:r w:rsidRPr="004C3245">
        <w:t xml:space="preserve">The findings in this study will help women who are using thyroid hormone therapy during the menopausal transition know that it does not affect their risk of developing osteoporosis or bone loss. The results of this study can help inform clinicians to better focus their time in known variables that affect BMD loss such as thiazide diuretics, body mass index, smoking status, and diabetes. This information will help doctors better educate patients on preventative measures that can help decrease the rate of bone loss through the menopausal transition. </w:t>
      </w:r>
    </w:p>
    <w:p w:rsidR="00F47990" w:rsidRDefault="00F47990" w:rsidP="00486073">
      <w:pPr>
        <w:spacing w:line="240" w:lineRule="auto"/>
        <w:ind w:firstLine="0"/>
        <w:jc w:val="center"/>
      </w:pPr>
    </w:p>
    <w:p w:rsidR="008A110F" w:rsidRDefault="00130B6B" w:rsidP="0011612C">
      <w:pPr>
        <w:pStyle w:val="TableofContentsHeading"/>
        <w:outlineLvl w:val="9"/>
      </w:pPr>
      <w:r>
        <w:lastRenderedPageBreak/>
        <w:t>Table of Contents</w:t>
      </w:r>
    </w:p>
    <w:p w:rsidR="00202BEE" w:rsidRDefault="00977828">
      <w:pPr>
        <w:pStyle w:val="TOC1"/>
        <w:rPr>
          <w:rFonts w:asciiTheme="minorHAnsi" w:eastAsiaTheme="minorEastAsia" w:hAnsiTheme="minorHAnsi" w:cstheme="minorBidi"/>
          <w:b w:val="0"/>
          <w:noProof/>
          <w:sz w:val="22"/>
          <w:szCs w:val="22"/>
        </w:rPr>
      </w:pPr>
      <w:r>
        <w:rPr>
          <w:bCs/>
        </w:rPr>
        <w:fldChar w:fldCharType="begin"/>
      </w:r>
      <w:r>
        <w:rPr>
          <w:bCs/>
        </w:rPr>
        <w:instrText xml:space="preserve"> TOC \o "3-4" \h \z \t "Heading 1,1,Heading 2,2,App Section,2,Appendix,1,Heading,1,Heading No Tab,1" </w:instrText>
      </w:r>
      <w:r>
        <w:rPr>
          <w:bCs/>
        </w:rPr>
        <w:fldChar w:fldCharType="separate"/>
      </w:r>
      <w:hyperlink w:anchor="_Toc6485168" w:history="1">
        <w:r w:rsidR="00202BEE" w:rsidRPr="00130FD9">
          <w:rPr>
            <w:rStyle w:val="Hyperlink"/>
            <w:noProof/>
          </w:rPr>
          <w:t>Preface</w:t>
        </w:r>
        <w:r w:rsidR="00202BEE">
          <w:rPr>
            <w:noProof/>
            <w:webHidden/>
          </w:rPr>
          <w:tab/>
        </w:r>
        <w:r w:rsidR="00202BEE">
          <w:rPr>
            <w:noProof/>
            <w:webHidden/>
          </w:rPr>
          <w:fldChar w:fldCharType="begin"/>
        </w:r>
        <w:r w:rsidR="00202BEE">
          <w:rPr>
            <w:noProof/>
            <w:webHidden/>
          </w:rPr>
          <w:instrText xml:space="preserve"> PAGEREF _Toc6485168 \h </w:instrText>
        </w:r>
        <w:r w:rsidR="00202BEE">
          <w:rPr>
            <w:noProof/>
            <w:webHidden/>
          </w:rPr>
        </w:r>
        <w:r w:rsidR="00202BEE">
          <w:rPr>
            <w:noProof/>
            <w:webHidden/>
          </w:rPr>
          <w:fldChar w:fldCharType="separate"/>
        </w:r>
        <w:r w:rsidR="00202BEE">
          <w:rPr>
            <w:noProof/>
            <w:webHidden/>
          </w:rPr>
          <w:t>x</w:t>
        </w:r>
        <w:r w:rsidR="00202BEE">
          <w:rPr>
            <w:noProof/>
            <w:webHidden/>
          </w:rPr>
          <w:fldChar w:fldCharType="end"/>
        </w:r>
      </w:hyperlink>
    </w:p>
    <w:p w:rsidR="00202BEE" w:rsidRDefault="00A6734D">
      <w:pPr>
        <w:pStyle w:val="TOC1"/>
        <w:rPr>
          <w:rFonts w:asciiTheme="minorHAnsi" w:eastAsiaTheme="minorEastAsia" w:hAnsiTheme="minorHAnsi" w:cstheme="minorBidi"/>
          <w:b w:val="0"/>
          <w:noProof/>
          <w:sz w:val="22"/>
          <w:szCs w:val="22"/>
        </w:rPr>
      </w:pPr>
      <w:hyperlink w:anchor="_Toc6485169" w:history="1">
        <w:r w:rsidR="00202BEE" w:rsidRPr="00130FD9">
          <w:rPr>
            <w:rStyle w:val="Hyperlink"/>
            <w:noProof/>
          </w:rPr>
          <w:t>1.0 Introduction</w:t>
        </w:r>
        <w:r w:rsidR="00202BEE">
          <w:rPr>
            <w:noProof/>
            <w:webHidden/>
          </w:rPr>
          <w:tab/>
        </w:r>
        <w:r w:rsidR="00202BEE">
          <w:rPr>
            <w:noProof/>
            <w:webHidden/>
          </w:rPr>
          <w:fldChar w:fldCharType="begin"/>
        </w:r>
        <w:r w:rsidR="00202BEE">
          <w:rPr>
            <w:noProof/>
            <w:webHidden/>
          </w:rPr>
          <w:instrText xml:space="preserve"> PAGEREF _Toc6485169 \h </w:instrText>
        </w:r>
        <w:r w:rsidR="00202BEE">
          <w:rPr>
            <w:noProof/>
            <w:webHidden/>
          </w:rPr>
        </w:r>
        <w:r w:rsidR="00202BEE">
          <w:rPr>
            <w:noProof/>
            <w:webHidden/>
          </w:rPr>
          <w:fldChar w:fldCharType="separate"/>
        </w:r>
        <w:r w:rsidR="00202BEE">
          <w:rPr>
            <w:noProof/>
            <w:webHidden/>
          </w:rPr>
          <w:t>1</w:t>
        </w:r>
        <w:r w:rsidR="00202BEE">
          <w:rPr>
            <w:noProof/>
            <w:webHidden/>
          </w:rPr>
          <w:fldChar w:fldCharType="end"/>
        </w:r>
      </w:hyperlink>
    </w:p>
    <w:p w:rsidR="00202BEE" w:rsidRDefault="00A6734D">
      <w:pPr>
        <w:pStyle w:val="TOC1"/>
        <w:rPr>
          <w:rFonts w:asciiTheme="minorHAnsi" w:eastAsiaTheme="minorEastAsia" w:hAnsiTheme="minorHAnsi" w:cstheme="minorBidi"/>
          <w:b w:val="0"/>
          <w:noProof/>
          <w:sz w:val="22"/>
          <w:szCs w:val="22"/>
        </w:rPr>
      </w:pPr>
      <w:hyperlink w:anchor="_Toc6485170" w:history="1">
        <w:r w:rsidR="00202BEE" w:rsidRPr="00130FD9">
          <w:rPr>
            <w:rStyle w:val="Hyperlink"/>
            <w:noProof/>
          </w:rPr>
          <w:t>2.0 Literature Review</w:t>
        </w:r>
        <w:r w:rsidR="00202BEE">
          <w:rPr>
            <w:noProof/>
            <w:webHidden/>
          </w:rPr>
          <w:tab/>
        </w:r>
        <w:r w:rsidR="00202BEE">
          <w:rPr>
            <w:noProof/>
            <w:webHidden/>
          </w:rPr>
          <w:fldChar w:fldCharType="begin"/>
        </w:r>
        <w:r w:rsidR="00202BEE">
          <w:rPr>
            <w:noProof/>
            <w:webHidden/>
          </w:rPr>
          <w:instrText xml:space="preserve"> PAGEREF _Toc6485170 \h </w:instrText>
        </w:r>
        <w:r w:rsidR="00202BEE">
          <w:rPr>
            <w:noProof/>
            <w:webHidden/>
          </w:rPr>
        </w:r>
        <w:r w:rsidR="00202BEE">
          <w:rPr>
            <w:noProof/>
            <w:webHidden/>
          </w:rPr>
          <w:fldChar w:fldCharType="separate"/>
        </w:r>
        <w:r w:rsidR="00202BEE">
          <w:rPr>
            <w:noProof/>
            <w:webHidden/>
          </w:rPr>
          <w:t>3</w:t>
        </w:r>
        <w:r w:rsidR="00202BEE">
          <w:rPr>
            <w:noProof/>
            <w:webHidden/>
          </w:rPr>
          <w:fldChar w:fldCharType="end"/>
        </w:r>
      </w:hyperlink>
    </w:p>
    <w:p w:rsidR="00202BEE" w:rsidRDefault="00A6734D">
      <w:pPr>
        <w:pStyle w:val="TOC2"/>
        <w:rPr>
          <w:rFonts w:asciiTheme="minorHAnsi" w:eastAsiaTheme="minorEastAsia" w:hAnsiTheme="minorHAnsi" w:cstheme="minorBidi"/>
          <w:b w:val="0"/>
          <w:noProof/>
          <w:sz w:val="22"/>
          <w:szCs w:val="22"/>
        </w:rPr>
      </w:pPr>
      <w:hyperlink w:anchor="_Toc6485171" w:history="1">
        <w:r w:rsidR="00202BEE" w:rsidRPr="00130FD9">
          <w:rPr>
            <w:rStyle w:val="Hyperlink"/>
            <w:noProof/>
          </w:rPr>
          <w:t>2.1 Bone Physiology</w:t>
        </w:r>
        <w:r w:rsidR="00202BEE">
          <w:rPr>
            <w:noProof/>
            <w:webHidden/>
          </w:rPr>
          <w:tab/>
        </w:r>
        <w:r w:rsidR="00202BEE">
          <w:rPr>
            <w:noProof/>
            <w:webHidden/>
          </w:rPr>
          <w:fldChar w:fldCharType="begin"/>
        </w:r>
        <w:r w:rsidR="00202BEE">
          <w:rPr>
            <w:noProof/>
            <w:webHidden/>
          </w:rPr>
          <w:instrText xml:space="preserve"> PAGEREF _Toc6485171 \h </w:instrText>
        </w:r>
        <w:r w:rsidR="00202BEE">
          <w:rPr>
            <w:noProof/>
            <w:webHidden/>
          </w:rPr>
        </w:r>
        <w:r w:rsidR="00202BEE">
          <w:rPr>
            <w:noProof/>
            <w:webHidden/>
          </w:rPr>
          <w:fldChar w:fldCharType="separate"/>
        </w:r>
        <w:r w:rsidR="00202BEE">
          <w:rPr>
            <w:noProof/>
            <w:webHidden/>
          </w:rPr>
          <w:t>3</w:t>
        </w:r>
        <w:r w:rsidR="00202BEE">
          <w:rPr>
            <w:noProof/>
            <w:webHidden/>
          </w:rPr>
          <w:fldChar w:fldCharType="end"/>
        </w:r>
      </w:hyperlink>
    </w:p>
    <w:p w:rsidR="00202BEE" w:rsidRDefault="00A6734D">
      <w:pPr>
        <w:pStyle w:val="TOC3"/>
        <w:rPr>
          <w:rFonts w:asciiTheme="minorHAnsi" w:eastAsiaTheme="minorEastAsia" w:hAnsiTheme="minorHAnsi" w:cstheme="minorBidi"/>
          <w:b w:val="0"/>
          <w:noProof/>
          <w:sz w:val="22"/>
          <w:szCs w:val="22"/>
        </w:rPr>
      </w:pPr>
      <w:hyperlink w:anchor="_Toc6485172" w:history="1">
        <w:r w:rsidR="00202BEE" w:rsidRPr="00130FD9">
          <w:rPr>
            <w:rStyle w:val="Hyperlink"/>
            <w:noProof/>
          </w:rPr>
          <w:t>2.1.1 Bone mineral density testing</w:t>
        </w:r>
        <w:r w:rsidR="00202BEE">
          <w:rPr>
            <w:noProof/>
            <w:webHidden/>
          </w:rPr>
          <w:tab/>
        </w:r>
        <w:r w:rsidR="00202BEE">
          <w:rPr>
            <w:noProof/>
            <w:webHidden/>
          </w:rPr>
          <w:fldChar w:fldCharType="begin"/>
        </w:r>
        <w:r w:rsidR="00202BEE">
          <w:rPr>
            <w:noProof/>
            <w:webHidden/>
          </w:rPr>
          <w:instrText xml:space="preserve"> PAGEREF _Toc6485172 \h </w:instrText>
        </w:r>
        <w:r w:rsidR="00202BEE">
          <w:rPr>
            <w:noProof/>
            <w:webHidden/>
          </w:rPr>
        </w:r>
        <w:r w:rsidR="00202BEE">
          <w:rPr>
            <w:noProof/>
            <w:webHidden/>
          </w:rPr>
          <w:fldChar w:fldCharType="separate"/>
        </w:r>
        <w:r w:rsidR="00202BEE">
          <w:rPr>
            <w:noProof/>
            <w:webHidden/>
          </w:rPr>
          <w:t>4</w:t>
        </w:r>
        <w:r w:rsidR="00202BEE">
          <w:rPr>
            <w:noProof/>
            <w:webHidden/>
          </w:rPr>
          <w:fldChar w:fldCharType="end"/>
        </w:r>
      </w:hyperlink>
    </w:p>
    <w:p w:rsidR="00202BEE" w:rsidRDefault="00A6734D">
      <w:pPr>
        <w:pStyle w:val="TOC3"/>
        <w:rPr>
          <w:rFonts w:asciiTheme="minorHAnsi" w:eastAsiaTheme="minorEastAsia" w:hAnsiTheme="minorHAnsi" w:cstheme="minorBidi"/>
          <w:b w:val="0"/>
          <w:noProof/>
          <w:sz w:val="22"/>
          <w:szCs w:val="22"/>
        </w:rPr>
      </w:pPr>
      <w:hyperlink w:anchor="_Toc6485173" w:history="1">
        <w:r w:rsidR="00202BEE" w:rsidRPr="00130FD9">
          <w:rPr>
            <w:rStyle w:val="Hyperlink"/>
            <w:noProof/>
          </w:rPr>
          <w:t>2.1.2 Thyroid Dysfunction and Menopause</w:t>
        </w:r>
        <w:r w:rsidR="00202BEE">
          <w:rPr>
            <w:noProof/>
            <w:webHidden/>
          </w:rPr>
          <w:tab/>
        </w:r>
        <w:r w:rsidR="00202BEE">
          <w:rPr>
            <w:noProof/>
            <w:webHidden/>
          </w:rPr>
          <w:fldChar w:fldCharType="begin"/>
        </w:r>
        <w:r w:rsidR="00202BEE">
          <w:rPr>
            <w:noProof/>
            <w:webHidden/>
          </w:rPr>
          <w:instrText xml:space="preserve"> PAGEREF _Toc6485173 \h </w:instrText>
        </w:r>
        <w:r w:rsidR="00202BEE">
          <w:rPr>
            <w:noProof/>
            <w:webHidden/>
          </w:rPr>
        </w:r>
        <w:r w:rsidR="00202BEE">
          <w:rPr>
            <w:noProof/>
            <w:webHidden/>
          </w:rPr>
          <w:fldChar w:fldCharType="separate"/>
        </w:r>
        <w:r w:rsidR="00202BEE">
          <w:rPr>
            <w:noProof/>
            <w:webHidden/>
          </w:rPr>
          <w:t>4</w:t>
        </w:r>
        <w:r w:rsidR="00202BEE">
          <w:rPr>
            <w:noProof/>
            <w:webHidden/>
          </w:rPr>
          <w:fldChar w:fldCharType="end"/>
        </w:r>
      </w:hyperlink>
    </w:p>
    <w:p w:rsidR="00202BEE" w:rsidRDefault="00A6734D">
      <w:pPr>
        <w:pStyle w:val="TOC3"/>
        <w:rPr>
          <w:rFonts w:asciiTheme="minorHAnsi" w:eastAsiaTheme="minorEastAsia" w:hAnsiTheme="minorHAnsi" w:cstheme="minorBidi"/>
          <w:b w:val="0"/>
          <w:noProof/>
          <w:sz w:val="22"/>
          <w:szCs w:val="22"/>
        </w:rPr>
      </w:pPr>
      <w:hyperlink w:anchor="_Toc6485174" w:history="1">
        <w:r w:rsidR="00202BEE" w:rsidRPr="00130FD9">
          <w:rPr>
            <w:rStyle w:val="Hyperlink"/>
            <w:noProof/>
          </w:rPr>
          <w:t>2.1.3 Thyroid Hormone Medication Use and Bone Mineral Density</w:t>
        </w:r>
        <w:r w:rsidR="00202BEE">
          <w:rPr>
            <w:noProof/>
            <w:webHidden/>
          </w:rPr>
          <w:tab/>
        </w:r>
        <w:r w:rsidR="00202BEE">
          <w:rPr>
            <w:noProof/>
            <w:webHidden/>
          </w:rPr>
          <w:fldChar w:fldCharType="begin"/>
        </w:r>
        <w:r w:rsidR="00202BEE">
          <w:rPr>
            <w:noProof/>
            <w:webHidden/>
          </w:rPr>
          <w:instrText xml:space="preserve"> PAGEREF _Toc6485174 \h </w:instrText>
        </w:r>
        <w:r w:rsidR="00202BEE">
          <w:rPr>
            <w:noProof/>
            <w:webHidden/>
          </w:rPr>
        </w:r>
        <w:r w:rsidR="00202BEE">
          <w:rPr>
            <w:noProof/>
            <w:webHidden/>
          </w:rPr>
          <w:fldChar w:fldCharType="separate"/>
        </w:r>
        <w:r w:rsidR="00202BEE">
          <w:rPr>
            <w:noProof/>
            <w:webHidden/>
          </w:rPr>
          <w:t>7</w:t>
        </w:r>
        <w:r w:rsidR="00202BEE">
          <w:rPr>
            <w:noProof/>
            <w:webHidden/>
          </w:rPr>
          <w:fldChar w:fldCharType="end"/>
        </w:r>
      </w:hyperlink>
    </w:p>
    <w:p w:rsidR="00202BEE" w:rsidRDefault="00A6734D">
      <w:pPr>
        <w:pStyle w:val="TOC3"/>
        <w:rPr>
          <w:rFonts w:asciiTheme="minorHAnsi" w:eastAsiaTheme="minorEastAsia" w:hAnsiTheme="minorHAnsi" w:cstheme="minorBidi"/>
          <w:b w:val="0"/>
          <w:noProof/>
          <w:sz w:val="22"/>
          <w:szCs w:val="22"/>
        </w:rPr>
      </w:pPr>
      <w:hyperlink w:anchor="_Toc6485175" w:history="1">
        <w:r w:rsidR="00202BEE" w:rsidRPr="00130FD9">
          <w:rPr>
            <w:rStyle w:val="Hyperlink"/>
            <w:noProof/>
          </w:rPr>
          <w:t>2.1.4 Other Factors Associated with Bone Mineral Density</w:t>
        </w:r>
        <w:r w:rsidR="00202BEE">
          <w:rPr>
            <w:noProof/>
            <w:webHidden/>
          </w:rPr>
          <w:tab/>
        </w:r>
        <w:r w:rsidR="00202BEE">
          <w:rPr>
            <w:noProof/>
            <w:webHidden/>
          </w:rPr>
          <w:fldChar w:fldCharType="begin"/>
        </w:r>
        <w:r w:rsidR="00202BEE">
          <w:rPr>
            <w:noProof/>
            <w:webHidden/>
          </w:rPr>
          <w:instrText xml:space="preserve"> PAGEREF _Toc6485175 \h </w:instrText>
        </w:r>
        <w:r w:rsidR="00202BEE">
          <w:rPr>
            <w:noProof/>
            <w:webHidden/>
          </w:rPr>
        </w:r>
        <w:r w:rsidR="00202BEE">
          <w:rPr>
            <w:noProof/>
            <w:webHidden/>
          </w:rPr>
          <w:fldChar w:fldCharType="separate"/>
        </w:r>
        <w:r w:rsidR="00202BEE">
          <w:rPr>
            <w:noProof/>
            <w:webHidden/>
          </w:rPr>
          <w:t>11</w:t>
        </w:r>
        <w:r w:rsidR="00202BEE">
          <w:rPr>
            <w:noProof/>
            <w:webHidden/>
          </w:rPr>
          <w:fldChar w:fldCharType="end"/>
        </w:r>
      </w:hyperlink>
    </w:p>
    <w:p w:rsidR="00202BEE" w:rsidRDefault="00A6734D">
      <w:pPr>
        <w:pStyle w:val="TOC1"/>
        <w:rPr>
          <w:rFonts w:asciiTheme="minorHAnsi" w:eastAsiaTheme="minorEastAsia" w:hAnsiTheme="minorHAnsi" w:cstheme="minorBidi"/>
          <w:b w:val="0"/>
          <w:noProof/>
          <w:sz w:val="22"/>
          <w:szCs w:val="22"/>
        </w:rPr>
      </w:pPr>
      <w:hyperlink w:anchor="_Toc6485176" w:history="1">
        <w:r w:rsidR="00202BEE" w:rsidRPr="00130FD9">
          <w:rPr>
            <w:rStyle w:val="Hyperlink"/>
            <w:noProof/>
          </w:rPr>
          <w:t>3.0 Methods and Analysis</w:t>
        </w:r>
        <w:r w:rsidR="00202BEE">
          <w:rPr>
            <w:noProof/>
            <w:webHidden/>
          </w:rPr>
          <w:tab/>
        </w:r>
        <w:r w:rsidR="00202BEE">
          <w:rPr>
            <w:noProof/>
            <w:webHidden/>
          </w:rPr>
          <w:fldChar w:fldCharType="begin"/>
        </w:r>
        <w:r w:rsidR="00202BEE">
          <w:rPr>
            <w:noProof/>
            <w:webHidden/>
          </w:rPr>
          <w:instrText xml:space="preserve"> PAGEREF _Toc6485176 \h </w:instrText>
        </w:r>
        <w:r w:rsidR="00202BEE">
          <w:rPr>
            <w:noProof/>
            <w:webHidden/>
          </w:rPr>
        </w:r>
        <w:r w:rsidR="00202BEE">
          <w:rPr>
            <w:noProof/>
            <w:webHidden/>
          </w:rPr>
          <w:fldChar w:fldCharType="separate"/>
        </w:r>
        <w:r w:rsidR="00202BEE">
          <w:rPr>
            <w:noProof/>
            <w:webHidden/>
          </w:rPr>
          <w:t>12</w:t>
        </w:r>
        <w:r w:rsidR="00202BEE">
          <w:rPr>
            <w:noProof/>
            <w:webHidden/>
          </w:rPr>
          <w:fldChar w:fldCharType="end"/>
        </w:r>
      </w:hyperlink>
    </w:p>
    <w:p w:rsidR="00202BEE" w:rsidRDefault="00A6734D">
      <w:pPr>
        <w:pStyle w:val="TOC2"/>
        <w:rPr>
          <w:rFonts w:asciiTheme="minorHAnsi" w:eastAsiaTheme="minorEastAsia" w:hAnsiTheme="minorHAnsi" w:cstheme="minorBidi"/>
          <w:b w:val="0"/>
          <w:noProof/>
          <w:sz w:val="22"/>
          <w:szCs w:val="22"/>
        </w:rPr>
      </w:pPr>
      <w:hyperlink w:anchor="_Toc6485177" w:history="1">
        <w:r w:rsidR="00202BEE" w:rsidRPr="00130FD9">
          <w:rPr>
            <w:rStyle w:val="Hyperlink"/>
            <w:noProof/>
          </w:rPr>
          <w:t>3.1 Study Design</w:t>
        </w:r>
        <w:r w:rsidR="00202BEE">
          <w:rPr>
            <w:noProof/>
            <w:webHidden/>
          </w:rPr>
          <w:tab/>
        </w:r>
        <w:r w:rsidR="00202BEE">
          <w:rPr>
            <w:noProof/>
            <w:webHidden/>
          </w:rPr>
          <w:fldChar w:fldCharType="begin"/>
        </w:r>
        <w:r w:rsidR="00202BEE">
          <w:rPr>
            <w:noProof/>
            <w:webHidden/>
          </w:rPr>
          <w:instrText xml:space="preserve"> PAGEREF _Toc6485177 \h </w:instrText>
        </w:r>
        <w:r w:rsidR="00202BEE">
          <w:rPr>
            <w:noProof/>
            <w:webHidden/>
          </w:rPr>
        </w:r>
        <w:r w:rsidR="00202BEE">
          <w:rPr>
            <w:noProof/>
            <w:webHidden/>
          </w:rPr>
          <w:fldChar w:fldCharType="separate"/>
        </w:r>
        <w:r w:rsidR="00202BEE">
          <w:rPr>
            <w:noProof/>
            <w:webHidden/>
          </w:rPr>
          <w:t>12</w:t>
        </w:r>
        <w:r w:rsidR="00202BEE">
          <w:rPr>
            <w:noProof/>
            <w:webHidden/>
          </w:rPr>
          <w:fldChar w:fldCharType="end"/>
        </w:r>
      </w:hyperlink>
    </w:p>
    <w:p w:rsidR="00202BEE" w:rsidRDefault="00A6734D">
      <w:pPr>
        <w:pStyle w:val="TOC3"/>
        <w:rPr>
          <w:rFonts w:asciiTheme="minorHAnsi" w:eastAsiaTheme="minorEastAsia" w:hAnsiTheme="minorHAnsi" w:cstheme="minorBidi"/>
          <w:b w:val="0"/>
          <w:noProof/>
          <w:sz w:val="22"/>
          <w:szCs w:val="22"/>
        </w:rPr>
      </w:pPr>
      <w:hyperlink w:anchor="_Toc6485178" w:history="1">
        <w:r w:rsidR="00202BEE" w:rsidRPr="00130FD9">
          <w:rPr>
            <w:rStyle w:val="Hyperlink"/>
            <w:noProof/>
          </w:rPr>
          <w:t>3.1.1 Assessment of Medication Use</w:t>
        </w:r>
        <w:r w:rsidR="00202BEE">
          <w:rPr>
            <w:noProof/>
            <w:webHidden/>
          </w:rPr>
          <w:tab/>
        </w:r>
        <w:r w:rsidR="00202BEE">
          <w:rPr>
            <w:noProof/>
            <w:webHidden/>
          </w:rPr>
          <w:fldChar w:fldCharType="begin"/>
        </w:r>
        <w:r w:rsidR="00202BEE">
          <w:rPr>
            <w:noProof/>
            <w:webHidden/>
          </w:rPr>
          <w:instrText xml:space="preserve"> PAGEREF _Toc6485178 \h </w:instrText>
        </w:r>
        <w:r w:rsidR="00202BEE">
          <w:rPr>
            <w:noProof/>
            <w:webHidden/>
          </w:rPr>
        </w:r>
        <w:r w:rsidR="00202BEE">
          <w:rPr>
            <w:noProof/>
            <w:webHidden/>
          </w:rPr>
          <w:fldChar w:fldCharType="separate"/>
        </w:r>
        <w:r w:rsidR="00202BEE">
          <w:rPr>
            <w:noProof/>
            <w:webHidden/>
          </w:rPr>
          <w:t>13</w:t>
        </w:r>
        <w:r w:rsidR="00202BEE">
          <w:rPr>
            <w:noProof/>
            <w:webHidden/>
          </w:rPr>
          <w:fldChar w:fldCharType="end"/>
        </w:r>
      </w:hyperlink>
    </w:p>
    <w:p w:rsidR="00202BEE" w:rsidRDefault="00A6734D">
      <w:pPr>
        <w:pStyle w:val="TOC3"/>
        <w:rPr>
          <w:rFonts w:asciiTheme="minorHAnsi" w:eastAsiaTheme="minorEastAsia" w:hAnsiTheme="minorHAnsi" w:cstheme="minorBidi"/>
          <w:b w:val="0"/>
          <w:noProof/>
          <w:sz w:val="22"/>
          <w:szCs w:val="22"/>
        </w:rPr>
      </w:pPr>
      <w:hyperlink w:anchor="_Toc6485179" w:history="1">
        <w:r w:rsidR="00202BEE" w:rsidRPr="00130FD9">
          <w:rPr>
            <w:rStyle w:val="Hyperlink"/>
            <w:noProof/>
          </w:rPr>
          <w:t>3.1.2 Bone mineral density measurements</w:t>
        </w:r>
        <w:r w:rsidR="00202BEE">
          <w:rPr>
            <w:noProof/>
            <w:webHidden/>
          </w:rPr>
          <w:tab/>
        </w:r>
        <w:r w:rsidR="00202BEE">
          <w:rPr>
            <w:noProof/>
            <w:webHidden/>
          </w:rPr>
          <w:fldChar w:fldCharType="begin"/>
        </w:r>
        <w:r w:rsidR="00202BEE">
          <w:rPr>
            <w:noProof/>
            <w:webHidden/>
          </w:rPr>
          <w:instrText xml:space="preserve"> PAGEREF _Toc6485179 \h </w:instrText>
        </w:r>
        <w:r w:rsidR="00202BEE">
          <w:rPr>
            <w:noProof/>
            <w:webHidden/>
          </w:rPr>
        </w:r>
        <w:r w:rsidR="00202BEE">
          <w:rPr>
            <w:noProof/>
            <w:webHidden/>
          </w:rPr>
          <w:fldChar w:fldCharType="separate"/>
        </w:r>
        <w:r w:rsidR="00202BEE">
          <w:rPr>
            <w:noProof/>
            <w:webHidden/>
          </w:rPr>
          <w:t>13</w:t>
        </w:r>
        <w:r w:rsidR="00202BEE">
          <w:rPr>
            <w:noProof/>
            <w:webHidden/>
          </w:rPr>
          <w:fldChar w:fldCharType="end"/>
        </w:r>
      </w:hyperlink>
    </w:p>
    <w:p w:rsidR="00202BEE" w:rsidRDefault="00A6734D">
      <w:pPr>
        <w:pStyle w:val="TOC3"/>
        <w:rPr>
          <w:rFonts w:asciiTheme="minorHAnsi" w:eastAsiaTheme="minorEastAsia" w:hAnsiTheme="minorHAnsi" w:cstheme="minorBidi"/>
          <w:b w:val="0"/>
          <w:noProof/>
          <w:sz w:val="22"/>
          <w:szCs w:val="22"/>
        </w:rPr>
      </w:pPr>
      <w:hyperlink w:anchor="_Toc6485180" w:history="1">
        <w:r w:rsidR="00202BEE" w:rsidRPr="00130FD9">
          <w:rPr>
            <w:rStyle w:val="Hyperlink"/>
            <w:noProof/>
          </w:rPr>
          <w:t>3.1.3 Statistical Analysis</w:t>
        </w:r>
        <w:r w:rsidR="00202BEE">
          <w:rPr>
            <w:noProof/>
            <w:webHidden/>
          </w:rPr>
          <w:tab/>
        </w:r>
        <w:r w:rsidR="00202BEE">
          <w:rPr>
            <w:noProof/>
            <w:webHidden/>
          </w:rPr>
          <w:fldChar w:fldCharType="begin"/>
        </w:r>
        <w:r w:rsidR="00202BEE">
          <w:rPr>
            <w:noProof/>
            <w:webHidden/>
          </w:rPr>
          <w:instrText xml:space="preserve"> PAGEREF _Toc6485180 \h </w:instrText>
        </w:r>
        <w:r w:rsidR="00202BEE">
          <w:rPr>
            <w:noProof/>
            <w:webHidden/>
          </w:rPr>
        </w:r>
        <w:r w:rsidR="00202BEE">
          <w:rPr>
            <w:noProof/>
            <w:webHidden/>
          </w:rPr>
          <w:fldChar w:fldCharType="separate"/>
        </w:r>
        <w:r w:rsidR="00202BEE">
          <w:rPr>
            <w:noProof/>
            <w:webHidden/>
          </w:rPr>
          <w:t>14</w:t>
        </w:r>
        <w:r w:rsidR="00202BEE">
          <w:rPr>
            <w:noProof/>
            <w:webHidden/>
          </w:rPr>
          <w:fldChar w:fldCharType="end"/>
        </w:r>
      </w:hyperlink>
    </w:p>
    <w:p w:rsidR="00202BEE" w:rsidRDefault="00A6734D">
      <w:pPr>
        <w:pStyle w:val="TOC3"/>
        <w:rPr>
          <w:rFonts w:asciiTheme="minorHAnsi" w:eastAsiaTheme="minorEastAsia" w:hAnsiTheme="minorHAnsi" w:cstheme="minorBidi"/>
          <w:b w:val="0"/>
          <w:noProof/>
          <w:sz w:val="22"/>
          <w:szCs w:val="22"/>
        </w:rPr>
      </w:pPr>
      <w:hyperlink w:anchor="_Toc6485181" w:history="1">
        <w:r w:rsidR="00202BEE" w:rsidRPr="00130FD9">
          <w:rPr>
            <w:rStyle w:val="Hyperlink"/>
            <w:noProof/>
          </w:rPr>
          <w:t>3.1.4 Covariates</w:t>
        </w:r>
        <w:r w:rsidR="00202BEE">
          <w:rPr>
            <w:noProof/>
            <w:webHidden/>
          </w:rPr>
          <w:tab/>
        </w:r>
        <w:r w:rsidR="00202BEE">
          <w:rPr>
            <w:noProof/>
            <w:webHidden/>
          </w:rPr>
          <w:fldChar w:fldCharType="begin"/>
        </w:r>
        <w:r w:rsidR="00202BEE">
          <w:rPr>
            <w:noProof/>
            <w:webHidden/>
          </w:rPr>
          <w:instrText xml:space="preserve"> PAGEREF _Toc6485181 \h </w:instrText>
        </w:r>
        <w:r w:rsidR="00202BEE">
          <w:rPr>
            <w:noProof/>
            <w:webHidden/>
          </w:rPr>
        </w:r>
        <w:r w:rsidR="00202BEE">
          <w:rPr>
            <w:noProof/>
            <w:webHidden/>
          </w:rPr>
          <w:fldChar w:fldCharType="separate"/>
        </w:r>
        <w:r w:rsidR="00202BEE">
          <w:rPr>
            <w:noProof/>
            <w:webHidden/>
          </w:rPr>
          <w:t>15</w:t>
        </w:r>
        <w:r w:rsidR="00202BEE">
          <w:rPr>
            <w:noProof/>
            <w:webHidden/>
          </w:rPr>
          <w:fldChar w:fldCharType="end"/>
        </w:r>
      </w:hyperlink>
    </w:p>
    <w:p w:rsidR="00202BEE" w:rsidRDefault="00A6734D">
      <w:pPr>
        <w:pStyle w:val="TOC1"/>
        <w:rPr>
          <w:rFonts w:asciiTheme="minorHAnsi" w:eastAsiaTheme="minorEastAsia" w:hAnsiTheme="minorHAnsi" w:cstheme="minorBidi"/>
          <w:b w:val="0"/>
          <w:noProof/>
          <w:sz w:val="22"/>
          <w:szCs w:val="22"/>
        </w:rPr>
      </w:pPr>
      <w:hyperlink w:anchor="_Toc6485182" w:history="1">
        <w:r w:rsidR="00202BEE" w:rsidRPr="00130FD9">
          <w:rPr>
            <w:rStyle w:val="Hyperlink"/>
            <w:noProof/>
          </w:rPr>
          <w:t>4.0 Results</w:t>
        </w:r>
        <w:r w:rsidR="00202BEE">
          <w:rPr>
            <w:noProof/>
            <w:webHidden/>
          </w:rPr>
          <w:tab/>
        </w:r>
        <w:r w:rsidR="00202BEE">
          <w:rPr>
            <w:noProof/>
            <w:webHidden/>
          </w:rPr>
          <w:fldChar w:fldCharType="begin"/>
        </w:r>
        <w:r w:rsidR="00202BEE">
          <w:rPr>
            <w:noProof/>
            <w:webHidden/>
          </w:rPr>
          <w:instrText xml:space="preserve"> PAGEREF _Toc6485182 \h </w:instrText>
        </w:r>
        <w:r w:rsidR="00202BEE">
          <w:rPr>
            <w:noProof/>
            <w:webHidden/>
          </w:rPr>
        </w:r>
        <w:r w:rsidR="00202BEE">
          <w:rPr>
            <w:noProof/>
            <w:webHidden/>
          </w:rPr>
          <w:fldChar w:fldCharType="separate"/>
        </w:r>
        <w:r w:rsidR="00202BEE">
          <w:rPr>
            <w:noProof/>
            <w:webHidden/>
          </w:rPr>
          <w:t>16</w:t>
        </w:r>
        <w:r w:rsidR="00202BEE">
          <w:rPr>
            <w:noProof/>
            <w:webHidden/>
          </w:rPr>
          <w:fldChar w:fldCharType="end"/>
        </w:r>
      </w:hyperlink>
    </w:p>
    <w:p w:rsidR="00202BEE" w:rsidRDefault="00A6734D">
      <w:pPr>
        <w:pStyle w:val="TOC2"/>
        <w:rPr>
          <w:rFonts w:asciiTheme="minorHAnsi" w:eastAsiaTheme="minorEastAsia" w:hAnsiTheme="minorHAnsi" w:cstheme="minorBidi"/>
          <w:b w:val="0"/>
          <w:noProof/>
          <w:sz w:val="22"/>
          <w:szCs w:val="22"/>
        </w:rPr>
      </w:pPr>
      <w:hyperlink w:anchor="_Toc6485183" w:history="1">
        <w:r w:rsidR="00202BEE" w:rsidRPr="00130FD9">
          <w:rPr>
            <w:rStyle w:val="Hyperlink"/>
            <w:noProof/>
          </w:rPr>
          <w:t>4.1 Data Analysis</w:t>
        </w:r>
        <w:r w:rsidR="00202BEE">
          <w:rPr>
            <w:noProof/>
            <w:webHidden/>
          </w:rPr>
          <w:tab/>
        </w:r>
        <w:r w:rsidR="00202BEE">
          <w:rPr>
            <w:noProof/>
            <w:webHidden/>
          </w:rPr>
          <w:fldChar w:fldCharType="begin"/>
        </w:r>
        <w:r w:rsidR="00202BEE">
          <w:rPr>
            <w:noProof/>
            <w:webHidden/>
          </w:rPr>
          <w:instrText xml:space="preserve"> PAGEREF _Toc6485183 \h </w:instrText>
        </w:r>
        <w:r w:rsidR="00202BEE">
          <w:rPr>
            <w:noProof/>
            <w:webHidden/>
          </w:rPr>
        </w:r>
        <w:r w:rsidR="00202BEE">
          <w:rPr>
            <w:noProof/>
            <w:webHidden/>
          </w:rPr>
          <w:fldChar w:fldCharType="separate"/>
        </w:r>
        <w:r w:rsidR="00202BEE">
          <w:rPr>
            <w:noProof/>
            <w:webHidden/>
          </w:rPr>
          <w:t>18</w:t>
        </w:r>
        <w:r w:rsidR="00202BEE">
          <w:rPr>
            <w:noProof/>
            <w:webHidden/>
          </w:rPr>
          <w:fldChar w:fldCharType="end"/>
        </w:r>
      </w:hyperlink>
    </w:p>
    <w:p w:rsidR="00202BEE" w:rsidRDefault="00A6734D">
      <w:pPr>
        <w:pStyle w:val="TOC3"/>
        <w:rPr>
          <w:rFonts w:asciiTheme="minorHAnsi" w:eastAsiaTheme="minorEastAsia" w:hAnsiTheme="minorHAnsi" w:cstheme="minorBidi"/>
          <w:b w:val="0"/>
          <w:noProof/>
          <w:sz w:val="22"/>
          <w:szCs w:val="22"/>
        </w:rPr>
      </w:pPr>
      <w:hyperlink w:anchor="_Toc6485184" w:history="1">
        <w:r w:rsidR="00202BEE" w:rsidRPr="00130FD9">
          <w:rPr>
            <w:rStyle w:val="Hyperlink"/>
            <w:noProof/>
          </w:rPr>
          <w:t>4.1.1 Baseline Characteristics</w:t>
        </w:r>
        <w:r w:rsidR="00202BEE">
          <w:rPr>
            <w:noProof/>
            <w:webHidden/>
          </w:rPr>
          <w:tab/>
        </w:r>
        <w:r w:rsidR="00202BEE">
          <w:rPr>
            <w:noProof/>
            <w:webHidden/>
          </w:rPr>
          <w:fldChar w:fldCharType="begin"/>
        </w:r>
        <w:r w:rsidR="00202BEE">
          <w:rPr>
            <w:noProof/>
            <w:webHidden/>
          </w:rPr>
          <w:instrText xml:space="preserve"> PAGEREF _Toc6485184 \h </w:instrText>
        </w:r>
        <w:r w:rsidR="00202BEE">
          <w:rPr>
            <w:noProof/>
            <w:webHidden/>
          </w:rPr>
        </w:r>
        <w:r w:rsidR="00202BEE">
          <w:rPr>
            <w:noProof/>
            <w:webHidden/>
          </w:rPr>
          <w:fldChar w:fldCharType="separate"/>
        </w:r>
        <w:r w:rsidR="00202BEE">
          <w:rPr>
            <w:noProof/>
            <w:webHidden/>
          </w:rPr>
          <w:t>18</w:t>
        </w:r>
        <w:r w:rsidR="00202BEE">
          <w:rPr>
            <w:noProof/>
            <w:webHidden/>
          </w:rPr>
          <w:fldChar w:fldCharType="end"/>
        </w:r>
      </w:hyperlink>
    </w:p>
    <w:p w:rsidR="00202BEE" w:rsidRDefault="00A6734D">
      <w:pPr>
        <w:pStyle w:val="TOC3"/>
        <w:rPr>
          <w:rFonts w:asciiTheme="minorHAnsi" w:eastAsiaTheme="minorEastAsia" w:hAnsiTheme="minorHAnsi" w:cstheme="minorBidi"/>
          <w:b w:val="0"/>
          <w:noProof/>
          <w:sz w:val="22"/>
          <w:szCs w:val="22"/>
        </w:rPr>
      </w:pPr>
      <w:hyperlink w:anchor="_Toc6485185" w:history="1">
        <w:r w:rsidR="00202BEE" w:rsidRPr="00130FD9">
          <w:rPr>
            <w:rStyle w:val="Hyperlink"/>
            <w:noProof/>
          </w:rPr>
          <w:t>4.1.2 Annual rate of change in BMD in femoral neck, lumbar spine, and total hip with covariate adjustments</w:t>
        </w:r>
        <w:r w:rsidR="00202BEE">
          <w:rPr>
            <w:noProof/>
            <w:webHidden/>
          </w:rPr>
          <w:tab/>
        </w:r>
        <w:r w:rsidR="00202BEE">
          <w:rPr>
            <w:noProof/>
            <w:webHidden/>
          </w:rPr>
          <w:fldChar w:fldCharType="begin"/>
        </w:r>
        <w:r w:rsidR="00202BEE">
          <w:rPr>
            <w:noProof/>
            <w:webHidden/>
          </w:rPr>
          <w:instrText xml:space="preserve"> PAGEREF _Toc6485185 \h </w:instrText>
        </w:r>
        <w:r w:rsidR="00202BEE">
          <w:rPr>
            <w:noProof/>
            <w:webHidden/>
          </w:rPr>
        </w:r>
        <w:r w:rsidR="00202BEE">
          <w:rPr>
            <w:noProof/>
            <w:webHidden/>
          </w:rPr>
          <w:fldChar w:fldCharType="separate"/>
        </w:r>
        <w:r w:rsidR="00202BEE">
          <w:rPr>
            <w:noProof/>
            <w:webHidden/>
          </w:rPr>
          <w:t>20</w:t>
        </w:r>
        <w:r w:rsidR="00202BEE">
          <w:rPr>
            <w:noProof/>
            <w:webHidden/>
          </w:rPr>
          <w:fldChar w:fldCharType="end"/>
        </w:r>
      </w:hyperlink>
    </w:p>
    <w:p w:rsidR="00202BEE" w:rsidRDefault="00A6734D">
      <w:pPr>
        <w:pStyle w:val="TOC3"/>
        <w:rPr>
          <w:rFonts w:asciiTheme="minorHAnsi" w:eastAsiaTheme="minorEastAsia" w:hAnsiTheme="minorHAnsi" w:cstheme="minorBidi"/>
          <w:b w:val="0"/>
          <w:noProof/>
          <w:sz w:val="22"/>
          <w:szCs w:val="22"/>
        </w:rPr>
      </w:pPr>
      <w:hyperlink w:anchor="_Toc6485186" w:history="1">
        <w:r w:rsidR="00202BEE" w:rsidRPr="00130FD9">
          <w:rPr>
            <w:rStyle w:val="Hyperlink"/>
            <w:noProof/>
          </w:rPr>
          <w:t xml:space="preserve">4.1.3 </w:t>
        </w:r>
        <w:r w:rsidR="00A311F4">
          <w:rPr>
            <w:rStyle w:val="Hyperlink"/>
            <w:noProof/>
          </w:rPr>
          <w:t>A</w:t>
        </w:r>
        <w:r w:rsidR="00202BEE" w:rsidRPr="00130FD9">
          <w:rPr>
            <w:rStyle w:val="Hyperlink"/>
            <w:noProof/>
          </w:rPr>
          <w:t>nnual rate of change in BMD in femoral neck, lumbar spine, total hip</w:t>
        </w:r>
        <w:r w:rsidR="00202BEE">
          <w:rPr>
            <w:noProof/>
            <w:webHidden/>
          </w:rPr>
          <w:tab/>
        </w:r>
        <w:r w:rsidR="00202BEE">
          <w:rPr>
            <w:noProof/>
            <w:webHidden/>
          </w:rPr>
          <w:fldChar w:fldCharType="begin"/>
        </w:r>
        <w:r w:rsidR="00202BEE">
          <w:rPr>
            <w:noProof/>
            <w:webHidden/>
          </w:rPr>
          <w:instrText xml:space="preserve"> PAGEREF _Toc6485186 \h </w:instrText>
        </w:r>
        <w:r w:rsidR="00202BEE">
          <w:rPr>
            <w:noProof/>
            <w:webHidden/>
          </w:rPr>
        </w:r>
        <w:r w:rsidR="00202BEE">
          <w:rPr>
            <w:noProof/>
            <w:webHidden/>
          </w:rPr>
          <w:fldChar w:fldCharType="separate"/>
        </w:r>
        <w:r w:rsidR="00202BEE">
          <w:rPr>
            <w:noProof/>
            <w:webHidden/>
          </w:rPr>
          <w:t>22</w:t>
        </w:r>
        <w:r w:rsidR="00202BEE">
          <w:rPr>
            <w:noProof/>
            <w:webHidden/>
          </w:rPr>
          <w:fldChar w:fldCharType="end"/>
        </w:r>
      </w:hyperlink>
    </w:p>
    <w:p w:rsidR="00202BEE" w:rsidRDefault="00A6734D">
      <w:pPr>
        <w:pStyle w:val="TOC3"/>
        <w:rPr>
          <w:rFonts w:asciiTheme="minorHAnsi" w:eastAsiaTheme="minorEastAsia" w:hAnsiTheme="minorHAnsi" w:cstheme="minorBidi"/>
          <w:b w:val="0"/>
          <w:noProof/>
          <w:sz w:val="22"/>
          <w:szCs w:val="22"/>
        </w:rPr>
      </w:pPr>
      <w:hyperlink w:anchor="_Toc6485187" w:history="1">
        <w:r w:rsidR="00202BEE" w:rsidRPr="00130FD9">
          <w:rPr>
            <w:rStyle w:val="Hyperlink"/>
            <w:noProof/>
          </w:rPr>
          <w:t>4.1.4 Piecewise Rate of change in BMD</w:t>
        </w:r>
        <w:r w:rsidR="00202BEE">
          <w:rPr>
            <w:noProof/>
            <w:webHidden/>
          </w:rPr>
          <w:tab/>
        </w:r>
        <w:r w:rsidR="00202BEE">
          <w:rPr>
            <w:noProof/>
            <w:webHidden/>
          </w:rPr>
          <w:fldChar w:fldCharType="begin"/>
        </w:r>
        <w:r w:rsidR="00202BEE">
          <w:rPr>
            <w:noProof/>
            <w:webHidden/>
          </w:rPr>
          <w:instrText xml:space="preserve"> PAGEREF _Toc6485187 \h </w:instrText>
        </w:r>
        <w:r w:rsidR="00202BEE">
          <w:rPr>
            <w:noProof/>
            <w:webHidden/>
          </w:rPr>
        </w:r>
        <w:r w:rsidR="00202BEE">
          <w:rPr>
            <w:noProof/>
            <w:webHidden/>
          </w:rPr>
          <w:fldChar w:fldCharType="separate"/>
        </w:r>
        <w:r w:rsidR="00202BEE">
          <w:rPr>
            <w:noProof/>
            <w:webHidden/>
          </w:rPr>
          <w:t>23</w:t>
        </w:r>
        <w:r w:rsidR="00202BEE">
          <w:rPr>
            <w:noProof/>
            <w:webHidden/>
          </w:rPr>
          <w:fldChar w:fldCharType="end"/>
        </w:r>
      </w:hyperlink>
    </w:p>
    <w:p w:rsidR="00202BEE" w:rsidRDefault="00A6734D">
      <w:pPr>
        <w:pStyle w:val="TOC1"/>
        <w:rPr>
          <w:rFonts w:asciiTheme="minorHAnsi" w:eastAsiaTheme="minorEastAsia" w:hAnsiTheme="minorHAnsi" w:cstheme="minorBidi"/>
          <w:b w:val="0"/>
          <w:noProof/>
          <w:sz w:val="22"/>
          <w:szCs w:val="22"/>
        </w:rPr>
      </w:pPr>
      <w:hyperlink w:anchor="_Toc6485188" w:history="1">
        <w:r w:rsidR="00202BEE" w:rsidRPr="00130FD9">
          <w:rPr>
            <w:rStyle w:val="Hyperlink"/>
            <w:noProof/>
          </w:rPr>
          <w:t>5.0 Discussion</w:t>
        </w:r>
        <w:r w:rsidR="00202BEE">
          <w:rPr>
            <w:noProof/>
            <w:webHidden/>
          </w:rPr>
          <w:tab/>
        </w:r>
        <w:r w:rsidR="00202BEE">
          <w:rPr>
            <w:noProof/>
            <w:webHidden/>
          </w:rPr>
          <w:fldChar w:fldCharType="begin"/>
        </w:r>
        <w:r w:rsidR="00202BEE">
          <w:rPr>
            <w:noProof/>
            <w:webHidden/>
          </w:rPr>
          <w:instrText xml:space="preserve"> PAGEREF _Toc6485188 \h </w:instrText>
        </w:r>
        <w:r w:rsidR="00202BEE">
          <w:rPr>
            <w:noProof/>
            <w:webHidden/>
          </w:rPr>
        </w:r>
        <w:r w:rsidR="00202BEE">
          <w:rPr>
            <w:noProof/>
            <w:webHidden/>
          </w:rPr>
          <w:fldChar w:fldCharType="separate"/>
        </w:r>
        <w:r w:rsidR="00202BEE">
          <w:rPr>
            <w:noProof/>
            <w:webHidden/>
          </w:rPr>
          <w:t>25</w:t>
        </w:r>
        <w:r w:rsidR="00202BEE">
          <w:rPr>
            <w:noProof/>
            <w:webHidden/>
          </w:rPr>
          <w:fldChar w:fldCharType="end"/>
        </w:r>
      </w:hyperlink>
    </w:p>
    <w:p w:rsidR="00202BEE" w:rsidRDefault="00A6734D">
      <w:pPr>
        <w:pStyle w:val="TOC1"/>
        <w:rPr>
          <w:rFonts w:asciiTheme="minorHAnsi" w:eastAsiaTheme="minorEastAsia" w:hAnsiTheme="minorHAnsi" w:cstheme="minorBidi"/>
          <w:b w:val="0"/>
          <w:noProof/>
          <w:sz w:val="22"/>
          <w:szCs w:val="22"/>
        </w:rPr>
      </w:pPr>
      <w:hyperlink w:anchor="_Toc6485189" w:history="1">
        <w:r w:rsidR="00202BEE" w:rsidRPr="00130FD9">
          <w:rPr>
            <w:rStyle w:val="Hyperlink"/>
            <w:noProof/>
          </w:rPr>
          <w:t>6.0 Study Limitations and Future Research</w:t>
        </w:r>
        <w:r w:rsidR="00202BEE">
          <w:rPr>
            <w:noProof/>
            <w:webHidden/>
          </w:rPr>
          <w:tab/>
        </w:r>
        <w:r w:rsidR="00202BEE">
          <w:rPr>
            <w:noProof/>
            <w:webHidden/>
          </w:rPr>
          <w:fldChar w:fldCharType="begin"/>
        </w:r>
        <w:r w:rsidR="00202BEE">
          <w:rPr>
            <w:noProof/>
            <w:webHidden/>
          </w:rPr>
          <w:instrText xml:space="preserve"> PAGEREF _Toc6485189 \h </w:instrText>
        </w:r>
        <w:r w:rsidR="00202BEE">
          <w:rPr>
            <w:noProof/>
            <w:webHidden/>
          </w:rPr>
        </w:r>
        <w:r w:rsidR="00202BEE">
          <w:rPr>
            <w:noProof/>
            <w:webHidden/>
          </w:rPr>
          <w:fldChar w:fldCharType="separate"/>
        </w:r>
        <w:r w:rsidR="00202BEE">
          <w:rPr>
            <w:noProof/>
            <w:webHidden/>
          </w:rPr>
          <w:t>27</w:t>
        </w:r>
        <w:r w:rsidR="00202BEE">
          <w:rPr>
            <w:noProof/>
            <w:webHidden/>
          </w:rPr>
          <w:fldChar w:fldCharType="end"/>
        </w:r>
      </w:hyperlink>
    </w:p>
    <w:p w:rsidR="00202BEE" w:rsidRDefault="00A6734D">
      <w:pPr>
        <w:pStyle w:val="TOC2"/>
        <w:rPr>
          <w:rFonts w:asciiTheme="minorHAnsi" w:eastAsiaTheme="minorEastAsia" w:hAnsiTheme="minorHAnsi" w:cstheme="minorBidi"/>
          <w:b w:val="0"/>
          <w:noProof/>
          <w:sz w:val="22"/>
          <w:szCs w:val="22"/>
        </w:rPr>
      </w:pPr>
      <w:hyperlink w:anchor="_Toc6485190" w:history="1">
        <w:r w:rsidR="00202BEE" w:rsidRPr="00130FD9">
          <w:rPr>
            <w:rStyle w:val="Hyperlink"/>
            <w:noProof/>
          </w:rPr>
          <w:t>6.1 Acknowledgments</w:t>
        </w:r>
        <w:r w:rsidR="00202BEE">
          <w:rPr>
            <w:noProof/>
            <w:webHidden/>
          </w:rPr>
          <w:tab/>
        </w:r>
        <w:r w:rsidR="00202BEE">
          <w:rPr>
            <w:noProof/>
            <w:webHidden/>
          </w:rPr>
          <w:fldChar w:fldCharType="begin"/>
        </w:r>
        <w:r w:rsidR="00202BEE">
          <w:rPr>
            <w:noProof/>
            <w:webHidden/>
          </w:rPr>
          <w:instrText xml:space="preserve"> PAGEREF _Toc6485190 \h </w:instrText>
        </w:r>
        <w:r w:rsidR="00202BEE">
          <w:rPr>
            <w:noProof/>
            <w:webHidden/>
          </w:rPr>
        </w:r>
        <w:r w:rsidR="00202BEE">
          <w:rPr>
            <w:noProof/>
            <w:webHidden/>
          </w:rPr>
          <w:fldChar w:fldCharType="separate"/>
        </w:r>
        <w:r w:rsidR="00202BEE">
          <w:rPr>
            <w:noProof/>
            <w:webHidden/>
          </w:rPr>
          <w:t>28</w:t>
        </w:r>
        <w:r w:rsidR="00202BEE">
          <w:rPr>
            <w:noProof/>
            <w:webHidden/>
          </w:rPr>
          <w:fldChar w:fldCharType="end"/>
        </w:r>
      </w:hyperlink>
    </w:p>
    <w:p w:rsidR="00202BEE" w:rsidRDefault="00A6734D">
      <w:pPr>
        <w:pStyle w:val="TOC1"/>
        <w:rPr>
          <w:rFonts w:asciiTheme="minorHAnsi" w:eastAsiaTheme="minorEastAsia" w:hAnsiTheme="minorHAnsi" w:cstheme="minorBidi"/>
          <w:b w:val="0"/>
          <w:noProof/>
          <w:sz w:val="22"/>
          <w:szCs w:val="22"/>
        </w:rPr>
      </w:pPr>
      <w:hyperlink w:anchor="_Toc6485191" w:history="1">
        <w:r w:rsidR="00202BEE" w:rsidRPr="00130FD9">
          <w:rPr>
            <w:rStyle w:val="Hyperlink"/>
            <w:noProof/>
          </w:rPr>
          <w:t>Bibliography</w:t>
        </w:r>
        <w:r w:rsidR="00202BEE">
          <w:rPr>
            <w:noProof/>
            <w:webHidden/>
          </w:rPr>
          <w:tab/>
        </w:r>
        <w:r w:rsidR="00202BEE">
          <w:rPr>
            <w:noProof/>
            <w:webHidden/>
          </w:rPr>
          <w:fldChar w:fldCharType="begin"/>
        </w:r>
        <w:r w:rsidR="00202BEE">
          <w:rPr>
            <w:noProof/>
            <w:webHidden/>
          </w:rPr>
          <w:instrText xml:space="preserve"> PAGEREF _Toc6485191 \h </w:instrText>
        </w:r>
        <w:r w:rsidR="00202BEE">
          <w:rPr>
            <w:noProof/>
            <w:webHidden/>
          </w:rPr>
        </w:r>
        <w:r w:rsidR="00202BEE">
          <w:rPr>
            <w:noProof/>
            <w:webHidden/>
          </w:rPr>
          <w:fldChar w:fldCharType="separate"/>
        </w:r>
        <w:r w:rsidR="00202BEE">
          <w:rPr>
            <w:noProof/>
            <w:webHidden/>
          </w:rPr>
          <w:t>29</w:t>
        </w:r>
        <w:r w:rsidR="00202BEE">
          <w:rPr>
            <w:noProof/>
            <w:webHidden/>
          </w:rPr>
          <w:fldChar w:fldCharType="end"/>
        </w:r>
      </w:hyperlink>
    </w:p>
    <w:p w:rsidR="00CB03F9" w:rsidRDefault="00977828" w:rsidP="0011612C">
      <w:pPr>
        <w:pStyle w:val="Preliminary"/>
        <w:outlineLvl w:val="9"/>
      </w:pPr>
      <w:r>
        <w:rPr>
          <w:rFonts w:cs="Times New Roman"/>
          <w:bCs w:val="0"/>
        </w:rPr>
        <w:lastRenderedPageBreak/>
        <w:fldChar w:fldCharType="end"/>
      </w:r>
      <w:r w:rsidR="00CB03F9">
        <w:t xml:space="preserve">List of </w:t>
      </w:r>
      <w:r w:rsidR="00130B6B">
        <w:t>T</w:t>
      </w:r>
      <w:r w:rsidR="00CB03F9" w:rsidRPr="00B424B6">
        <w:t>ables</w:t>
      </w:r>
    </w:p>
    <w:p w:rsidR="00202BEE" w:rsidRDefault="00CB03F9">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6485192" w:history="1">
        <w:r w:rsidR="00202BEE" w:rsidRPr="006C4CC7">
          <w:rPr>
            <w:rStyle w:val="Hyperlink"/>
            <w:noProof/>
          </w:rPr>
          <w:t>Table 1 Baseline Demographics</w:t>
        </w:r>
        <w:r w:rsidR="00202BEE">
          <w:rPr>
            <w:noProof/>
            <w:webHidden/>
          </w:rPr>
          <w:tab/>
        </w:r>
        <w:r w:rsidR="00202BEE">
          <w:rPr>
            <w:noProof/>
            <w:webHidden/>
          </w:rPr>
          <w:fldChar w:fldCharType="begin"/>
        </w:r>
        <w:r w:rsidR="00202BEE">
          <w:rPr>
            <w:noProof/>
            <w:webHidden/>
          </w:rPr>
          <w:instrText xml:space="preserve"> PAGEREF _Toc6485192 \h </w:instrText>
        </w:r>
        <w:r w:rsidR="00202BEE">
          <w:rPr>
            <w:noProof/>
            <w:webHidden/>
          </w:rPr>
        </w:r>
        <w:r w:rsidR="00202BEE">
          <w:rPr>
            <w:noProof/>
            <w:webHidden/>
          </w:rPr>
          <w:fldChar w:fldCharType="separate"/>
        </w:r>
        <w:r w:rsidR="00A6734D">
          <w:rPr>
            <w:noProof/>
            <w:webHidden/>
          </w:rPr>
          <w:t>19</w:t>
        </w:r>
        <w:r w:rsidR="00202BEE">
          <w:rPr>
            <w:noProof/>
            <w:webHidden/>
          </w:rPr>
          <w:fldChar w:fldCharType="end"/>
        </w:r>
      </w:hyperlink>
    </w:p>
    <w:p w:rsidR="00202BEE" w:rsidRDefault="00A6734D">
      <w:pPr>
        <w:pStyle w:val="TableofFigures"/>
        <w:tabs>
          <w:tab w:val="right" w:leader="dot" w:pos="9350"/>
        </w:tabs>
        <w:rPr>
          <w:rFonts w:asciiTheme="minorHAnsi" w:eastAsiaTheme="minorEastAsia" w:hAnsiTheme="minorHAnsi" w:cstheme="minorBidi"/>
          <w:noProof/>
          <w:sz w:val="22"/>
          <w:szCs w:val="22"/>
        </w:rPr>
      </w:pPr>
      <w:hyperlink w:anchor="_Toc6485193" w:history="1">
        <w:r w:rsidR="00202BEE" w:rsidRPr="006C4CC7">
          <w:rPr>
            <w:rStyle w:val="Hyperlink"/>
            <w:noProof/>
          </w:rPr>
          <w:t>Table 2 Covariate efforts on BMD in femoral nect</w:t>
        </w:r>
        <w:r w:rsidR="00202BEE">
          <w:rPr>
            <w:noProof/>
            <w:webHidden/>
          </w:rPr>
          <w:tab/>
        </w:r>
        <w:r w:rsidR="00202BEE">
          <w:rPr>
            <w:noProof/>
            <w:webHidden/>
          </w:rPr>
          <w:fldChar w:fldCharType="begin"/>
        </w:r>
        <w:r w:rsidR="00202BEE">
          <w:rPr>
            <w:noProof/>
            <w:webHidden/>
          </w:rPr>
          <w:instrText xml:space="preserve"> PAGEREF _Toc6485193 \h </w:instrText>
        </w:r>
        <w:r w:rsidR="00202BEE">
          <w:rPr>
            <w:noProof/>
            <w:webHidden/>
          </w:rPr>
        </w:r>
        <w:r w:rsidR="00202BEE">
          <w:rPr>
            <w:noProof/>
            <w:webHidden/>
          </w:rPr>
          <w:fldChar w:fldCharType="separate"/>
        </w:r>
        <w:r>
          <w:rPr>
            <w:noProof/>
            <w:webHidden/>
          </w:rPr>
          <w:t>20</w:t>
        </w:r>
        <w:r w:rsidR="00202BEE">
          <w:rPr>
            <w:noProof/>
            <w:webHidden/>
          </w:rPr>
          <w:fldChar w:fldCharType="end"/>
        </w:r>
      </w:hyperlink>
    </w:p>
    <w:p w:rsidR="00202BEE" w:rsidRDefault="00A6734D">
      <w:pPr>
        <w:pStyle w:val="TableofFigures"/>
        <w:tabs>
          <w:tab w:val="right" w:leader="dot" w:pos="9350"/>
        </w:tabs>
        <w:rPr>
          <w:rFonts w:asciiTheme="minorHAnsi" w:eastAsiaTheme="minorEastAsia" w:hAnsiTheme="minorHAnsi" w:cstheme="minorBidi"/>
          <w:noProof/>
          <w:sz w:val="22"/>
          <w:szCs w:val="22"/>
        </w:rPr>
      </w:pPr>
      <w:hyperlink w:anchor="_Toc6485194" w:history="1">
        <w:r w:rsidR="00202BEE" w:rsidRPr="006C4CC7">
          <w:rPr>
            <w:rStyle w:val="Hyperlink"/>
            <w:noProof/>
          </w:rPr>
          <w:t>Table 3 Covariate efforts on BMD in hip</w:t>
        </w:r>
        <w:bookmarkStart w:id="0" w:name="_GoBack"/>
        <w:bookmarkEnd w:id="0"/>
        <w:r w:rsidR="00202BEE">
          <w:rPr>
            <w:noProof/>
            <w:webHidden/>
          </w:rPr>
          <w:tab/>
        </w:r>
        <w:r w:rsidR="00202BEE">
          <w:rPr>
            <w:noProof/>
            <w:webHidden/>
          </w:rPr>
          <w:fldChar w:fldCharType="begin"/>
        </w:r>
        <w:r w:rsidR="00202BEE">
          <w:rPr>
            <w:noProof/>
            <w:webHidden/>
          </w:rPr>
          <w:instrText xml:space="preserve"> PAGEREF _Toc6485194 \h </w:instrText>
        </w:r>
        <w:r w:rsidR="00202BEE">
          <w:rPr>
            <w:noProof/>
            <w:webHidden/>
          </w:rPr>
        </w:r>
        <w:r w:rsidR="00202BEE">
          <w:rPr>
            <w:noProof/>
            <w:webHidden/>
          </w:rPr>
          <w:fldChar w:fldCharType="separate"/>
        </w:r>
        <w:r>
          <w:rPr>
            <w:noProof/>
            <w:webHidden/>
          </w:rPr>
          <w:t>21</w:t>
        </w:r>
        <w:r w:rsidR="00202BEE">
          <w:rPr>
            <w:noProof/>
            <w:webHidden/>
          </w:rPr>
          <w:fldChar w:fldCharType="end"/>
        </w:r>
      </w:hyperlink>
    </w:p>
    <w:p w:rsidR="00202BEE" w:rsidRDefault="00A6734D">
      <w:pPr>
        <w:pStyle w:val="TableofFigures"/>
        <w:tabs>
          <w:tab w:val="right" w:leader="dot" w:pos="9350"/>
        </w:tabs>
        <w:rPr>
          <w:rFonts w:asciiTheme="minorHAnsi" w:eastAsiaTheme="minorEastAsia" w:hAnsiTheme="minorHAnsi" w:cstheme="minorBidi"/>
          <w:noProof/>
          <w:sz w:val="22"/>
          <w:szCs w:val="22"/>
        </w:rPr>
      </w:pPr>
      <w:hyperlink w:anchor="_Toc6485195" w:history="1">
        <w:r w:rsidR="00202BEE" w:rsidRPr="006C4CC7">
          <w:rPr>
            <w:rStyle w:val="Hyperlink"/>
            <w:noProof/>
          </w:rPr>
          <w:t>Table 4 Covariate efforts on BMD in lumbar spine</w:t>
        </w:r>
        <w:r w:rsidR="00202BEE">
          <w:rPr>
            <w:noProof/>
            <w:webHidden/>
          </w:rPr>
          <w:tab/>
        </w:r>
        <w:r w:rsidR="00202BEE">
          <w:rPr>
            <w:noProof/>
            <w:webHidden/>
          </w:rPr>
          <w:fldChar w:fldCharType="begin"/>
        </w:r>
        <w:r w:rsidR="00202BEE">
          <w:rPr>
            <w:noProof/>
            <w:webHidden/>
          </w:rPr>
          <w:instrText xml:space="preserve"> PAGEREF _Toc6485195 \h </w:instrText>
        </w:r>
        <w:r w:rsidR="00202BEE">
          <w:rPr>
            <w:noProof/>
            <w:webHidden/>
          </w:rPr>
        </w:r>
        <w:r w:rsidR="00202BEE">
          <w:rPr>
            <w:noProof/>
            <w:webHidden/>
          </w:rPr>
          <w:fldChar w:fldCharType="separate"/>
        </w:r>
        <w:r>
          <w:rPr>
            <w:noProof/>
            <w:webHidden/>
          </w:rPr>
          <w:t>21</w:t>
        </w:r>
        <w:r w:rsidR="00202BEE">
          <w:rPr>
            <w:noProof/>
            <w:webHidden/>
          </w:rPr>
          <w:fldChar w:fldCharType="end"/>
        </w:r>
      </w:hyperlink>
    </w:p>
    <w:p w:rsidR="00202BEE" w:rsidRDefault="00A6734D">
      <w:pPr>
        <w:pStyle w:val="TableofFigures"/>
        <w:tabs>
          <w:tab w:val="right" w:leader="dot" w:pos="9350"/>
        </w:tabs>
        <w:rPr>
          <w:rFonts w:asciiTheme="minorHAnsi" w:eastAsiaTheme="minorEastAsia" w:hAnsiTheme="minorHAnsi" w:cstheme="minorBidi"/>
          <w:noProof/>
          <w:sz w:val="22"/>
          <w:szCs w:val="22"/>
        </w:rPr>
      </w:pPr>
      <w:hyperlink w:anchor="_Toc6485196" w:history="1">
        <w:r w:rsidR="00202BEE" w:rsidRPr="006C4CC7">
          <w:rPr>
            <w:rStyle w:val="Hyperlink"/>
            <w:noProof/>
          </w:rPr>
          <w:t>Table 5 Estimates for within group differences in BMD loss</w:t>
        </w:r>
        <w:r w:rsidR="00202BEE">
          <w:rPr>
            <w:noProof/>
            <w:webHidden/>
          </w:rPr>
          <w:tab/>
        </w:r>
        <w:r w:rsidR="00202BEE">
          <w:rPr>
            <w:noProof/>
            <w:webHidden/>
          </w:rPr>
          <w:fldChar w:fldCharType="begin"/>
        </w:r>
        <w:r w:rsidR="00202BEE">
          <w:rPr>
            <w:noProof/>
            <w:webHidden/>
          </w:rPr>
          <w:instrText xml:space="preserve"> PAGEREF _Toc6485196 \h </w:instrText>
        </w:r>
        <w:r w:rsidR="00202BEE">
          <w:rPr>
            <w:noProof/>
            <w:webHidden/>
          </w:rPr>
        </w:r>
        <w:r w:rsidR="00202BEE">
          <w:rPr>
            <w:noProof/>
            <w:webHidden/>
          </w:rPr>
          <w:fldChar w:fldCharType="separate"/>
        </w:r>
        <w:r>
          <w:rPr>
            <w:noProof/>
            <w:webHidden/>
          </w:rPr>
          <w:t>24</w:t>
        </w:r>
        <w:r w:rsidR="00202BEE">
          <w:rPr>
            <w:noProof/>
            <w:webHidden/>
          </w:rPr>
          <w:fldChar w:fldCharType="end"/>
        </w:r>
      </w:hyperlink>
    </w:p>
    <w:p w:rsidR="00B424B6" w:rsidRDefault="00CB03F9" w:rsidP="0011612C">
      <w:pPr>
        <w:pStyle w:val="Preliminary"/>
        <w:outlineLvl w:val="9"/>
      </w:pPr>
      <w:r>
        <w:lastRenderedPageBreak/>
        <w:fldChar w:fldCharType="end"/>
      </w:r>
      <w:r w:rsidR="00B424B6">
        <w:t xml:space="preserve">List of </w:t>
      </w:r>
      <w:r w:rsidR="00130B6B">
        <w:t>F</w:t>
      </w:r>
      <w:r w:rsidR="00B424B6">
        <w:t>igures</w:t>
      </w:r>
    </w:p>
    <w:p w:rsidR="00202BEE" w:rsidRDefault="00B424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6485197" w:history="1">
        <w:r w:rsidR="00202BEE" w:rsidRPr="006544FE">
          <w:rPr>
            <w:rStyle w:val="Hyperlink"/>
            <w:noProof/>
          </w:rPr>
          <w:t>Figure 1 Flow Chart: Study Cohort</w:t>
        </w:r>
        <w:r w:rsidR="00202BEE">
          <w:rPr>
            <w:noProof/>
            <w:webHidden/>
          </w:rPr>
          <w:tab/>
        </w:r>
        <w:r w:rsidR="00202BEE">
          <w:rPr>
            <w:noProof/>
            <w:webHidden/>
          </w:rPr>
          <w:fldChar w:fldCharType="begin"/>
        </w:r>
        <w:r w:rsidR="00202BEE">
          <w:rPr>
            <w:noProof/>
            <w:webHidden/>
          </w:rPr>
          <w:instrText xml:space="preserve"> PAGEREF _Toc6485197 \h </w:instrText>
        </w:r>
        <w:r w:rsidR="00202BEE">
          <w:rPr>
            <w:noProof/>
            <w:webHidden/>
          </w:rPr>
        </w:r>
        <w:r w:rsidR="00202BEE">
          <w:rPr>
            <w:noProof/>
            <w:webHidden/>
          </w:rPr>
          <w:fldChar w:fldCharType="separate"/>
        </w:r>
        <w:r w:rsidR="00202BEE">
          <w:rPr>
            <w:noProof/>
            <w:webHidden/>
          </w:rPr>
          <w:t>17</w:t>
        </w:r>
        <w:r w:rsidR="00202BEE">
          <w:rPr>
            <w:noProof/>
            <w:webHidden/>
          </w:rPr>
          <w:fldChar w:fldCharType="end"/>
        </w:r>
      </w:hyperlink>
    </w:p>
    <w:p w:rsidR="00202BEE" w:rsidRDefault="00A6734D">
      <w:pPr>
        <w:pStyle w:val="TableofFigures"/>
        <w:tabs>
          <w:tab w:val="right" w:leader="dot" w:pos="9350"/>
        </w:tabs>
        <w:rPr>
          <w:rFonts w:asciiTheme="minorHAnsi" w:eastAsiaTheme="minorEastAsia" w:hAnsiTheme="minorHAnsi" w:cstheme="minorBidi"/>
          <w:noProof/>
          <w:sz w:val="22"/>
          <w:szCs w:val="22"/>
        </w:rPr>
      </w:pPr>
      <w:hyperlink w:anchor="_Toc6485198" w:history="1">
        <w:r w:rsidR="00202BEE" w:rsidRPr="006544FE">
          <w:rPr>
            <w:rStyle w:val="Hyperlink"/>
            <w:noProof/>
          </w:rPr>
          <w:t>Figure 2 Annual rate of bone loss in lumbar spine, femoral neck, and toal hip after medication initiation</w:t>
        </w:r>
        <w:r w:rsidR="00202BEE">
          <w:rPr>
            <w:noProof/>
            <w:webHidden/>
          </w:rPr>
          <w:tab/>
        </w:r>
        <w:r w:rsidR="00202BEE">
          <w:rPr>
            <w:noProof/>
            <w:webHidden/>
          </w:rPr>
          <w:fldChar w:fldCharType="begin"/>
        </w:r>
        <w:r w:rsidR="00202BEE">
          <w:rPr>
            <w:noProof/>
            <w:webHidden/>
          </w:rPr>
          <w:instrText xml:space="preserve"> PAGEREF _Toc6485198 \h </w:instrText>
        </w:r>
        <w:r w:rsidR="00202BEE">
          <w:rPr>
            <w:noProof/>
            <w:webHidden/>
          </w:rPr>
        </w:r>
        <w:r w:rsidR="00202BEE">
          <w:rPr>
            <w:noProof/>
            <w:webHidden/>
          </w:rPr>
          <w:fldChar w:fldCharType="separate"/>
        </w:r>
        <w:r w:rsidR="00202BEE">
          <w:rPr>
            <w:noProof/>
            <w:webHidden/>
          </w:rPr>
          <w:t>22</w:t>
        </w:r>
        <w:r w:rsidR="00202BEE">
          <w:rPr>
            <w:noProof/>
            <w:webHidden/>
          </w:rPr>
          <w:fldChar w:fldCharType="end"/>
        </w:r>
      </w:hyperlink>
    </w:p>
    <w:p w:rsidR="00202BEE" w:rsidRDefault="00A6734D">
      <w:pPr>
        <w:pStyle w:val="TableofFigures"/>
        <w:tabs>
          <w:tab w:val="right" w:leader="dot" w:pos="9350"/>
        </w:tabs>
        <w:rPr>
          <w:rFonts w:asciiTheme="minorHAnsi" w:eastAsiaTheme="minorEastAsia" w:hAnsiTheme="minorHAnsi" w:cstheme="minorBidi"/>
          <w:noProof/>
          <w:sz w:val="22"/>
          <w:szCs w:val="22"/>
        </w:rPr>
      </w:pPr>
      <w:hyperlink w:anchor="_Toc6485199" w:history="1">
        <w:r w:rsidR="00202BEE" w:rsidRPr="006544FE">
          <w:rPr>
            <w:rStyle w:val="Hyperlink"/>
            <w:noProof/>
          </w:rPr>
          <w:t>Figure 3 Percent BMD loss in femoral neck, hip, lumbar spine</w:t>
        </w:r>
        <w:r w:rsidR="00202BEE">
          <w:rPr>
            <w:noProof/>
            <w:webHidden/>
          </w:rPr>
          <w:tab/>
        </w:r>
        <w:r w:rsidR="00202BEE">
          <w:rPr>
            <w:noProof/>
            <w:webHidden/>
          </w:rPr>
          <w:fldChar w:fldCharType="begin"/>
        </w:r>
        <w:r w:rsidR="00202BEE">
          <w:rPr>
            <w:noProof/>
            <w:webHidden/>
          </w:rPr>
          <w:instrText xml:space="preserve"> PAGEREF _Toc6485199 \h </w:instrText>
        </w:r>
        <w:r w:rsidR="00202BEE">
          <w:rPr>
            <w:noProof/>
            <w:webHidden/>
          </w:rPr>
        </w:r>
        <w:r w:rsidR="00202BEE">
          <w:rPr>
            <w:noProof/>
            <w:webHidden/>
          </w:rPr>
          <w:fldChar w:fldCharType="separate"/>
        </w:r>
        <w:r w:rsidR="00202BEE">
          <w:rPr>
            <w:noProof/>
            <w:webHidden/>
          </w:rPr>
          <w:t>24</w:t>
        </w:r>
        <w:r w:rsidR="00202BEE">
          <w:rPr>
            <w:noProof/>
            <w:webHidden/>
          </w:rPr>
          <w:fldChar w:fldCharType="end"/>
        </w:r>
      </w:hyperlink>
    </w:p>
    <w:p w:rsidR="00B424B6" w:rsidRDefault="00B424B6" w:rsidP="004E5E20">
      <w:pPr>
        <w:pStyle w:val="Heading"/>
      </w:pPr>
      <w:r>
        <w:lastRenderedPageBreak/>
        <w:fldChar w:fldCharType="end"/>
      </w:r>
      <w:bookmarkStart w:id="1" w:name="_Toc6485168"/>
      <w:r w:rsidR="00130B6B">
        <w:t>Preface</w:t>
      </w:r>
      <w:bookmarkEnd w:id="1"/>
    </w:p>
    <w:p w:rsidR="00AA2C6A" w:rsidRDefault="00F47990" w:rsidP="00AA2C6A">
      <w:r w:rsidRPr="004C3245">
        <w:t xml:space="preserve">I would like to thank my family and friends for supporting me through my graduate education. This program has taught me so much about the public health practice both in research and in application. Dr. Nancy Glynn has served as an amazing mentor, advisor, and influencer. She has taught me so much through our professional and academic relationship and with her guidance, I can take graduate level knowledge and apply it in my professional career. I would also like to thank my research advisor and essay reader, Dr. Kristine Ruppert, for her patience and guidance throughout this process. Finally, I would like to thank the University of Pittsburgh for providing me with an extraordinary graduate educational experience and I am grateful for the tools I have been provided with in public health so that I can implement them in my future career as a clinical pharmacist. </w:t>
      </w:r>
      <w:r w:rsidR="00AA2C6A">
        <w:t>It is recommended that acknowledgments, nomenclature used, and similar items should be included in the Preface.</w:t>
      </w:r>
    </w:p>
    <w:p w:rsidR="00007079" w:rsidRDefault="00007079" w:rsidP="00FF38EA"/>
    <w:p w:rsidR="004F605E" w:rsidRDefault="004F605E" w:rsidP="00FF38EA">
      <w:pPr>
        <w:sectPr w:rsidR="004F605E" w:rsidSect="00492F5A">
          <w:pgSz w:w="12240" w:h="15840"/>
          <w:pgMar w:top="1440" w:right="1440" w:bottom="1440" w:left="1440" w:header="720" w:footer="720" w:gutter="0"/>
          <w:pgNumType w:fmt="lowerRoman"/>
          <w:cols w:space="720"/>
          <w:docGrid w:linePitch="360"/>
        </w:sectPr>
      </w:pPr>
    </w:p>
    <w:p w:rsidR="00FB402B" w:rsidRPr="0037257D" w:rsidRDefault="0037257D" w:rsidP="0037257D">
      <w:pPr>
        <w:pStyle w:val="Heading1"/>
      </w:pPr>
      <w:bookmarkStart w:id="2" w:name="_Toc6485169"/>
      <w:r w:rsidRPr="0037257D">
        <w:lastRenderedPageBreak/>
        <w:t>Introduction</w:t>
      </w:r>
      <w:bookmarkEnd w:id="2"/>
    </w:p>
    <w:p w:rsidR="0037257D" w:rsidRPr="004C3245" w:rsidRDefault="0037257D" w:rsidP="0037257D">
      <w:r w:rsidRPr="004C3245">
        <w:t xml:space="preserve">One of the leading public health concerns in the United States is osteoporosis since it affects 20 million Americans and causes osteoporotic fractures in approximately 1.7 million Americans per year </w:t>
      </w:r>
      <w:r w:rsidRPr="004C3245">
        <w:rPr>
          <w:vertAlign w:val="superscript"/>
        </w:rPr>
        <w:t>1</w:t>
      </w:r>
      <w:r w:rsidRPr="004C3245">
        <w:t xml:space="preserve">. Osteoporosis is defined as the deterioration of bone mass and is responsible for a risk in fracture incidence. Menopause is a contributing factor that increases the risk of bone loss in women, resulting in a decrease in 50% of their trabecular bone and 30% of their cortical bone over a lifetime </w:t>
      </w:r>
      <w:r w:rsidRPr="004C3245">
        <w:rPr>
          <w:vertAlign w:val="superscript"/>
        </w:rPr>
        <w:t>1,2</w:t>
      </w:r>
      <w:r w:rsidRPr="004C3245">
        <w:t xml:space="preserve">. </w:t>
      </w:r>
    </w:p>
    <w:p w:rsidR="0037257D" w:rsidRPr="004C3245" w:rsidRDefault="0037257D" w:rsidP="0037257D">
      <w:pPr>
        <w:pStyle w:val="CommentText"/>
        <w:rPr>
          <w:sz w:val="24"/>
          <w:szCs w:val="24"/>
        </w:rPr>
      </w:pPr>
      <w:r w:rsidRPr="004C3245">
        <w:rPr>
          <w:sz w:val="24"/>
          <w:szCs w:val="24"/>
        </w:rPr>
        <w:t xml:space="preserve">A study by Greendale showed that the rate of bone mineral density (BMD) loss in women </w:t>
      </w:r>
      <w:r w:rsidRPr="004C3245">
        <w:rPr>
          <w:color w:val="000000"/>
          <w:sz w:val="24"/>
          <w:szCs w:val="24"/>
          <w:shd w:val="clear" w:color="auto" w:fill="FFFFFF"/>
        </w:rPr>
        <w:t xml:space="preserve">was greatest from one year prior through two years after the FMP, termed the transmenopause. Postmenopausal loss rates, those occurring between two and five years after the FMP, were less than those observed during transmenopause. Cumulative, 10-year LS BMD loss was 10.6%; 7.38% was lost during the transmenopause. Cumulative FN loss was 9.1%; 5.8% was lost during the transmenopause </w:t>
      </w:r>
      <w:r w:rsidRPr="004C3245">
        <w:rPr>
          <w:color w:val="000000"/>
          <w:sz w:val="24"/>
          <w:szCs w:val="24"/>
          <w:shd w:val="clear" w:color="auto" w:fill="FFFFFF"/>
          <w:vertAlign w:val="superscript"/>
        </w:rPr>
        <w:t>3</w:t>
      </w:r>
      <w:r w:rsidRPr="004C3245">
        <w:rPr>
          <w:color w:val="000000"/>
          <w:sz w:val="24"/>
          <w:szCs w:val="24"/>
          <w:shd w:val="clear" w:color="auto" w:fill="FFFFFF"/>
        </w:rPr>
        <w:t xml:space="preserve">. </w:t>
      </w:r>
    </w:p>
    <w:p w:rsidR="0037257D" w:rsidRPr="004C3245" w:rsidRDefault="0037257D" w:rsidP="0037257D">
      <w:pPr>
        <w:spacing w:after="160"/>
      </w:pPr>
      <w:r w:rsidRPr="004C3245">
        <w:t xml:space="preserve">Hypothyroidism is a condition when your thyroid gland does not produce enough hormone </w:t>
      </w:r>
      <w:r w:rsidRPr="004C3245">
        <w:rPr>
          <w:vertAlign w:val="superscript"/>
        </w:rPr>
        <w:t>4</w:t>
      </w:r>
      <w:r w:rsidRPr="004C3245">
        <w:t xml:space="preserve">. By age 50, one in every twelve women has a significant degree of hypothyroidism, and by age 60, it is one woman out of every six </w:t>
      </w:r>
      <w:r w:rsidRPr="004C3245">
        <w:rPr>
          <w:vertAlign w:val="superscript"/>
        </w:rPr>
        <w:t>5</w:t>
      </w:r>
      <w:r w:rsidRPr="004C3245">
        <w:t>. Hypothyroidism is known to impact bone mineral homeostasis because of the decrease in three crucial hormones that are meant regulate bone mineral homeostasis: parathyroid hormone, 1,25 (OH)</w:t>
      </w:r>
      <w:r w:rsidRPr="004C3245">
        <w:rPr>
          <w:vertAlign w:val="subscript"/>
        </w:rPr>
        <w:t>2</w:t>
      </w:r>
      <w:r w:rsidRPr="004C3245">
        <w:t xml:space="preserve">D, and calcitonin </w:t>
      </w:r>
      <w:r w:rsidRPr="004C3245">
        <w:rPr>
          <w:vertAlign w:val="superscript"/>
        </w:rPr>
        <w:t>4</w:t>
      </w:r>
      <w:r w:rsidRPr="004C3245">
        <w:t>.</w:t>
      </w:r>
      <w:r w:rsidRPr="004C3245">
        <w:rPr>
          <w:vertAlign w:val="superscript"/>
        </w:rPr>
        <w:t xml:space="preserve"> </w:t>
      </w:r>
      <w:r w:rsidRPr="004C3245">
        <w:t xml:space="preserve">The prevalence of hypothyroidism in the general population ranges from 3.8-4.6% </w:t>
      </w:r>
      <w:r w:rsidRPr="004C3245">
        <w:rPr>
          <w:vertAlign w:val="superscript"/>
        </w:rPr>
        <w:t>6,7</w:t>
      </w:r>
      <w:r w:rsidRPr="004C3245">
        <w:t xml:space="preserve">. The Whickham survey gives an annual incidence of hypothyroidism of 4.1 per 1000 in women </w:t>
      </w:r>
      <w:r w:rsidRPr="004C3245">
        <w:rPr>
          <w:vertAlign w:val="superscript"/>
        </w:rPr>
        <w:t>8</w:t>
      </w:r>
      <w:r w:rsidRPr="004C3245">
        <w:t xml:space="preserve">. </w:t>
      </w:r>
    </w:p>
    <w:p w:rsidR="0037257D" w:rsidRPr="004C3245" w:rsidRDefault="0037257D" w:rsidP="0037257D">
      <w:pPr>
        <w:spacing w:after="160"/>
        <w:ind w:firstLine="630"/>
      </w:pPr>
      <w:r w:rsidRPr="004C3245">
        <w:lastRenderedPageBreak/>
        <w:tab/>
        <w:t xml:space="preserve">The Study of Women’s Health Across the Nation (SWAN) is a seven-center, longitudinal cohort study of the menopause transition in a community-based sample of women from multiple ethnic groups </w:t>
      </w:r>
      <w:r w:rsidRPr="004C3245">
        <w:rPr>
          <w:vertAlign w:val="superscript"/>
        </w:rPr>
        <w:t>4</w:t>
      </w:r>
      <w:r w:rsidRPr="004C3245">
        <w:t xml:space="preserve">. BMD of the lumbar spine and proximal femur has been measured annually in women at five SWAN sites. SWAN is the first large-scale, multiethnic, longitudinal cohort study to assess BMD across the entire menopause transition </w:t>
      </w:r>
      <w:r w:rsidRPr="004C3245">
        <w:rPr>
          <w:vertAlign w:val="superscript"/>
        </w:rPr>
        <w:t>4</w:t>
      </w:r>
      <w:r w:rsidRPr="004C3245">
        <w:t>. Thus, SWAN provides a unique opportunity to examine the effects on thyroid hormone (TH) medication use and changes in BMD across the menopause transition.</w:t>
      </w:r>
    </w:p>
    <w:p w:rsidR="0037257D" w:rsidRPr="004C3245" w:rsidRDefault="0037257D" w:rsidP="006378BB"/>
    <w:p w:rsidR="0037257D" w:rsidRPr="004C3245" w:rsidRDefault="0037257D" w:rsidP="0037257D">
      <w:pPr>
        <w:pStyle w:val="Heading1"/>
      </w:pPr>
      <w:r w:rsidRPr="004C3245">
        <w:lastRenderedPageBreak/>
        <w:t xml:space="preserve"> </w:t>
      </w:r>
      <w:bookmarkStart w:id="3" w:name="_Toc6485170"/>
      <w:r w:rsidRPr="004C3245">
        <w:t>Literature Review</w:t>
      </w:r>
      <w:bookmarkEnd w:id="3"/>
      <w:r w:rsidRPr="004C3245">
        <w:t xml:space="preserve"> </w:t>
      </w:r>
    </w:p>
    <w:p w:rsidR="0037257D" w:rsidRPr="004C3245" w:rsidRDefault="0037257D" w:rsidP="0037257D">
      <w:pPr>
        <w:pStyle w:val="Heading2"/>
      </w:pPr>
      <w:bookmarkStart w:id="4" w:name="_Toc6485171"/>
      <w:r w:rsidRPr="004C3245">
        <w:t xml:space="preserve">Bone </w:t>
      </w:r>
      <w:r>
        <w:t>P</w:t>
      </w:r>
      <w:r w:rsidRPr="004C3245">
        <w:t>hysiology</w:t>
      </w:r>
      <w:bookmarkEnd w:id="4"/>
      <w:r w:rsidRPr="004C3245">
        <w:t xml:space="preserve"> </w:t>
      </w:r>
    </w:p>
    <w:p w:rsidR="0037257D" w:rsidRPr="004C3245" w:rsidRDefault="0037257D" w:rsidP="0037257D">
      <w:r w:rsidRPr="004C3245">
        <w:rPr>
          <w:b/>
        </w:rPr>
        <w:tab/>
      </w:r>
      <w:r w:rsidRPr="004C3245">
        <w:t xml:space="preserve">Osteoblasts are specialized cell that forms bone and have an essential function in remodeling bone </w:t>
      </w:r>
      <w:r w:rsidRPr="004C3245">
        <w:rPr>
          <w:vertAlign w:val="superscript"/>
        </w:rPr>
        <w:t>9</w:t>
      </w:r>
      <w:r w:rsidRPr="004C3245">
        <w:t xml:space="preserve">. Osteoblasts are also vital in the production of bone matrix proteins and bone mineralization </w:t>
      </w:r>
      <w:r w:rsidRPr="004C3245">
        <w:rPr>
          <w:vertAlign w:val="superscript"/>
        </w:rPr>
        <w:t>9</w:t>
      </w:r>
      <w:r w:rsidRPr="004C3245">
        <w:t xml:space="preserve">. They are developed from pluripotent mesenchymal stems cells signaled under the direction of a characterized suite of regulatory transcription factors, specifically osterix and runt-related factor 2 </w:t>
      </w:r>
      <w:r w:rsidRPr="004C3245">
        <w:rPr>
          <w:vertAlign w:val="superscript"/>
        </w:rPr>
        <w:t>10</w:t>
      </w:r>
      <w:r w:rsidRPr="004C3245">
        <w:t xml:space="preserve">. Mature osteoblasts signal the production for matrix mineralization and immature osteoblasts regulate the formation of osteoclasts </w:t>
      </w:r>
      <w:r w:rsidRPr="004C3245">
        <w:rPr>
          <w:vertAlign w:val="superscript"/>
        </w:rPr>
        <w:t>11,12,13</w:t>
      </w:r>
      <w:r w:rsidRPr="004C3245">
        <w:t xml:space="preserve">. </w:t>
      </w:r>
    </w:p>
    <w:p w:rsidR="0037257D" w:rsidRPr="004C3245" w:rsidRDefault="0037257D" w:rsidP="0037257D">
      <w:r w:rsidRPr="004C3245">
        <w:tab/>
        <w:t xml:space="preserve">Osteoclasts originate from colony-forming unit- granulocyte macrophage hematopoietic cell in the bone marrow </w:t>
      </w:r>
      <w:r w:rsidRPr="004C3245">
        <w:rPr>
          <w:vertAlign w:val="superscript"/>
        </w:rPr>
        <w:t>14</w:t>
      </w:r>
      <w:r w:rsidRPr="004C3245">
        <w:t xml:space="preserve">. Differentiation requires contact with stromal cells of the osteoblastic lineage in the bone marrow and stimulation by receptor activator of nuclear factor </w:t>
      </w:r>
      <w:r w:rsidRPr="004C3245">
        <w:rPr>
          <w:rFonts w:ascii="Cambria Math" w:eastAsia="Cambria Math" w:hAnsi="Cambria Math" w:cs="Cambria Math"/>
        </w:rPr>
        <w:t>𝛋</w:t>
      </w:r>
      <w:r w:rsidRPr="004C3245">
        <w:t>-</w:t>
      </w:r>
      <w:r w:rsidRPr="004C3245">
        <w:rPr>
          <w:rFonts w:ascii="Cambria Math" w:eastAsia="Cambria Math" w:hAnsi="Cambria Math" w:cs="Cambria Math"/>
        </w:rPr>
        <w:t>𝛃</w:t>
      </w:r>
      <w:r w:rsidRPr="004C3245">
        <w:t xml:space="preserve"> ligand (RANKL), which is released by immature osteoblasts that binds to RANK on the osteoclasts </w:t>
      </w:r>
      <w:r w:rsidRPr="004C3245">
        <w:rPr>
          <w:vertAlign w:val="superscript"/>
        </w:rPr>
        <w:t>15</w:t>
      </w:r>
      <w:r w:rsidRPr="004C3245">
        <w:t xml:space="preserve">. The effects of RANKL on osteoclasts are strictly regulated by osteoprotegerin, which is a decoy receptor of RANKL that is also secreted by osteoblast precursors </w:t>
      </w:r>
      <w:r w:rsidRPr="004C3245">
        <w:rPr>
          <w:vertAlign w:val="superscript"/>
        </w:rPr>
        <w:t>16</w:t>
      </w:r>
      <w:r w:rsidRPr="004C3245">
        <w:t xml:space="preserve">. Orchiectomy causes the proliferation of osteoblast precursors that secretes RANKL that stimulates osteoclast propagation and activation, which results in bone loss </w:t>
      </w:r>
      <w:r w:rsidRPr="004C3245">
        <w:rPr>
          <w:vertAlign w:val="superscript"/>
        </w:rPr>
        <w:t>17</w:t>
      </w:r>
      <w:r w:rsidRPr="004C3245">
        <w:t>.</w:t>
      </w:r>
    </w:p>
    <w:p w:rsidR="0037257D" w:rsidRPr="004C3245" w:rsidRDefault="0037257D" w:rsidP="0037257D">
      <w:r w:rsidRPr="004C3245">
        <w:tab/>
        <w:t xml:space="preserve">Osteocyte formation occurs during bone formation when a portion of osteoblasts undergoes terminal separation and entombment by mineralized osteoid </w:t>
      </w:r>
      <w:r w:rsidRPr="004C3245">
        <w:rPr>
          <w:vertAlign w:val="superscript"/>
        </w:rPr>
        <w:t>18</w:t>
      </w:r>
      <w:r w:rsidRPr="004C3245">
        <w:t xml:space="preserve">. Osteocytes are held in liquid-filled lacunae inside the mineralized bone, which represents 90-95% of the total bone cells </w:t>
      </w:r>
      <w:r w:rsidRPr="004C3245">
        <w:rPr>
          <w:vertAlign w:val="superscript"/>
        </w:rPr>
        <w:t>19</w:t>
      </w:r>
      <w:r w:rsidRPr="004C3245">
        <w:t xml:space="preserve">. Osteocytes have long dendrite-like prominences that interact with other osteocytes inside the mineralized, and </w:t>
      </w:r>
      <w:r w:rsidRPr="004C3245">
        <w:lastRenderedPageBreak/>
        <w:t xml:space="preserve">with osteoblasts located on the bone surface </w:t>
      </w:r>
      <w:r w:rsidRPr="004C3245">
        <w:rPr>
          <w:vertAlign w:val="superscript"/>
        </w:rPr>
        <w:t>20</w:t>
      </w:r>
      <w:r w:rsidRPr="004C3245">
        <w:t xml:space="preserve">. Osteocytes signal bone remodeling by responding to mechanical stimuli to prevent the buildup of bone microdamage </w:t>
      </w:r>
      <w:r w:rsidRPr="004C3245">
        <w:rPr>
          <w:vertAlign w:val="superscript"/>
        </w:rPr>
        <w:t>20</w:t>
      </w:r>
      <w:r w:rsidRPr="004C3245">
        <w:t xml:space="preserve">. </w:t>
      </w:r>
    </w:p>
    <w:p w:rsidR="0037257D" w:rsidRPr="004C3245" w:rsidRDefault="0037257D" w:rsidP="0037383A">
      <w:pPr>
        <w:pStyle w:val="Heading3"/>
      </w:pPr>
      <w:bookmarkStart w:id="5" w:name="_Toc6485172"/>
      <w:r w:rsidRPr="004C3245">
        <w:t>Bone mineral density testing</w:t>
      </w:r>
      <w:bookmarkEnd w:id="5"/>
      <w:r w:rsidRPr="004C3245">
        <w:t xml:space="preserve">  </w:t>
      </w:r>
    </w:p>
    <w:p w:rsidR="0037257D" w:rsidRPr="004C3245" w:rsidRDefault="0037257D" w:rsidP="0037257D">
      <w:r w:rsidRPr="004C3245">
        <w:tab/>
        <w:t xml:space="preserve">A bone mineral density test can provide a patient with their overall bone health. A commonly used test to assess BMD is the central dual-energy x-ray absorptiometry, or DXA test. This test measures BMD at the hip and spine. These results are then compared to the peak bone mineral density of a 30-year-old adult, and the results are expressed with a T-score </w:t>
      </w:r>
      <w:r w:rsidRPr="004C3245">
        <w:rPr>
          <w:vertAlign w:val="superscript"/>
        </w:rPr>
        <w:t>21</w:t>
      </w:r>
      <w:r w:rsidRPr="004C3245">
        <w:t xml:space="preserve">. A T-score of 0 means that the BMD is equal to the BMD of a young healthy adult </w:t>
      </w:r>
      <w:r w:rsidRPr="004C3245">
        <w:rPr>
          <w:vertAlign w:val="superscript"/>
        </w:rPr>
        <w:t>21</w:t>
      </w:r>
      <w:r w:rsidRPr="004C3245">
        <w:t xml:space="preserve">. The differences between the BMD and the healthy young adult normal measure are referred to as the standard deviation (SDs). Negative numbers represent a lower BMD and higher risk for fracture incidence </w:t>
      </w:r>
      <w:r w:rsidRPr="004C3245">
        <w:rPr>
          <w:vertAlign w:val="superscript"/>
        </w:rPr>
        <w:t>21</w:t>
      </w:r>
      <w:r w:rsidRPr="004C3245">
        <w:t xml:space="preserve"> A T-score that is between +1 and -1 is considered the normal range for a healthy adult </w:t>
      </w:r>
      <w:r w:rsidRPr="004C3245">
        <w:rPr>
          <w:vertAlign w:val="superscript"/>
        </w:rPr>
        <w:t>21</w:t>
      </w:r>
      <w:r w:rsidRPr="004C3245">
        <w:t xml:space="preserve">. A T-score that is between -1 and -2.5 is considered to be an individual with a low bone mass </w:t>
      </w:r>
      <w:r w:rsidRPr="004C3245">
        <w:rPr>
          <w:vertAlign w:val="superscript"/>
        </w:rPr>
        <w:t>21</w:t>
      </w:r>
      <w:r w:rsidRPr="004C3245">
        <w:t xml:space="preserve">. T-scores that are at -2.5 or lower are considered to be criteria for a case of osteoporosis in a young healthy adult </w:t>
      </w:r>
      <w:r w:rsidRPr="004C3245">
        <w:rPr>
          <w:vertAlign w:val="superscript"/>
        </w:rPr>
        <w:t>21</w:t>
      </w:r>
      <w:r w:rsidRPr="004C3245">
        <w:t xml:space="preserve">. The lower the T-score value below 0, the more severe the osteoporosis progression is. </w:t>
      </w:r>
    </w:p>
    <w:p w:rsidR="0037257D" w:rsidRPr="004C3245" w:rsidRDefault="0037257D" w:rsidP="0037383A">
      <w:pPr>
        <w:pStyle w:val="Heading3"/>
      </w:pPr>
      <w:bookmarkStart w:id="6" w:name="_Toc6485173"/>
      <w:r w:rsidRPr="004C3245">
        <w:t>Thyroid Dysfunction and Menopause</w:t>
      </w:r>
      <w:bookmarkEnd w:id="6"/>
      <w:r w:rsidRPr="004C3245">
        <w:t xml:space="preserve"> </w:t>
      </w:r>
    </w:p>
    <w:p w:rsidR="0037257D" w:rsidRPr="004C3245" w:rsidRDefault="0037257D" w:rsidP="0037257D">
      <w:r w:rsidRPr="004C3245">
        <w:tab/>
        <w:t xml:space="preserve">The incidence of thyroid diseases such as hypothyroidism, nodular goitre, and cancer is highest in elderly and postmenopausal women </w:t>
      </w:r>
      <w:r w:rsidRPr="004C3245">
        <w:rPr>
          <w:vertAlign w:val="superscript"/>
        </w:rPr>
        <w:t>22</w:t>
      </w:r>
      <w:r w:rsidRPr="004C3245">
        <w:t xml:space="preserve">. It is difficult to distinguish the symptoms because they can appear to be nonspecific or common with the menopausal and ageing process </w:t>
      </w:r>
      <w:r w:rsidRPr="004C3245">
        <w:rPr>
          <w:vertAlign w:val="superscript"/>
        </w:rPr>
        <w:t>22</w:t>
      </w:r>
      <w:r w:rsidRPr="004C3245">
        <w:t>. If thyroid dysfunction goes unrecognized, it can lead increase the risk of fractures. These fractures are caused by a decrease in the BMD, making them more fragile and susceptible to breaking.</w:t>
      </w:r>
    </w:p>
    <w:p w:rsidR="0037257D" w:rsidRPr="004C3245" w:rsidRDefault="0037257D" w:rsidP="0037257D">
      <w:r w:rsidRPr="004C3245">
        <w:rPr>
          <w:b/>
        </w:rPr>
        <w:lastRenderedPageBreak/>
        <w:tab/>
      </w:r>
      <w:r w:rsidRPr="004C3245">
        <w:t xml:space="preserve">One of the most important factors in bone development is the ability for the thyroid to function properly. Thyroid hormones are controlled by the thyroid hormone receptors (TR) </w:t>
      </w:r>
      <w:r w:rsidRPr="004C3245">
        <w:rPr>
          <w:vertAlign w:val="superscript"/>
        </w:rPr>
        <w:t>23</w:t>
      </w:r>
      <w:r w:rsidRPr="004C3245">
        <w:t xml:space="preserve">. The subtypes of TR are TRa1, TRa2, TRɃ1, TRɃ2 receptors. When these receptors are deficient or dysfunctional TRa, they will cause growth retardation, delays in bone maturity, perturbations in the bone mineralization, and a decrease in BMD </w:t>
      </w:r>
      <w:r w:rsidRPr="004C3245">
        <w:rPr>
          <w:vertAlign w:val="superscript"/>
        </w:rPr>
        <w:t>24,25</w:t>
      </w:r>
      <w:r w:rsidRPr="004C3245">
        <w:t xml:space="preserve">. T3 regulates the bone growth and bone mineralization; stimulates IL-6 and IL-8 while it intensifies the effects of IL-1 and IL-6, controls the production of osteocalcin, collagen type 1, and increases proliferation, differentiation and apoptosis of osteoblast </w:t>
      </w:r>
      <w:r w:rsidRPr="004C3245">
        <w:rPr>
          <w:vertAlign w:val="superscript"/>
        </w:rPr>
        <w:t>24</w:t>
      </w:r>
      <w:r w:rsidRPr="004C3245">
        <w:t xml:space="preserve">. </w:t>
      </w:r>
    </w:p>
    <w:p w:rsidR="0037257D" w:rsidRPr="004C3245" w:rsidRDefault="0037257D" w:rsidP="0037257D">
      <w:r w:rsidRPr="004C3245">
        <w:tab/>
        <w:t xml:space="preserve">The thyroid hormone has a vital role in endochondral ossification, linear growth, maintenance of bone mass, skeletal development, and fracture healing </w:t>
      </w:r>
      <w:r w:rsidRPr="004C3245">
        <w:rPr>
          <w:vertAlign w:val="superscript"/>
        </w:rPr>
        <w:t>26</w:t>
      </w:r>
      <w:r w:rsidRPr="004C3245">
        <w:t xml:space="preserve">. These are common issues seen in the elderly population, specifically women who experience a higher number of fractures due to osteoporosis. During the early stages of hypothyroidism, bone growth starts to cease in growth, mineralization, and formation. Normal TH levels are maintained through the classic negative feedback loop which involves the hypothalamus-pituitary-thyroid (HPT) </w:t>
      </w:r>
      <w:r w:rsidRPr="004C3245">
        <w:rPr>
          <w:vertAlign w:val="superscript"/>
        </w:rPr>
        <w:t>27</w:t>
      </w:r>
      <w:r w:rsidRPr="004C3245">
        <w:t xml:space="preserve">. The major TH is the pro-hormone T4, which is chemically converted to a more potent TH, T3. Hypothyroidism is usually treated with medications that directly impact the level of T3 and T4 in the body. When these two hormones are regulated, they can stimulate optimal skeletal development. </w:t>
      </w:r>
    </w:p>
    <w:p w:rsidR="0037257D" w:rsidRPr="004C3245" w:rsidRDefault="0037257D" w:rsidP="0037257D">
      <w:r w:rsidRPr="004C3245">
        <w:tab/>
        <w:t xml:space="preserve">When the thyroid does not produce enough hormones to function properly, a patient is considered to have hypothyroidism, one of the more prevalent thyroid diseases. If untreated during childhood it can lead to growth retardation, disturbances of endochondral ossification, delayed bone age and persistent short stature </w:t>
      </w:r>
      <w:r w:rsidRPr="004C3245">
        <w:rPr>
          <w:vertAlign w:val="superscript"/>
        </w:rPr>
        <w:t>24,25,28</w:t>
      </w:r>
      <w:r w:rsidRPr="004C3245">
        <w:t xml:space="preserve">. Other morphological studies suggest that thyroid epithelium undergoes a degenerative process, which will lead to its flattening, and with the size of </w:t>
      </w:r>
      <w:r w:rsidRPr="004C3245">
        <w:lastRenderedPageBreak/>
        <w:t xml:space="preserve">the thyroid follicles diminishing, fibrous connective tissue and lymphoid tissue proliferates </w:t>
      </w:r>
      <w:r w:rsidRPr="004C3245">
        <w:rPr>
          <w:vertAlign w:val="superscript"/>
        </w:rPr>
        <w:t>27</w:t>
      </w:r>
      <w:r w:rsidRPr="004C3245">
        <w:t xml:space="preserve">. As the thyroid shrinks, the hormones secreted lower in both strength and frequency. This has a major impact on the skeletal development and bone mineral density of the individual. </w:t>
      </w:r>
    </w:p>
    <w:p w:rsidR="0037257D" w:rsidRPr="004C3245" w:rsidRDefault="0037257D" w:rsidP="0037257D">
      <w:r w:rsidRPr="004C3245">
        <w:tab/>
        <w:t>Hyperthyroidism occurs when the thyroid gland is overactive, thus increasing the rate of metabolism. With the lack of research on the effects of hyperthyroidism and its effect on BMD loss, a study published in 1993 looked to investigate the effects of endogenous subclinical hyperthyroidism due to solitary autonomously functioning thyroid nodule and its effects on bone metabolism and association of risk for the development of osteoporosis. A cross-sectional study was used to measure BMD in premenopausal women and post-menopausal women. These participants were placed into three categories: non-toxic nodular goiter (n=32), subclinical hyperthyroid (n=37), and toxic solitary autonomous thyroid nodule (n=22). These were matched by age and menopausal phase with a control group (n=68). The BMD sites that were measured were femoral neck, midshaft radius, and spine.</w:t>
      </w:r>
    </w:p>
    <w:p w:rsidR="0037257D" w:rsidRPr="004C3245" w:rsidRDefault="0037257D" w:rsidP="0037257D">
      <w:r w:rsidRPr="004C3245">
        <w:t xml:space="preserve"> In the non-toxic nodular goiter group, BMD for lumbar spine and neck did not differ from menopausal status and age-matched reference population. The L2-L4 site of the lumbar spine showed a statistically significant decrease in BMD, but only in the toxic nodular goiter group, and this decrease was more efficient in post-menopausal females (p&lt;0.001) than in premenopausal females (p&lt;0.05) </w:t>
      </w:r>
      <w:r w:rsidRPr="004C3245">
        <w:rPr>
          <w:vertAlign w:val="superscript"/>
        </w:rPr>
        <w:t>29</w:t>
      </w:r>
      <w:r w:rsidRPr="004C3245">
        <w:t xml:space="preserve">. At the femoral neck and midshaft radius, the average BMD measurements were slightly but still significantly lower only in the post-menopausal hyperthyroid group compared to the control (p&lt;0.01) </w:t>
      </w:r>
      <w:r w:rsidRPr="004C3245">
        <w:rPr>
          <w:vertAlign w:val="superscript"/>
        </w:rPr>
        <w:t>29</w:t>
      </w:r>
      <w:r w:rsidRPr="004C3245">
        <w:t xml:space="preserve">. In the toxic solitary nodule, the BMD of femoral neck and midshaft radius was significantly decreased in both pre- and post-menopausal cohorts </w:t>
      </w:r>
      <w:r w:rsidRPr="004C3245">
        <w:rPr>
          <w:vertAlign w:val="superscript"/>
        </w:rPr>
        <w:t>29</w:t>
      </w:r>
      <w:r w:rsidRPr="004C3245">
        <w:t xml:space="preserve">. This study concluded that BMD in lumbar spine, femoral neck, and midshaft of the radius are not </w:t>
      </w:r>
      <w:r w:rsidRPr="004C3245">
        <w:lastRenderedPageBreak/>
        <w:t xml:space="preserve">significantly decreased in pre-menopausal patients with endogenous subclinical hyperthyroidism, resulting from a solitary autonomously functioning thyroid nodule </w:t>
      </w:r>
      <w:r w:rsidRPr="004C3245">
        <w:rPr>
          <w:vertAlign w:val="superscript"/>
        </w:rPr>
        <w:t>29</w:t>
      </w:r>
      <w:r w:rsidRPr="004C3245">
        <w:t xml:space="preserve">. </w:t>
      </w:r>
    </w:p>
    <w:p w:rsidR="0037257D" w:rsidRPr="004C3245" w:rsidRDefault="0037257D" w:rsidP="0037257D">
      <w:r w:rsidRPr="004C3245">
        <w:t xml:space="preserve"> </w:t>
      </w:r>
      <w:r w:rsidRPr="004C3245">
        <w:tab/>
        <w:t xml:space="preserve">A prospective study, published in 1980, looked to investigate 22 patients diagnosed with hyperthyroidism and showed a 12.5% lower BMD at the lumbar spine when compared to healthy control group </w:t>
      </w:r>
      <w:r w:rsidRPr="004C3245">
        <w:rPr>
          <w:vertAlign w:val="superscript"/>
        </w:rPr>
        <w:t>30</w:t>
      </w:r>
      <w:r w:rsidRPr="004C3245">
        <w:t xml:space="preserve">. It showed that lumbar bone mineral content increased by 3.7% after one year </w:t>
      </w:r>
      <w:r w:rsidRPr="004C3245">
        <w:rPr>
          <w:vertAlign w:val="superscript"/>
        </w:rPr>
        <w:t>30</w:t>
      </w:r>
      <w:r w:rsidRPr="004C3245">
        <w:t xml:space="preserve">. Their findings show that an excess of thyroid hormones could lead to a negative spinal mineral balance and the results of BMD loss was clinically insignificant but still partially reversible through anti-thyroid treatment </w:t>
      </w:r>
      <w:r w:rsidRPr="004C3245">
        <w:rPr>
          <w:vertAlign w:val="superscript"/>
        </w:rPr>
        <w:t>30</w:t>
      </w:r>
      <w:r w:rsidRPr="004C3245">
        <w:t xml:space="preserve">. </w:t>
      </w:r>
    </w:p>
    <w:p w:rsidR="0037257D" w:rsidRPr="004C3245" w:rsidRDefault="0037257D" w:rsidP="0037383A">
      <w:pPr>
        <w:pStyle w:val="Heading3"/>
      </w:pPr>
      <w:bookmarkStart w:id="7" w:name="_Toc6485174"/>
      <w:r w:rsidRPr="004C3245">
        <w:t>Thyroid Hormone Medication Use and Bone Mineral Density</w:t>
      </w:r>
      <w:bookmarkEnd w:id="7"/>
    </w:p>
    <w:p w:rsidR="0037257D" w:rsidRPr="004C3245" w:rsidRDefault="0037257D" w:rsidP="0037257D">
      <w:r w:rsidRPr="004C3245">
        <w:tab/>
        <w:t xml:space="preserve">Studies regarding T3 have shown that it does not stimulate, inhibit, or proliferate osteoblast cells, but impacts osteoblast cell activity </w:t>
      </w:r>
      <w:r w:rsidRPr="004C3245">
        <w:rPr>
          <w:vertAlign w:val="superscript"/>
        </w:rPr>
        <w:t>31</w:t>
      </w:r>
      <w:r w:rsidRPr="004C3245">
        <w:t xml:space="preserve">. Specifically, it increases the expression of osteoblast differentiation markers collagen, osteocalcin, osteopontin, alkaline phosphatase, MMP9, and MMp13 in osteoblast </w:t>
      </w:r>
      <w:r w:rsidRPr="004C3245">
        <w:rPr>
          <w:vertAlign w:val="superscript"/>
        </w:rPr>
        <w:t>32,33-36</w:t>
      </w:r>
      <w:r w:rsidRPr="004C3245">
        <w:t xml:space="preserve">. T3 also influences key pathways that form osteoblast and osteoblast differentiation </w:t>
      </w:r>
      <w:r w:rsidRPr="004C3245">
        <w:rPr>
          <w:vertAlign w:val="superscript"/>
        </w:rPr>
        <w:t>26</w:t>
      </w:r>
      <w:r w:rsidRPr="004C3245">
        <w:t xml:space="preserve">. This supports the theory that T3 stimulates osteoblast activity both directly and indirectly. On the other hand, T3 stimulates osteoclastic bone resorption in the presence of osteoblasts, but this does not occur if the osteoblasts are absent </w:t>
      </w:r>
      <w:r w:rsidRPr="004C3245">
        <w:rPr>
          <w:vertAlign w:val="superscript"/>
        </w:rPr>
        <w:t>37,38</w:t>
      </w:r>
      <w:r w:rsidRPr="004C3245">
        <w:t xml:space="preserve">. This implies that the TH indirectly stimulates osteoclasts through the expression of RANKL and other cytokines involved in osteoclastogenesis </w:t>
      </w:r>
      <w:r w:rsidRPr="004C3245">
        <w:rPr>
          <w:vertAlign w:val="superscript"/>
        </w:rPr>
        <w:t>39</w:t>
      </w:r>
      <w:r w:rsidRPr="004C3245">
        <w:t xml:space="preserve">. This study supports that the functioning of TH does have an impact on the two important cells involved in bone resorption. </w:t>
      </w:r>
    </w:p>
    <w:p w:rsidR="0037257D" w:rsidRPr="004C3245" w:rsidRDefault="0037257D" w:rsidP="0037257D">
      <w:r w:rsidRPr="004C3245">
        <w:tab/>
        <w:t xml:space="preserve">One study looked at a total of 991 Caucasian women between the ages 50-98. Of the 991 study participants, 196 were identified as TH users for an average length of 20.4 years </w:t>
      </w:r>
      <w:r w:rsidRPr="004C3245">
        <w:rPr>
          <w:vertAlign w:val="superscript"/>
        </w:rPr>
        <w:t>40</w:t>
      </w:r>
      <w:r w:rsidRPr="004C3245">
        <w:t xml:space="preserve">. These participants were compared to the remaining 795. Results showed that women who had been taking </w:t>
      </w:r>
      <w:r w:rsidRPr="004C3245">
        <w:lastRenderedPageBreak/>
        <w:t xml:space="preserve">the daily (D) thyroxine-equivalent dose of 200 </w:t>
      </w:r>
      <w:r w:rsidRPr="004C3245">
        <w:rPr>
          <w:rFonts w:ascii="Cambria Math" w:eastAsia="Cambria Math" w:hAnsi="Cambria Math" w:cs="Cambria Math"/>
        </w:rPr>
        <w:t>𝞵</w:t>
      </w:r>
      <w:r w:rsidRPr="004C3245">
        <w:t>g or greater had a significantly lower BMD at the midshaft radius and hip compared to women who were taking less than 200</w:t>
      </w:r>
      <w:r w:rsidRPr="004C3245">
        <w:rPr>
          <w:rFonts w:ascii="Cambria Math" w:eastAsia="Cambria Math" w:hAnsi="Cambria Math" w:cs="Cambria Math"/>
        </w:rPr>
        <w:t>𝞵</w:t>
      </w:r>
      <w:r w:rsidRPr="004C3245">
        <w:t xml:space="preserve">g </w:t>
      </w:r>
      <w:r w:rsidRPr="004C3245">
        <w:rPr>
          <w:vertAlign w:val="superscript"/>
        </w:rPr>
        <w:t>40</w:t>
      </w:r>
      <w:r w:rsidRPr="004C3245">
        <w:t>. The daily dose of 1.6</w:t>
      </w:r>
      <w:r w:rsidRPr="004C3245">
        <w:rPr>
          <w:rFonts w:ascii="Cambria Math" w:eastAsia="Cambria Math" w:hAnsi="Cambria Math" w:cs="Cambria Math"/>
        </w:rPr>
        <w:t>𝞵</w:t>
      </w:r>
      <w:r w:rsidRPr="004C3245">
        <w:t>g/kg and higher was associated with decreased bone mass at the hip, ultradistal radius, midshaft radius, and lumbar spine when compared to the non-TH users. On the other hand, daily dose lower than 1.6</w:t>
      </w:r>
      <w:r w:rsidRPr="004C3245">
        <w:rPr>
          <w:rFonts w:ascii="Cambria Math" w:eastAsia="Cambria Math" w:hAnsi="Cambria Math" w:cs="Cambria Math"/>
        </w:rPr>
        <w:t>𝞵</w:t>
      </w:r>
      <w:r w:rsidRPr="004C3245">
        <w:t xml:space="preserve">g/kg was not associated with lower BMD levels </w:t>
      </w:r>
      <w:r w:rsidRPr="004C3245">
        <w:rPr>
          <w:vertAlign w:val="superscript"/>
        </w:rPr>
        <w:t>40</w:t>
      </w:r>
      <w:r w:rsidRPr="004C3245">
        <w:t xml:space="preserve">. These results were independent of age, BMI, smoking status, thiazide use, corticosteroids, and estrogen use. Their results indicate that long-term TH use at thyroxine-equivalent doses of 1.6 </w:t>
      </w:r>
      <w:r w:rsidRPr="004C3245">
        <w:rPr>
          <w:rFonts w:ascii="Cambria Math" w:eastAsia="Cambria Math" w:hAnsi="Cambria Math" w:cs="Cambria Math"/>
        </w:rPr>
        <w:t>𝞵</w:t>
      </w:r>
      <w:r w:rsidRPr="004C3245">
        <w:t xml:space="preserve">g/kg or larger was statistically significant with osteopenia at all four sites. These results suggest that increase in TH could decrease BMD in postmenopausal women. </w:t>
      </w:r>
    </w:p>
    <w:p w:rsidR="0037257D" w:rsidRPr="004C3245" w:rsidRDefault="0037257D" w:rsidP="0037257D">
      <w:r w:rsidRPr="004C3245">
        <w:t xml:space="preserve">Another study conducted in 1988 investigated the long-term effects of Levothyroxine (T4) in premenopausal women on their BMD </w:t>
      </w:r>
      <w:r w:rsidRPr="004C3245">
        <w:rPr>
          <w:vertAlign w:val="superscript"/>
        </w:rPr>
        <w:t>41</w:t>
      </w:r>
      <w:r w:rsidRPr="004C3245">
        <w:t xml:space="preserve">. The BMD of 31 premenopausal women was age and weight matched to 31 women who did not experience bone abnormalities or take thyroid medication </w:t>
      </w:r>
      <w:r w:rsidRPr="004C3245">
        <w:rPr>
          <w:vertAlign w:val="superscript"/>
        </w:rPr>
        <w:t>41</w:t>
      </w:r>
      <w:r w:rsidRPr="004C3245">
        <w:t xml:space="preserve">. The premenopausal women who received the T4 treatment had a 12.8% lower bone density at the femoral neck and 10.1% lower bone density at the femoral trochanter compared to their controls </w:t>
      </w:r>
      <w:r w:rsidRPr="004C3245">
        <w:rPr>
          <w:vertAlign w:val="superscript"/>
        </w:rPr>
        <w:t>41</w:t>
      </w:r>
      <w:r w:rsidRPr="004C3245">
        <w:t xml:space="preserve">. On the other hand, both groups had similar measurements in the lumbar spine recorded between both groups. These results suggest that premature exposure to T4 might not provide protective effects to BMD loss, but potentially enhance the progression of BMD loss in the hip and increase the total risk of age-related BMD loss. </w:t>
      </w:r>
    </w:p>
    <w:p w:rsidR="0037257D" w:rsidRPr="004C3245" w:rsidRDefault="0037257D" w:rsidP="0037257D">
      <w:r w:rsidRPr="004C3245">
        <w:tab/>
        <w:t xml:space="preserve">The treatment of hypothyroidism became a controversial topic, which led to the publication of a study in 1994 </w:t>
      </w:r>
      <w:r w:rsidRPr="004C3245">
        <w:rPr>
          <w:vertAlign w:val="superscript"/>
        </w:rPr>
        <w:t>42</w:t>
      </w:r>
      <w:r w:rsidRPr="004C3245">
        <w:t xml:space="preserve">. This study looked at the effects of T4 in the treatment of hypothyroidism, while considering confounding variables in the potential relationship. Ducan et al. collected measurements of 202 Caucasian women who were currently taking thyroid hormone to determine its effect on BMD measured by a number of clinical characteristics and parameters associated with </w:t>
      </w:r>
      <w:r w:rsidRPr="004C3245">
        <w:lastRenderedPageBreak/>
        <w:t xml:space="preserve">thyroid hormone therapy </w:t>
      </w:r>
      <w:r w:rsidRPr="004C3245">
        <w:rPr>
          <w:vertAlign w:val="superscript"/>
        </w:rPr>
        <w:t>42</w:t>
      </w:r>
      <w:r w:rsidRPr="004C3245">
        <w:t xml:space="preserve">.  BMD measurements of the spine (L2-L4) were taken from 195 participants and BMD ate three sites of the hip were taken from 157 participants. The BMD of the proximal radius was measured in 124 subjects. Their findings showed that an increase in age and any history of previous thyrotoxicosis were related to the deteriorating effect on spine BMD </w:t>
      </w:r>
      <w:r w:rsidRPr="004C3245">
        <w:rPr>
          <w:vertAlign w:val="superscript"/>
        </w:rPr>
        <w:t>42</w:t>
      </w:r>
      <w:r w:rsidRPr="004C3245">
        <w:t xml:space="preserve">. BMI was also found to have a positive correlation with spine BMD </w:t>
      </w:r>
      <w:r w:rsidRPr="004C3245">
        <w:rPr>
          <w:vertAlign w:val="superscript"/>
        </w:rPr>
        <w:t>42</w:t>
      </w:r>
      <w:r w:rsidRPr="004C3245">
        <w:t xml:space="preserve">. The dose or duration of the thyroid hormone, type of underlying thyroid disease, history of thyroidectomy, or serum-free thyroxine index had no effect on either the initial BMD or any change in spine BMD over time </w:t>
      </w:r>
      <w:r w:rsidRPr="004C3245">
        <w:rPr>
          <w:vertAlign w:val="superscript"/>
        </w:rPr>
        <w:t>42</w:t>
      </w:r>
      <w:r w:rsidRPr="004C3245">
        <w:t xml:space="preserve">. In hip BMD, age showed an inverse relationship in that as age increased hip BMD decreased </w:t>
      </w:r>
      <w:r w:rsidRPr="004C3245">
        <w:rPr>
          <w:vertAlign w:val="superscript"/>
        </w:rPr>
        <w:t>42</w:t>
      </w:r>
      <w:r w:rsidRPr="004C3245">
        <w:t xml:space="preserve">. History of thyrotoxicosis was associated with a decrease in hip BMD at all three sites (0.05&lt;p&lt;0.10) </w:t>
      </w:r>
      <w:r w:rsidRPr="004C3245">
        <w:rPr>
          <w:vertAlign w:val="superscript"/>
        </w:rPr>
        <w:t>42</w:t>
      </w:r>
      <w:r w:rsidRPr="004C3245">
        <w:t xml:space="preserve">. Calcium use, estrogen use, nodular thyroid disease, thyroidectomy, duration of hormone Rx, and average dose showed no clinical statistically significant effect on spine BMD. The same variables excluding average dose had no statistically significant effect on proximal radius BMD </w:t>
      </w:r>
      <w:r w:rsidRPr="004C3245">
        <w:rPr>
          <w:vertAlign w:val="superscript"/>
        </w:rPr>
        <w:t>42</w:t>
      </w:r>
      <w:r w:rsidRPr="004C3245">
        <w:t xml:space="preserve">. Their study concluded that thyroid hormone therapy was not associated with any significant effect on BMD of the spine or hip, but there was an observed decrease in proximal radius BMD that was related to previous thyrotoxicosis and to dose of thyroid hormone. </w:t>
      </w:r>
    </w:p>
    <w:p w:rsidR="0037257D" w:rsidRPr="004C3245" w:rsidRDefault="0037257D" w:rsidP="0037257D">
      <w:r w:rsidRPr="004C3245">
        <w:tab/>
        <w:t xml:space="preserve">Another study had somewhat similar results in that there could be a protective effect from using thyroid medication for slowing down the deterioration of BMD in postmenopausal women. Ribot’s research was a prospective study of the femoral and vertebral BMD in 49 hypothyroid participants who were given replacement doses of levothyroxine (135+/- 32 </w:t>
      </w:r>
      <w:r w:rsidRPr="004C3245">
        <w:rPr>
          <w:rFonts w:ascii="Cambria Math" w:eastAsia="Cambria Math" w:hAnsi="Cambria Math" w:cs="Cambria Math"/>
        </w:rPr>
        <w:t>𝞵</w:t>
      </w:r>
      <w:r w:rsidRPr="004C3245">
        <w:t xml:space="preserve">g/day); they were compared them to an untreated group. These women were separated into two groups: one received detectable serum of thyroid and the other received an undetectable serum. Among the primary hypothyroid patients, there was an average decrease of 5.4% (p&lt;0.001) in the vertebral BMD, 7.3% (P&lt;0.001) for trochanter, and 7% (P&lt;0.001) in the femoral neck was recorded after one full </w:t>
      </w:r>
      <w:r w:rsidRPr="004C3245">
        <w:lastRenderedPageBreak/>
        <w:t xml:space="preserve">year of treatment </w:t>
      </w:r>
      <w:r w:rsidRPr="004C3245">
        <w:rPr>
          <w:vertAlign w:val="superscript"/>
        </w:rPr>
        <w:t>43</w:t>
      </w:r>
      <w:r w:rsidRPr="004C3245">
        <w:t xml:space="preserve">. An ANOVA analysis was conducted to ensure that the observed decrease in BMD was not due to age or menopause status </w:t>
      </w:r>
      <w:r w:rsidRPr="004C3245">
        <w:rPr>
          <w:vertAlign w:val="superscript"/>
        </w:rPr>
        <w:t>43</w:t>
      </w:r>
      <w:r w:rsidRPr="004C3245">
        <w:t xml:space="preserve">. Within the cross-sectional component of this study, there was no significant difference observed in vertebral BMD from the age-matched normal values measured in patients who are either receiving either a substituted or suppressive dose. There was an effect on BMD loss around the first year of treatment, but no significant loss during year two of the study </w:t>
      </w:r>
      <w:r w:rsidRPr="004C3245">
        <w:rPr>
          <w:vertAlign w:val="superscript"/>
        </w:rPr>
        <w:t>43</w:t>
      </w:r>
      <w:r w:rsidRPr="004C3245">
        <w:t>.</w:t>
      </w:r>
    </w:p>
    <w:p w:rsidR="0037257D" w:rsidRPr="004C3245" w:rsidRDefault="0037257D" w:rsidP="0037257D">
      <w:r w:rsidRPr="004C3245">
        <w:t xml:space="preserve">A more recent study in 2014 looked to investigate previous research on the effects of thyroid hormone therapy on BMD </w:t>
      </w:r>
      <w:r w:rsidRPr="004C3245">
        <w:rPr>
          <w:vertAlign w:val="superscript"/>
        </w:rPr>
        <w:t>41</w:t>
      </w:r>
      <w:r w:rsidRPr="004C3245">
        <w:t xml:space="preserve">. The study had 150 women over the age of 50, with 100 diagnosed with hypothyroidism and 50 healthy women were all divided into three groups: Group A consisted of subjects with hypothyroidism, group B consisted of subjects with primary hypothyroidism for at least 2 years and were taking levothyroxine as treatment, group C consisted of healthy individuals (control group) </w:t>
      </w:r>
      <w:r w:rsidRPr="004C3245">
        <w:rPr>
          <w:vertAlign w:val="superscript"/>
        </w:rPr>
        <w:t>41</w:t>
      </w:r>
      <w:r w:rsidRPr="004C3245">
        <w:t xml:space="preserve">. A blood sample was taken to determine concentration of thyroid stimulating hormone (TSH) and the bone densitometry was used to determine the BMD, which was reported as a T-score to determine the stage of osteoporosis. The T-score of the lumbar vertebrae and femoral neck were taken with a DXA and were compared between the three groups. The study showed that there was not a significant difference in femoral neck T-score between the three groups, but the T-score at lumbar spine L2-L4 regions were significantly different (P=0.01) </w:t>
      </w:r>
      <w:r w:rsidRPr="004C3245">
        <w:rPr>
          <w:vertAlign w:val="superscript"/>
        </w:rPr>
        <w:t>41</w:t>
      </w:r>
      <w:r w:rsidRPr="004C3245">
        <w:t xml:space="preserve">. In group B, the prevalence of osteoporosis was 56% higher than the other treatment and control group </w:t>
      </w:r>
      <w:r w:rsidRPr="004C3245">
        <w:rPr>
          <w:vertAlign w:val="superscript"/>
        </w:rPr>
        <w:t>41</w:t>
      </w:r>
      <w:r w:rsidRPr="004C3245">
        <w:t xml:space="preserve">. The ANOVA test that was conducted indicated that there was a T-score at lumbar spine L2-L4 region between groups 2 and 3 (P=0.027) and between group 1 and 2 (P=0.034) was significantly different </w:t>
      </w:r>
      <w:r w:rsidRPr="004C3245">
        <w:rPr>
          <w:vertAlign w:val="superscript"/>
        </w:rPr>
        <w:t>41</w:t>
      </w:r>
      <w:r w:rsidRPr="004C3245">
        <w:t xml:space="preserve">. The regression analysis conducted did not show any correlation between serum TSH levels and T-score at femoral neck and lumbar spine (P&gt;0.05), but after they removed the effect of the baseline TSH level in group 2, there was a significant difference in prevalence of </w:t>
      </w:r>
      <w:r w:rsidRPr="004C3245">
        <w:lastRenderedPageBreak/>
        <w:t xml:space="preserve">osteoporosis at the lumbar spine between all groups (P=0.01) </w:t>
      </w:r>
      <w:r w:rsidRPr="004C3245">
        <w:rPr>
          <w:vertAlign w:val="superscript"/>
        </w:rPr>
        <w:t>41</w:t>
      </w:r>
      <w:r w:rsidRPr="004C3245">
        <w:t xml:space="preserve">. Their findings suggest that the treatment of hypothyroidism with thyroid hormones can reduce bone mineral density. </w:t>
      </w:r>
    </w:p>
    <w:p w:rsidR="0037257D" w:rsidRPr="004C3245" w:rsidRDefault="0037257D" w:rsidP="0037383A">
      <w:pPr>
        <w:pStyle w:val="Heading3"/>
      </w:pPr>
      <w:bookmarkStart w:id="8" w:name="_Toc6485175"/>
      <w:r w:rsidRPr="004C3245">
        <w:t>Other Factors Associated with Bone Mineral Density</w:t>
      </w:r>
      <w:bookmarkEnd w:id="8"/>
      <w:r w:rsidRPr="004C3245">
        <w:t xml:space="preserve"> </w:t>
      </w:r>
    </w:p>
    <w:p w:rsidR="0037257D" w:rsidRPr="004C3245" w:rsidRDefault="0037257D" w:rsidP="0037257D">
      <w:pPr>
        <w:rPr>
          <w:i/>
        </w:rPr>
      </w:pPr>
      <w:bookmarkStart w:id="9" w:name="_gjdgxs" w:colFirst="0" w:colLast="0"/>
      <w:bookmarkEnd w:id="9"/>
      <w:r w:rsidRPr="004C3245">
        <w:rPr>
          <w:i/>
        </w:rPr>
        <w:t>Negative Factors</w:t>
      </w:r>
    </w:p>
    <w:p w:rsidR="0037257D" w:rsidRPr="004C3245" w:rsidRDefault="0037257D" w:rsidP="0037257D">
      <w:r w:rsidRPr="004C3245">
        <w:t xml:space="preserve">As a woman transitions through menopause, decreasing levels of testosterone and estrogen have a negative effect on BMD </w:t>
      </w:r>
      <w:r w:rsidRPr="004C3245">
        <w:rPr>
          <w:vertAlign w:val="superscript"/>
        </w:rPr>
        <w:t>14,44,45,46,47</w:t>
      </w:r>
      <w:r w:rsidRPr="004C3245">
        <w:t xml:space="preserve">. Other factors that negatively affect BMD include smoking, chronic alcohol use, diabetes, glucocorticoid use, and inactivity </w:t>
      </w:r>
      <w:r w:rsidRPr="004C3245">
        <w:rPr>
          <w:vertAlign w:val="superscript"/>
        </w:rPr>
        <w:t>48,49,50,51</w:t>
      </w:r>
      <w:r w:rsidRPr="004C3245">
        <w:t xml:space="preserve">. </w:t>
      </w:r>
    </w:p>
    <w:p w:rsidR="0037257D" w:rsidRPr="004C3245" w:rsidRDefault="0037257D" w:rsidP="0037257D">
      <w:pPr>
        <w:rPr>
          <w:i/>
        </w:rPr>
      </w:pPr>
      <w:r w:rsidRPr="004C3245">
        <w:rPr>
          <w:i/>
        </w:rPr>
        <w:t>Positive Factors</w:t>
      </w:r>
    </w:p>
    <w:p w:rsidR="0037257D" w:rsidRPr="004C3245" w:rsidRDefault="0037257D" w:rsidP="0037257D">
      <w:r w:rsidRPr="004C3245">
        <w:tab/>
        <w:t>Certain medications have been found to have a positive effect on BMD; these include</w:t>
      </w:r>
    </w:p>
    <w:p w:rsidR="0037257D" w:rsidRPr="004C3245" w:rsidRDefault="0037257D" w:rsidP="0037257D">
      <w:r w:rsidRPr="004C3245">
        <w:t xml:space="preserve">Thiazide diuretics, hormone replacement therapy, insulin use calcium and vitamin D </w:t>
      </w:r>
      <w:r w:rsidRPr="004C3245">
        <w:rPr>
          <w:vertAlign w:val="superscript"/>
        </w:rPr>
        <w:t>3,53,54,55</w:t>
      </w:r>
      <w:r w:rsidRPr="004C3245">
        <w:t xml:space="preserve">.  African American women were also found to have a higher BMD compared to Caucasian, Japanese and Hispanic women </w:t>
      </w:r>
      <w:r w:rsidRPr="004C3245">
        <w:rPr>
          <w:vertAlign w:val="superscript"/>
        </w:rPr>
        <w:t>3</w:t>
      </w:r>
      <w:r w:rsidRPr="004C3245">
        <w:t>.</w:t>
      </w:r>
    </w:p>
    <w:p w:rsidR="0037257D" w:rsidRPr="004C3245" w:rsidRDefault="0037257D" w:rsidP="0037257D"/>
    <w:p w:rsidR="0037257D" w:rsidRPr="004C3245" w:rsidRDefault="0037257D" w:rsidP="0037257D"/>
    <w:p w:rsidR="0037257D" w:rsidRPr="004C3245" w:rsidRDefault="0037257D" w:rsidP="0037383A">
      <w:pPr>
        <w:pStyle w:val="Heading1"/>
      </w:pPr>
      <w:r w:rsidRPr="004C3245">
        <w:lastRenderedPageBreak/>
        <w:t xml:space="preserve"> </w:t>
      </w:r>
      <w:bookmarkStart w:id="10" w:name="_Toc6485176"/>
      <w:r w:rsidRPr="004C3245">
        <w:t>Methods and Analysis</w:t>
      </w:r>
      <w:bookmarkEnd w:id="10"/>
    </w:p>
    <w:p w:rsidR="0037257D" w:rsidRPr="004C3245" w:rsidRDefault="0037257D" w:rsidP="0037383A">
      <w:pPr>
        <w:pStyle w:val="Heading2"/>
      </w:pPr>
      <w:bookmarkStart w:id="11" w:name="_Toc6485177"/>
      <w:r w:rsidRPr="004C3245">
        <w:t>Study Design</w:t>
      </w:r>
      <w:bookmarkEnd w:id="11"/>
      <w:r w:rsidRPr="004C3245">
        <w:t xml:space="preserve"> </w:t>
      </w:r>
    </w:p>
    <w:p w:rsidR="0037257D" w:rsidRPr="004C3245" w:rsidRDefault="0037257D" w:rsidP="0037383A">
      <w:pPr>
        <w:pBdr>
          <w:top w:val="nil"/>
          <w:left w:val="nil"/>
          <w:bottom w:val="nil"/>
          <w:right w:val="nil"/>
          <w:between w:val="nil"/>
        </w:pBdr>
        <w:rPr>
          <w:color w:val="000000"/>
        </w:rPr>
      </w:pPr>
      <w:r w:rsidRPr="004C3245">
        <w:rPr>
          <w:rFonts w:eastAsia="Gungsuh"/>
          <w:color w:val="000000"/>
        </w:rPr>
        <w:t xml:space="preserve">SWAN began in between1996–1997, with the purpose of studying health changes during mid-life in a multi-ethnic community-based cohort of 3,302 women. The overall aim of SWAN is to examine a wide variety of health-related issues as women transition through menopause. The full study design and procedures, including recruitment and medication collection protocols have been described in detail elsewhere </w:t>
      </w:r>
      <w:r w:rsidRPr="004C3245">
        <w:rPr>
          <w:rFonts w:eastAsia="Gungsuh"/>
          <w:color w:val="000000"/>
          <w:vertAlign w:val="superscript"/>
        </w:rPr>
        <w:t>50</w:t>
      </w:r>
      <w:r w:rsidRPr="004C3245">
        <w:rPr>
          <w:rFonts w:eastAsia="Gungsuh"/>
          <w:color w:val="000000"/>
        </w:rPr>
        <w:t xml:space="preserve">. Briefly, seven sites across the USA enrolled women between the ages of 42 and 52 if they were pre or early perimenopausal, had an intact uterus, had at least one intact ovary, were not currently taking hormone therapy or oral contraceptives, were not pregnant or lactating, and had ≥1 menstrual period in the previous three months.  After enrollment, women were seen annually. Five of the seven sites conducted a bone health study, with BMD as one of its main outcomes; this involved 2365 women </w:t>
      </w:r>
      <w:r w:rsidRPr="004C3245">
        <w:rPr>
          <w:rFonts w:eastAsia="Gungsuh"/>
          <w:color w:val="000000"/>
          <w:vertAlign w:val="superscript"/>
        </w:rPr>
        <w:t>51</w:t>
      </w:r>
      <w:r w:rsidRPr="004C3245">
        <w:rPr>
          <w:rFonts w:eastAsia="Gungsuh"/>
          <w:color w:val="000000"/>
        </w:rPr>
        <w:t xml:space="preserve">.   </w:t>
      </w:r>
    </w:p>
    <w:p w:rsidR="0037257D" w:rsidRPr="004C3245" w:rsidRDefault="0037257D" w:rsidP="0037383A">
      <w:pPr>
        <w:pBdr>
          <w:top w:val="nil"/>
          <w:left w:val="nil"/>
          <w:bottom w:val="nil"/>
          <w:right w:val="nil"/>
          <w:between w:val="nil"/>
        </w:pBdr>
        <w:rPr>
          <w:color w:val="000000"/>
        </w:rPr>
      </w:pPr>
      <w:r w:rsidRPr="004C3245">
        <w:rPr>
          <w:color w:val="000000"/>
        </w:rPr>
        <w:t xml:space="preserve">The current analysis examined whether the initiation of thyroid hormone use in participants was associated with an increased loss of BMD at the femoral neck (FN), total hip and spine. To examine this, a new-user design was employed. A new-user design is a pharmacoepidemiology method that identifies a group of participants who initiate a drug, that is, who have never used thyroid medication before the start of the follow-up.    </w:t>
      </w:r>
    </w:p>
    <w:p w:rsidR="0037257D" w:rsidRPr="004C3245" w:rsidRDefault="0037257D" w:rsidP="0037383A">
      <w:pPr>
        <w:pBdr>
          <w:top w:val="nil"/>
          <w:left w:val="nil"/>
          <w:bottom w:val="nil"/>
          <w:right w:val="nil"/>
          <w:between w:val="nil"/>
        </w:pBdr>
        <w:rPr>
          <w:color w:val="000000"/>
        </w:rPr>
      </w:pPr>
      <w:r w:rsidRPr="004C3245">
        <w:rPr>
          <w:color w:val="000000"/>
        </w:rPr>
        <w:t xml:space="preserve">For those who had not reported thyroid hormone use, we randomly selected a frequency-matched non-user group a comparable baseline. This was to ensure a similar distribution of the baseline visit between the two groups. Then using propensity score matching we created a matched cohort of TH users and non-users. PS matching usually involves the formation of pairs of treated </w:t>
      </w:r>
      <w:r w:rsidRPr="004C3245">
        <w:rPr>
          <w:color w:val="000000"/>
        </w:rPr>
        <w:lastRenderedPageBreak/>
        <w:t xml:space="preserve">and untreated subjects with similar propensity scores. Greedy matching is commonly used for the formation of these pairs. This means that for a given treated subject, the closest untreated subject within the specified caliper distance is selected for matching to the treated subject. Logistic regression models are mostly used and those baseline variables that influence treatment assignment are included in the model. In this analysis, the following variables were used to calculate the PS: age, race/ethnicity osteoporosis, diabetes, and BMI </w:t>
      </w:r>
    </w:p>
    <w:p w:rsidR="0037257D" w:rsidRPr="004C3245" w:rsidRDefault="0037257D" w:rsidP="0037383A">
      <w:pPr>
        <w:pStyle w:val="Heading3"/>
      </w:pPr>
      <w:bookmarkStart w:id="12" w:name="_Toc6485178"/>
      <w:r w:rsidRPr="004C3245">
        <w:t>Assessment of Medication Use</w:t>
      </w:r>
      <w:bookmarkEnd w:id="12"/>
      <w:r w:rsidRPr="004C3245">
        <w:t xml:space="preserve"> </w:t>
      </w:r>
    </w:p>
    <w:p w:rsidR="0037257D" w:rsidRPr="004C3245" w:rsidRDefault="0037257D" w:rsidP="0037257D">
      <w:pPr>
        <w:pBdr>
          <w:top w:val="nil"/>
          <w:left w:val="nil"/>
          <w:bottom w:val="nil"/>
          <w:right w:val="nil"/>
          <w:between w:val="nil"/>
        </w:pBdr>
        <w:spacing w:before="280" w:after="280"/>
        <w:rPr>
          <w:color w:val="000000"/>
        </w:rPr>
      </w:pPr>
      <w:r w:rsidRPr="004C3245">
        <w:rPr>
          <w:color w:val="000000"/>
        </w:rPr>
        <w:t xml:space="preserve">Medication use was assessed at each SWAN study visit. Participants were asked about medications taken in the last three months, and responses were verified by visual inspection of medication bottles. If the participant forgot to bring medication containers to the study visit, a review of medication lists was performed. Each medication was then classified into its generic name and assigned a code according to a computerized medication dictionary (Iowa Drug Information Service (IDIS) Drug Vocabulary, College of Pharmacy, University of Iowa, Iowa City, IA).  Dosage information was not consistently listed and thus was not used for these analyses. </w:t>
      </w:r>
    </w:p>
    <w:p w:rsidR="0037257D" w:rsidRPr="004C3245" w:rsidRDefault="0037257D" w:rsidP="0037383A">
      <w:pPr>
        <w:pStyle w:val="Heading3"/>
      </w:pPr>
      <w:bookmarkStart w:id="13" w:name="_Toc6485179"/>
      <w:r w:rsidRPr="004C3245">
        <w:t>Bone mineral density measurements</w:t>
      </w:r>
      <w:bookmarkEnd w:id="13"/>
      <w:r w:rsidRPr="004C3245">
        <w:t xml:space="preserve"> </w:t>
      </w:r>
    </w:p>
    <w:p w:rsidR="0037257D" w:rsidRPr="004C3245" w:rsidRDefault="0037257D" w:rsidP="0037257D">
      <w:pPr>
        <w:pBdr>
          <w:top w:val="nil"/>
          <w:left w:val="nil"/>
          <w:bottom w:val="nil"/>
          <w:right w:val="nil"/>
          <w:between w:val="nil"/>
        </w:pBdr>
        <w:spacing w:before="280" w:after="280"/>
        <w:rPr>
          <w:color w:val="000000"/>
        </w:rPr>
      </w:pPr>
      <w:r w:rsidRPr="004C3245">
        <w:rPr>
          <w:color w:val="000000"/>
        </w:rPr>
        <w:t xml:space="preserve">The BMD (g/cm2) of the lumbar spine and femoral neck were measured annually using Hologic instruments (Hologic Inc, Waltham, Massachusetts). Three sites used Hologic 4500A models at baseline; two of these sites later upgraded to Discovery models, one at follow-up visit 12 and one at follow-up visit 13. Two sites started with 2000 models at baseline and both of upgraded to 4500 models at follow-up visit 8. Each site that upgraded its hardware scanned 40 </w:t>
      </w:r>
      <w:r w:rsidRPr="004C3245">
        <w:rPr>
          <w:color w:val="000000"/>
        </w:rPr>
        <w:lastRenderedPageBreak/>
        <w:t xml:space="preserve">volunteers on both old and new machines to develop cross-calibration regression equations, which were applied by the SWAN Coordinating Center. A standard quality control (QC) program was conducted in collaboration with QC centers at Synarc Inc (San Francisco, CA) from baseline to follow-up visit 10 and with the USCF DXA Quality Assurance Center (San Francisco, CA) thereafter. QC included daily phantom measurements, quarterly review of the daily QC plots by the QC centers with correction factors applied for drift if needed, local site review of all scans, and review of problem scans by a member of the SWAN Bone Committee. Short-term in vivo measurement variability was 0.014 g/cm2 (1.4%) for the LS and 0.016 g/cm2 (2.2%) for the FN. </w:t>
      </w:r>
    </w:p>
    <w:p w:rsidR="0037257D" w:rsidRPr="004C3245" w:rsidRDefault="0037257D" w:rsidP="0053570F">
      <w:pPr>
        <w:pStyle w:val="Heading3"/>
      </w:pPr>
      <w:bookmarkStart w:id="14" w:name="_Toc6485180"/>
      <w:r w:rsidRPr="004C3245">
        <w:t>Statistical Analysis</w:t>
      </w:r>
      <w:bookmarkEnd w:id="14"/>
      <w:r w:rsidRPr="004C3245">
        <w:t xml:space="preserve"> </w:t>
      </w:r>
    </w:p>
    <w:p w:rsidR="0037257D" w:rsidRPr="004C3245" w:rsidRDefault="0037257D" w:rsidP="0037257D">
      <w:pPr>
        <w:pBdr>
          <w:top w:val="nil"/>
          <w:left w:val="nil"/>
          <w:bottom w:val="nil"/>
          <w:right w:val="nil"/>
          <w:between w:val="nil"/>
        </w:pBdr>
        <w:spacing w:before="280" w:after="280"/>
        <w:rPr>
          <w:color w:val="000000"/>
        </w:rPr>
      </w:pPr>
      <w:r w:rsidRPr="004C3245">
        <w:rPr>
          <w:color w:val="000000"/>
        </w:rPr>
        <w:t xml:space="preserve">Descriptive statistics (mean, median, and range) of the baseline demographic variable, were calculated. Variables were transformed where necessary. Standardized mean differences (SMD) were then calculated to examine improvement in balance between the two groups. To compare the annualized rate of change in BMD among the TH users and non-users, a piecewise mixed-effects regression modeling strategy that included a random intercept and slope was used. BMD loss three years prior to medication use and up to seven years after medication use was examined. Factors selected a priori for inclusion in the base models included Age, Race, Body Mass Index (BMI), Menopausal Status, Thiazide Diuretic, and HRT. For consistency, if a covariate was found to be significant at one anatomical site (e.d., femoral neck), that covariate was forced into the other sites. Therefore, all final models for each comparison group contain the same covariates and included only the a priori variables and other covariates with P values &lt;0.05. SAS version 9.3 (SAS Institute, Inc., Cary, North Carolina) was used for the analyses. A greedy matching caliper was set at 0.2 of the standard deviation of the logit of the PS </w:t>
      </w:r>
      <w:r w:rsidRPr="004C3245">
        <w:rPr>
          <w:color w:val="000000"/>
          <w:vertAlign w:val="superscript"/>
        </w:rPr>
        <w:t>56</w:t>
      </w:r>
      <w:r w:rsidRPr="004C3245">
        <w:rPr>
          <w:color w:val="000000"/>
        </w:rPr>
        <w:t xml:space="preserve">.  </w:t>
      </w:r>
    </w:p>
    <w:p w:rsidR="0037257D" w:rsidRPr="004C3245" w:rsidRDefault="0037257D" w:rsidP="0053570F">
      <w:pPr>
        <w:pStyle w:val="Heading3"/>
      </w:pPr>
      <w:bookmarkStart w:id="15" w:name="_Toc6485181"/>
      <w:r w:rsidRPr="004C3245">
        <w:lastRenderedPageBreak/>
        <w:t>Covariates</w:t>
      </w:r>
      <w:bookmarkEnd w:id="15"/>
      <w:r w:rsidRPr="004C3245">
        <w:t xml:space="preserve"> </w:t>
      </w:r>
    </w:p>
    <w:p w:rsidR="0037257D" w:rsidRPr="004C3245" w:rsidRDefault="0037257D" w:rsidP="0037257D">
      <w:pPr>
        <w:pBdr>
          <w:top w:val="nil"/>
          <w:left w:val="nil"/>
          <w:bottom w:val="nil"/>
          <w:right w:val="nil"/>
          <w:between w:val="nil"/>
        </w:pBdr>
        <w:spacing w:before="280" w:after="280"/>
        <w:rPr>
          <w:color w:val="000000"/>
        </w:rPr>
      </w:pPr>
      <w:r w:rsidRPr="004C3245">
        <w:rPr>
          <w:color w:val="000000"/>
        </w:rPr>
        <w:t>Initial BMD measurements were taken of femoral neck, spine, and total hip. Other comorbidities were measured. Level of education was collected and separated into two groups; less than or equal to high school or greater than high school. Current tobacco use was determined and either classified or not currently using. The number of participants at each of the four sites (Michigan, Mass General, UC Davis, UCLA, and Pittsburgh) was determined. The menopausal status identified where each woman was in the menopausal transition. Women were categorized into either the pre-menopausal, early or late perimenopause, post-menopause, unknown due to hormone therapy or hysterectomy. Current medication use was also collected on hormone (estrogen/progesterone), bisphosphonates, thiazide diuretics, s</w:t>
      </w:r>
      <w:r w:rsidRPr="004C3245">
        <w:rPr>
          <w:color w:val="222222"/>
          <w:shd w:val="clear" w:color="auto" w:fill="FFFFFF"/>
        </w:rPr>
        <w:t>elective estrogen receptor modulators (</w:t>
      </w:r>
      <w:r w:rsidRPr="004C3245">
        <w:rPr>
          <w:color w:val="000000"/>
        </w:rPr>
        <w:t>SERMs), and g</w:t>
      </w:r>
      <w:r w:rsidRPr="004C3245">
        <w:rPr>
          <w:color w:val="222222"/>
          <w:shd w:val="clear" w:color="auto" w:fill="FFFFFF"/>
        </w:rPr>
        <w:t>onadotropin-releasing hormone </w:t>
      </w:r>
      <w:r w:rsidRPr="004C3245">
        <w:rPr>
          <w:color w:val="000000"/>
        </w:rPr>
        <w:t xml:space="preserve">(GnRH) use. The comorbid conditions that were collected were hyperlipidemia, hypertension, osteoarthritis, osteoporosis, cancer, cardiovascular disease, and diabetes. Current fractures measured along with how participants would categorizes their overall health. </w:t>
      </w:r>
    </w:p>
    <w:p w:rsidR="0037257D" w:rsidRPr="004C3245" w:rsidRDefault="0037257D" w:rsidP="0053570F">
      <w:pPr>
        <w:pStyle w:val="Heading1"/>
      </w:pPr>
      <w:bookmarkStart w:id="16" w:name="_Toc6485182"/>
      <w:r w:rsidRPr="004C3245">
        <w:lastRenderedPageBreak/>
        <w:t>Results</w:t>
      </w:r>
      <w:bookmarkEnd w:id="16"/>
      <w:r w:rsidRPr="004C3245">
        <w:t xml:space="preserve"> </w:t>
      </w:r>
    </w:p>
    <w:p w:rsidR="0037257D" w:rsidRPr="0053570F" w:rsidRDefault="0037257D" w:rsidP="0037257D">
      <w:pPr>
        <w:rPr>
          <w:i/>
        </w:rPr>
      </w:pPr>
      <w:r w:rsidRPr="0053570F">
        <w:rPr>
          <w:i/>
        </w:rPr>
        <w:t>Study Sample</w:t>
      </w:r>
    </w:p>
    <w:p w:rsidR="0037257D" w:rsidRDefault="0037257D" w:rsidP="0037257D">
      <w:r w:rsidRPr="004C3245">
        <w:t xml:space="preserve">A total of 3302 women were enrolled in the SWAN study and among them, 2365 women were enrolled in the bone cohort study. Women were categorized into TH users (n=313) and non-users (n=2052) based on their self-reported use of thyroid hormone use. After removing the prevalent users (n=133) and PS matching, 178 users and non-users remained in our study cohort (Figure 1). </w:t>
      </w:r>
    </w:p>
    <w:p w:rsidR="0081091F" w:rsidRDefault="0081091F" w:rsidP="0037257D"/>
    <w:p w:rsidR="0081091F" w:rsidRDefault="0081091F" w:rsidP="0037257D"/>
    <w:p w:rsidR="0081091F" w:rsidRDefault="0081091F" w:rsidP="0037257D"/>
    <w:p w:rsidR="0081091F" w:rsidRDefault="0081091F" w:rsidP="0037257D"/>
    <w:p w:rsidR="0081091F" w:rsidRDefault="0081091F" w:rsidP="0037257D"/>
    <w:p w:rsidR="0081091F" w:rsidRDefault="0081091F" w:rsidP="0037257D"/>
    <w:p w:rsidR="0081091F" w:rsidRDefault="0081091F" w:rsidP="0037257D"/>
    <w:p w:rsidR="0081091F" w:rsidRDefault="0081091F" w:rsidP="0037257D"/>
    <w:p w:rsidR="0081091F" w:rsidRDefault="0081091F" w:rsidP="0037257D"/>
    <w:p w:rsidR="0081091F" w:rsidRDefault="0081091F" w:rsidP="0037257D"/>
    <w:p w:rsidR="0081091F" w:rsidRDefault="0081091F" w:rsidP="0037257D"/>
    <w:p w:rsidR="0081091F" w:rsidRDefault="0081091F" w:rsidP="0037257D"/>
    <w:p w:rsidR="0081091F" w:rsidRDefault="0081091F" w:rsidP="0037257D"/>
    <w:p w:rsidR="0081091F" w:rsidRDefault="0081091F" w:rsidP="0037257D"/>
    <w:p w:rsidR="0081091F" w:rsidRDefault="0081091F" w:rsidP="0037257D"/>
    <w:p w:rsidR="00E05E1D" w:rsidRPr="004C3245" w:rsidRDefault="00E05E1D" w:rsidP="00E05E1D">
      <w:pPr>
        <w:spacing w:line="240" w:lineRule="auto"/>
      </w:pPr>
      <w:r w:rsidRPr="004C3245">
        <w:rPr>
          <w:noProof/>
        </w:rPr>
        <w:lastRenderedPageBreak/>
        <mc:AlternateContent>
          <mc:Choice Requires="wps">
            <w:drawing>
              <wp:anchor distT="0" distB="0" distL="114300" distR="114300" simplePos="0" relativeHeight="251680768" behindDoc="0" locked="0" layoutInCell="1" allowOverlap="1" wp14:anchorId="3F760543" wp14:editId="2DB4AEE3">
                <wp:simplePos x="0" y="0"/>
                <wp:positionH relativeFrom="column">
                  <wp:posOffset>3162300</wp:posOffset>
                </wp:positionH>
                <wp:positionV relativeFrom="paragraph">
                  <wp:posOffset>752474</wp:posOffset>
                </wp:positionV>
                <wp:extent cx="1459230" cy="828675"/>
                <wp:effectExtent l="0" t="0" r="26670" b="28575"/>
                <wp:wrapNone/>
                <wp:docPr id="11" name="Text Box 11"/>
                <wp:cNvGraphicFramePr/>
                <a:graphic xmlns:a="http://schemas.openxmlformats.org/drawingml/2006/main">
                  <a:graphicData uri="http://schemas.microsoft.com/office/word/2010/wordprocessingShape">
                    <wps:wsp>
                      <wps:cNvSpPr txBox="1"/>
                      <wps:spPr>
                        <a:xfrm>
                          <a:off x="0" y="0"/>
                          <a:ext cx="1459230" cy="828675"/>
                        </a:xfrm>
                        <a:prstGeom prst="rect">
                          <a:avLst/>
                        </a:prstGeom>
                        <a:solidFill>
                          <a:schemeClr val="lt1"/>
                        </a:solidFill>
                        <a:ln w="6350">
                          <a:solidFill>
                            <a:prstClr val="black"/>
                          </a:solidFill>
                        </a:ln>
                      </wps:spPr>
                      <wps:txbx>
                        <w:txbxContent>
                          <w:p w:rsidR="00863956" w:rsidRPr="005F79B6" w:rsidRDefault="00863956" w:rsidP="005F79B6">
                            <w:pPr>
                              <w:spacing w:line="240" w:lineRule="auto"/>
                              <w:ind w:firstLine="270"/>
                              <w:jc w:val="center"/>
                              <w:rPr>
                                <w:sz w:val="22"/>
                                <w:szCs w:val="22"/>
                              </w:rPr>
                            </w:pPr>
                            <w:r w:rsidRPr="005F79B6">
                              <w:rPr>
                                <w:sz w:val="22"/>
                                <w:szCs w:val="22"/>
                              </w:rPr>
                              <w:t>Women not enrolled in SWAN bone cohort</w:t>
                            </w:r>
                          </w:p>
                          <w:p w:rsidR="00863956" w:rsidRPr="005F79B6" w:rsidRDefault="00863956" w:rsidP="005F79B6">
                            <w:pPr>
                              <w:ind w:firstLine="270"/>
                              <w:jc w:val="center"/>
                              <w:rPr>
                                <w:sz w:val="22"/>
                                <w:szCs w:val="22"/>
                              </w:rPr>
                            </w:pPr>
                            <w:r w:rsidRPr="005F79B6">
                              <w:rPr>
                                <w:sz w:val="22"/>
                                <w:szCs w:val="22"/>
                              </w:rPr>
                              <w:t>n=937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60543" id="_x0000_t202" coordsize="21600,21600" o:spt="202" path="m,l,21600r21600,l21600,xe">
                <v:stroke joinstyle="miter"/>
                <v:path gradientshapeok="t" o:connecttype="rect"/>
              </v:shapetype>
              <v:shape id="Text Box 11" o:spid="_x0000_s1026" type="#_x0000_t202" style="position:absolute;left:0;text-align:left;margin-left:249pt;margin-top:59.25pt;width:114.9pt;height:6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" fillcolor="white [3201]" strokeweight=".5pt">
                <v:textbox>
                  <w:txbxContent>
                    <w:p w:rsidR="00863956" w:rsidRPr="005F79B6" w:rsidRDefault="00863956" w:rsidP="005F79B6">
                      <w:pPr>
                        <w:spacing w:line="240" w:lineRule="auto"/>
                        <w:ind w:firstLine="270"/>
                        <w:jc w:val="center"/>
                        <w:rPr>
                          <w:sz w:val="22"/>
                          <w:szCs w:val="22"/>
                        </w:rPr>
                      </w:pPr>
                      <w:r w:rsidRPr="005F79B6">
                        <w:rPr>
                          <w:sz w:val="22"/>
                          <w:szCs w:val="22"/>
                        </w:rPr>
                        <w:t>Women not enrolled in SWAN bone cohort</w:t>
                      </w:r>
                    </w:p>
                    <w:p w:rsidR="00863956" w:rsidRPr="005F79B6" w:rsidRDefault="00863956" w:rsidP="005F79B6">
                      <w:pPr>
                        <w:ind w:firstLine="270"/>
                        <w:jc w:val="center"/>
                        <w:rPr>
                          <w:sz w:val="22"/>
                          <w:szCs w:val="22"/>
                        </w:rPr>
                      </w:pPr>
                      <w:r w:rsidRPr="005F79B6">
                        <w:rPr>
                          <w:sz w:val="22"/>
                          <w:szCs w:val="22"/>
                        </w:rPr>
                        <w:t>n=937</w:t>
                      </w:r>
                    </w:p>
                  </w:txbxContent>
                </v:textbox>
              </v:shape>
            </w:pict>
          </mc:Fallback>
        </mc:AlternateContent>
      </w:r>
      <w:r w:rsidRPr="004C3245">
        <w:rPr>
          <w:noProof/>
        </w:rPr>
        <mc:AlternateContent>
          <mc:Choice Requires="wps">
            <w:drawing>
              <wp:anchor distT="0" distB="0" distL="114300" distR="114300" simplePos="0" relativeHeight="251682816" behindDoc="0" locked="0" layoutInCell="1" allowOverlap="1" wp14:anchorId="07A60240" wp14:editId="06B1052E">
                <wp:simplePos x="0" y="0"/>
                <wp:positionH relativeFrom="column">
                  <wp:posOffset>-738231</wp:posOffset>
                </wp:positionH>
                <wp:positionV relativeFrom="paragraph">
                  <wp:posOffset>2676088</wp:posOffset>
                </wp:positionV>
                <wp:extent cx="1694180" cy="822121"/>
                <wp:effectExtent l="0" t="0" r="7620" b="16510"/>
                <wp:wrapNone/>
                <wp:docPr id="23" name="Text Box 23"/>
                <wp:cNvGraphicFramePr/>
                <a:graphic xmlns:a="http://schemas.openxmlformats.org/drawingml/2006/main">
                  <a:graphicData uri="http://schemas.microsoft.com/office/word/2010/wordprocessingShape">
                    <wps:wsp>
                      <wps:cNvSpPr txBox="1"/>
                      <wps:spPr>
                        <a:xfrm>
                          <a:off x="0" y="0"/>
                          <a:ext cx="1694180" cy="822121"/>
                        </a:xfrm>
                        <a:prstGeom prst="rect">
                          <a:avLst/>
                        </a:prstGeom>
                        <a:solidFill>
                          <a:schemeClr val="lt1"/>
                        </a:solidFill>
                        <a:ln w="6350">
                          <a:solidFill>
                            <a:prstClr val="black"/>
                          </a:solidFill>
                        </a:ln>
                      </wps:spPr>
                      <wps:txbx>
                        <w:txbxContent>
                          <w:p w:rsidR="00863956" w:rsidRPr="005F79B6" w:rsidRDefault="00863956" w:rsidP="005F79B6">
                            <w:pPr>
                              <w:spacing w:line="240" w:lineRule="auto"/>
                              <w:ind w:firstLine="0"/>
                              <w:jc w:val="center"/>
                              <w:rPr>
                                <w:sz w:val="22"/>
                                <w:szCs w:val="22"/>
                              </w:rPr>
                            </w:pPr>
                            <w:r w:rsidRPr="005F79B6">
                              <w:rPr>
                                <w:sz w:val="22"/>
                                <w:szCs w:val="22"/>
                              </w:rPr>
                              <w:t>Women who never initiated thyroid medication</w:t>
                            </w:r>
                          </w:p>
                          <w:p w:rsidR="00863956" w:rsidRPr="005F79B6" w:rsidRDefault="00863956" w:rsidP="005F79B6">
                            <w:pPr>
                              <w:ind w:firstLine="0"/>
                              <w:jc w:val="center"/>
                              <w:rPr>
                                <w:sz w:val="22"/>
                                <w:szCs w:val="22"/>
                              </w:rPr>
                            </w:pPr>
                            <w:r w:rsidRPr="005F79B6">
                              <w:rPr>
                                <w:sz w:val="22"/>
                                <w:szCs w:val="22"/>
                              </w:rPr>
                              <w:t>n=2052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60240" id="Text Box 23" o:spid="_x0000_s1027" type="#_x0000_t202" style="position:absolute;left:0;text-align:left;margin-left:-58.15pt;margin-top:210.7pt;width:133.4pt;height:6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" fillcolor="white [3201]" strokeweight=".5pt">
                <v:textbox>
                  <w:txbxContent>
                    <w:p w:rsidR="00863956" w:rsidRPr="005F79B6" w:rsidRDefault="00863956" w:rsidP="005F79B6">
                      <w:pPr>
                        <w:spacing w:line="240" w:lineRule="auto"/>
                        <w:ind w:firstLine="0"/>
                        <w:jc w:val="center"/>
                        <w:rPr>
                          <w:sz w:val="22"/>
                          <w:szCs w:val="22"/>
                        </w:rPr>
                      </w:pPr>
                      <w:r w:rsidRPr="005F79B6">
                        <w:rPr>
                          <w:sz w:val="22"/>
                          <w:szCs w:val="22"/>
                        </w:rPr>
                        <w:t>Women who never initiated thyroid medication</w:t>
                      </w:r>
                    </w:p>
                    <w:p w:rsidR="00863956" w:rsidRPr="005F79B6" w:rsidRDefault="00863956" w:rsidP="005F79B6">
                      <w:pPr>
                        <w:ind w:firstLine="0"/>
                        <w:jc w:val="center"/>
                        <w:rPr>
                          <w:sz w:val="22"/>
                          <w:szCs w:val="22"/>
                        </w:rPr>
                      </w:pPr>
                      <w:r w:rsidRPr="005F79B6">
                        <w:rPr>
                          <w:sz w:val="22"/>
                          <w:szCs w:val="22"/>
                        </w:rPr>
                        <w:t>n=2052</w:t>
                      </w:r>
                    </w:p>
                  </w:txbxContent>
                </v:textbox>
              </v:shape>
            </w:pict>
          </mc:Fallback>
        </mc:AlternateContent>
      </w:r>
      <w:r w:rsidRPr="004C3245">
        <w:rPr>
          <w:noProof/>
        </w:rPr>
        <mc:AlternateContent>
          <mc:Choice Requires="wps">
            <w:drawing>
              <wp:anchor distT="0" distB="0" distL="114300" distR="114300" simplePos="0" relativeHeight="251681792" behindDoc="0" locked="0" layoutInCell="1" allowOverlap="1" wp14:anchorId="50206477" wp14:editId="05BB1043">
                <wp:simplePos x="0" y="0"/>
                <wp:positionH relativeFrom="column">
                  <wp:posOffset>956345</wp:posOffset>
                </wp:positionH>
                <wp:positionV relativeFrom="paragraph">
                  <wp:posOffset>1954635</wp:posOffset>
                </wp:positionV>
                <wp:extent cx="662730" cy="889233"/>
                <wp:effectExtent l="25400" t="0" r="10795" b="76200"/>
                <wp:wrapNone/>
                <wp:docPr id="24" name="Elbow Connector 24"/>
                <wp:cNvGraphicFramePr/>
                <a:graphic xmlns:a="http://schemas.openxmlformats.org/drawingml/2006/main">
                  <a:graphicData uri="http://schemas.microsoft.com/office/word/2010/wordprocessingShape">
                    <wps:wsp>
                      <wps:cNvCnPr/>
                      <wps:spPr>
                        <a:xfrm flipH="1">
                          <a:off x="0" y="0"/>
                          <a:ext cx="662730" cy="889233"/>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EC2CA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26" type="#_x0000_t34" style="position:absolute;margin-left:75.3pt;margin-top:153.9pt;width:52.2pt;height:70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" strokecolor="#5b9bd5 [3204]" strokeweight=".5pt">
                <v:stroke endarrow="block"/>
              </v:shape>
            </w:pict>
          </mc:Fallback>
        </mc:AlternateContent>
      </w:r>
      <w:r w:rsidRPr="004C3245">
        <w:rPr>
          <w:noProof/>
        </w:rPr>
        <mc:AlternateContent>
          <mc:Choice Requires="wps">
            <w:drawing>
              <wp:anchor distT="0" distB="0" distL="114300" distR="114300" simplePos="0" relativeHeight="251679744" behindDoc="0" locked="0" layoutInCell="1" allowOverlap="1" wp14:anchorId="746B8472" wp14:editId="5BC50CC3">
                <wp:simplePos x="0" y="0"/>
                <wp:positionH relativeFrom="column">
                  <wp:posOffset>2353694</wp:posOffset>
                </wp:positionH>
                <wp:positionV relativeFrom="paragraph">
                  <wp:posOffset>1065402</wp:posOffset>
                </wp:positionV>
                <wp:extent cx="808956" cy="0"/>
                <wp:effectExtent l="0" t="63500" r="0" b="76200"/>
                <wp:wrapNone/>
                <wp:docPr id="25" name="Straight Arrow Connector 25"/>
                <wp:cNvGraphicFramePr/>
                <a:graphic xmlns:a="http://schemas.openxmlformats.org/drawingml/2006/main">
                  <a:graphicData uri="http://schemas.microsoft.com/office/word/2010/wordprocessingShape">
                    <wps:wsp>
                      <wps:cNvCnPr/>
                      <wps:spPr>
                        <a:xfrm>
                          <a:off x="0" y="0"/>
                          <a:ext cx="80895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374A7D" id="_x0000_t32" coordsize="21600,21600" o:spt="32" o:oned="t" path="m,l21600,21600e" filled="f">
                <v:path arrowok="t" fillok="f" o:connecttype="none"/>
                <o:lock v:ext="edit" shapetype="t"/>
              </v:shapetype>
              <v:shape id="Straight Arrow Connector 25" o:spid="_x0000_s1026" type="#_x0000_t32" style="position:absolute;margin-left:185.35pt;margin-top:83.9pt;width:63.7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" strokecolor="#5b9bd5 [3204]" strokeweight=".5pt">
                <v:stroke endarrow="block" joinstyle="miter"/>
              </v:shape>
            </w:pict>
          </mc:Fallback>
        </mc:AlternateContent>
      </w:r>
      <w:r w:rsidRPr="004C3245">
        <w:rPr>
          <w:noProof/>
        </w:rPr>
        <mc:AlternateContent>
          <mc:Choice Requires="wps">
            <w:drawing>
              <wp:anchor distT="0" distB="0" distL="114300" distR="114300" simplePos="0" relativeHeight="251678720" behindDoc="0" locked="0" layoutInCell="1" allowOverlap="1" wp14:anchorId="31877EB7" wp14:editId="3614FF35">
                <wp:simplePos x="0" y="0"/>
                <wp:positionH relativeFrom="column">
                  <wp:posOffset>1677798</wp:posOffset>
                </wp:positionH>
                <wp:positionV relativeFrom="paragraph">
                  <wp:posOffset>1644242</wp:posOffset>
                </wp:positionV>
                <wp:extent cx="1350628" cy="679508"/>
                <wp:effectExtent l="0" t="0" r="8890" b="19050"/>
                <wp:wrapNone/>
                <wp:docPr id="26" name="Text Box 26"/>
                <wp:cNvGraphicFramePr/>
                <a:graphic xmlns:a="http://schemas.openxmlformats.org/drawingml/2006/main">
                  <a:graphicData uri="http://schemas.microsoft.com/office/word/2010/wordprocessingShape">
                    <wps:wsp>
                      <wps:cNvSpPr txBox="1"/>
                      <wps:spPr>
                        <a:xfrm>
                          <a:off x="0" y="0"/>
                          <a:ext cx="1350628" cy="679508"/>
                        </a:xfrm>
                        <a:prstGeom prst="rect">
                          <a:avLst/>
                        </a:prstGeom>
                        <a:solidFill>
                          <a:schemeClr val="lt1"/>
                        </a:solidFill>
                        <a:ln w="6350">
                          <a:solidFill>
                            <a:prstClr val="black"/>
                          </a:solidFill>
                        </a:ln>
                      </wps:spPr>
                      <wps:txbx>
                        <w:txbxContent>
                          <w:p w:rsidR="00863956" w:rsidRPr="005F79B6" w:rsidRDefault="00863956" w:rsidP="005F79B6">
                            <w:pPr>
                              <w:spacing w:line="240" w:lineRule="auto"/>
                              <w:ind w:firstLine="0"/>
                              <w:jc w:val="center"/>
                              <w:rPr>
                                <w:sz w:val="22"/>
                                <w:szCs w:val="22"/>
                              </w:rPr>
                            </w:pPr>
                            <w:r w:rsidRPr="005F79B6">
                              <w:rPr>
                                <w:sz w:val="22"/>
                                <w:szCs w:val="22"/>
                              </w:rPr>
                              <w:t>SWAN Bone Cohort</w:t>
                            </w:r>
                          </w:p>
                          <w:p w:rsidR="00863956" w:rsidRPr="005F79B6" w:rsidRDefault="00863956" w:rsidP="005F79B6">
                            <w:pPr>
                              <w:ind w:firstLine="0"/>
                              <w:jc w:val="center"/>
                              <w:rPr>
                                <w:sz w:val="22"/>
                                <w:szCs w:val="22"/>
                              </w:rPr>
                            </w:pPr>
                            <w:r w:rsidRPr="005F79B6">
                              <w:rPr>
                                <w:sz w:val="22"/>
                                <w:szCs w:val="22"/>
                              </w:rPr>
                              <w:t>n=2365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77EB7" id="Text Box 26" o:spid="_x0000_s1028" type="#_x0000_t202" style="position:absolute;left:0;text-align:left;margin-left:132.1pt;margin-top:129.45pt;width:106.35pt;height:5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" fillcolor="white [3201]" strokeweight=".5pt">
                <v:textbox>
                  <w:txbxContent>
                    <w:p w:rsidR="00863956" w:rsidRPr="005F79B6" w:rsidRDefault="00863956" w:rsidP="005F79B6">
                      <w:pPr>
                        <w:spacing w:line="240" w:lineRule="auto"/>
                        <w:ind w:firstLine="0"/>
                        <w:jc w:val="center"/>
                        <w:rPr>
                          <w:sz w:val="22"/>
                          <w:szCs w:val="22"/>
                        </w:rPr>
                      </w:pPr>
                      <w:r w:rsidRPr="005F79B6">
                        <w:rPr>
                          <w:sz w:val="22"/>
                          <w:szCs w:val="22"/>
                        </w:rPr>
                        <w:t>SWAN Bone Cohort</w:t>
                      </w:r>
                    </w:p>
                    <w:p w:rsidR="00863956" w:rsidRPr="005F79B6" w:rsidRDefault="00863956" w:rsidP="005F79B6">
                      <w:pPr>
                        <w:ind w:firstLine="0"/>
                        <w:jc w:val="center"/>
                        <w:rPr>
                          <w:sz w:val="22"/>
                          <w:szCs w:val="22"/>
                        </w:rPr>
                      </w:pPr>
                      <w:r w:rsidRPr="005F79B6">
                        <w:rPr>
                          <w:sz w:val="22"/>
                          <w:szCs w:val="22"/>
                        </w:rPr>
                        <w:t>n=2365</w:t>
                      </w:r>
                    </w:p>
                  </w:txbxContent>
                </v:textbox>
              </v:shape>
            </w:pict>
          </mc:Fallback>
        </mc:AlternateContent>
      </w:r>
      <w:r w:rsidRPr="004C3245">
        <w:rPr>
          <w:noProof/>
        </w:rPr>
        <mc:AlternateContent>
          <mc:Choice Requires="wps">
            <w:drawing>
              <wp:anchor distT="0" distB="0" distL="114300" distR="114300" simplePos="0" relativeHeight="251677696" behindDoc="0" locked="0" layoutInCell="1" allowOverlap="1" wp14:anchorId="5E8F6E17" wp14:editId="3F7F6064">
                <wp:simplePos x="0" y="0"/>
                <wp:positionH relativeFrom="column">
                  <wp:posOffset>2357306</wp:posOffset>
                </wp:positionH>
                <wp:positionV relativeFrom="paragraph">
                  <wp:posOffset>654184</wp:posOffset>
                </wp:positionV>
                <wp:extent cx="0" cy="990058"/>
                <wp:effectExtent l="63500" t="0" r="38100" b="38735"/>
                <wp:wrapNone/>
                <wp:docPr id="27" name="Straight Arrow Connector 27"/>
                <wp:cNvGraphicFramePr/>
                <a:graphic xmlns:a="http://schemas.openxmlformats.org/drawingml/2006/main">
                  <a:graphicData uri="http://schemas.microsoft.com/office/word/2010/wordprocessingShape">
                    <wps:wsp>
                      <wps:cNvCnPr/>
                      <wps:spPr>
                        <a:xfrm>
                          <a:off x="0" y="0"/>
                          <a:ext cx="0" cy="9900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2E6B37" id="Straight Arrow Connector 27" o:spid="_x0000_s1026" type="#_x0000_t32" style="position:absolute;margin-left:185.6pt;margin-top:51.5pt;width:0;height:77.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" strokecolor="#5b9bd5 [3204]" strokeweight=".5pt">
                <v:stroke endarrow="block" joinstyle="miter"/>
              </v:shape>
            </w:pict>
          </mc:Fallback>
        </mc:AlternateContent>
      </w:r>
      <w:r w:rsidRPr="004C3245">
        <w:rPr>
          <w:noProof/>
        </w:rPr>
        <mc:AlternateContent>
          <mc:Choice Requires="wps">
            <w:drawing>
              <wp:anchor distT="0" distB="0" distL="114300" distR="114300" simplePos="0" relativeHeight="251676672" behindDoc="0" locked="0" layoutInCell="1" allowOverlap="1" wp14:anchorId="14A1B5B8" wp14:editId="1AC52212">
                <wp:simplePos x="0" y="0"/>
                <wp:positionH relativeFrom="column">
                  <wp:posOffset>1727124</wp:posOffset>
                </wp:positionH>
                <wp:positionV relativeFrom="paragraph">
                  <wp:posOffset>8255</wp:posOffset>
                </wp:positionV>
                <wp:extent cx="1199626" cy="645952"/>
                <wp:effectExtent l="0" t="0" r="6985" b="14605"/>
                <wp:wrapNone/>
                <wp:docPr id="28" name="Text Box 28"/>
                <wp:cNvGraphicFramePr/>
                <a:graphic xmlns:a="http://schemas.openxmlformats.org/drawingml/2006/main">
                  <a:graphicData uri="http://schemas.microsoft.com/office/word/2010/wordprocessingShape">
                    <wps:wsp>
                      <wps:cNvSpPr txBox="1"/>
                      <wps:spPr>
                        <a:xfrm>
                          <a:off x="0" y="0"/>
                          <a:ext cx="1199626" cy="645952"/>
                        </a:xfrm>
                        <a:prstGeom prst="rect">
                          <a:avLst/>
                        </a:prstGeom>
                        <a:solidFill>
                          <a:schemeClr val="lt1"/>
                        </a:solidFill>
                        <a:ln w="6350">
                          <a:solidFill>
                            <a:prstClr val="black"/>
                          </a:solidFill>
                        </a:ln>
                      </wps:spPr>
                      <wps:txbx>
                        <w:txbxContent>
                          <w:p w:rsidR="00863956" w:rsidRPr="005F79B6" w:rsidRDefault="00863956" w:rsidP="005F79B6">
                            <w:pPr>
                              <w:spacing w:line="240" w:lineRule="auto"/>
                              <w:ind w:firstLine="0"/>
                              <w:jc w:val="center"/>
                              <w:rPr>
                                <w:sz w:val="22"/>
                                <w:szCs w:val="22"/>
                              </w:rPr>
                            </w:pPr>
                            <w:r w:rsidRPr="005F79B6">
                              <w:rPr>
                                <w:sz w:val="22"/>
                                <w:szCs w:val="22"/>
                              </w:rPr>
                              <w:t>Women enrolled in SWAN study</w:t>
                            </w:r>
                          </w:p>
                          <w:p w:rsidR="00863956" w:rsidRPr="000F6D1B" w:rsidRDefault="00863956" w:rsidP="005F79B6">
                            <w:pPr>
                              <w:ind w:firstLine="0"/>
                              <w:jc w:val="center"/>
                            </w:pPr>
                            <w:r w:rsidRPr="000F6D1B">
                              <w:t>N=3302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1B5B8" id="Text Box 28" o:spid="_x0000_s1029" type="#_x0000_t202" style="position:absolute;left:0;text-align:left;margin-left:136pt;margin-top:.65pt;width:94.45pt;height:5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" fillcolor="white [3201]" strokeweight=".5pt">
                <v:textbox>
                  <w:txbxContent>
                    <w:p w:rsidR="00863956" w:rsidRPr="005F79B6" w:rsidRDefault="00863956" w:rsidP="005F79B6">
                      <w:pPr>
                        <w:spacing w:line="240" w:lineRule="auto"/>
                        <w:ind w:firstLine="0"/>
                        <w:jc w:val="center"/>
                        <w:rPr>
                          <w:sz w:val="22"/>
                          <w:szCs w:val="22"/>
                        </w:rPr>
                      </w:pPr>
                      <w:r w:rsidRPr="005F79B6">
                        <w:rPr>
                          <w:sz w:val="22"/>
                          <w:szCs w:val="22"/>
                        </w:rPr>
                        <w:t>Women enrolled in SWAN study</w:t>
                      </w:r>
                    </w:p>
                    <w:p w:rsidR="00863956" w:rsidRPr="000F6D1B" w:rsidRDefault="00863956" w:rsidP="005F79B6">
                      <w:pPr>
                        <w:ind w:firstLine="0"/>
                        <w:jc w:val="center"/>
                      </w:pPr>
                      <w:r w:rsidRPr="000F6D1B">
                        <w:t>N=3302</w:t>
                      </w:r>
                    </w:p>
                  </w:txbxContent>
                </v:textbox>
              </v:shape>
            </w:pict>
          </mc:Fallback>
        </mc:AlternateContent>
      </w:r>
    </w:p>
    <w:p w:rsidR="00E05E1D" w:rsidRPr="004C3245" w:rsidRDefault="00E05E1D" w:rsidP="00E05E1D">
      <w:pPr>
        <w:spacing w:line="240" w:lineRule="auto"/>
      </w:pPr>
    </w:p>
    <w:p w:rsidR="00E05E1D" w:rsidRPr="004C3245" w:rsidRDefault="00E05E1D" w:rsidP="00D16076">
      <w:pPr>
        <w:spacing w:line="240" w:lineRule="auto"/>
        <w:ind w:left="90"/>
      </w:pPr>
    </w:p>
    <w:p w:rsidR="00E05E1D" w:rsidRPr="004C3245" w:rsidRDefault="00E05E1D" w:rsidP="00E05E1D">
      <w:pPr>
        <w:pBdr>
          <w:top w:val="nil"/>
          <w:left w:val="nil"/>
          <w:bottom w:val="nil"/>
          <w:right w:val="nil"/>
          <w:between w:val="nil"/>
        </w:pBdr>
        <w:spacing w:line="240" w:lineRule="auto"/>
      </w:pPr>
    </w:p>
    <w:p w:rsidR="00E05E1D" w:rsidRPr="004C3245" w:rsidRDefault="00E05E1D" w:rsidP="00E05E1D">
      <w:pPr>
        <w:pBdr>
          <w:top w:val="nil"/>
          <w:left w:val="nil"/>
          <w:bottom w:val="nil"/>
          <w:right w:val="nil"/>
          <w:between w:val="nil"/>
        </w:pBdr>
        <w:spacing w:line="240" w:lineRule="auto"/>
      </w:pPr>
    </w:p>
    <w:p w:rsidR="00E05E1D" w:rsidRPr="004C3245" w:rsidRDefault="00E05E1D" w:rsidP="00E05E1D">
      <w:pPr>
        <w:pBdr>
          <w:top w:val="nil"/>
          <w:left w:val="nil"/>
          <w:bottom w:val="nil"/>
          <w:right w:val="nil"/>
          <w:between w:val="nil"/>
        </w:pBdr>
        <w:spacing w:line="240" w:lineRule="auto"/>
      </w:pPr>
    </w:p>
    <w:p w:rsidR="00E05E1D" w:rsidRPr="004C3245" w:rsidRDefault="00E05E1D" w:rsidP="00E05E1D">
      <w:pPr>
        <w:pBdr>
          <w:top w:val="nil"/>
          <w:left w:val="nil"/>
          <w:bottom w:val="nil"/>
          <w:right w:val="nil"/>
          <w:between w:val="nil"/>
        </w:pBdr>
        <w:spacing w:line="240" w:lineRule="auto"/>
      </w:pPr>
    </w:p>
    <w:p w:rsidR="00E05E1D" w:rsidRPr="004C3245" w:rsidRDefault="00E05E1D" w:rsidP="00E05E1D">
      <w:pPr>
        <w:pBdr>
          <w:top w:val="nil"/>
          <w:left w:val="nil"/>
          <w:bottom w:val="nil"/>
          <w:right w:val="nil"/>
          <w:between w:val="nil"/>
        </w:pBdr>
        <w:spacing w:line="240" w:lineRule="auto"/>
      </w:pPr>
    </w:p>
    <w:p w:rsidR="00E05E1D" w:rsidRPr="004C3245" w:rsidRDefault="00E05E1D" w:rsidP="00E05E1D">
      <w:pPr>
        <w:pBdr>
          <w:top w:val="nil"/>
          <w:left w:val="nil"/>
          <w:bottom w:val="nil"/>
          <w:right w:val="nil"/>
          <w:between w:val="nil"/>
        </w:pBdr>
        <w:spacing w:line="240" w:lineRule="auto"/>
      </w:pPr>
    </w:p>
    <w:p w:rsidR="00E05E1D" w:rsidRPr="004C3245" w:rsidRDefault="00E05E1D" w:rsidP="00E05E1D">
      <w:pPr>
        <w:pBdr>
          <w:top w:val="nil"/>
          <w:left w:val="nil"/>
          <w:bottom w:val="nil"/>
          <w:right w:val="nil"/>
          <w:between w:val="nil"/>
        </w:pBdr>
        <w:spacing w:line="240" w:lineRule="auto"/>
      </w:pPr>
    </w:p>
    <w:p w:rsidR="00E05E1D" w:rsidRPr="004C3245" w:rsidRDefault="00E05E1D" w:rsidP="00E05E1D">
      <w:pPr>
        <w:pBdr>
          <w:top w:val="nil"/>
          <w:left w:val="nil"/>
          <w:bottom w:val="nil"/>
          <w:right w:val="nil"/>
          <w:between w:val="nil"/>
        </w:pBdr>
        <w:spacing w:line="240" w:lineRule="auto"/>
      </w:pPr>
    </w:p>
    <w:p w:rsidR="00E05E1D" w:rsidRPr="004C3245" w:rsidRDefault="00E05E1D" w:rsidP="00E05E1D">
      <w:pPr>
        <w:pBdr>
          <w:top w:val="nil"/>
          <w:left w:val="nil"/>
          <w:bottom w:val="nil"/>
          <w:right w:val="nil"/>
          <w:between w:val="nil"/>
        </w:pBdr>
        <w:spacing w:line="240" w:lineRule="auto"/>
      </w:pPr>
    </w:p>
    <w:p w:rsidR="00E05E1D" w:rsidRPr="004C3245" w:rsidRDefault="00E05E1D" w:rsidP="00E05E1D">
      <w:pPr>
        <w:pBdr>
          <w:top w:val="nil"/>
          <w:left w:val="nil"/>
          <w:bottom w:val="nil"/>
          <w:right w:val="nil"/>
          <w:between w:val="nil"/>
        </w:pBdr>
        <w:spacing w:line="240" w:lineRule="auto"/>
      </w:pPr>
    </w:p>
    <w:p w:rsidR="00E05E1D" w:rsidRPr="004C3245" w:rsidRDefault="00E05E1D" w:rsidP="00E05E1D">
      <w:pPr>
        <w:pBdr>
          <w:top w:val="nil"/>
          <w:left w:val="nil"/>
          <w:bottom w:val="nil"/>
          <w:right w:val="nil"/>
          <w:between w:val="nil"/>
        </w:pBdr>
        <w:spacing w:line="240" w:lineRule="auto"/>
      </w:pPr>
      <w:r w:rsidRPr="004C3245">
        <w:rPr>
          <w:noProof/>
        </w:rPr>
        <mc:AlternateContent>
          <mc:Choice Requires="wps">
            <w:drawing>
              <wp:anchor distT="0" distB="0" distL="114300" distR="114300" simplePos="0" relativeHeight="251683840" behindDoc="0" locked="0" layoutInCell="1" allowOverlap="1" wp14:anchorId="17B8D84B" wp14:editId="294E813A">
                <wp:simplePos x="0" y="0"/>
                <wp:positionH relativeFrom="column">
                  <wp:posOffset>2344420</wp:posOffset>
                </wp:positionH>
                <wp:positionV relativeFrom="paragraph">
                  <wp:posOffset>50165</wp:posOffset>
                </wp:positionV>
                <wp:extent cx="0" cy="1048385"/>
                <wp:effectExtent l="63500" t="0" r="50800" b="31115"/>
                <wp:wrapNone/>
                <wp:docPr id="29" name="Straight Arrow Connector 29"/>
                <wp:cNvGraphicFramePr/>
                <a:graphic xmlns:a="http://schemas.openxmlformats.org/drawingml/2006/main">
                  <a:graphicData uri="http://schemas.microsoft.com/office/word/2010/wordprocessingShape">
                    <wps:wsp>
                      <wps:cNvCnPr/>
                      <wps:spPr>
                        <a:xfrm>
                          <a:off x="0" y="0"/>
                          <a:ext cx="0" cy="10483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2811BD" id="Straight Arrow Connector 29" o:spid="_x0000_s1026" type="#_x0000_t32" style="position:absolute;margin-left:184.6pt;margin-top:3.95pt;width:0;height:82.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" strokecolor="#5b9bd5 [3204]" strokeweight=".5pt">
                <v:stroke endarrow="block" joinstyle="miter"/>
              </v:shape>
            </w:pict>
          </mc:Fallback>
        </mc:AlternateContent>
      </w:r>
    </w:p>
    <w:p w:rsidR="00E05E1D" w:rsidRPr="004C3245" w:rsidRDefault="00E05E1D" w:rsidP="00E05E1D">
      <w:pPr>
        <w:pBdr>
          <w:top w:val="nil"/>
          <w:left w:val="nil"/>
          <w:bottom w:val="nil"/>
          <w:right w:val="nil"/>
          <w:between w:val="nil"/>
        </w:pBdr>
        <w:spacing w:line="240" w:lineRule="auto"/>
      </w:pPr>
    </w:p>
    <w:p w:rsidR="00E05E1D" w:rsidRPr="004C3245" w:rsidRDefault="00E05E1D" w:rsidP="00E05E1D">
      <w:pPr>
        <w:pBdr>
          <w:top w:val="nil"/>
          <w:left w:val="nil"/>
          <w:bottom w:val="nil"/>
          <w:right w:val="nil"/>
          <w:between w:val="nil"/>
        </w:pBdr>
        <w:spacing w:line="240" w:lineRule="auto"/>
      </w:pPr>
    </w:p>
    <w:p w:rsidR="00E05E1D" w:rsidRPr="004C3245" w:rsidRDefault="00E05E1D" w:rsidP="00E05E1D">
      <w:pPr>
        <w:pBdr>
          <w:top w:val="nil"/>
          <w:left w:val="nil"/>
          <w:bottom w:val="nil"/>
          <w:right w:val="nil"/>
          <w:between w:val="nil"/>
        </w:pBdr>
        <w:spacing w:line="240" w:lineRule="auto"/>
      </w:pPr>
    </w:p>
    <w:p w:rsidR="00E05E1D" w:rsidRPr="004C3245" w:rsidRDefault="00E05E1D" w:rsidP="00E05E1D">
      <w:pPr>
        <w:pBdr>
          <w:top w:val="nil"/>
          <w:left w:val="nil"/>
          <w:bottom w:val="nil"/>
          <w:right w:val="nil"/>
          <w:between w:val="nil"/>
        </w:pBdr>
        <w:spacing w:line="240" w:lineRule="auto"/>
      </w:pPr>
    </w:p>
    <w:p w:rsidR="00E05E1D" w:rsidRPr="004C3245" w:rsidRDefault="00E05E1D" w:rsidP="00E05E1D">
      <w:pPr>
        <w:pBdr>
          <w:top w:val="nil"/>
          <w:left w:val="nil"/>
          <w:bottom w:val="nil"/>
          <w:right w:val="nil"/>
          <w:between w:val="nil"/>
        </w:pBdr>
        <w:spacing w:line="240" w:lineRule="auto"/>
      </w:pPr>
    </w:p>
    <w:p w:rsidR="00E05E1D" w:rsidRPr="004C3245" w:rsidRDefault="00E05E1D" w:rsidP="00E05E1D">
      <w:pPr>
        <w:pBdr>
          <w:top w:val="nil"/>
          <w:left w:val="nil"/>
          <w:bottom w:val="nil"/>
          <w:right w:val="nil"/>
          <w:between w:val="nil"/>
        </w:pBdr>
        <w:spacing w:line="240" w:lineRule="auto"/>
      </w:pPr>
      <w:r w:rsidRPr="004C3245">
        <w:rPr>
          <w:noProof/>
        </w:rPr>
        <mc:AlternateContent>
          <mc:Choice Requires="wps">
            <w:drawing>
              <wp:anchor distT="0" distB="0" distL="114300" distR="114300" simplePos="0" relativeHeight="251691008" behindDoc="0" locked="0" layoutInCell="1" allowOverlap="1" wp14:anchorId="43C04897" wp14:editId="42AD9D60">
                <wp:simplePos x="0" y="0"/>
                <wp:positionH relativeFrom="column">
                  <wp:posOffset>25168</wp:posOffset>
                </wp:positionH>
                <wp:positionV relativeFrom="paragraph">
                  <wp:posOffset>106861</wp:posOffset>
                </wp:positionV>
                <wp:extent cx="1375794" cy="3464653"/>
                <wp:effectExtent l="0" t="0" r="59690" b="78740"/>
                <wp:wrapNone/>
                <wp:docPr id="30" name="Elbow Connector 30"/>
                <wp:cNvGraphicFramePr/>
                <a:graphic xmlns:a="http://schemas.openxmlformats.org/drawingml/2006/main">
                  <a:graphicData uri="http://schemas.microsoft.com/office/word/2010/wordprocessingShape">
                    <wps:wsp>
                      <wps:cNvCnPr/>
                      <wps:spPr>
                        <a:xfrm>
                          <a:off x="0" y="0"/>
                          <a:ext cx="1375794" cy="3464653"/>
                        </a:xfrm>
                        <a:prstGeom prst="bentConnector3">
                          <a:avLst>
                            <a:gd name="adj1" fmla="val 94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D1644B" id="Elbow Connector 30" o:spid="_x0000_s1026" type="#_x0000_t34" style="position:absolute;margin-left:2pt;margin-top:8.4pt;width:108.35pt;height:27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" adj="203" strokecolor="#5b9bd5 [3204]" strokeweight=".5pt">
                <v:stroke endarrow="block"/>
              </v:shape>
            </w:pict>
          </mc:Fallback>
        </mc:AlternateContent>
      </w:r>
      <w:r w:rsidRPr="004C3245">
        <w:rPr>
          <w:noProof/>
        </w:rPr>
        <mc:AlternateContent>
          <mc:Choice Requires="wps">
            <w:drawing>
              <wp:anchor distT="0" distB="0" distL="114300" distR="114300" simplePos="0" relativeHeight="251684864" behindDoc="0" locked="0" layoutInCell="1" allowOverlap="1" wp14:anchorId="197B4185" wp14:editId="288D5665">
                <wp:simplePos x="0" y="0"/>
                <wp:positionH relativeFrom="column">
                  <wp:posOffset>1475105</wp:posOffset>
                </wp:positionH>
                <wp:positionV relativeFrom="paragraph">
                  <wp:posOffset>46990</wp:posOffset>
                </wp:positionV>
                <wp:extent cx="1795145" cy="687705"/>
                <wp:effectExtent l="0" t="0" r="8255" b="10795"/>
                <wp:wrapNone/>
                <wp:docPr id="31" name="Text Box 31"/>
                <wp:cNvGraphicFramePr/>
                <a:graphic xmlns:a="http://schemas.openxmlformats.org/drawingml/2006/main">
                  <a:graphicData uri="http://schemas.microsoft.com/office/word/2010/wordprocessingShape">
                    <wps:wsp>
                      <wps:cNvSpPr txBox="1"/>
                      <wps:spPr>
                        <a:xfrm>
                          <a:off x="0" y="0"/>
                          <a:ext cx="1795145" cy="687705"/>
                        </a:xfrm>
                        <a:prstGeom prst="rect">
                          <a:avLst/>
                        </a:prstGeom>
                        <a:solidFill>
                          <a:schemeClr val="lt1"/>
                        </a:solidFill>
                        <a:ln w="6350">
                          <a:solidFill>
                            <a:prstClr val="black"/>
                          </a:solidFill>
                        </a:ln>
                      </wps:spPr>
                      <wps:txbx>
                        <w:txbxContent>
                          <w:p w:rsidR="00863956" w:rsidRPr="005F79B6" w:rsidRDefault="00863956" w:rsidP="005F79B6">
                            <w:pPr>
                              <w:spacing w:line="240" w:lineRule="auto"/>
                              <w:ind w:firstLine="0"/>
                              <w:jc w:val="center"/>
                              <w:rPr>
                                <w:sz w:val="22"/>
                                <w:szCs w:val="22"/>
                              </w:rPr>
                            </w:pPr>
                            <w:r w:rsidRPr="005F79B6">
                              <w:rPr>
                                <w:sz w:val="22"/>
                                <w:szCs w:val="22"/>
                              </w:rPr>
                              <w:t>Women who initiated thyroid medication</w:t>
                            </w:r>
                          </w:p>
                          <w:p w:rsidR="00863956" w:rsidRPr="005F79B6" w:rsidRDefault="00863956" w:rsidP="005F79B6">
                            <w:pPr>
                              <w:ind w:firstLine="0"/>
                              <w:jc w:val="center"/>
                              <w:rPr>
                                <w:sz w:val="22"/>
                                <w:szCs w:val="22"/>
                              </w:rPr>
                            </w:pPr>
                            <w:r w:rsidRPr="005F79B6">
                              <w:rPr>
                                <w:sz w:val="22"/>
                                <w:szCs w:val="22"/>
                              </w:rPr>
                              <w:t>n=313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B4185" id="Text Box 31" o:spid="_x0000_s1030" type="#_x0000_t202" style="position:absolute;left:0;text-align:left;margin-left:116.15pt;margin-top:3.7pt;width:141.35pt;height:5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" fillcolor="white [3201]" strokeweight=".5pt">
                <v:textbox>
                  <w:txbxContent>
                    <w:p w:rsidR="00863956" w:rsidRPr="005F79B6" w:rsidRDefault="00863956" w:rsidP="005F79B6">
                      <w:pPr>
                        <w:spacing w:line="240" w:lineRule="auto"/>
                        <w:ind w:firstLine="0"/>
                        <w:jc w:val="center"/>
                        <w:rPr>
                          <w:sz w:val="22"/>
                          <w:szCs w:val="22"/>
                        </w:rPr>
                      </w:pPr>
                      <w:r w:rsidRPr="005F79B6">
                        <w:rPr>
                          <w:sz w:val="22"/>
                          <w:szCs w:val="22"/>
                        </w:rPr>
                        <w:t>Women who initiated thyroid medication</w:t>
                      </w:r>
                    </w:p>
                    <w:p w:rsidR="00863956" w:rsidRPr="005F79B6" w:rsidRDefault="00863956" w:rsidP="005F79B6">
                      <w:pPr>
                        <w:ind w:firstLine="0"/>
                        <w:jc w:val="center"/>
                        <w:rPr>
                          <w:sz w:val="22"/>
                          <w:szCs w:val="22"/>
                        </w:rPr>
                      </w:pPr>
                      <w:r w:rsidRPr="005F79B6">
                        <w:rPr>
                          <w:sz w:val="22"/>
                          <w:szCs w:val="22"/>
                        </w:rPr>
                        <w:t>n=313</w:t>
                      </w:r>
                    </w:p>
                  </w:txbxContent>
                </v:textbox>
              </v:shape>
            </w:pict>
          </mc:Fallback>
        </mc:AlternateContent>
      </w:r>
    </w:p>
    <w:p w:rsidR="00E05E1D" w:rsidRPr="004C3245" w:rsidRDefault="00E05E1D" w:rsidP="00E05E1D">
      <w:pPr>
        <w:pBdr>
          <w:top w:val="nil"/>
          <w:left w:val="nil"/>
          <w:bottom w:val="nil"/>
          <w:right w:val="nil"/>
          <w:between w:val="nil"/>
        </w:pBdr>
        <w:spacing w:line="240" w:lineRule="auto"/>
      </w:pPr>
    </w:p>
    <w:p w:rsidR="00E05E1D" w:rsidRPr="004C3245" w:rsidRDefault="00E05E1D" w:rsidP="00E05E1D">
      <w:pPr>
        <w:pBdr>
          <w:top w:val="nil"/>
          <w:left w:val="nil"/>
          <w:bottom w:val="nil"/>
          <w:right w:val="nil"/>
          <w:between w:val="nil"/>
        </w:pBdr>
        <w:spacing w:line="240" w:lineRule="auto"/>
      </w:pPr>
    </w:p>
    <w:p w:rsidR="00E05E1D" w:rsidRPr="004C3245" w:rsidRDefault="00E05E1D" w:rsidP="00E05E1D">
      <w:pPr>
        <w:pBdr>
          <w:top w:val="nil"/>
          <w:left w:val="nil"/>
          <w:bottom w:val="nil"/>
          <w:right w:val="nil"/>
          <w:between w:val="nil"/>
        </w:pBdr>
        <w:spacing w:line="240" w:lineRule="auto"/>
      </w:pPr>
    </w:p>
    <w:p w:rsidR="00E05E1D" w:rsidRPr="004C3245" w:rsidRDefault="00E05E1D" w:rsidP="00E05E1D">
      <w:pPr>
        <w:pBdr>
          <w:top w:val="nil"/>
          <w:left w:val="nil"/>
          <w:bottom w:val="nil"/>
          <w:right w:val="nil"/>
          <w:between w:val="nil"/>
        </w:pBdr>
        <w:spacing w:line="240" w:lineRule="auto"/>
        <w:rPr>
          <w:noProof/>
        </w:rPr>
      </w:pPr>
      <w:r w:rsidRPr="004C3245">
        <w:rPr>
          <w:noProof/>
        </w:rPr>
        <mc:AlternateContent>
          <mc:Choice Requires="wps">
            <w:drawing>
              <wp:anchor distT="0" distB="0" distL="114300" distR="114300" simplePos="0" relativeHeight="251685888" behindDoc="0" locked="0" layoutInCell="1" allowOverlap="1" wp14:anchorId="51383AAE" wp14:editId="753004D1">
                <wp:simplePos x="0" y="0"/>
                <wp:positionH relativeFrom="column">
                  <wp:posOffset>2364734</wp:posOffset>
                </wp:positionH>
                <wp:positionV relativeFrom="paragraph">
                  <wp:posOffset>101553</wp:posOffset>
                </wp:positionV>
                <wp:extent cx="0" cy="839091"/>
                <wp:effectExtent l="63500" t="0" r="50800" b="37465"/>
                <wp:wrapNone/>
                <wp:docPr id="32" name="Straight Arrow Connector 32"/>
                <wp:cNvGraphicFramePr/>
                <a:graphic xmlns:a="http://schemas.openxmlformats.org/drawingml/2006/main">
                  <a:graphicData uri="http://schemas.microsoft.com/office/word/2010/wordprocessingShape">
                    <wps:wsp>
                      <wps:cNvCnPr/>
                      <wps:spPr>
                        <a:xfrm>
                          <a:off x="0" y="0"/>
                          <a:ext cx="0" cy="8390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1DCE43" id="Straight Arrow Connector 32" o:spid="_x0000_s1026" type="#_x0000_t32" style="position:absolute;margin-left:186.2pt;margin-top:8pt;width:0;height:66.0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" strokecolor="#5b9bd5 [3204]" strokeweight=".5pt">
                <v:stroke endarrow="block" joinstyle="miter"/>
              </v:shape>
            </w:pict>
          </mc:Fallback>
        </mc:AlternateContent>
      </w:r>
    </w:p>
    <w:p w:rsidR="00E05E1D" w:rsidRPr="004C3245" w:rsidRDefault="00E05E1D" w:rsidP="00E05E1D">
      <w:pPr>
        <w:pBdr>
          <w:top w:val="nil"/>
          <w:left w:val="nil"/>
          <w:bottom w:val="nil"/>
          <w:right w:val="nil"/>
          <w:between w:val="nil"/>
        </w:pBdr>
        <w:spacing w:line="240" w:lineRule="auto"/>
      </w:pPr>
    </w:p>
    <w:p w:rsidR="00E05E1D" w:rsidRPr="004C3245" w:rsidRDefault="00E05E1D" w:rsidP="00E05E1D">
      <w:pPr>
        <w:spacing w:line="240" w:lineRule="auto"/>
      </w:pPr>
    </w:p>
    <w:p w:rsidR="00E05E1D" w:rsidRPr="004C3245" w:rsidRDefault="00E05E1D" w:rsidP="00E05E1D">
      <w:pPr>
        <w:spacing w:line="240" w:lineRule="auto"/>
      </w:pPr>
    </w:p>
    <w:p w:rsidR="00E05E1D" w:rsidRPr="004C3245" w:rsidRDefault="00E05E1D" w:rsidP="00E05E1D">
      <w:pPr>
        <w:spacing w:line="240" w:lineRule="auto"/>
      </w:pPr>
      <w:r w:rsidRPr="004C3245">
        <w:rPr>
          <w:noProof/>
        </w:rPr>
        <mc:AlternateContent>
          <mc:Choice Requires="wps">
            <w:drawing>
              <wp:anchor distT="0" distB="0" distL="114300" distR="114300" simplePos="0" relativeHeight="251686912" behindDoc="0" locked="0" layoutInCell="1" allowOverlap="1" wp14:anchorId="4E35BD70" wp14:editId="7EB140BC">
                <wp:simplePos x="0" y="0"/>
                <wp:positionH relativeFrom="column">
                  <wp:posOffset>1535185</wp:posOffset>
                </wp:positionH>
                <wp:positionV relativeFrom="paragraph">
                  <wp:posOffset>201865</wp:posOffset>
                </wp:positionV>
                <wp:extent cx="1677670" cy="654341"/>
                <wp:effectExtent l="0" t="0" r="11430" b="19050"/>
                <wp:wrapNone/>
                <wp:docPr id="33" name="Text Box 33"/>
                <wp:cNvGraphicFramePr/>
                <a:graphic xmlns:a="http://schemas.openxmlformats.org/drawingml/2006/main">
                  <a:graphicData uri="http://schemas.microsoft.com/office/word/2010/wordprocessingShape">
                    <wps:wsp>
                      <wps:cNvSpPr txBox="1"/>
                      <wps:spPr>
                        <a:xfrm>
                          <a:off x="0" y="0"/>
                          <a:ext cx="1677670" cy="654341"/>
                        </a:xfrm>
                        <a:prstGeom prst="rect">
                          <a:avLst/>
                        </a:prstGeom>
                        <a:solidFill>
                          <a:schemeClr val="lt1"/>
                        </a:solidFill>
                        <a:ln w="6350">
                          <a:solidFill>
                            <a:prstClr val="black"/>
                          </a:solidFill>
                        </a:ln>
                      </wps:spPr>
                      <wps:txbx>
                        <w:txbxContent>
                          <w:p w:rsidR="00863956" w:rsidRPr="005F79B6" w:rsidRDefault="00863956" w:rsidP="005F79B6">
                            <w:pPr>
                              <w:spacing w:line="240" w:lineRule="auto"/>
                              <w:ind w:firstLine="0"/>
                              <w:jc w:val="center"/>
                              <w:rPr>
                                <w:sz w:val="22"/>
                                <w:szCs w:val="22"/>
                              </w:rPr>
                            </w:pPr>
                            <w:r w:rsidRPr="005F79B6">
                              <w:rPr>
                                <w:sz w:val="22"/>
                                <w:szCs w:val="22"/>
                              </w:rPr>
                              <w:t xml:space="preserve">Incident thyroid medication users </w:t>
                            </w:r>
                          </w:p>
                          <w:p w:rsidR="00863956" w:rsidRDefault="00863956" w:rsidP="005F79B6">
                            <w:pPr>
                              <w:ind w:firstLine="0"/>
                              <w:jc w:val="center"/>
                            </w:pPr>
                            <w:r>
                              <w:t>n=180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35BD70" id="Text Box 33" o:spid="_x0000_s1031" type="#_x0000_t202" style="position:absolute;left:0;text-align:left;margin-left:120.9pt;margin-top:15.9pt;width:132.1pt;height:5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" fillcolor="white [3201]" strokeweight=".5pt">
                <v:textbox>
                  <w:txbxContent>
                    <w:p w:rsidR="00863956" w:rsidRPr="005F79B6" w:rsidRDefault="00863956" w:rsidP="005F79B6">
                      <w:pPr>
                        <w:spacing w:line="240" w:lineRule="auto"/>
                        <w:ind w:firstLine="0"/>
                        <w:jc w:val="center"/>
                        <w:rPr>
                          <w:sz w:val="22"/>
                          <w:szCs w:val="22"/>
                        </w:rPr>
                      </w:pPr>
                      <w:r w:rsidRPr="005F79B6">
                        <w:rPr>
                          <w:sz w:val="22"/>
                          <w:szCs w:val="22"/>
                        </w:rPr>
                        <w:t xml:space="preserve">Incident thyroid medication users </w:t>
                      </w:r>
                    </w:p>
                    <w:p w:rsidR="00863956" w:rsidRDefault="00863956" w:rsidP="005F79B6">
                      <w:pPr>
                        <w:ind w:firstLine="0"/>
                        <w:jc w:val="center"/>
                      </w:pPr>
                      <w:r>
                        <w:t>n=180</w:t>
                      </w:r>
                    </w:p>
                  </w:txbxContent>
                </v:textbox>
              </v:shape>
            </w:pict>
          </mc:Fallback>
        </mc:AlternateContent>
      </w:r>
      <w:r w:rsidRPr="004C3245">
        <w:rPr>
          <w:noProof/>
        </w:rPr>
        <mc:AlternateContent>
          <mc:Choice Requires="wps">
            <w:drawing>
              <wp:anchor distT="0" distB="0" distL="114300" distR="114300" simplePos="0" relativeHeight="251688960" behindDoc="0" locked="0" layoutInCell="1" allowOverlap="1" wp14:anchorId="710D5E56" wp14:editId="28E8F4C4">
                <wp:simplePos x="0" y="0"/>
                <wp:positionH relativeFrom="column">
                  <wp:posOffset>4471157</wp:posOffset>
                </wp:positionH>
                <wp:positionV relativeFrom="paragraph">
                  <wp:posOffset>201942</wp:posOffset>
                </wp:positionV>
                <wp:extent cx="1417320" cy="581025"/>
                <wp:effectExtent l="0" t="0" r="11430" b="28575"/>
                <wp:wrapNone/>
                <wp:docPr id="34" name="Text Box 34"/>
                <wp:cNvGraphicFramePr/>
                <a:graphic xmlns:a="http://schemas.openxmlformats.org/drawingml/2006/main">
                  <a:graphicData uri="http://schemas.microsoft.com/office/word/2010/wordprocessingShape">
                    <wps:wsp>
                      <wps:cNvSpPr txBox="1"/>
                      <wps:spPr>
                        <a:xfrm>
                          <a:off x="0" y="0"/>
                          <a:ext cx="1417320" cy="581025"/>
                        </a:xfrm>
                        <a:prstGeom prst="rect">
                          <a:avLst/>
                        </a:prstGeom>
                        <a:solidFill>
                          <a:schemeClr val="lt1"/>
                        </a:solidFill>
                        <a:ln w="6350">
                          <a:solidFill>
                            <a:prstClr val="black"/>
                          </a:solidFill>
                        </a:ln>
                      </wps:spPr>
                      <wps:txbx>
                        <w:txbxContent>
                          <w:p w:rsidR="00863956" w:rsidRPr="005F79B6" w:rsidRDefault="00863956" w:rsidP="005F79B6">
                            <w:pPr>
                              <w:spacing w:line="240" w:lineRule="auto"/>
                              <w:ind w:firstLine="90"/>
                              <w:jc w:val="center"/>
                              <w:rPr>
                                <w:sz w:val="22"/>
                                <w:szCs w:val="22"/>
                              </w:rPr>
                            </w:pPr>
                            <w:r w:rsidRPr="005F79B6">
                              <w:rPr>
                                <w:sz w:val="22"/>
                                <w:szCs w:val="22"/>
                              </w:rPr>
                              <w:t>Prevalent users n=133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D5E56" id="Text Box 34" o:spid="_x0000_s1032" type="#_x0000_t202" style="position:absolute;left:0;text-align:left;margin-left:352.05pt;margin-top:15.9pt;width:111.6pt;height:4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" fillcolor="white [3201]" strokeweight=".5pt">
                <v:textbox>
                  <w:txbxContent>
                    <w:p w:rsidR="00863956" w:rsidRPr="005F79B6" w:rsidRDefault="00863956" w:rsidP="005F79B6">
                      <w:pPr>
                        <w:spacing w:line="240" w:lineRule="auto"/>
                        <w:ind w:firstLine="90"/>
                        <w:jc w:val="center"/>
                        <w:rPr>
                          <w:sz w:val="22"/>
                          <w:szCs w:val="22"/>
                        </w:rPr>
                      </w:pPr>
                      <w:r w:rsidRPr="005F79B6">
                        <w:rPr>
                          <w:sz w:val="22"/>
                          <w:szCs w:val="22"/>
                        </w:rPr>
                        <w:t>Prevalent users n=133</w:t>
                      </w:r>
                    </w:p>
                  </w:txbxContent>
                </v:textbox>
              </v:shape>
            </w:pict>
          </mc:Fallback>
        </mc:AlternateContent>
      </w:r>
    </w:p>
    <w:p w:rsidR="00E05E1D" w:rsidRPr="004C3245" w:rsidRDefault="00E05E1D" w:rsidP="00E05E1D">
      <w:pPr>
        <w:spacing w:line="240" w:lineRule="auto"/>
      </w:pPr>
    </w:p>
    <w:p w:rsidR="00E05E1D" w:rsidRPr="004C3245" w:rsidRDefault="00E05E1D" w:rsidP="00E05E1D">
      <w:pPr>
        <w:spacing w:line="240" w:lineRule="auto"/>
      </w:pPr>
      <w:r w:rsidRPr="004C3245">
        <w:rPr>
          <w:noProof/>
        </w:rPr>
        <mc:AlternateContent>
          <mc:Choice Requires="wps">
            <w:drawing>
              <wp:anchor distT="0" distB="0" distL="114300" distR="114300" simplePos="0" relativeHeight="251687936" behindDoc="0" locked="0" layoutInCell="1" allowOverlap="1" wp14:anchorId="0C02CFDC" wp14:editId="62ECD76D">
                <wp:simplePos x="0" y="0"/>
                <wp:positionH relativeFrom="column">
                  <wp:posOffset>3267471</wp:posOffset>
                </wp:positionH>
                <wp:positionV relativeFrom="paragraph">
                  <wp:posOffset>64129</wp:posOffset>
                </wp:positionV>
                <wp:extent cx="1186006" cy="0"/>
                <wp:effectExtent l="0" t="63500" r="0" b="76200"/>
                <wp:wrapNone/>
                <wp:docPr id="35" name="Straight Arrow Connector 35"/>
                <wp:cNvGraphicFramePr/>
                <a:graphic xmlns:a="http://schemas.openxmlformats.org/drawingml/2006/main">
                  <a:graphicData uri="http://schemas.microsoft.com/office/word/2010/wordprocessingShape">
                    <wps:wsp>
                      <wps:cNvCnPr/>
                      <wps:spPr>
                        <a:xfrm>
                          <a:off x="0" y="0"/>
                          <a:ext cx="118600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5202B6" id="Straight Arrow Connector 35" o:spid="_x0000_s1026" type="#_x0000_t32" style="position:absolute;margin-left:257.3pt;margin-top:5.05pt;width:93.4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" strokecolor="#5b9bd5 [3204]" strokeweight=".5pt">
                <v:stroke endarrow="block" joinstyle="miter"/>
              </v:shape>
            </w:pict>
          </mc:Fallback>
        </mc:AlternateContent>
      </w:r>
    </w:p>
    <w:p w:rsidR="00E05E1D" w:rsidRPr="004C3245" w:rsidRDefault="00E05E1D" w:rsidP="00E05E1D">
      <w:pPr>
        <w:spacing w:line="240" w:lineRule="auto"/>
      </w:pPr>
    </w:p>
    <w:p w:rsidR="00E05E1D" w:rsidRPr="004C3245" w:rsidRDefault="00E05E1D" w:rsidP="00E05E1D">
      <w:pPr>
        <w:spacing w:line="240" w:lineRule="auto"/>
      </w:pPr>
      <w:r w:rsidRPr="004C3245">
        <w:rPr>
          <w:noProof/>
        </w:rPr>
        <mc:AlternateContent>
          <mc:Choice Requires="wps">
            <w:drawing>
              <wp:anchor distT="0" distB="0" distL="114300" distR="114300" simplePos="0" relativeHeight="251692032" behindDoc="0" locked="0" layoutInCell="1" allowOverlap="1" wp14:anchorId="33116CC1" wp14:editId="3E860121">
                <wp:simplePos x="0" y="0"/>
                <wp:positionH relativeFrom="column">
                  <wp:posOffset>2362083</wp:posOffset>
                </wp:positionH>
                <wp:positionV relativeFrom="paragraph">
                  <wp:posOffset>50101</wp:posOffset>
                </wp:positionV>
                <wp:extent cx="0" cy="637855"/>
                <wp:effectExtent l="63500" t="0" r="50800" b="35560"/>
                <wp:wrapNone/>
                <wp:docPr id="36" name="Straight Arrow Connector 36"/>
                <wp:cNvGraphicFramePr/>
                <a:graphic xmlns:a="http://schemas.openxmlformats.org/drawingml/2006/main">
                  <a:graphicData uri="http://schemas.microsoft.com/office/word/2010/wordprocessingShape">
                    <wps:wsp>
                      <wps:cNvCnPr/>
                      <wps:spPr>
                        <a:xfrm>
                          <a:off x="0" y="0"/>
                          <a:ext cx="0" cy="637855"/>
                        </a:xfrm>
                        <a:prstGeom prst="straightConnector1">
                          <a:avLst/>
                        </a:prstGeom>
                        <a:ln>
                          <a:solidFill>
                            <a:schemeClr val="accent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AD70B2A" id="Straight Arrow Connector 36" o:spid="_x0000_s1026" type="#_x0000_t32" style="position:absolute;margin-left:186pt;margin-top:3.95pt;width:0;height:50.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" strokecolor="#5b9bd5 [3204]" strokeweight=".5pt">
                <v:stroke endarrow="block" joinstyle="miter"/>
              </v:shape>
            </w:pict>
          </mc:Fallback>
        </mc:AlternateContent>
      </w:r>
    </w:p>
    <w:p w:rsidR="00E05E1D" w:rsidRPr="004C3245" w:rsidRDefault="00E05E1D" w:rsidP="00E05E1D">
      <w:pPr>
        <w:spacing w:line="240" w:lineRule="auto"/>
      </w:pPr>
    </w:p>
    <w:p w:rsidR="00E05E1D" w:rsidRPr="004C3245" w:rsidRDefault="00E05E1D" w:rsidP="00E05E1D">
      <w:pPr>
        <w:spacing w:line="240" w:lineRule="auto"/>
      </w:pPr>
    </w:p>
    <w:p w:rsidR="00E05E1D" w:rsidRPr="004C3245" w:rsidRDefault="00E05E1D" w:rsidP="00E05E1D">
      <w:pPr>
        <w:spacing w:line="240" w:lineRule="auto"/>
      </w:pPr>
      <w:r w:rsidRPr="004C3245">
        <w:rPr>
          <w:noProof/>
        </w:rPr>
        <mc:AlternateContent>
          <mc:Choice Requires="wps">
            <w:drawing>
              <wp:anchor distT="0" distB="0" distL="114300" distR="114300" simplePos="0" relativeHeight="251689984" behindDoc="0" locked="0" layoutInCell="1" allowOverlap="1" wp14:anchorId="35E620BC" wp14:editId="5882ACA7">
                <wp:simplePos x="0" y="0"/>
                <wp:positionH relativeFrom="column">
                  <wp:posOffset>1399953</wp:posOffset>
                </wp:positionH>
                <wp:positionV relativeFrom="paragraph">
                  <wp:posOffset>81944</wp:posOffset>
                </wp:positionV>
                <wp:extent cx="1990725" cy="1157663"/>
                <wp:effectExtent l="0" t="0" r="15875" b="10795"/>
                <wp:wrapNone/>
                <wp:docPr id="37" name="Text Box 37"/>
                <wp:cNvGraphicFramePr/>
                <a:graphic xmlns:a="http://schemas.openxmlformats.org/drawingml/2006/main">
                  <a:graphicData uri="http://schemas.microsoft.com/office/word/2010/wordprocessingShape">
                    <wps:wsp>
                      <wps:cNvSpPr txBox="1"/>
                      <wps:spPr>
                        <a:xfrm>
                          <a:off x="0" y="0"/>
                          <a:ext cx="1990725" cy="1157663"/>
                        </a:xfrm>
                        <a:prstGeom prst="rect">
                          <a:avLst/>
                        </a:prstGeom>
                        <a:solidFill>
                          <a:schemeClr val="lt1"/>
                        </a:solidFill>
                        <a:ln w="6350">
                          <a:solidFill>
                            <a:prstClr val="black"/>
                          </a:solidFill>
                        </a:ln>
                      </wps:spPr>
                      <wps:txbx>
                        <w:txbxContent>
                          <w:p w:rsidR="00863956" w:rsidRPr="005F79B6" w:rsidRDefault="00863956" w:rsidP="005F79B6">
                            <w:pPr>
                              <w:spacing w:line="240" w:lineRule="auto"/>
                              <w:ind w:firstLine="0"/>
                              <w:jc w:val="center"/>
                              <w:rPr>
                                <w:sz w:val="22"/>
                                <w:szCs w:val="22"/>
                              </w:rPr>
                            </w:pPr>
                            <w:r w:rsidRPr="005F79B6">
                              <w:rPr>
                                <w:sz w:val="22"/>
                                <w:szCs w:val="22"/>
                              </w:rPr>
                              <w:t>Final Sample after propensity score matching</w:t>
                            </w:r>
                          </w:p>
                          <w:p w:rsidR="00863956" w:rsidRPr="005F79B6" w:rsidRDefault="00863956" w:rsidP="005F79B6">
                            <w:pPr>
                              <w:spacing w:line="240" w:lineRule="auto"/>
                              <w:ind w:firstLine="0"/>
                              <w:jc w:val="center"/>
                              <w:rPr>
                                <w:sz w:val="22"/>
                                <w:szCs w:val="22"/>
                              </w:rPr>
                            </w:pPr>
                            <w:r w:rsidRPr="005F79B6">
                              <w:rPr>
                                <w:sz w:val="22"/>
                                <w:szCs w:val="22"/>
                              </w:rPr>
                              <w:t>n= 178 (1279 observations) user group</w:t>
                            </w:r>
                          </w:p>
                          <w:p w:rsidR="00863956" w:rsidRDefault="00863956" w:rsidP="005F79B6">
                            <w:pPr>
                              <w:spacing w:line="240" w:lineRule="auto"/>
                              <w:ind w:firstLine="0"/>
                              <w:jc w:val="center"/>
                            </w:pPr>
                            <w:r w:rsidRPr="005F79B6">
                              <w:rPr>
                                <w:sz w:val="22"/>
                                <w:szCs w:val="22"/>
                              </w:rPr>
                              <w:t xml:space="preserve">n=178 (1282 observations) non-users </w:t>
                            </w:r>
                            <w:r>
                              <w:t>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620BC" id="Text Box 37" o:spid="_x0000_s1033" type="#_x0000_t202" style="position:absolute;left:0;text-align:left;margin-left:110.25pt;margin-top:6.45pt;width:156.75pt;height:9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" fillcolor="white [3201]" strokeweight=".5pt">
                <v:textbox>
                  <w:txbxContent>
                    <w:p w:rsidR="00863956" w:rsidRPr="005F79B6" w:rsidRDefault="00863956" w:rsidP="005F79B6">
                      <w:pPr>
                        <w:spacing w:line="240" w:lineRule="auto"/>
                        <w:ind w:firstLine="0"/>
                        <w:jc w:val="center"/>
                        <w:rPr>
                          <w:sz w:val="22"/>
                          <w:szCs w:val="22"/>
                        </w:rPr>
                      </w:pPr>
                      <w:r w:rsidRPr="005F79B6">
                        <w:rPr>
                          <w:sz w:val="22"/>
                          <w:szCs w:val="22"/>
                        </w:rPr>
                        <w:t>Final Sample after propensity score matching</w:t>
                      </w:r>
                    </w:p>
                    <w:p w:rsidR="00863956" w:rsidRPr="005F79B6" w:rsidRDefault="00863956" w:rsidP="005F79B6">
                      <w:pPr>
                        <w:spacing w:line="240" w:lineRule="auto"/>
                        <w:ind w:firstLine="0"/>
                        <w:jc w:val="center"/>
                        <w:rPr>
                          <w:sz w:val="22"/>
                          <w:szCs w:val="22"/>
                        </w:rPr>
                      </w:pPr>
                      <w:r w:rsidRPr="005F79B6">
                        <w:rPr>
                          <w:sz w:val="22"/>
                          <w:szCs w:val="22"/>
                        </w:rPr>
                        <w:t>n= 178 (1279 observations) user group</w:t>
                      </w:r>
                    </w:p>
                    <w:p w:rsidR="00863956" w:rsidRDefault="00863956" w:rsidP="005F79B6">
                      <w:pPr>
                        <w:spacing w:line="240" w:lineRule="auto"/>
                        <w:ind w:firstLine="0"/>
                        <w:jc w:val="center"/>
                      </w:pPr>
                      <w:r w:rsidRPr="005F79B6">
                        <w:rPr>
                          <w:sz w:val="22"/>
                          <w:szCs w:val="22"/>
                        </w:rPr>
                        <w:t xml:space="preserve">n=178 (1282 observations) non-users </w:t>
                      </w:r>
                      <w:r>
                        <w:t>group</w:t>
                      </w:r>
                    </w:p>
                  </w:txbxContent>
                </v:textbox>
              </v:shape>
            </w:pict>
          </mc:Fallback>
        </mc:AlternateContent>
      </w:r>
    </w:p>
    <w:p w:rsidR="00E05E1D" w:rsidRPr="004C3245" w:rsidRDefault="00E05E1D" w:rsidP="00E05E1D"/>
    <w:p w:rsidR="00E05E1D" w:rsidRDefault="00E05E1D" w:rsidP="00E05E1D"/>
    <w:p w:rsidR="00E05E1D" w:rsidRPr="004C3245" w:rsidRDefault="00E05E1D" w:rsidP="00E05E1D"/>
    <w:p w:rsidR="00E05E1D" w:rsidRDefault="00E05E1D" w:rsidP="00E05E1D">
      <w:pPr>
        <w:spacing w:line="240" w:lineRule="auto"/>
      </w:pPr>
    </w:p>
    <w:p w:rsidR="00E05E1D" w:rsidRDefault="00E05E1D" w:rsidP="00E05E1D">
      <w:pPr>
        <w:pStyle w:val="Caption"/>
        <w:spacing w:line="240" w:lineRule="auto"/>
      </w:pPr>
      <w:bookmarkStart w:id="17" w:name="_Toc6485197"/>
      <w:r>
        <w:t xml:space="preserve">Figure </w:t>
      </w:r>
      <w:r>
        <w:fldChar w:fldCharType="begin"/>
      </w:r>
      <w:r>
        <w:instrText xml:space="preserve"> SEQ Figure \* ARABIC </w:instrText>
      </w:r>
      <w:r>
        <w:fldChar w:fldCharType="separate"/>
      </w:r>
      <w:r w:rsidR="00D17C05">
        <w:t>1</w:t>
      </w:r>
      <w:r>
        <w:fldChar w:fldCharType="end"/>
      </w:r>
      <w:r>
        <w:t xml:space="preserve"> Flow Chart: Study Cohort</w:t>
      </w:r>
      <w:bookmarkEnd w:id="17"/>
    </w:p>
    <w:p w:rsidR="00E05E1D" w:rsidRPr="004C3245" w:rsidRDefault="00E05E1D" w:rsidP="00E05E1D">
      <w:pPr>
        <w:spacing w:line="240" w:lineRule="auto"/>
      </w:pPr>
    </w:p>
    <w:p w:rsidR="0081091F" w:rsidRDefault="0081091F" w:rsidP="00E05E1D">
      <w:pPr>
        <w:spacing w:line="240" w:lineRule="auto"/>
      </w:pPr>
    </w:p>
    <w:p w:rsidR="0081091F" w:rsidRDefault="0081091F" w:rsidP="00E05E1D">
      <w:pPr>
        <w:spacing w:line="240" w:lineRule="auto"/>
      </w:pPr>
    </w:p>
    <w:p w:rsidR="0081091F" w:rsidRDefault="0081091F" w:rsidP="0081091F">
      <w:pPr>
        <w:spacing w:line="240" w:lineRule="auto"/>
      </w:pPr>
    </w:p>
    <w:p w:rsidR="0037257D" w:rsidRPr="00C97221" w:rsidRDefault="0037257D" w:rsidP="00C97221">
      <w:pPr>
        <w:pStyle w:val="Heading2"/>
      </w:pPr>
      <w:bookmarkStart w:id="18" w:name="_Toc6485183"/>
      <w:r w:rsidRPr="00C97221">
        <w:lastRenderedPageBreak/>
        <w:t>Data Analysis</w:t>
      </w:r>
      <w:bookmarkEnd w:id="18"/>
    </w:p>
    <w:p w:rsidR="0037257D" w:rsidRPr="004C3245" w:rsidRDefault="0037257D" w:rsidP="00C97221">
      <w:pPr>
        <w:pStyle w:val="Heading3"/>
      </w:pPr>
      <w:bookmarkStart w:id="19" w:name="_Toc6485184"/>
      <w:r w:rsidRPr="004C3245">
        <w:t>Baseline Characteristics</w:t>
      </w:r>
      <w:bookmarkEnd w:id="19"/>
      <w:r w:rsidRPr="004C3245">
        <w:t xml:space="preserve"> </w:t>
      </w:r>
    </w:p>
    <w:p w:rsidR="0037257D" w:rsidRPr="004C3245" w:rsidRDefault="0037257D" w:rsidP="0037257D">
      <w:r w:rsidRPr="004C3245">
        <w:t xml:space="preserve">Table 1 shows that the non-TH user group on average was older than the TH user group with an average age of 53.02 and standard deviation (SD) of 5.71. The BMI, and BMD for femoral neck, spine, hip, and total is similar between both cohorts with the only difference being the total comorbidities experienced by both groups. Table1 also shows that the non-thyroid users experienced an average of 1.35 total comorbidities and 1.52 in the thyroid user cohort. The larger percentage of total cohort had more than a high school education degree (n=266) and comprised of 75.6% of the cohort. Tobacco use was reported in 41.9% of the total population (n=149), but no significant difference in terms of reported use between the non-user (n=78) 44.1% and user group (n=71) 40.3%. </w:t>
      </w:r>
    </w:p>
    <w:p w:rsidR="0037257D" w:rsidRPr="004C3245" w:rsidRDefault="0037257D" w:rsidP="0037257D">
      <w:r w:rsidRPr="004C3245">
        <w:t xml:space="preserve">The sample was primarily Caucasian women (n=229) 64.3%, with a relatively equal distribution between non-users and users among the four ethnicities reported seen below in the Table 1. Most women were in the early/late perimenopausal or postmenopausal transition period (n=154) 44.3% and (n=125) 35.1% respectively. The most prevalent comorbid conditions reported by the total cohort were hyperlipidemia (n=147) 41.3%, hypertension (n=151) 43.4%, and osteoarthritis (n=143) 40.3%. A total of 292 women self-reported as being in excellent, very good, or good health. </w:t>
      </w:r>
    </w:p>
    <w:p w:rsidR="0037257D" w:rsidRPr="004C3245" w:rsidRDefault="0037257D" w:rsidP="0037257D"/>
    <w:p w:rsidR="0037257D" w:rsidRDefault="0037257D" w:rsidP="0037257D">
      <w:pPr>
        <w:rPr>
          <w:b/>
          <w:bCs/>
        </w:rPr>
      </w:pPr>
    </w:p>
    <w:p w:rsidR="00C97221" w:rsidRDefault="00C97221" w:rsidP="0037257D">
      <w:pPr>
        <w:rPr>
          <w:b/>
          <w:bCs/>
        </w:rPr>
      </w:pPr>
    </w:p>
    <w:p w:rsidR="00C97221" w:rsidRDefault="00C97221" w:rsidP="0037257D">
      <w:pPr>
        <w:rPr>
          <w:b/>
          <w:bCs/>
        </w:rPr>
      </w:pPr>
    </w:p>
    <w:p w:rsidR="0037257D" w:rsidRPr="004C3245" w:rsidRDefault="0037257D" w:rsidP="0037257D">
      <w:pPr>
        <w:rPr>
          <w:b/>
        </w:rPr>
      </w:pPr>
    </w:p>
    <w:p w:rsidR="00E26A2F" w:rsidRDefault="00E26A2F" w:rsidP="00E26A2F">
      <w:pPr>
        <w:pStyle w:val="Caption"/>
        <w:keepNext/>
      </w:pPr>
      <w:bookmarkStart w:id="20" w:name="_Toc6485192"/>
      <w:r>
        <w:t xml:space="preserve">Table </w:t>
      </w:r>
      <w:r>
        <w:fldChar w:fldCharType="begin"/>
      </w:r>
      <w:r>
        <w:instrText xml:space="preserve"> SEQ Table \* ARABIC </w:instrText>
      </w:r>
      <w:r>
        <w:fldChar w:fldCharType="separate"/>
      </w:r>
      <w:r w:rsidR="00D17C05">
        <w:t>1</w:t>
      </w:r>
      <w:r>
        <w:fldChar w:fldCharType="end"/>
      </w:r>
      <w:r>
        <w:t xml:space="preserve"> Baseline Demographics</w:t>
      </w:r>
      <w:bookmarkEnd w:id="20"/>
    </w:p>
    <w:tbl>
      <w:tblPr>
        <w:tblpPr w:leftFromText="180" w:rightFromText="180" w:vertAnchor="text" w:horzAnchor="margin" w:tblpY="-92"/>
        <w:tblW w:w="0" w:type="auto"/>
        <w:tblLook w:val="04A0" w:firstRow="1" w:lastRow="0" w:firstColumn="1" w:lastColumn="0" w:noHBand="0" w:noVBand="1"/>
      </w:tblPr>
      <w:tblGrid>
        <w:gridCol w:w="2778"/>
        <w:gridCol w:w="736"/>
        <w:gridCol w:w="803"/>
        <w:gridCol w:w="1078"/>
        <w:gridCol w:w="1176"/>
        <w:gridCol w:w="972"/>
        <w:gridCol w:w="1061"/>
        <w:gridCol w:w="736"/>
      </w:tblGrid>
      <w:tr w:rsidR="0037257D" w:rsidRPr="004C3245" w:rsidTr="000E1978">
        <w:trPr>
          <w:trHeight w:val="144"/>
        </w:trPr>
        <w:tc>
          <w:tcPr>
            <w:tcW w:w="0" w:type="auto"/>
            <w:tcBorders>
              <w:top w:val="single" w:sz="4" w:space="0" w:color="auto"/>
              <w:left w:val="single" w:sz="8" w:space="0" w:color="auto"/>
              <w:bottom w:val="nil"/>
              <w:right w:val="nil"/>
            </w:tcBorders>
            <w:shd w:val="clear" w:color="auto" w:fill="auto"/>
            <w:noWrap/>
            <w:vAlign w:val="bottom"/>
            <w:hideMark/>
          </w:tcPr>
          <w:p w:rsidR="0037257D" w:rsidRPr="00E26A2F" w:rsidRDefault="0037257D" w:rsidP="000E1978">
            <w:pPr>
              <w:spacing w:line="240" w:lineRule="auto"/>
              <w:rPr>
                <w:b/>
                <w:bCs/>
                <w:color w:val="000000"/>
                <w:sz w:val="20"/>
                <w:szCs w:val="20"/>
              </w:rPr>
            </w:pPr>
            <w:r w:rsidRPr="00E26A2F">
              <w:rPr>
                <w:b/>
                <w:bCs/>
                <w:color w:val="000000"/>
                <w:sz w:val="20"/>
                <w:szCs w:val="20"/>
              </w:rPr>
              <w:t> </w:t>
            </w:r>
          </w:p>
        </w:tc>
        <w:tc>
          <w:tcPr>
            <w:tcW w:w="0" w:type="auto"/>
            <w:gridSpan w:val="2"/>
            <w:tcBorders>
              <w:top w:val="single" w:sz="4" w:space="0" w:color="auto"/>
              <w:left w:val="nil"/>
              <w:bottom w:val="nil"/>
              <w:right w:val="nil"/>
            </w:tcBorders>
            <w:shd w:val="clear" w:color="auto" w:fill="auto"/>
            <w:noWrap/>
            <w:vAlign w:val="bottom"/>
            <w:hideMark/>
          </w:tcPr>
          <w:p w:rsidR="0037257D" w:rsidRPr="00E26A2F" w:rsidRDefault="0037257D" w:rsidP="00AC5DE1">
            <w:pPr>
              <w:spacing w:line="240" w:lineRule="auto"/>
              <w:ind w:firstLine="15"/>
              <w:jc w:val="center"/>
              <w:rPr>
                <w:b/>
                <w:bCs/>
                <w:color w:val="000000"/>
                <w:sz w:val="20"/>
                <w:szCs w:val="20"/>
              </w:rPr>
            </w:pPr>
            <w:r w:rsidRPr="00E26A2F">
              <w:rPr>
                <w:b/>
                <w:bCs/>
                <w:color w:val="000000"/>
                <w:sz w:val="20"/>
                <w:szCs w:val="20"/>
              </w:rPr>
              <w:t>Total</w:t>
            </w:r>
          </w:p>
        </w:tc>
        <w:tc>
          <w:tcPr>
            <w:tcW w:w="0" w:type="auto"/>
            <w:gridSpan w:val="2"/>
            <w:tcBorders>
              <w:top w:val="single" w:sz="4" w:space="0" w:color="auto"/>
              <w:left w:val="nil"/>
              <w:bottom w:val="nil"/>
              <w:right w:val="nil"/>
            </w:tcBorders>
            <w:shd w:val="clear" w:color="auto" w:fill="auto"/>
            <w:vAlign w:val="bottom"/>
            <w:hideMark/>
          </w:tcPr>
          <w:p w:rsidR="0037257D" w:rsidRPr="00E26A2F" w:rsidRDefault="0037257D" w:rsidP="00E26A2F">
            <w:pPr>
              <w:spacing w:line="240" w:lineRule="auto"/>
              <w:ind w:firstLine="0"/>
              <w:jc w:val="center"/>
              <w:rPr>
                <w:b/>
                <w:bCs/>
                <w:color w:val="000000"/>
                <w:sz w:val="20"/>
                <w:szCs w:val="20"/>
              </w:rPr>
            </w:pPr>
            <w:r w:rsidRPr="00E26A2F">
              <w:rPr>
                <w:b/>
                <w:bCs/>
                <w:color w:val="000000"/>
                <w:sz w:val="20"/>
                <w:szCs w:val="20"/>
              </w:rPr>
              <w:t>Non-Thyroid Medication User</w:t>
            </w:r>
          </w:p>
        </w:tc>
        <w:tc>
          <w:tcPr>
            <w:tcW w:w="0" w:type="auto"/>
            <w:gridSpan w:val="2"/>
            <w:tcBorders>
              <w:top w:val="single" w:sz="4" w:space="0" w:color="auto"/>
              <w:left w:val="nil"/>
              <w:bottom w:val="nil"/>
              <w:right w:val="nil"/>
            </w:tcBorders>
            <w:shd w:val="clear" w:color="auto" w:fill="auto"/>
            <w:vAlign w:val="bottom"/>
            <w:hideMark/>
          </w:tcPr>
          <w:p w:rsidR="0037257D" w:rsidRPr="00E26A2F" w:rsidRDefault="0037257D" w:rsidP="00E26A2F">
            <w:pPr>
              <w:spacing w:line="240" w:lineRule="auto"/>
              <w:ind w:firstLine="30"/>
              <w:jc w:val="center"/>
              <w:rPr>
                <w:b/>
                <w:bCs/>
                <w:color w:val="000000"/>
                <w:sz w:val="20"/>
                <w:szCs w:val="20"/>
              </w:rPr>
            </w:pPr>
            <w:r w:rsidRPr="00E26A2F">
              <w:rPr>
                <w:b/>
                <w:bCs/>
                <w:color w:val="000000"/>
                <w:sz w:val="20"/>
                <w:szCs w:val="20"/>
              </w:rPr>
              <w:t>Thyroid Medication User</w:t>
            </w:r>
          </w:p>
        </w:tc>
        <w:tc>
          <w:tcPr>
            <w:tcW w:w="0" w:type="auto"/>
            <w:tcBorders>
              <w:top w:val="single" w:sz="4" w:space="0" w:color="auto"/>
              <w:left w:val="nil"/>
              <w:bottom w:val="nil"/>
              <w:right w:val="single" w:sz="8" w:space="0" w:color="auto"/>
            </w:tcBorders>
            <w:shd w:val="clear" w:color="auto" w:fill="auto"/>
            <w:noWrap/>
            <w:vAlign w:val="bottom"/>
            <w:hideMark/>
          </w:tcPr>
          <w:p w:rsidR="0037257D" w:rsidRPr="00E26A2F" w:rsidRDefault="0037257D" w:rsidP="00E26A2F">
            <w:pPr>
              <w:spacing w:line="240" w:lineRule="auto"/>
              <w:ind w:firstLine="60"/>
              <w:jc w:val="center"/>
              <w:rPr>
                <w:b/>
                <w:bCs/>
                <w:color w:val="000000"/>
                <w:sz w:val="20"/>
                <w:szCs w:val="20"/>
              </w:rPr>
            </w:pPr>
            <w:r w:rsidRPr="00E26A2F">
              <w:rPr>
                <w:b/>
                <w:bCs/>
                <w:color w:val="000000"/>
                <w:sz w:val="20"/>
                <w:szCs w:val="20"/>
              </w:rPr>
              <w:t>SMD</w:t>
            </w:r>
          </w:p>
        </w:tc>
      </w:tr>
      <w:tr w:rsidR="0037257D" w:rsidRPr="004C3245" w:rsidTr="000E1978">
        <w:trPr>
          <w:trHeight w:val="144"/>
        </w:trPr>
        <w:tc>
          <w:tcPr>
            <w:tcW w:w="0" w:type="auto"/>
            <w:tcBorders>
              <w:top w:val="nil"/>
              <w:left w:val="single" w:sz="8" w:space="0" w:color="auto"/>
              <w:bottom w:val="nil"/>
              <w:right w:val="nil"/>
            </w:tcBorders>
            <w:shd w:val="clear" w:color="auto" w:fill="auto"/>
            <w:noWrap/>
            <w:vAlign w:val="bottom"/>
            <w:hideMark/>
          </w:tcPr>
          <w:p w:rsidR="0037257D" w:rsidRPr="00E26A2F" w:rsidRDefault="0037257D" w:rsidP="000E1978">
            <w:pPr>
              <w:spacing w:line="240" w:lineRule="auto"/>
              <w:rPr>
                <w:color w:val="000000"/>
                <w:sz w:val="20"/>
                <w:szCs w:val="20"/>
              </w:rPr>
            </w:pPr>
            <w:r w:rsidRPr="00E26A2F">
              <w:rPr>
                <w:color w:val="000000"/>
                <w:sz w:val="20"/>
                <w:szCs w:val="20"/>
              </w:rPr>
              <w:t> </w:t>
            </w:r>
          </w:p>
        </w:tc>
        <w:tc>
          <w:tcPr>
            <w:tcW w:w="0" w:type="auto"/>
            <w:gridSpan w:val="2"/>
            <w:tcBorders>
              <w:top w:val="nil"/>
              <w:left w:val="nil"/>
              <w:bottom w:val="nil"/>
              <w:right w:val="nil"/>
            </w:tcBorders>
            <w:shd w:val="clear" w:color="auto" w:fill="auto"/>
            <w:noWrap/>
            <w:vAlign w:val="bottom"/>
            <w:hideMark/>
          </w:tcPr>
          <w:p w:rsidR="0037257D" w:rsidRPr="00E26A2F" w:rsidRDefault="0037257D" w:rsidP="00AC5DE1">
            <w:pPr>
              <w:spacing w:line="240" w:lineRule="auto"/>
              <w:ind w:firstLine="105"/>
              <w:jc w:val="center"/>
              <w:rPr>
                <w:b/>
                <w:bCs/>
                <w:color w:val="000000"/>
                <w:sz w:val="20"/>
                <w:szCs w:val="20"/>
              </w:rPr>
            </w:pPr>
            <w:r w:rsidRPr="00E26A2F">
              <w:rPr>
                <w:b/>
                <w:bCs/>
                <w:color w:val="000000"/>
                <w:sz w:val="20"/>
                <w:szCs w:val="20"/>
              </w:rPr>
              <w:t>N=356</w:t>
            </w:r>
          </w:p>
        </w:tc>
        <w:tc>
          <w:tcPr>
            <w:tcW w:w="0" w:type="auto"/>
            <w:gridSpan w:val="2"/>
            <w:tcBorders>
              <w:top w:val="nil"/>
              <w:left w:val="nil"/>
              <w:bottom w:val="nil"/>
              <w:right w:val="nil"/>
            </w:tcBorders>
            <w:shd w:val="clear" w:color="auto" w:fill="auto"/>
            <w:noWrap/>
            <w:vAlign w:val="bottom"/>
            <w:hideMark/>
          </w:tcPr>
          <w:p w:rsidR="0037257D" w:rsidRPr="00E26A2F" w:rsidRDefault="0037257D" w:rsidP="00AC5DE1">
            <w:pPr>
              <w:spacing w:line="240" w:lineRule="auto"/>
              <w:ind w:hanging="135"/>
              <w:jc w:val="center"/>
              <w:rPr>
                <w:b/>
                <w:bCs/>
                <w:color w:val="000000"/>
                <w:sz w:val="20"/>
                <w:szCs w:val="20"/>
              </w:rPr>
            </w:pPr>
            <w:r w:rsidRPr="00E26A2F">
              <w:rPr>
                <w:b/>
                <w:bCs/>
                <w:color w:val="000000"/>
                <w:sz w:val="20"/>
                <w:szCs w:val="20"/>
              </w:rPr>
              <w:t>n=178</w:t>
            </w:r>
          </w:p>
        </w:tc>
        <w:tc>
          <w:tcPr>
            <w:tcW w:w="0" w:type="auto"/>
            <w:gridSpan w:val="2"/>
            <w:tcBorders>
              <w:top w:val="nil"/>
              <w:left w:val="nil"/>
              <w:bottom w:val="nil"/>
              <w:right w:val="nil"/>
            </w:tcBorders>
            <w:shd w:val="clear" w:color="auto" w:fill="auto"/>
            <w:noWrap/>
            <w:vAlign w:val="bottom"/>
            <w:hideMark/>
          </w:tcPr>
          <w:p w:rsidR="0037257D" w:rsidRPr="00E26A2F" w:rsidRDefault="0037257D" w:rsidP="00AC5DE1">
            <w:pPr>
              <w:spacing w:line="240" w:lineRule="auto"/>
              <w:ind w:firstLine="75"/>
              <w:jc w:val="center"/>
              <w:rPr>
                <w:b/>
                <w:bCs/>
                <w:color w:val="000000"/>
                <w:sz w:val="20"/>
                <w:szCs w:val="20"/>
              </w:rPr>
            </w:pPr>
            <w:r w:rsidRPr="00E26A2F">
              <w:rPr>
                <w:b/>
                <w:bCs/>
                <w:color w:val="000000"/>
                <w:sz w:val="20"/>
                <w:szCs w:val="20"/>
              </w:rPr>
              <w:t>n=178</w:t>
            </w:r>
          </w:p>
        </w:tc>
        <w:tc>
          <w:tcPr>
            <w:tcW w:w="0" w:type="auto"/>
            <w:tcBorders>
              <w:top w:val="nil"/>
              <w:left w:val="nil"/>
              <w:bottom w:val="nil"/>
              <w:right w:val="single" w:sz="8" w:space="0" w:color="auto"/>
            </w:tcBorders>
            <w:shd w:val="clear" w:color="auto" w:fill="auto"/>
            <w:noWrap/>
            <w:vAlign w:val="bottom"/>
            <w:hideMark/>
          </w:tcPr>
          <w:p w:rsidR="0037257D" w:rsidRPr="00E26A2F" w:rsidRDefault="0037257D" w:rsidP="00E26A2F">
            <w:pPr>
              <w:spacing w:line="240" w:lineRule="auto"/>
              <w:ind w:firstLine="450"/>
              <w:jc w:val="center"/>
              <w:rPr>
                <w:b/>
                <w:bCs/>
                <w:color w:val="000000"/>
                <w:sz w:val="20"/>
                <w:szCs w:val="20"/>
              </w:rPr>
            </w:pPr>
          </w:p>
        </w:tc>
      </w:tr>
      <w:tr w:rsidR="00E26A2F" w:rsidRPr="004C3245" w:rsidTr="000E1978">
        <w:trPr>
          <w:trHeight w:val="144"/>
        </w:trPr>
        <w:tc>
          <w:tcPr>
            <w:tcW w:w="0" w:type="auto"/>
            <w:tcBorders>
              <w:top w:val="nil"/>
              <w:left w:val="single" w:sz="8" w:space="0" w:color="auto"/>
              <w:bottom w:val="double" w:sz="6" w:space="0" w:color="auto"/>
              <w:right w:val="nil"/>
            </w:tcBorders>
            <w:shd w:val="clear" w:color="auto" w:fill="auto"/>
            <w:noWrap/>
            <w:vAlign w:val="bottom"/>
            <w:hideMark/>
          </w:tcPr>
          <w:p w:rsidR="0037257D" w:rsidRPr="00E26A2F" w:rsidRDefault="0037257D" w:rsidP="00E26A2F">
            <w:pPr>
              <w:spacing w:line="240" w:lineRule="auto"/>
              <w:ind w:hanging="30"/>
              <w:jc w:val="left"/>
              <w:rPr>
                <w:b/>
                <w:bCs/>
                <w:color w:val="000000"/>
                <w:sz w:val="20"/>
                <w:szCs w:val="20"/>
              </w:rPr>
            </w:pPr>
            <w:r w:rsidRPr="00E26A2F">
              <w:rPr>
                <w:b/>
                <w:bCs/>
                <w:color w:val="000000"/>
                <w:sz w:val="20"/>
                <w:szCs w:val="20"/>
              </w:rPr>
              <w:t xml:space="preserve">Variable </w:t>
            </w:r>
          </w:p>
        </w:tc>
        <w:tc>
          <w:tcPr>
            <w:tcW w:w="0" w:type="auto"/>
            <w:tcBorders>
              <w:top w:val="nil"/>
              <w:left w:val="nil"/>
              <w:bottom w:val="double" w:sz="6" w:space="0" w:color="auto"/>
              <w:right w:val="nil"/>
            </w:tcBorders>
            <w:shd w:val="clear" w:color="auto" w:fill="auto"/>
            <w:noWrap/>
            <w:vAlign w:val="bottom"/>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 xml:space="preserve">n </w:t>
            </w:r>
          </w:p>
        </w:tc>
        <w:tc>
          <w:tcPr>
            <w:tcW w:w="0" w:type="auto"/>
            <w:tcBorders>
              <w:top w:val="nil"/>
              <w:left w:val="nil"/>
              <w:bottom w:val="double" w:sz="6" w:space="0" w:color="auto"/>
              <w:right w:val="nil"/>
            </w:tcBorders>
            <w:shd w:val="clear" w:color="auto" w:fill="auto"/>
            <w:noWrap/>
            <w:vAlign w:val="bottom"/>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w:t>
            </w:r>
          </w:p>
        </w:tc>
        <w:tc>
          <w:tcPr>
            <w:tcW w:w="0" w:type="auto"/>
            <w:tcBorders>
              <w:top w:val="nil"/>
              <w:left w:val="nil"/>
              <w:bottom w:val="double" w:sz="6" w:space="0" w:color="auto"/>
              <w:right w:val="nil"/>
            </w:tcBorders>
            <w:shd w:val="clear" w:color="auto" w:fill="auto"/>
            <w:noWrap/>
            <w:vAlign w:val="bottom"/>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n</w:t>
            </w:r>
          </w:p>
        </w:tc>
        <w:tc>
          <w:tcPr>
            <w:tcW w:w="0" w:type="auto"/>
            <w:tcBorders>
              <w:top w:val="nil"/>
              <w:left w:val="nil"/>
              <w:bottom w:val="double" w:sz="6" w:space="0" w:color="auto"/>
              <w:right w:val="nil"/>
            </w:tcBorders>
            <w:shd w:val="clear" w:color="auto" w:fill="auto"/>
            <w:noWrap/>
            <w:vAlign w:val="bottom"/>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w:t>
            </w:r>
          </w:p>
        </w:tc>
        <w:tc>
          <w:tcPr>
            <w:tcW w:w="0" w:type="auto"/>
            <w:tcBorders>
              <w:top w:val="nil"/>
              <w:left w:val="nil"/>
              <w:bottom w:val="double" w:sz="6" w:space="0" w:color="auto"/>
              <w:right w:val="nil"/>
            </w:tcBorders>
            <w:shd w:val="clear" w:color="auto" w:fill="auto"/>
            <w:noWrap/>
            <w:vAlign w:val="bottom"/>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n</w:t>
            </w:r>
          </w:p>
        </w:tc>
        <w:tc>
          <w:tcPr>
            <w:tcW w:w="0" w:type="auto"/>
            <w:tcBorders>
              <w:top w:val="nil"/>
              <w:left w:val="nil"/>
              <w:bottom w:val="double" w:sz="6" w:space="0" w:color="auto"/>
              <w:right w:val="nil"/>
            </w:tcBorders>
            <w:shd w:val="clear" w:color="auto" w:fill="auto"/>
            <w:noWrap/>
            <w:vAlign w:val="bottom"/>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w:t>
            </w:r>
          </w:p>
        </w:tc>
        <w:tc>
          <w:tcPr>
            <w:tcW w:w="0" w:type="auto"/>
            <w:tcBorders>
              <w:top w:val="nil"/>
              <w:left w:val="nil"/>
              <w:bottom w:val="double" w:sz="6" w:space="0" w:color="auto"/>
              <w:right w:val="single" w:sz="8" w:space="0" w:color="auto"/>
            </w:tcBorders>
            <w:shd w:val="clear" w:color="auto" w:fill="auto"/>
            <w:noWrap/>
            <w:vAlign w:val="bottom"/>
            <w:hideMark/>
          </w:tcPr>
          <w:p w:rsidR="0037257D" w:rsidRPr="00E26A2F" w:rsidRDefault="0037257D" w:rsidP="00E26A2F">
            <w:pPr>
              <w:spacing w:line="240" w:lineRule="auto"/>
              <w:ind w:hanging="30"/>
              <w:jc w:val="left"/>
              <w:rPr>
                <w:b/>
                <w:bCs/>
                <w:color w:val="000000"/>
                <w:sz w:val="20"/>
                <w:szCs w:val="20"/>
              </w:rPr>
            </w:pPr>
            <w:r w:rsidRPr="00E26A2F">
              <w:rPr>
                <w:b/>
                <w:bCs/>
                <w:color w:val="000000"/>
                <w:sz w:val="20"/>
                <w:szCs w:val="20"/>
              </w:rPr>
              <w:t> </w:t>
            </w:r>
          </w:p>
        </w:tc>
      </w:tr>
      <w:tr w:rsidR="00E26A2F" w:rsidRPr="004C3245" w:rsidTr="000E1978">
        <w:trPr>
          <w:trHeight w:val="144"/>
        </w:trPr>
        <w:tc>
          <w:tcPr>
            <w:tcW w:w="0" w:type="auto"/>
            <w:tcBorders>
              <w:top w:val="nil"/>
              <w:left w:val="single" w:sz="8" w:space="0" w:color="auto"/>
              <w:bottom w:val="nil"/>
              <w:right w:val="nil"/>
            </w:tcBorders>
            <w:shd w:val="clear" w:color="auto" w:fill="auto"/>
            <w:vAlign w:val="center"/>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Age, mean (SD)</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52.90</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5.60</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53.00</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5.70</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52.80</w:t>
            </w:r>
          </w:p>
        </w:tc>
        <w:tc>
          <w:tcPr>
            <w:tcW w:w="0" w:type="auto"/>
            <w:tcBorders>
              <w:top w:val="nil"/>
              <w:left w:val="nil"/>
              <w:bottom w:val="nil"/>
              <w:right w:val="nil"/>
            </w:tcBorders>
            <w:shd w:val="clear" w:color="auto" w:fill="auto"/>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5.50</w:t>
            </w:r>
          </w:p>
        </w:tc>
        <w:tc>
          <w:tcPr>
            <w:tcW w:w="0" w:type="auto"/>
            <w:tcBorders>
              <w:top w:val="nil"/>
              <w:left w:val="nil"/>
              <w:bottom w:val="nil"/>
              <w:right w:val="single" w:sz="8" w:space="0" w:color="auto"/>
            </w:tcBorders>
            <w:shd w:val="clear" w:color="auto" w:fill="auto"/>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0.036</w:t>
            </w:r>
          </w:p>
        </w:tc>
      </w:tr>
      <w:tr w:rsidR="00E26A2F" w:rsidRPr="004C3245" w:rsidTr="000E1978">
        <w:trPr>
          <w:trHeight w:val="144"/>
        </w:trPr>
        <w:tc>
          <w:tcPr>
            <w:tcW w:w="0" w:type="auto"/>
            <w:tcBorders>
              <w:top w:val="nil"/>
              <w:left w:val="single" w:sz="8" w:space="0" w:color="auto"/>
              <w:bottom w:val="nil"/>
              <w:right w:val="nil"/>
            </w:tcBorders>
            <w:shd w:val="clear" w:color="auto" w:fill="auto"/>
            <w:vAlign w:val="center"/>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BMI, mean (SD)</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29.40</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6.80</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29.40</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7.20</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29.50</w:t>
            </w:r>
          </w:p>
        </w:tc>
        <w:tc>
          <w:tcPr>
            <w:tcW w:w="0" w:type="auto"/>
            <w:tcBorders>
              <w:top w:val="nil"/>
              <w:left w:val="nil"/>
              <w:bottom w:val="nil"/>
              <w:right w:val="nil"/>
            </w:tcBorders>
            <w:shd w:val="clear" w:color="auto" w:fill="auto"/>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6.80</w:t>
            </w:r>
          </w:p>
        </w:tc>
        <w:tc>
          <w:tcPr>
            <w:tcW w:w="0" w:type="auto"/>
            <w:tcBorders>
              <w:top w:val="nil"/>
              <w:left w:val="nil"/>
              <w:bottom w:val="nil"/>
              <w:right w:val="single" w:sz="8" w:space="0" w:color="auto"/>
            </w:tcBorders>
            <w:shd w:val="clear" w:color="auto" w:fill="auto"/>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0.009</w:t>
            </w:r>
          </w:p>
        </w:tc>
      </w:tr>
      <w:tr w:rsidR="00E26A2F" w:rsidRPr="004C3245" w:rsidTr="000E1978">
        <w:trPr>
          <w:trHeight w:val="144"/>
        </w:trPr>
        <w:tc>
          <w:tcPr>
            <w:tcW w:w="0" w:type="auto"/>
            <w:tcBorders>
              <w:top w:val="nil"/>
              <w:left w:val="single" w:sz="8" w:space="0" w:color="auto"/>
              <w:bottom w:val="nil"/>
              <w:right w:val="nil"/>
            </w:tcBorders>
            <w:shd w:val="clear" w:color="auto" w:fill="auto"/>
            <w:vAlign w:val="center"/>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Femoral Neck BMD, g/cm</w:t>
            </w:r>
            <w:r w:rsidRPr="00E26A2F">
              <w:rPr>
                <w:color w:val="000000"/>
                <w:sz w:val="20"/>
                <w:szCs w:val="20"/>
                <w:vertAlign w:val="superscript"/>
              </w:rPr>
              <w:t xml:space="preserve">2   </w:t>
            </w:r>
            <w:r w:rsidRPr="00E26A2F">
              <w:rPr>
                <w:color w:val="000000"/>
                <w:sz w:val="20"/>
                <w:szCs w:val="20"/>
              </w:rPr>
              <w:t>mean (SD)</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0.81</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0.12</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0.81</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0.12</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0.81</w:t>
            </w:r>
          </w:p>
        </w:tc>
        <w:tc>
          <w:tcPr>
            <w:tcW w:w="0" w:type="auto"/>
            <w:tcBorders>
              <w:top w:val="nil"/>
              <w:left w:val="nil"/>
              <w:bottom w:val="nil"/>
              <w:right w:val="nil"/>
            </w:tcBorders>
            <w:shd w:val="clear" w:color="auto" w:fill="auto"/>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0.12</w:t>
            </w:r>
          </w:p>
        </w:tc>
        <w:tc>
          <w:tcPr>
            <w:tcW w:w="0" w:type="auto"/>
            <w:tcBorders>
              <w:top w:val="nil"/>
              <w:left w:val="nil"/>
              <w:bottom w:val="nil"/>
              <w:right w:val="single" w:sz="8" w:space="0" w:color="auto"/>
            </w:tcBorders>
            <w:shd w:val="clear" w:color="auto" w:fill="auto"/>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0.072</w:t>
            </w:r>
          </w:p>
        </w:tc>
      </w:tr>
      <w:tr w:rsidR="00E26A2F" w:rsidRPr="004C3245" w:rsidTr="000E1978">
        <w:trPr>
          <w:trHeight w:val="144"/>
        </w:trPr>
        <w:tc>
          <w:tcPr>
            <w:tcW w:w="0" w:type="auto"/>
            <w:tcBorders>
              <w:top w:val="nil"/>
              <w:left w:val="single" w:sz="8" w:space="0" w:color="auto"/>
              <w:bottom w:val="nil"/>
              <w:right w:val="nil"/>
            </w:tcBorders>
            <w:shd w:val="clear" w:color="auto" w:fill="auto"/>
            <w:vAlign w:val="center"/>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Spine BMD, g/cm</w:t>
            </w:r>
            <w:r w:rsidRPr="00E26A2F">
              <w:rPr>
                <w:color w:val="000000"/>
                <w:sz w:val="20"/>
                <w:szCs w:val="20"/>
                <w:vertAlign w:val="superscript"/>
              </w:rPr>
              <w:t xml:space="preserve">2 </w:t>
            </w:r>
            <w:r w:rsidRPr="00E26A2F">
              <w:rPr>
                <w:color w:val="000000"/>
                <w:sz w:val="20"/>
                <w:szCs w:val="20"/>
              </w:rPr>
              <w:t>mean (SD)</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1.05</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0.14</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1.10</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0.15</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1.00</w:t>
            </w:r>
          </w:p>
        </w:tc>
        <w:tc>
          <w:tcPr>
            <w:tcW w:w="0" w:type="auto"/>
            <w:tcBorders>
              <w:top w:val="nil"/>
              <w:left w:val="nil"/>
              <w:bottom w:val="nil"/>
              <w:right w:val="nil"/>
            </w:tcBorders>
            <w:shd w:val="clear" w:color="auto" w:fill="auto"/>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0.14</w:t>
            </w:r>
          </w:p>
        </w:tc>
        <w:tc>
          <w:tcPr>
            <w:tcW w:w="0" w:type="auto"/>
            <w:tcBorders>
              <w:top w:val="nil"/>
              <w:left w:val="nil"/>
              <w:bottom w:val="nil"/>
              <w:right w:val="single" w:sz="8" w:space="0" w:color="auto"/>
            </w:tcBorders>
            <w:shd w:val="clear" w:color="auto" w:fill="auto"/>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0.076</w:t>
            </w:r>
          </w:p>
        </w:tc>
      </w:tr>
      <w:tr w:rsidR="00E26A2F" w:rsidRPr="004C3245" w:rsidTr="000E1978">
        <w:trPr>
          <w:trHeight w:val="144"/>
        </w:trPr>
        <w:tc>
          <w:tcPr>
            <w:tcW w:w="0" w:type="auto"/>
            <w:tcBorders>
              <w:top w:val="nil"/>
              <w:left w:val="single" w:sz="8" w:space="0" w:color="auto"/>
              <w:bottom w:val="nil"/>
              <w:right w:val="nil"/>
            </w:tcBorders>
            <w:shd w:val="clear" w:color="auto" w:fill="auto"/>
            <w:vAlign w:val="center"/>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Hip BMD, g/cm</w:t>
            </w:r>
            <w:r w:rsidRPr="00E26A2F">
              <w:rPr>
                <w:color w:val="000000"/>
                <w:sz w:val="20"/>
                <w:szCs w:val="20"/>
                <w:vertAlign w:val="superscript"/>
              </w:rPr>
              <w:t xml:space="preserve">2 </w:t>
            </w:r>
            <w:r w:rsidRPr="00E26A2F">
              <w:rPr>
                <w:color w:val="000000"/>
                <w:sz w:val="20"/>
                <w:szCs w:val="20"/>
              </w:rPr>
              <w:t>mean (SD)</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0.94</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0.14</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0.94</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0.13</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0.95</w:t>
            </w:r>
          </w:p>
        </w:tc>
        <w:tc>
          <w:tcPr>
            <w:tcW w:w="0" w:type="auto"/>
            <w:tcBorders>
              <w:top w:val="nil"/>
              <w:left w:val="nil"/>
              <w:bottom w:val="nil"/>
              <w:right w:val="nil"/>
            </w:tcBorders>
            <w:shd w:val="clear" w:color="auto" w:fill="auto"/>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0.14</w:t>
            </w:r>
          </w:p>
        </w:tc>
        <w:tc>
          <w:tcPr>
            <w:tcW w:w="0" w:type="auto"/>
            <w:tcBorders>
              <w:top w:val="nil"/>
              <w:left w:val="nil"/>
              <w:bottom w:val="nil"/>
              <w:right w:val="single" w:sz="8" w:space="0" w:color="auto"/>
            </w:tcBorders>
            <w:shd w:val="clear" w:color="auto" w:fill="auto"/>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0.047</w:t>
            </w:r>
          </w:p>
        </w:tc>
      </w:tr>
      <w:tr w:rsidR="0037257D" w:rsidRPr="004C3245" w:rsidTr="000E1978">
        <w:trPr>
          <w:trHeight w:val="144"/>
        </w:trPr>
        <w:tc>
          <w:tcPr>
            <w:tcW w:w="0" w:type="auto"/>
            <w:gridSpan w:val="7"/>
            <w:tcBorders>
              <w:top w:val="nil"/>
              <w:left w:val="single" w:sz="8" w:space="0" w:color="auto"/>
              <w:bottom w:val="nil"/>
              <w:right w:val="nil"/>
            </w:tcBorders>
            <w:shd w:val="clear" w:color="000000" w:fill="D9D9D9"/>
            <w:vAlign w:val="center"/>
            <w:hideMark/>
          </w:tcPr>
          <w:p w:rsidR="0037257D" w:rsidRPr="00E26A2F" w:rsidRDefault="0037257D" w:rsidP="00520E9E">
            <w:pPr>
              <w:spacing w:line="240" w:lineRule="auto"/>
              <w:ind w:hanging="30"/>
              <w:jc w:val="center"/>
              <w:rPr>
                <w:b/>
                <w:bCs/>
                <w:color w:val="000000"/>
                <w:sz w:val="20"/>
                <w:szCs w:val="20"/>
              </w:rPr>
            </w:pPr>
            <w:r w:rsidRPr="00E26A2F">
              <w:rPr>
                <w:b/>
                <w:bCs/>
                <w:color w:val="000000"/>
                <w:sz w:val="20"/>
                <w:szCs w:val="20"/>
              </w:rPr>
              <w:t>Tobacco use</w:t>
            </w:r>
          </w:p>
        </w:tc>
        <w:tc>
          <w:tcPr>
            <w:tcW w:w="0" w:type="auto"/>
            <w:tcBorders>
              <w:top w:val="nil"/>
              <w:left w:val="nil"/>
              <w:bottom w:val="nil"/>
              <w:right w:val="single" w:sz="8" w:space="0" w:color="auto"/>
            </w:tcBorders>
            <w:shd w:val="clear" w:color="000000" w:fill="D9D9D9"/>
            <w:noWrap/>
            <w:vAlign w:val="bottom"/>
            <w:hideMark/>
          </w:tcPr>
          <w:p w:rsidR="0037257D" w:rsidRPr="00E26A2F" w:rsidRDefault="0037257D" w:rsidP="00AC5DE1">
            <w:pPr>
              <w:spacing w:line="240" w:lineRule="auto"/>
              <w:ind w:hanging="30"/>
              <w:jc w:val="center"/>
              <w:rPr>
                <w:color w:val="000000"/>
                <w:sz w:val="20"/>
                <w:szCs w:val="20"/>
              </w:rPr>
            </w:pPr>
          </w:p>
        </w:tc>
      </w:tr>
      <w:tr w:rsidR="00E26A2F" w:rsidRPr="004C3245" w:rsidTr="000E1978">
        <w:trPr>
          <w:trHeight w:val="144"/>
        </w:trPr>
        <w:tc>
          <w:tcPr>
            <w:tcW w:w="0" w:type="auto"/>
            <w:tcBorders>
              <w:top w:val="nil"/>
              <w:left w:val="single" w:sz="8" w:space="0" w:color="auto"/>
              <w:bottom w:val="nil"/>
              <w:right w:val="nil"/>
            </w:tcBorders>
            <w:shd w:val="clear" w:color="auto" w:fill="auto"/>
            <w:vAlign w:val="center"/>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current</w:t>
            </w:r>
          </w:p>
        </w:tc>
        <w:tc>
          <w:tcPr>
            <w:tcW w:w="0" w:type="auto"/>
            <w:tcBorders>
              <w:top w:val="nil"/>
              <w:left w:val="nil"/>
              <w:bottom w:val="nil"/>
              <w:right w:val="nil"/>
            </w:tcBorders>
            <w:shd w:val="clear" w:color="auto" w:fill="auto"/>
            <w:vAlign w:val="center"/>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149</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41.9%</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78</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43.8%</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71</w:t>
            </w:r>
          </w:p>
        </w:tc>
        <w:tc>
          <w:tcPr>
            <w:tcW w:w="0" w:type="auto"/>
            <w:tcBorders>
              <w:top w:val="nil"/>
              <w:left w:val="nil"/>
              <w:bottom w:val="nil"/>
              <w:right w:val="nil"/>
            </w:tcBorders>
            <w:shd w:val="clear" w:color="auto" w:fill="auto"/>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39.9%</w:t>
            </w:r>
          </w:p>
        </w:tc>
        <w:tc>
          <w:tcPr>
            <w:tcW w:w="0" w:type="auto"/>
            <w:tcBorders>
              <w:top w:val="nil"/>
              <w:left w:val="nil"/>
              <w:bottom w:val="nil"/>
              <w:right w:val="single" w:sz="8" w:space="0" w:color="auto"/>
            </w:tcBorders>
            <w:shd w:val="clear" w:color="auto" w:fill="auto"/>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0.076</w:t>
            </w:r>
          </w:p>
        </w:tc>
      </w:tr>
      <w:tr w:rsidR="0037257D" w:rsidRPr="004C3245" w:rsidTr="000E1978">
        <w:trPr>
          <w:trHeight w:val="144"/>
        </w:trPr>
        <w:tc>
          <w:tcPr>
            <w:tcW w:w="0" w:type="auto"/>
            <w:gridSpan w:val="7"/>
            <w:tcBorders>
              <w:top w:val="nil"/>
              <w:left w:val="single" w:sz="8" w:space="0" w:color="auto"/>
              <w:bottom w:val="nil"/>
              <w:right w:val="nil"/>
            </w:tcBorders>
            <w:shd w:val="clear" w:color="000000" w:fill="D9D9D9"/>
            <w:vAlign w:val="center"/>
            <w:hideMark/>
          </w:tcPr>
          <w:p w:rsidR="0037257D" w:rsidRPr="00E26A2F" w:rsidRDefault="0037257D" w:rsidP="00520E9E">
            <w:pPr>
              <w:spacing w:line="240" w:lineRule="auto"/>
              <w:ind w:hanging="30"/>
              <w:jc w:val="center"/>
              <w:rPr>
                <w:b/>
                <w:bCs/>
                <w:color w:val="000000"/>
                <w:sz w:val="20"/>
                <w:szCs w:val="20"/>
              </w:rPr>
            </w:pPr>
            <w:r w:rsidRPr="00E26A2F">
              <w:rPr>
                <w:b/>
                <w:bCs/>
                <w:color w:val="000000"/>
                <w:sz w:val="20"/>
                <w:szCs w:val="20"/>
              </w:rPr>
              <w:t>Race/Ethnicity</w:t>
            </w:r>
          </w:p>
        </w:tc>
        <w:tc>
          <w:tcPr>
            <w:tcW w:w="0" w:type="auto"/>
            <w:tcBorders>
              <w:top w:val="nil"/>
              <w:left w:val="nil"/>
              <w:bottom w:val="nil"/>
              <w:right w:val="single" w:sz="8" w:space="0" w:color="auto"/>
            </w:tcBorders>
            <w:shd w:val="clear" w:color="000000" w:fill="D9D9D9"/>
            <w:noWrap/>
            <w:vAlign w:val="bottom"/>
            <w:hideMark/>
          </w:tcPr>
          <w:p w:rsidR="0037257D" w:rsidRPr="00E26A2F" w:rsidRDefault="0037257D" w:rsidP="00AC5DE1">
            <w:pPr>
              <w:spacing w:line="240" w:lineRule="auto"/>
              <w:ind w:hanging="30"/>
              <w:jc w:val="center"/>
              <w:rPr>
                <w:b/>
                <w:bCs/>
                <w:color w:val="000000"/>
                <w:sz w:val="20"/>
                <w:szCs w:val="20"/>
              </w:rPr>
            </w:pPr>
          </w:p>
        </w:tc>
      </w:tr>
      <w:tr w:rsidR="00E26A2F" w:rsidRPr="004C3245" w:rsidTr="000E1978">
        <w:trPr>
          <w:trHeight w:val="144"/>
        </w:trPr>
        <w:tc>
          <w:tcPr>
            <w:tcW w:w="0" w:type="auto"/>
            <w:tcBorders>
              <w:top w:val="nil"/>
              <w:left w:val="single" w:sz="8" w:space="0" w:color="auto"/>
              <w:bottom w:val="nil"/>
              <w:right w:val="nil"/>
            </w:tcBorders>
            <w:shd w:val="clear" w:color="auto" w:fill="auto"/>
            <w:vAlign w:val="center"/>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White</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229</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64.3%</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117</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65.7%</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112</w:t>
            </w:r>
          </w:p>
        </w:tc>
        <w:tc>
          <w:tcPr>
            <w:tcW w:w="0" w:type="auto"/>
            <w:tcBorders>
              <w:top w:val="nil"/>
              <w:left w:val="nil"/>
              <w:bottom w:val="nil"/>
              <w:right w:val="nil"/>
            </w:tcBorders>
            <w:shd w:val="clear" w:color="auto" w:fill="auto"/>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62.9%</w:t>
            </w:r>
          </w:p>
        </w:tc>
        <w:tc>
          <w:tcPr>
            <w:tcW w:w="0" w:type="auto"/>
            <w:tcBorders>
              <w:top w:val="nil"/>
              <w:left w:val="nil"/>
              <w:bottom w:val="nil"/>
              <w:right w:val="single" w:sz="8" w:space="0" w:color="auto"/>
            </w:tcBorders>
            <w:shd w:val="clear" w:color="auto" w:fill="auto"/>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0.059</w:t>
            </w:r>
          </w:p>
        </w:tc>
      </w:tr>
      <w:tr w:rsidR="00E26A2F" w:rsidRPr="004C3245" w:rsidTr="000E1978">
        <w:trPr>
          <w:trHeight w:val="144"/>
        </w:trPr>
        <w:tc>
          <w:tcPr>
            <w:tcW w:w="0" w:type="auto"/>
            <w:tcBorders>
              <w:top w:val="nil"/>
              <w:left w:val="single" w:sz="8" w:space="0" w:color="auto"/>
              <w:bottom w:val="nil"/>
              <w:right w:val="nil"/>
            </w:tcBorders>
            <w:shd w:val="clear" w:color="auto" w:fill="auto"/>
            <w:vAlign w:val="center"/>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Black</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71</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19.9%</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37</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20.8%</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34</w:t>
            </w:r>
          </w:p>
        </w:tc>
        <w:tc>
          <w:tcPr>
            <w:tcW w:w="0" w:type="auto"/>
            <w:tcBorders>
              <w:top w:val="nil"/>
              <w:left w:val="nil"/>
              <w:bottom w:val="nil"/>
              <w:right w:val="nil"/>
            </w:tcBorders>
            <w:shd w:val="clear" w:color="auto" w:fill="auto"/>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19.1%</w:t>
            </w:r>
          </w:p>
        </w:tc>
        <w:tc>
          <w:tcPr>
            <w:tcW w:w="0" w:type="auto"/>
            <w:tcBorders>
              <w:top w:val="nil"/>
              <w:left w:val="nil"/>
              <w:bottom w:val="nil"/>
              <w:right w:val="single" w:sz="8" w:space="0" w:color="auto"/>
            </w:tcBorders>
            <w:shd w:val="clear" w:color="auto" w:fill="auto"/>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0.042</w:t>
            </w:r>
          </w:p>
        </w:tc>
      </w:tr>
      <w:tr w:rsidR="00E26A2F" w:rsidRPr="004C3245" w:rsidTr="000E1978">
        <w:trPr>
          <w:trHeight w:val="144"/>
        </w:trPr>
        <w:tc>
          <w:tcPr>
            <w:tcW w:w="0" w:type="auto"/>
            <w:tcBorders>
              <w:top w:val="nil"/>
              <w:left w:val="single" w:sz="8" w:space="0" w:color="auto"/>
              <w:bottom w:val="nil"/>
              <w:right w:val="nil"/>
            </w:tcBorders>
            <w:shd w:val="clear" w:color="auto" w:fill="auto"/>
            <w:vAlign w:val="center"/>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Chinese</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34</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9.6%</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13</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7.3%</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21</w:t>
            </w:r>
          </w:p>
        </w:tc>
        <w:tc>
          <w:tcPr>
            <w:tcW w:w="0" w:type="auto"/>
            <w:tcBorders>
              <w:top w:val="nil"/>
              <w:left w:val="nil"/>
              <w:bottom w:val="nil"/>
              <w:right w:val="nil"/>
            </w:tcBorders>
            <w:shd w:val="clear" w:color="auto" w:fill="auto"/>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11.8%</w:t>
            </w:r>
          </w:p>
        </w:tc>
        <w:tc>
          <w:tcPr>
            <w:tcW w:w="0" w:type="auto"/>
            <w:tcBorders>
              <w:top w:val="nil"/>
              <w:left w:val="nil"/>
              <w:bottom w:val="nil"/>
              <w:right w:val="single" w:sz="8" w:space="0" w:color="auto"/>
            </w:tcBorders>
            <w:shd w:val="clear" w:color="auto" w:fill="auto"/>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0.150</w:t>
            </w:r>
          </w:p>
        </w:tc>
      </w:tr>
      <w:tr w:rsidR="00E26A2F" w:rsidRPr="004C3245" w:rsidTr="000E1978">
        <w:trPr>
          <w:trHeight w:val="144"/>
        </w:trPr>
        <w:tc>
          <w:tcPr>
            <w:tcW w:w="0" w:type="auto"/>
            <w:tcBorders>
              <w:top w:val="nil"/>
              <w:left w:val="single" w:sz="8" w:space="0" w:color="auto"/>
              <w:bottom w:val="nil"/>
              <w:right w:val="nil"/>
            </w:tcBorders>
            <w:shd w:val="clear" w:color="auto" w:fill="auto"/>
            <w:vAlign w:val="center"/>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Japanese</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22</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6.2%</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11</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6.2%</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11</w:t>
            </w:r>
          </w:p>
        </w:tc>
        <w:tc>
          <w:tcPr>
            <w:tcW w:w="0" w:type="auto"/>
            <w:tcBorders>
              <w:top w:val="nil"/>
              <w:left w:val="nil"/>
              <w:bottom w:val="nil"/>
              <w:right w:val="nil"/>
            </w:tcBorders>
            <w:shd w:val="clear" w:color="auto" w:fill="auto"/>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6.2%</w:t>
            </w:r>
          </w:p>
        </w:tc>
        <w:tc>
          <w:tcPr>
            <w:tcW w:w="0" w:type="auto"/>
            <w:tcBorders>
              <w:top w:val="nil"/>
              <w:left w:val="nil"/>
              <w:bottom w:val="nil"/>
              <w:right w:val="single" w:sz="8" w:space="0" w:color="auto"/>
            </w:tcBorders>
            <w:shd w:val="clear" w:color="auto" w:fill="auto"/>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0.000</w:t>
            </w:r>
          </w:p>
        </w:tc>
      </w:tr>
      <w:tr w:rsidR="0037257D" w:rsidRPr="004C3245" w:rsidTr="000E1978">
        <w:trPr>
          <w:trHeight w:val="144"/>
        </w:trPr>
        <w:tc>
          <w:tcPr>
            <w:tcW w:w="0" w:type="auto"/>
            <w:gridSpan w:val="7"/>
            <w:tcBorders>
              <w:top w:val="nil"/>
              <w:left w:val="single" w:sz="8" w:space="0" w:color="auto"/>
              <w:bottom w:val="nil"/>
              <w:right w:val="nil"/>
            </w:tcBorders>
            <w:shd w:val="clear" w:color="000000" w:fill="D9D9D9"/>
            <w:vAlign w:val="center"/>
            <w:hideMark/>
          </w:tcPr>
          <w:p w:rsidR="0037257D" w:rsidRPr="00E26A2F" w:rsidRDefault="0037257D" w:rsidP="00520E9E">
            <w:pPr>
              <w:spacing w:line="240" w:lineRule="auto"/>
              <w:ind w:hanging="30"/>
              <w:jc w:val="center"/>
              <w:rPr>
                <w:b/>
                <w:bCs/>
                <w:color w:val="000000"/>
                <w:sz w:val="20"/>
                <w:szCs w:val="20"/>
              </w:rPr>
            </w:pPr>
            <w:r w:rsidRPr="00E26A2F">
              <w:rPr>
                <w:b/>
                <w:bCs/>
                <w:color w:val="000000"/>
                <w:sz w:val="20"/>
                <w:szCs w:val="20"/>
              </w:rPr>
              <w:t>Menopausal Status</w:t>
            </w:r>
          </w:p>
        </w:tc>
        <w:tc>
          <w:tcPr>
            <w:tcW w:w="0" w:type="auto"/>
            <w:tcBorders>
              <w:top w:val="nil"/>
              <w:left w:val="nil"/>
              <w:bottom w:val="nil"/>
              <w:right w:val="single" w:sz="8" w:space="0" w:color="auto"/>
            </w:tcBorders>
            <w:shd w:val="clear" w:color="000000" w:fill="D9D9D9"/>
            <w:noWrap/>
            <w:vAlign w:val="bottom"/>
            <w:hideMark/>
          </w:tcPr>
          <w:p w:rsidR="0037257D" w:rsidRPr="00E26A2F" w:rsidRDefault="0037257D" w:rsidP="00AC5DE1">
            <w:pPr>
              <w:spacing w:line="240" w:lineRule="auto"/>
              <w:ind w:hanging="30"/>
              <w:jc w:val="center"/>
              <w:rPr>
                <w:b/>
                <w:bCs/>
                <w:color w:val="000000"/>
                <w:sz w:val="20"/>
                <w:szCs w:val="20"/>
              </w:rPr>
            </w:pPr>
          </w:p>
        </w:tc>
      </w:tr>
      <w:tr w:rsidR="00E26A2F" w:rsidRPr="004C3245" w:rsidTr="000E1978">
        <w:trPr>
          <w:trHeight w:val="144"/>
        </w:trPr>
        <w:tc>
          <w:tcPr>
            <w:tcW w:w="0" w:type="auto"/>
            <w:tcBorders>
              <w:top w:val="nil"/>
              <w:left w:val="single" w:sz="8" w:space="0" w:color="auto"/>
              <w:bottom w:val="nil"/>
              <w:right w:val="nil"/>
            </w:tcBorders>
            <w:shd w:val="clear" w:color="000000" w:fill="FFFFFF"/>
            <w:vAlign w:val="center"/>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Pre</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19</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5.3%</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9</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5.1%</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10</w:t>
            </w:r>
          </w:p>
        </w:tc>
        <w:tc>
          <w:tcPr>
            <w:tcW w:w="0" w:type="auto"/>
            <w:tcBorders>
              <w:top w:val="nil"/>
              <w:left w:val="nil"/>
              <w:bottom w:val="nil"/>
              <w:right w:val="nil"/>
            </w:tcBorders>
            <w:shd w:val="clear" w:color="000000" w:fill="FFFFFF"/>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5.6%</w:t>
            </w:r>
          </w:p>
        </w:tc>
        <w:tc>
          <w:tcPr>
            <w:tcW w:w="0" w:type="auto"/>
            <w:tcBorders>
              <w:top w:val="nil"/>
              <w:left w:val="nil"/>
              <w:bottom w:val="nil"/>
              <w:right w:val="single" w:sz="8" w:space="0" w:color="auto"/>
            </w:tcBorders>
            <w:shd w:val="clear" w:color="000000" w:fill="FFFFFF"/>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0.025</w:t>
            </w:r>
          </w:p>
        </w:tc>
      </w:tr>
      <w:tr w:rsidR="00E26A2F" w:rsidRPr="004C3245" w:rsidTr="000E1978">
        <w:trPr>
          <w:trHeight w:val="144"/>
        </w:trPr>
        <w:tc>
          <w:tcPr>
            <w:tcW w:w="0" w:type="auto"/>
            <w:tcBorders>
              <w:top w:val="nil"/>
              <w:left w:val="single" w:sz="8" w:space="0" w:color="auto"/>
              <w:bottom w:val="nil"/>
              <w:right w:val="nil"/>
            </w:tcBorders>
            <w:shd w:val="clear" w:color="000000" w:fill="FFFFFF"/>
            <w:vAlign w:val="center"/>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Early Peri</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131</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36.8%</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66</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37.1%</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65</w:t>
            </w:r>
          </w:p>
        </w:tc>
        <w:tc>
          <w:tcPr>
            <w:tcW w:w="0" w:type="auto"/>
            <w:tcBorders>
              <w:top w:val="nil"/>
              <w:left w:val="nil"/>
              <w:bottom w:val="nil"/>
              <w:right w:val="nil"/>
            </w:tcBorders>
            <w:shd w:val="clear" w:color="000000" w:fill="FFFFFF"/>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36.5%</w:t>
            </w:r>
          </w:p>
        </w:tc>
        <w:tc>
          <w:tcPr>
            <w:tcW w:w="0" w:type="auto"/>
            <w:tcBorders>
              <w:top w:val="nil"/>
              <w:left w:val="nil"/>
              <w:bottom w:val="nil"/>
              <w:right w:val="single" w:sz="8" w:space="0" w:color="auto"/>
            </w:tcBorders>
            <w:shd w:val="clear" w:color="000000" w:fill="FFFFFF"/>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0.012</w:t>
            </w:r>
          </w:p>
        </w:tc>
      </w:tr>
      <w:tr w:rsidR="00E26A2F" w:rsidRPr="004C3245" w:rsidTr="000E1978">
        <w:trPr>
          <w:trHeight w:val="144"/>
        </w:trPr>
        <w:tc>
          <w:tcPr>
            <w:tcW w:w="0" w:type="auto"/>
            <w:tcBorders>
              <w:top w:val="nil"/>
              <w:left w:val="single" w:sz="8" w:space="0" w:color="auto"/>
              <w:bottom w:val="nil"/>
              <w:right w:val="nil"/>
            </w:tcBorders>
            <w:shd w:val="clear" w:color="000000" w:fill="FFFFFF"/>
            <w:vAlign w:val="center"/>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Late Peri</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23</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6.5%</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12</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6.7%</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11</w:t>
            </w:r>
          </w:p>
        </w:tc>
        <w:tc>
          <w:tcPr>
            <w:tcW w:w="0" w:type="auto"/>
            <w:tcBorders>
              <w:top w:val="nil"/>
              <w:left w:val="nil"/>
              <w:bottom w:val="nil"/>
              <w:right w:val="nil"/>
            </w:tcBorders>
            <w:shd w:val="clear" w:color="000000" w:fill="FFFFFF"/>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6.2%</w:t>
            </w:r>
          </w:p>
        </w:tc>
        <w:tc>
          <w:tcPr>
            <w:tcW w:w="0" w:type="auto"/>
            <w:tcBorders>
              <w:top w:val="nil"/>
              <w:left w:val="nil"/>
              <w:bottom w:val="nil"/>
              <w:right w:val="single" w:sz="8" w:space="0" w:color="auto"/>
            </w:tcBorders>
            <w:shd w:val="clear" w:color="000000" w:fill="FFFFFF"/>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0.023</w:t>
            </w:r>
          </w:p>
        </w:tc>
      </w:tr>
      <w:tr w:rsidR="00E26A2F" w:rsidRPr="004C3245" w:rsidTr="000E1978">
        <w:trPr>
          <w:trHeight w:val="144"/>
        </w:trPr>
        <w:tc>
          <w:tcPr>
            <w:tcW w:w="0" w:type="auto"/>
            <w:tcBorders>
              <w:top w:val="nil"/>
              <w:left w:val="single" w:sz="8" w:space="0" w:color="auto"/>
              <w:bottom w:val="nil"/>
              <w:right w:val="nil"/>
            </w:tcBorders>
            <w:shd w:val="clear" w:color="000000" w:fill="FFFFFF"/>
            <w:vAlign w:val="center"/>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Natural Post</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125</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35.1%</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61</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34.3%</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64</w:t>
            </w:r>
          </w:p>
        </w:tc>
        <w:tc>
          <w:tcPr>
            <w:tcW w:w="0" w:type="auto"/>
            <w:tcBorders>
              <w:top w:val="nil"/>
              <w:left w:val="nil"/>
              <w:bottom w:val="nil"/>
              <w:right w:val="nil"/>
            </w:tcBorders>
            <w:shd w:val="clear" w:color="000000" w:fill="FFFFFF"/>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36.0%</w:t>
            </w:r>
          </w:p>
        </w:tc>
        <w:tc>
          <w:tcPr>
            <w:tcW w:w="0" w:type="auto"/>
            <w:tcBorders>
              <w:top w:val="nil"/>
              <w:left w:val="nil"/>
              <w:bottom w:val="nil"/>
              <w:right w:val="single" w:sz="8" w:space="0" w:color="auto"/>
            </w:tcBorders>
            <w:shd w:val="clear" w:color="000000" w:fill="FFFFFF"/>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0.035</w:t>
            </w:r>
          </w:p>
        </w:tc>
      </w:tr>
      <w:tr w:rsidR="00E26A2F" w:rsidRPr="004C3245" w:rsidTr="000E1978">
        <w:trPr>
          <w:trHeight w:val="144"/>
        </w:trPr>
        <w:tc>
          <w:tcPr>
            <w:tcW w:w="0" w:type="auto"/>
            <w:tcBorders>
              <w:top w:val="nil"/>
              <w:left w:val="single" w:sz="8" w:space="0" w:color="auto"/>
              <w:bottom w:val="nil"/>
              <w:right w:val="nil"/>
            </w:tcBorders>
            <w:shd w:val="clear" w:color="000000" w:fill="FFFFFF"/>
            <w:vAlign w:val="center"/>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Surgical Post with BSO</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15</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4.2%</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11</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6.2%</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4</w:t>
            </w:r>
          </w:p>
        </w:tc>
        <w:tc>
          <w:tcPr>
            <w:tcW w:w="0" w:type="auto"/>
            <w:tcBorders>
              <w:top w:val="nil"/>
              <w:left w:val="nil"/>
              <w:bottom w:val="nil"/>
              <w:right w:val="nil"/>
            </w:tcBorders>
            <w:shd w:val="clear" w:color="000000" w:fill="FFFFFF"/>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2.2%</w:t>
            </w:r>
          </w:p>
        </w:tc>
        <w:tc>
          <w:tcPr>
            <w:tcW w:w="0" w:type="auto"/>
            <w:tcBorders>
              <w:top w:val="nil"/>
              <w:left w:val="nil"/>
              <w:bottom w:val="nil"/>
              <w:right w:val="single" w:sz="8" w:space="0" w:color="auto"/>
            </w:tcBorders>
            <w:shd w:val="clear" w:color="000000" w:fill="FFFFFF"/>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0.197</w:t>
            </w:r>
          </w:p>
        </w:tc>
      </w:tr>
      <w:tr w:rsidR="00E26A2F" w:rsidRPr="004C3245" w:rsidTr="000E1978">
        <w:trPr>
          <w:trHeight w:val="144"/>
        </w:trPr>
        <w:tc>
          <w:tcPr>
            <w:tcW w:w="0" w:type="auto"/>
            <w:tcBorders>
              <w:top w:val="nil"/>
              <w:left w:val="single" w:sz="8" w:space="0" w:color="auto"/>
              <w:bottom w:val="nil"/>
              <w:right w:val="nil"/>
            </w:tcBorders>
            <w:shd w:val="clear" w:color="000000" w:fill="FFFFFF"/>
            <w:vAlign w:val="center"/>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Unknown dt HT or Hysterectomy</w:t>
            </w:r>
          </w:p>
        </w:tc>
        <w:tc>
          <w:tcPr>
            <w:tcW w:w="0" w:type="auto"/>
            <w:tcBorders>
              <w:top w:val="nil"/>
              <w:left w:val="nil"/>
              <w:bottom w:val="nil"/>
              <w:right w:val="nil"/>
            </w:tcBorders>
            <w:shd w:val="clear" w:color="000000" w:fill="FFFFFF"/>
            <w:vAlign w:val="center"/>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43</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12.1%</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19</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10.7%</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24</w:t>
            </w:r>
          </w:p>
        </w:tc>
        <w:tc>
          <w:tcPr>
            <w:tcW w:w="0" w:type="auto"/>
            <w:tcBorders>
              <w:top w:val="nil"/>
              <w:left w:val="nil"/>
              <w:bottom w:val="nil"/>
              <w:right w:val="nil"/>
            </w:tcBorders>
            <w:shd w:val="clear" w:color="000000" w:fill="FFFFFF"/>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13.5%</w:t>
            </w:r>
          </w:p>
        </w:tc>
        <w:tc>
          <w:tcPr>
            <w:tcW w:w="0" w:type="auto"/>
            <w:tcBorders>
              <w:top w:val="nil"/>
              <w:left w:val="nil"/>
              <w:bottom w:val="nil"/>
              <w:right w:val="single" w:sz="8" w:space="0" w:color="auto"/>
            </w:tcBorders>
            <w:shd w:val="clear" w:color="000000" w:fill="FFFFFF"/>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0.086</w:t>
            </w:r>
          </w:p>
        </w:tc>
      </w:tr>
      <w:tr w:rsidR="00E26A2F" w:rsidRPr="004C3245" w:rsidTr="000E1978">
        <w:trPr>
          <w:trHeight w:val="144"/>
        </w:trPr>
        <w:tc>
          <w:tcPr>
            <w:tcW w:w="0" w:type="auto"/>
            <w:gridSpan w:val="2"/>
            <w:tcBorders>
              <w:top w:val="nil"/>
              <w:left w:val="single" w:sz="8" w:space="0" w:color="auto"/>
              <w:bottom w:val="nil"/>
              <w:right w:val="nil"/>
            </w:tcBorders>
            <w:shd w:val="clear" w:color="000000" w:fill="D9D9D9"/>
            <w:vAlign w:val="center"/>
            <w:hideMark/>
          </w:tcPr>
          <w:p w:rsidR="0037257D" w:rsidRPr="00E26A2F" w:rsidRDefault="0037257D" w:rsidP="00520E9E">
            <w:pPr>
              <w:spacing w:line="240" w:lineRule="auto"/>
              <w:ind w:hanging="30"/>
              <w:jc w:val="center"/>
              <w:rPr>
                <w:b/>
                <w:bCs/>
                <w:color w:val="000000"/>
                <w:sz w:val="20"/>
                <w:szCs w:val="20"/>
              </w:rPr>
            </w:pPr>
            <w:r w:rsidRPr="00E26A2F">
              <w:rPr>
                <w:b/>
                <w:bCs/>
                <w:color w:val="000000"/>
                <w:sz w:val="20"/>
                <w:szCs w:val="20"/>
              </w:rPr>
              <w:t>Medication Use</w:t>
            </w:r>
          </w:p>
        </w:tc>
        <w:tc>
          <w:tcPr>
            <w:tcW w:w="0" w:type="auto"/>
            <w:tcBorders>
              <w:top w:val="nil"/>
              <w:left w:val="nil"/>
              <w:bottom w:val="nil"/>
              <w:right w:val="nil"/>
            </w:tcBorders>
            <w:shd w:val="clear" w:color="000000" w:fill="D9D9D9"/>
            <w:noWrap/>
            <w:vAlign w:val="bottom"/>
            <w:hideMark/>
          </w:tcPr>
          <w:p w:rsidR="0037257D" w:rsidRPr="00E26A2F" w:rsidRDefault="0037257D" w:rsidP="00520E9E">
            <w:pPr>
              <w:spacing w:line="240" w:lineRule="auto"/>
              <w:ind w:hanging="30"/>
              <w:jc w:val="center"/>
              <w:rPr>
                <w:color w:val="000000"/>
                <w:sz w:val="20"/>
                <w:szCs w:val="20"/>
              </w:rPr>
            </w:pPr>
          </w:p>
        </w:tc>
        <w:tc>
          <w:tcPr>
            <w:tcW w:w="0" w:type="auto"/>
            <w:tcBorders>
              <w:top w:val="nil"/>
              <w:left w:val="nil"/>
              <w:bottom w:val="nil"/>
              <w:right w:val="nil"/>
            </w:tcBorders>
            <w:shd w:val="clear" w:color="000000" w:fill="D9D9D9"/>
            <w:noWrap/>
            <w:vAlign w:val="bottom"/>
            <w:hideMark/>
          </w:tcPr>
          <w:p w:rsidR="0037257D" w:rsidRPr="00E26A2F" w:rsidRDefault="0037257D" w:rsidP="00520E9E">
            <w:pPr>
              <w:spacing w:line="240" w:lineRule="auto"/>
              <w:ind w:hanging="30"/>
              <w:jc w:val="center"/>
              <w:rPr>
                <w:color w:val="000000"/>
                <w:sz w:val="20"/>
                <w:szCs w:val="20"/>
              </w:rPr>
            </w:pPr>
          </w:p>
        </w:tc>
        <w:tc>
          <w:tcPr>
            <w:tcW w:w="0" w:type="auto"/>
            <w:tcBorders>
              <w:top w:val="nil"/>
              <w:left w:val="nil"/>
              <w:bottom w:val="nil"/>
              <w:right w:val="nil"/>
            </w:tcBorders>
            <w:shd w:val="clear" w:color="000000" w:fill="D9D9D9"/>
            <w:noWrap/>
            <w:vAlign w:val="bottom"/>
            <w:hideMark/>
          </w:tcPr>
          <w:p w:rsidR="0037257D" w:rsidRPr="00E26A2F" w:rsidRDefault="0037257D" w:rsidP="00520E9E">
            <w:pPr>
              <w:spacing w:line="240" w:lineRule="auto"/>
              <w:ind w:hanging="30"/>
              <w:jc w:val="center"/>
              <w:rPr>
                <w:color w:val="000000"/>
                <w:sz w:val="20"/>
                <w:szCs w:val="20"/>
              </w:rPr>
            </w:pPr>
          </w:p>
        </w:tc>
        <w:tc>
          <w:tcPr>
            <w:tcW w:w="0" w:type="auto"/>
            <w:tcBorders>
              <w:top w:val="nil"/>
              <w:left w:val="nil"/>
              <w:bottom w:val="nil"/>
              <w:right w:val="nil"/>
            </w:tcBorders>
            <w:shd w:val="clear" w:color="000000" w:fill="D9D9D9"/>
            <w:noWrap/>
            <w:vAlign w:val="bottom"/>
            <w:hideMark/>
          </w:tcPr>
          <w:p w:rsidR="0037257D" w:rsidRPr="00E26A2F" w:rsidRDefault="0037257D" w:rsidP="00520E9E">
            <w:pPr>
              <w:spacing w:line="240" w:lineRule="auto"/>
              <w:ind w:hanging="30"/>
              <w:jc w:val="center"/>
              <w:rPr>
                <w:color w:val="000000"/>
                <w:sz w:val="20"/>
                <w:szCs w:val="20"/>
              </w:rPr>
            </w:pPr>
          </w:p>
        </w:tc>
        <w:tc>
          <w:tcPr>
            <w:tcW w:w="0" w:type="auto"/>
            <w:tcBorders>
              <w:top w:val="nil"/>
              <w:left w:val="nil"/>
              <w:bottom w:val="nil"/>
              <w:right w:val="nil"/>
            </w:tcBorders>
            <w:shd w:val="clear" w:color="000000" w:fill="D9D9D9"/>
            <w:noWrap/>
            <w:vAlign w:val="bottom"/>
            <w:hideMark/>
          </w:tcPr>
          <w:p w:rsidR="0037257D" w:rsidRPr="00E26A2F" w:rsidRDefault="0037257D" w:rsidP="00AC5DE1">
            <w:pPr>
              <w:spacing w:line="240" w:lineRule="auto"/>
              <w:ind w:hanging="30"/>
              <w:jc w:val="center"/>
              <w:rPr>
                <w:color w:val="000000"/>
                <w:sz w:val="20"/>
                <w:szCs w:val="20"/>
              </w:rPr>
            </w:pPr>
          </w:p>
        </w:tc>
        <w:tc>
          <w:tcPr>
            <w:tcW w:w="0" w:type="auto"/>
            <w:tcBorders>
              <w:top w:val="nil"/>
              <w:left w:val="nil"/>
              <w:bottom w:val="nil"/>
              <w:right w:val="single" w:sz="8" w:space="0" w:color="auto"/>
            </w:tcBorders>
            <w:shd w:val="clear" w:color="000000" w:fill="D9D9D9"/>
            <w:noWrap/>
            <w:vAlign w:val="bottom"/>
            <w:hideMark/>
          </w:tcPr>
          <w:p w:rsidR="0037257D" w:rsidRPr="00E26A2F" w:rsidRDefault="0037257D" w:rsidP="00AC5DE1">
            <w:pPr>
              <w:spacing w:line="240" w:lineRule="auto"/>
              <w:ind w:hanging="30"/>
              <w:jc w:val="center"/>
              <w:rPr>
                <w:b/>
                <w:bCs/>
                <w:color w:val="000000"/>
                <w:sz w:val="20"/>
                <w:szCs w:val="20"/>
              </w:rPr>
            </w:pPr>
          </w:p>
        </w:tc>
      </w:tr>
      <w:tr w:rsidR="00E26A2F" w:rsidRPr="004C3245" w:rsidTr="000E1978">
        <w:trPr>
          <w:trHeight w:val="144"/>
        </w:trPr>
        <w:tc>
          <w:tcPr>
            <w:tcW w:w="0" w:type="auto"/>
            <w:tcBorders>
              <w:top w:val="nil"/>
              <w:left w:val="single" w:sz="8" w:space="0" w:color="auto"/>
              <w:bottom w:val="nil"/>
              <w:right w:val="nil"/>
            </w:tcBorders>
            <w:shd w:val="clear" w:color="000000" w:fill="FFFFFF"/>
            <w:vAlign w:val="center"/>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 xml:space="preserve">Hormone Replacement Therapy </w:t>
            </w:r>
          </w:p>
        </w:tc>
        <w:tc>
          <w:tcPr>
            <w:tcW w:w="0" w:type="auto"/>
            <w:tcBorders>
              <w:top w:val="nil"/>
              <w:left w:val="nil"/>
              <w:bottom w:val="nil"/>
              <w:right w:val="nil"/>
            </w:tcBorders>
            <w:shd w:val="clear" w:color="000000" w:fill="FFFFFF"/>
            <w:vAlign w:val="center"/>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142</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39.9%</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74</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41.6%</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68</w:t>
            </w:r>
          </w:p>
        </w:tc>
        <w:tc>
          <w:tcPr>
            <w:tcW w:w="0" w:type="auto"/>
            <w:tcBorders>
              <w:top w:val="nil"/>
              <w:left w:val="nil"/>
              <w:bottom w:val="nil"/>
              <w:right w:val="nil"/>
            </w:tcBorders>
            <w:shd w:val="clear" w:color="000000" w:fill="FFFFFF"/>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38.2%</w:t>
            </w:r>
          </w:p>
        </w:tc>
        <w:tc>
          <w:tcPr>
            <w:tcW w:w="0" w:type="auto"/>
            <w:tcBorders>
              <w:top w:val="nil"/>
              <w:left w:val="nil"/>
              <w:bottom w:val="nil"/>
              <w:right w:val="single" w:sz="8" w:space="0" w:color="auto"/>
            </w:tcBorders>
            <w:shd w:val="clear" w:color="000000" w:fill="FFFFFF"/>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0.069</w:t>
            </w:r>
          </w:p>
        </w:tc>
      </w:tr>
      <w:tr w:rsidR="00E26A2F" w:rsidRPr="004C3245" w:rsidTr="000E1978">
        <w:trPr>
          <w:trHeight w:val="144"/>
        </w:trPr>
        <w:tc>
          <w:tcPr>
            <w:tcW w:w="0" w:type="auto"/>
            <w:tcBorders>
              <w:top w:val="nil"/>
              <w:left w:val="single" w:sz="8" w:space="0" w:color="auto"/>
              <w:bottom w:val="nil"/>
              <w:right w:val="nil"/>
            </w:tcBorders>
            <w:shd w:val="clear" w:color="auto" w:fill="auto"/>
            <w:vAlign w:val="center"/>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Bisphosphonates</w:t>
            </w:r>
          </w:p>
        </w:tc>
        <w:tc>
          <w:tcPr>
            <w:tcW w:w="0" w:type="auto"/>
            <w:tcBorders>
              <w:top w:val="nil"/>
              <w:left w:val="nil"/>
              <w:bottom w:val="nil"/>
              <w:right w:val="nil"/>
            </w:tcBorders>
            <w:shd w:val="clear" w:color="auto" w:fill="auto"/>
            <w:vAlign w:val="center"/>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37</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10.4%</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15</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8.4%</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22</w:t>
            </w:r>
          </w:p>
        </w:tc>
        <w:tc>
          <w:tcPr>
            <w:tcW w:w="0" w:type="auto"/>
            <w:tcBorders>
              <w:top w:val="nil"/>
              <w:left w:val="nil"/>
              <w:bottom w:val="nil"/>
              <w:right w:val="nil"/>
            </w:tcBorders>
            <w:shd w:val="clear" w:color="auto" w:fill="auto"/>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12.4%</w:t>
            </w:r>
          </w:p>
        </w:tc>
        <w:tc>
          <w:tcPr>
            <w:tcW w:w="0" w:type="auto"/>
            <w:tcBorders>
              <w:top w:val="nil"/>
              <w:left w:val="nil"/>
              <w:bottom w:val="nil"/>
              <w:right w:val="single" w:sz="8" w:space="0" w:color="auto"/>
            </w:tcBorders>
            <w:shd w:val="clear" w:color="auto" w:fill="auto"/>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0.129</w:t>
            </w:r>
          </w:p>
        </w:tc>
      </w:tr>
      <w:tr w:rsidR="00E26A2F" w:rsidRPr="004C3245" w:rsidTr="000E1978">
        <w:trPr>
          <w:trHeight w:val="144"/>
        </w:trPr>
        <w:tc>
          <w:tcPr>
            <w:tcW w:w="0" w:type="auto"/>
            <w:tcBorders>
              <w:top w:val="nil"/>
              <w:left w:val="single" w:sz="8" w:space="0" w:color="auto"/>
              <w:bottom w:val="nil"/>
              <w:right w:val="nil"/>
            </w:tcBorders>
            <w:shd w:val="clear" w:color="auto" w:fill="auto"/>
            <w:vAlign w:val="center"/>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Thiazide</w:t>
            </w:r>
          </w:p>
        </w:tc>
        <w:tc>
          <w:tcPr>
            <w:tcW w:w="0" w:type="auto"/>
            <w:tcBorders>
              <w:top w:val="nil"/>
              <w:left w:val="nil"/>
              <w:bottom w:val="nil"/>
              <w:right w:val="nil"/>
            </w:tcBorders>
            <w:shd w:val="clear" w:color="auto" w:fill="auto"/>
            <w:vAlign w:val="center"/>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54</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15.2%</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28</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15.7%</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26</w:t>
            </w:r>
          </w:p>
        </w:tc>
        <w:tc>
          <w:tcPr>
            <w:tcW w:w="0" w:type="auto"/>
            <w:tcBorders>
              <w:top w:val="nil"/>
              <w:left w:val="nil"/>
              <w:bottom w:val="nil"/>
              <w:right w:val="nil"/>
            </w:tcBorders>
            <w:shd w:val="clear" w:color="auto" w:fill="auto"/>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14.6%</w:t>
            </w:r>
          </w:p>
        </w:tc>
        <w:tc>
          <w:tcPr>
            <w:tcW w:w="0" w:type="auto"/>
            <w:tcBorders>
              <w:top w:val="nil"/>
              <w:left w:val="nil"/>
              <w:bottom w:val="nil"/>
              <w:right w:val="single" w:sz="8" w:space="0" w:color="auto"/>
            </w:tcBorders>
            <w:shd w:val="clear" w:color="auto" w:fill="auto"/>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0.106</w:t>
            </w:r>
          </w:p>
        </w:tc>
      </w:tr>
      <w:tr w:rsidR="00E26A2F" w:rsidRPr="004C3245" w:rsidTr="000E1978">
        <w:trPr>
          <w:trHeight w:val="144"/>
        </w:trPr>
        <w:tc>
          <w:tcPr>
            <w:tcW w:w="0" w:type="auto"/>
            <w:gridSpan w:val="2"/>
            <w:tcBorders>
              <w:top w:val="nil"/>
              <w:left w:val="single" w:sz="8" w:space="0" w:color="auto"/>
              <w:bottom w:val="nil"/>
              <w:right w:val="nil"/>
            </w:tcBorders>
            <w:shd w:val="clear" w:color="000000" w:fill="D9D9D9"/>
            <w:vAlign w:val="center"/>
            <w:hideMark/>
          </w:tcPr>
          <w:p w:rsidR="0037257D" w:rsidRPr="00E26A2F" w:rsidRDefault="0037257D" w:rsidP="00520E9E">
            <w:pPr>
              <w:spacing w:line="240" w:lineRule="auto"/>
              <w:ind w:hanging="30"/>
              <w:jc w:val="center"/>
              <w:rPr>
                <w:b/>
                <w:bCs/>
                <w:color w:val="000000"/>
                <w:sz w:val="20"/>
                <w:szCs w:val="20"/>
              </w:rPr>
            </w:pPr>
            <w:r w:rsidRPr="00E26A2F">
              <w:rPr>
                <w:b/>
                <w:bCs/>
                <w:color w:val="000000"/>
                <w:sz w:val="20"/>
                <w:szCs w:val="20"/>
              </w:rPr>
              <w:t>Comorbid conditions</w:t>
            </w:r>
          </w:p>
        </w:tc>
        <w:tc>
          <w:tcPr>
            <w:tcW w:w="0" w:type="auto"/>
            <w:tcBorders>
              <w:top w:val="nil"/>
              <w:left w:val="nil"/>
              <w:bottom w:val="nil"/>
              <w:right w:val="nil"/>
            </w:tcBorders>
            <w:shd w:val="clear" w:color="000000" w:fill="D9D9D9"/>
            <w:noWrap/>
            <w:vAlign w:val="bottom"/>
            <w:hideMark/>
          </w:tcPr>
          <w:p w:rsidR="0037257D" w:rsidRPr="00E26A2F" w:rsidRDefault="0037257D" w:rsidP="00520E9E">
            <w:pPr>
              <w:spacing w:line="240" w:lineRule="auto"/>
              <w:ind w:hanging="30"/>
              <w:jc w:val="center"/>
              <w:rPr>
                <w:color w:val="000000"/>
                <w:sz w:val="20"/>
                <w:szCs w:val="20"/>
              </w:rPr>
            </w:pPr>
          </w:p>
        </w:tc>
        <w:tc>
          <w:tcPr>
            <w:tcW w:w="0" w:type="auto"/>
            <w:tcBorders>
              <w:top w:val="nil"/>
              <w:left w:val="nil"/>
              <w:bottom w:val="nil"/>
              <w:right w:val="nil"/>
            </w:tcBorders>
            <w:shd w:val="clear" w:color="000000" w:fill="D9D9D9"/>
            <w:noWrap/>
            <w:vAlign w:val="bottom"/>
            <w:hideMark/>
          </w:tcPr>
          <w:p w:rsidR="0037257D" w:rsidRPr="00E26A2F" w:rsidRDefault="0037257D" w:rsidP="00520E9E">
            <w:pPr>
              <w:spacing w:line="240" w:lineRule="auto"/>
              <w:ind w:hanging="30"/>
              <w:jc w:val="center"/>
              <w:rPr>
                <w:color w:val="000000"/>
                <w:sz w:val="20"/>
                <w:szCs w:val="20"/>
              </w:rPr>
            </w:pPr>
          </w:p>
        </w:tc>
        <w:tc>
          <w:tcPr>
            <w:tcW w:w="0" w:type="auto"/>
            <w:tcBorders>
              <w:top w:val="nil"/>
              <w:left w:val="nil"/>
              <w:bottom w:val="nil"/>
              <w:right w:val="nil"/>
            </w:tcBorders>
            <w:shd w:val="clear" w:color="000000" w:fill="D9D9D9"/>
            <w:noWrap/>
            <w:vAlign w:val="bottom"/>
            <w:hideMark/>
          </w:tcPr>
          <w:p w:rsidR="0037257D" w:rsidRPr="00E26A2F" w:rsidRDefault="0037257D" w:rsidP="00520E9E">
            <w:pPr>
              <w:spacing w:line="240" w:lineRule="auto"/>
              <w:ind w:hanging="30"/>
              <w:jc w:val="center"/>
              <w:rPr>
                <w:color w:val="000000"/>
                <w:sz w:val="20"/>
                <w:szCs w:val="20"/>
              </w:rPr>
            </w:pPr>
          </w:p>
        </w:tc>
        <w:tc>
          <w:tcPr>
            <w:tcW w:w="0" w:type="auto"/>
            <w:tcBorders>
              <w:top w:val="nil"/>
              <w:left w:val="nil"/>
              <w:bottom w:val="nil"/>
              <w:right w:val="nil"/>
            </w:tcBorders>
            <w:shd w:val="clear" w:color="000000" w:fill="D9D9D9"/>
            <w:noWrap/>
            <w:vAlign w:val="bottom"/>
            <w:hideMark/>
          </w:tcPr>
          <w:p w:rsidR="0037257D" w:rsidRPr="00E26A2F" w:rsidRDefault="0037257D" w:rsidP="00520E9E">
            <w:pPr>
              <w:spacing w:line="240" w:lineRule="auto"/>
              <w:ind w:hanging="30"/>
              <w:jc w:val="center"/>
              <w:rPr>
                <w:color w:val="000000"/>
                <w:sz w:val="20"/>
                <w:szCs w:val="20"/>
              </w:rPr>
            </w:pPr>
          </w:p>
        </w:tc>
        <w:tc>
          <w:tcPr>
            <w:tcW w:w="0" w:type="auto"/>
            <w:tcBorders>
              <w:top w:val="nil"/>
              <w:left w:val="nil"/>
              <w:bottom w:val="nil"/>
              <w:right w:val="nil"/>
            </w:tcBorders>
            <w:shd w:val="clear" w:color="000000" w:fill="D9D9D9"/>
            <w:noWrap/>
            <w:vAlign w:val="bottom"/>
            <w:hideMark/>
          </w:tcPr>
          <w:p w:rsidR="0037257D" w:rsidRPr="00E26A2F" w:rsidRDefault="0037257D" w:rsidP="00AC5DE1">
            <w:pPr>
              <w:spacing w:line="240" w:lineRule="auto"/>
              <w:ind w:hanging="30"/>
              <w:jc w:val="center"/>
              <w:rPr>
                <w:color w:val="000000"/>
                <w:sz w:val="20"/>
                <w:szCs w:val="20"/>
              </w:rPr>
            </w:pPr>
          </w:p>
        </w:tc>
        <w:tc>
          <w:tcPr>
            <w:tcW w:w="0" w:type="auto"/>
            <w:tcBorders>
              <w:top w:val="nil"/>
              <w:left w:val="nil"/>
              <w:bottom w:val="nil"/>
              <w:right w:val="single" w:sz="8" w:space="0" w:color="auto"/>
            </w:tcBorders>
            <w:shd w:val="clear" w:color="000000" w:fill="D9D9D9"/>
            <w:noWrap/>
            <w:vAlign w:val="bottom"/>
            <w:hideMark/>
          </w:tcPr>
          <w:p w:rsidR="0037257D" w:rsidRPr="00E26A2F" w:rsidRDefault="0037257D" w:rsidP="00AC5DE1">
            <w:pPr>
              <w:spacing w:line="240" w:lineRule="auto"/>
              <w:ind w:hanging="30"/>
              <w:jc w:val="center"/>
              <w:rPr>
                <w:b/>
                <w:bCs/>
                <w:color w:val="000000"/>
                <w:sz w:val="20"/>
                <w:szCs w:val="20"/>
              </w:rPr>
            </w:pPr>
          </w:p>
        </w:tc>
      </w:tr>
      <w:tr w:rsidR="00E26A2F" w:rsidRPr="004C3245" w:rsidTr="000E1978">
        <w:trPr>
          <w:trHeight w:val="144"/>
        </w:trPr>
        <w:tc>
          <w:tcPr>
            <w:tcW w:w="0" w:type="auto"/>
            <w:tcBorders>
              <w:top w:val="nil"/>
              <w:left w:val="single" w:sz="8" w:space="0" w:color="auto"/>
              <w:bottom w:val="nil"/>
              <w:right w:val="nil"/>
            </w:tcBorders>
            <w:shd w:val="clear" w:color="auto" w:fill="auto"/>
            <w:noWrap/>
            <w:vAlign w:val="bottom"/>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Hyperlipidemia</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147</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41.3%</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70</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39.3%</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77</w:t>
            </w:r>
          </w:p>
        </w:tc>
        <w:tc>
          <w:tcPr>
            <w:tcW w:w="0" w:type="auto"/>
            <w:tcBorders>
              <w:top w:val="nil"/>
              <w:left w:val="nil"/>
              <w:bottom w:val="nil"/>
              <w:right w:val="nil"/>
            </w:tcBorders>
            <w:shd w:val="clear" w:color="auto" w:fill="auto"/>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43.3%</w:t>
            </w:r>
          </w:p>
        </w:tc>
        <w:tc>
          <w:tcPr>
            <w:tcW w:w="0" w:type="auto"/>
            <w:tcBorders>
              <w:top w:val="nil"/>
              <w:left w:val="nil"/>
              <w:bottom w:val="nil"/>
              <w:right w:val="single" w:sz="8" w:space="0" w:color="auto"/>
            </w:tcBorders>
            <w:shd w:val="clear" w:color="auto" w:fill="auto"/>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0.080</w:t>
            </w:r>
          </w:p>
        </w:tc>
      </w:tr>
      <w:tr w:rsidR="00E26A2F" w:rsidRPr="004C3245" w:rsidTr="000E1978">
        <w:trPr>
          <w:trHeight w:val="144"/>
        </w:trPr>
        <w:tc>
          <w:tcPr>
            <w:tcW w:w="0" w:type="auto"/>
            <w:tcBorders>
              <w:top w:val="nil"/>
              <w:left w:val="single" w:sz="8" w:space="0" w:color="auto"/>
              <w:bottom w:val="nil"/>
              <w:right w:val="nil"/>
            </w:tcBorders>
            <w:shd w:val="clear" w:color="auto" w:fill="auto"/>
            <w:noWrap/>
            <w:vAlign w:val="bottom"/>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Hypertension</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151</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42.4%</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75</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42.1%</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76</w:t>
            </w:r>
          </w:p>
        </w:tc>
        <w:tc>
          <w:tcPr>
            <w:tcW w:w="0" w:type="auto"/>
            <w:tcBorders>
              <w:top w:val="nil"/>
              <w:left w:val="nil"/>
              <w:bottom w:val="nil"/>
              <w:right w:val="nil"/>
            </w:tcBorders>
            <w:shd w:val="clear" w:color="auto" w:fill="auto"/>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42.7%</w:t>
            </w:r>
          </w:p>
        </w:tc>
        <w:tc>
          <w:tcPr>
            <w:tcW w:w="0" w:type="auto"/>
            <w:tcBorders>
              <w:top w:val="nil"/>
              <w:left w:val="nil"/>
              <w:bottom w:val="nil"/>
              <w:right w:val="single" w:sz="8" w:space="0" w:color="auto"/>
            </w:tcBorders>
            <w:shd w:val="clear" w:color="auto" w:fill="auto"/>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0.011</w:t>
            </w:r>
          </w:p>
        </w:tc>
      </w:tr>
      <w:tr w:rsidR="00E26A2F" w:rsidRPr="004C3245" w:rsidTr="000E1978">
        <w:trPr>
          <w:trHeight w:val="144"/>
        </w:trPr>
        <w:tc>
          <w:tcPr>
            <w:tcW w:w="0" w:type="auto"/>
            <w:tcBorders>
              <w:top w:val="nil"/>
              <w:left w:val="single" w:sz="8" w:space="0" w:color="auto"/>
              <w:bottom w:val="nil"/>
              <w:right w:val="nil"/>
            </w:tcBorders>
            <w:shd w:val="clear" w:color="auto" w:fill="auto"/>
            <w:noWrap/>
            <w:vAlign w:val="bottom"/>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Osteoarthritis</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143</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40.2%</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63</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35.4%</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80</w:t>
            </w:r>
          </w:p>
        </w:tc>
        <w:tc>
          <w:tcPr>
            <w:tcW w:w="0" w:type="auto"/>
            <w:tcBorders>
              <w:top w:val="nil"/>
              <w:left w:val="nil"/>
              <w:bottom w:val="nil"/>
              <w:right w:val="nil"/>
            </w:tcBorders>
            <w:shd w:val="clear" w:color="auto" w:fill="auto"/>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44.9%</w:t>
            </w:r>
          </w:p>
        </w:tc>
        <w:tc>
          <w:tcPr>
            <w:tcW w:w="0" w:type="auto"/>
            <w:tcBorders>
              <w:top w:val="nil"/>
              <w:left w:val="nil"/>
              <w:bottom w:val="nil"/>
              <w:right w:val="single" w:sz="8" w:space="0" w:color="auto"/>
            </w:tcBorders>
            <w:shd w:val="clear" w:color="auto" w:fill="auto"/>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0.201</w:t>
            </w:r>
          </w:p>
        </w:tc>
      </w:tr>
      <w:tr w:rsidR="00E26A2F" w:rsidRPr="004C3245" w:rsidTr="000E1978">
        <w:trPr>
          <w:trHeight w:val="144"/>
        </w:trPr>
        <w:tc>
          <w:tcPr>
            <w:tcW w:w="0" w:type="auto"/>
            <w:tcBorders>
              <w:top w:val="nil"/>
              <w:left w:val="single" w:sz="8" w:space="0" w:color="auto"/>
              <w:bottom w:val="nil"/>
              <w:right w:val="nil"/>
            </w:tcBorders>
            <w:shd w:val="clear" w:color="auto" w:fill="auto"/>
            <w:noWrap/>
            <w:vAlign w:val="bottom"/>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Osteoporosis</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33</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9.3%</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17</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9.6%</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16</w:t>
            </w:r>
          </w:p>
        </w:tc>
        <w:tc>
          <w:tcPr>
            <w:tcW w:w="0" w:type="auto"/>
            <w:tcBorders>
              <w:top w:val="nil"/>
              <w:left w:val="nil"/>
              <w:bottom w:val="nil"/>
              <w:right w:val="nil"/>
            </w:tcBorders>
            <w:shd w:val="clear" w:color="auto" w:fill="auto"/>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9.0%</w:t>
            </w:r>
          </w:p>
        </w:tc>
        <w:tc>
          <w:tcPr>
            <w:tcW w:w="0" w:type="auto"/>
            <w:tcBorders>
              <w:top w:val="nil"/>
              <w:left w:val="nil"/>
              <w:bottom w:val="nil"/>
              <w:right w:val="single" w:sz="8" w:space="0" w:color="auto"/>
            </w:tcBorders>
            <w:shd w:val="clear" w:color="auto" w:fill="auto"/>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0.019</w:t>
            </w:r>
          </w:p>
        </w:tc>
      </w:tr>
      <w:tr w:rsidR="00E26A2F" w:rsidRPr="004C3245" w:rsidTr="000E1978">
        <w:trPr>
          <w:trHeight w:val="144"/>
        </w:trPr>
        <w:tc>
          <w:tcPr>
            <w:tcW w:w="0" w:type="auto"/>
            <w:tcBorders>
              <w:top w:val="nil"/>
              <w:left w:val="single" w:sz="8" w:space="0" w:color="auto"/>
              <w:bottom w:val="nil"/>
              <w:right w:val="nil"/>
            </w:tcBorders>
            <w:shd w:val="clear" w:color="auto" w:fill="auto"/>
            <w:noWrap/>
            <w:vAlign w:val="bottom"/>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Cancer</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24</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6.7%</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11</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6.2%</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13</w:t>
            </w:r>
          </w:p>
        </w:tc>
        <w:tc>
          <w:tcPr>
            <w:tcW w:w="0" w:type="auto"/>
            <w:tcBorders>
              <w:top w:val="nil"/>
              <w:left w:val="nil"/>
              <w:bottom w:val="nil"/>
              <w:right w:val="nil"/>
            </w:tcBorders>
            <w:shd w:val="clear" w:color="auto" w:fill="auto"/>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7.3%</w:t>
            </w:r>
          </w:p>
        </w:tc>
        <w:tc>
          <w:tcPr>
            <w:tcW w:w="0" w:type="auto"/>
            <w:tcBorders>
              <w:top w:val="nil"/>
              <w:left w:val="nil"/>
              <w:bottom w:val="nil"/>
              <w:right w:val="single" w:sz="8" w:space="0" w:color="auto"/>
            </w:tcBorders>
            <w:shd w:val="clear" w:color="auto" w:fill="auto"/>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0.045</w:t>
            </w:r>
          </w:p>
        </w:tc>
      </w:tr>
      <w:tr w:rsidR="00E26A2F" w:rsidRPr="004C3245" w:rsidTr="000E1978">
        <w:trPr>
          <w:trHeight w:val="144"/>
        </w:trPr>
        <w:tc>
          <w:tcPr>
            <w:tcW w:w="0" w:type="auto"/>
            <w:tcBorders>
              <w:top w:val="nil"/>
              <w:left w:val="single" w:sz="8" w:space="0" w:color="auto"/>
              <w:bottom w:val="nil"/>
              <w:right w:val="nil"/>
            </w:tcBorders>
            <w:shd w:val="clear" w:color="auto" w:fill="auto"/>
            <w:noWrap/>
            <w:vAlign w:val="bottom"/>
            <w:hideMark/>
          </w:tcPr>
          <w:p w:rsidR="0037257D" w:rsidRPr="00E26A2F" w:rsidRDefault="0037257D" w:rsidP="00E26A2F">
            <w:pPr>
              <w:spacing w:line="240" w:lineRule="auto"/>
              <w:ind w:hanging="30"/>
              <w:jc w:val="left"/>
              <w:rPr>
                <w:color w:val="000000"/>
                <w:sz w:val="20"/>
                <w:szCs w:val="20"/>
              </w:rPr>
            </w:pPr>
            <w:r w:rsidRPr="00E26A2F">
              <w:rPr>
                <w:color w:val="000000"/>
                <w:sz w:val="20"/>
                <w:szCs w:val="20"/>
              </w:rPr>
              <w:t>CVD</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12</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3.4%</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4</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2.2%</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8</w:t>
            </w:r>
          </w:p>
        </w:tc>
        <w:tc>
          <w:tcPr>
            <w:tcW w:w="0" w:type="auto"/>
            <w:tcBorders>
              <w:top w:val="nil"/>
              <w:left w:val="nil"/>
              <w:bottom w:val="nil"/>
              <w:right w:val="nil"/>
            </w:tcBorders>
            <w:shd w:val="clear" w:color="auto" w:fill="auto"/>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4.5%</w:t>
            </w:r>
          </w:p>
        </w:tc>
        <w:tc>
          <w:tcPr>
            <w:tcW w:w="0" w:type="auto"/>
            <w:tcBorders>
              <w:top w:val="nil"/>
              <w:left w:val="nil"/>
              <w:bottom w:val="nil"/>
              <w:right w:val="single" w:sz="8" w:space="0" w:color="auto"/>
            </w:tcBorders>
            <w:shd w:val="clear" w:color="auto" w:fill="auto"/>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0.125</w:t>
            </w:r>
          </w:p>
        </w:tc>
      </w:tr>
      <w:tr w:rsidR="00E26A2F" w:rsidRPr="004C3245" w:rsidTr="000E1978">
        <w:trPr>
          <w:trHeight w:val="144"/>
        </w:trPr>
        <w:tc>
          <w:tcPr>
            <w:tcW w:w="0" w:type="auto"/>
            <w:tcBorders>
              <w:top w:val="nil"/>
              <w:left w:val="single" w:sz="8" w:space="0" w:color="auto"/>
              <w:bottom w:val="nil"/>
              <w:right w:val="nil"/>
            </w:tcBorders>
            <w:shd w:val="clear" w:color="000000" w:fill="FFFFFF"/>
            <w:noWrap/>
            <w:vAlign w:val="bottom"/>
            <w:hideMark/>
          </w:tcPr>
          <w:p w:rsidR="0037257D" w:rsidRPr="00E26A2F" w:rsidRDefault="0037257D" w:rsidP="00E26A2F">
            <w:pPr>
              <w:spacing w:line="240" w:lineRule="auto"/>
              <w:ind w:hanging="30"/>
              <w:rPr>
                <w:color w:val="000000"/>
                <w:sz w:val="20"/>
                <w:szCs w:val="20"/>
              </w:rPr>
            </w:pPr>
            <w:r w:rsidRPr="00E26A2F">
              <w:rPr>
                <w:color w:val="000000"/>
                <w:sz w:val="20"/>
                <w:szCs w:val="20"/>
              </w:rPr>
              <w:t xml:space="preserve">Diabetes </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36</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10.1%</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21</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11.8%</w:t>
            </w:r>
          </w:p>
        </w:tc>
        <w:tc>
          <w:tcPr>
            <w:tcW w:w="0" w:type="auto"/>
            <w:tcBorders>
              <w:top w:val="nil"/>
              <w:left w:val="nil"/>
              <w:bottom w:val="nil"/>
              <w:right w:val="nil"/>
            </w:tcBorders>
            <w:shd w:val="clear" w:color="000000" w:fill="FFFFFF"/>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15</w:t>
            </w:r>
          </w:p>
        </w:tc>
        <w:tc>
          <w:tcPr>
            <w:tcW w:w="0" w:type="auto"/>
            <w:tcBorders>
              <w:top w:val="nil"/>
              <w:left w:val="nil"/>
              <w:bottom w:val="nil"/>
              <w:right w:val="nil"/>
            </w:tcBorders>
            <w:shd w:val="clear" w:color="000000" w:fill="FFFFFF"/>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8.4%</w:t>
            </w:r>
          </w:p>
        </w:tc>
        <w:tc>
          <w:tcPr>
            <w:tcW w:w="0" w:type="auto"/>
            <w:tcBorders>
              <w:top w:val="nil"/>
              <w:left w:val="nil"/>
              <w:bottom w:val="nil"/>
              <w:right w:val="single" w:sz="8" w:space="0" w:color="auto"/>
            </w:tcBorders>
            <w:shd w:val="clear" w:color="000000" w:fill="FFFFFF"/>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0.112</w:t>
            </w:r>
          </w:p>
        </w:tc>
      </w:tr>
      <w:tr w:rsidR="0037257D" w:rsidRPr="004C3245" w:rsidTr="000E1978">
        <w:trPr>
          <w:trHeight w:val="144"/>
        </w:trPr>
        <w:tc>
          <w:tcPr>
            <w:tcW w:w="0" w:type="auto"/>
            <w:gridSpan w:val="7"/>
            <w:tcBorders>
              <w:top w:val="nil"/>
              <w:left w:val="single" w:sz="8" w:space="0" w:color="auto"/>
              <w:bottom w:val="nil"/>
              <w:right w:val="nil"/>
            </w:tcBorders>
            <w:shd w:val="clear" w:color="000000" w:fill="D9D9D9"/>
            <w:vAlign w:val="center"/>
            <w:hideMark/>
          </w:tcPr>
          <w:p w:rsidR="0037257D" w:rsidRPr="00E26A2F" w:rsidRDefault="0037257D" w:rsidP="00520E9E">
            <w:pPr>
              <w:spacing w:line="240" w:lineRule="auto"/>
              <w:ind w:hanging="30"/>
              <w:jc w:val="center"/>
              <w:rPr>
                <w:b/>
                <w:bCs/>
                <w:color w:val="000000"/>
                <w:sz w:val="20"/>
                <w:szCs w:val="20"/>
              </w:rPr>
            </w:pPr>
            <w:r w:rsidRPr="00E26A2F">
              <w:rPr>
                <w:b/>
                <w:bCs/>
                <w:color w:val="000000"/>
                <w:sz w:val="20"/>
                <w:szCs w:val="20"/>
              </w:rPr>
              <w:t>Overall Health</w:t>
            </w:r>
          </w:p>
        </w:tc>
        <w:tc>
          <w:tcPr>
            <w:tcW w:w="0" w:type="auto"/>
            <w:tcBorders>
              <w:top w:val="nil"/>
              <w:left w:val="nil"/>
              <w:bottom w:val="nil"/>
              <w:right w:val="single" w:sz="8" w:space="0" w:color="auto"/>
            </w:tcBorders>
            <w:shd w:val="clear" w:color="000000" w:fill="D9D9D9"/>
            <w:noWrap/>
            <w:vAlign w:val="bottom"/>
            <w:hideMark/>
          </w:tcPr>
          <w:p w:rsidR="0037257D" w:rsidRPr="00E26A2F" w:rsidRDefault="0037257D" w:rsidP="00AC5DE1">
            <w:pPr>
              <w:spacing w:line="240" w:lineRule="auto"/>
              <w:ind w:hanging="30"/>
              <w:jc w:val="center"/>
              <w:rPr>
                <w:b/>
                <w:bCs/>
                <w:color w:val="000000"/>
                <w:sz w:val="20"/>
                <w:szCs w:val="20"/>
              </w:rPr>
            </w:pPr>
          </w:p>
        </w:tc>
      </w:tr>
      <w:tr w:rsidR="00E26A2F" w:rsidRPr="004C3245" w:rsidTr="000E1978">
        <w:trPr>
          <w:trHeight w:val="144"/>
        </w:trPr>
        <w:tc>
          <w:tcPr>
            <w:tcW w:w="0" w:type="auto"/>
            <w:tcBorders>
              <w:top w:val="nil"/>
              <w:left w:val="single" w:sz="8" w:space="0" w:color="auto"/>
              <w:bottom w:val="nil"/>
              <w:right w:val="nil"/>
            </w:tcBorders>
            <w:shd w:val="clear" w:color="auto" w:fill="auto"/>
            <w:noWrap/>
            <w:vAlign w:val="bottom"/>
            <w:hideMark/>
          </w:tcPr>
          <w:p w:rsidR="0037257D" w:rsidRPr="00E26A2F" w:rsidRDefault="0037257D" w:rsidP="00E26A2F">
            <w:pPr>
              <w:spacing w:line="240" w:lineRule="auto"/>
              <w:ind w:hanging="30"/>
              <w:rPr>
                <w:color w:val="000000"/>
                <w:sz w:val="20"/>
                <w:szCs w:val="20"/>
              </w:rPr>
            </w:pPr>
            <w:r w:rsidRPr="00E26A2F">
              <w:rPr>
                <w:color w:val="000000"/>
                <w:sz w:val="20"/>
                <w:szCs w:val="20"/>
              </w:rPr>
              <w:t>Excellent/VG/Good</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292</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82.0%</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154</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86.5%</w:t>
            </w:r>
          </w:p>
        </w:tc>
        <w:tc>
          <w:tcPr>
            <w:tcW w:w="0" w:type="auto"/>
            <w:tcBorders>
              <w:top w:val="nil"/>
              <w:left w:val="nil"/>
              <w:bottom w:val="nil"/>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138</w:t>
            </w:r>
          </w:p>
        </w:tc>
        <w:tc>
          <w:tcPr>
            <w:tcW w:w="0" w:type="auto"/>
            <w:tcBorders>
              <w:top w:val="nil"/>
              <w:left w:val="nil"/>
              <w:bottom w:val="nil"/>
              <w:right w:val="nil"/>
            </w:tcBorders>
            <w:shd w:val="clear" w:color="auto" w:fill="auto"/>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77.5%</w:t>
            </w:r>
          </w:p>
        </w:tc>
        <w:tc>
          <w:tcPr>
            <w:tcW w:w="0" w:type="auto"/>
            <w:tcBorders>
              <w:top w:val="nil"/>
              <w:left w:val="nil"/>
              <w:bottom w:val="nil"/>
              <w:right w:val="single" w:sz="8" w:space="0" w:color="auto"/>
            </w:tcBorders>
            <w:shd w:val="clear" w:color="auto" w:fill="auto"/>
            <w:noWrap/>
            <w:vAlign w:val="bottom"/>
            <w:hideMark/>
          </w:tcPr>
          <w:p w:rsidR="0037257D" w:rsidRPr="00E26A2F" w:rsidRDefault="0037257D" w:rsidP="00AC5DE1">
            <w:pPr>
              <w:spacing w:line="240" w:lineRule="auto"/>
              <w:ind w:hanging="30"/>
              <w:jc w:val="center"/>
              <w:rPr>
                <w:b/>
                <w:bCs/>
                <w:color w:val="000000"/>
                <w:sz w:val="20"/>
                <w:szCs w:val="20"/>
              </w:rPr>
            </w:pPr>
            <w:r w:rsidRPr="00E26A2F">
              <w:rPr>
                <w:b/>
                <w:bCs/>
                <w:color w:val="000000"/>
                <w:sz w:val="20"/>
                <w:szCs w:val="20"/>
              </w:rPr>
              <w:t>0.220</w:t>
            </w:r>
          </w:p>
        </w:tc>
      </w:tr>
      <w:tr w:rsidR="00E26A2F" w:rsidRPr="004C3245" w:rsidTr="000E1978">
        <w:trPr>
          <w:trHeight w:val="144"/>
        </w:trPr>
        <w:tc>
          <w:tcPr>
            <w:tcW w:w="0" w:type="auto"/>
            <w:tcBorders>
              <w:top w:val="nil"/>
              <w:left w:val="single" w:sz="8" w:space="0" w:color="auto"/>
              <w:bottom w:val="single" w:sz="8" w:space="0" w:color="auto"/>
              <w:right w:val="nil"/>
            </w:tcBorders>
            <w:shd w:val="clear" w:color="auto" w:fill="auto"/>
            <w:noWrap/>
            <w:vAlign w:val="bottom"/>
            <w:hideMark/>
          </w:tcPr>
          <w:p w:rsidR="0037257D" w:rsidRPr="00E26A2F" w:rsidRDefault="0037257D" w:rsidP="00E26A2F">
            <w:pPr>
              <w:spacing w:line="240" w:lineRule="auto"/>
              <w:ind w:hanging="30"/>
              <w:rPr>
                <w:color w:val="000000"/>
                <w:sz w:val="20"/>
                <w:szCs w:val="20"/>
              </w:rPr>
            </w:pPr>
            <w:r w:rsidRPr="00E26A2F">
              <w:rPr>
                <w:color w:val="000000"/>
                <w:sz w:val="20"/>
                <w:szCs w:val="20"/>
              </w:rPr>
              <w:t>Fair/Poor</w:t>
            </w:r>
          </w:p>
        </w:tc>
        <w:tc>
          <w:tcPr>
            <w:tcW w:w="0" w:type="auto"/>
            <w:tcBorders>
              <w:top w:val="nil"/>
              <w:left w:val="nil"/>
              <w:bottom w:val="single" w:sz="8" w:space="0" w:color="auto"/>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61</w:t>
            </w:r>
          </w:p>
        </w:tc>
        <w:tc>
          <w:tcPr>
            <w:tcW w:w="0" w:type="auto"/>
            <w:tcBorders>
              <w:top w:val="nil"/>
              <w:left w:val="nil"/>
              <w:bottom w:val="single" w:sz="8" w:space="0" w:color="auto"/>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17.1%</w:t>
            </w:r>
          </w:p>
        </w:tc>
        <w:tc>
          <w:tcPr>
            <w:tcW w:w="0" w:type="auto"/>
            <w:tcBorders>
              <w:top w:val="nil"/>
              <w:left w:val="nil"/>
              <w:bottom w:val="single" w:sz="8" w:space="0" w:color="auto"/>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23</w:t>
            </w:r>
          </w:p>
        </w:tc>
        <w:tc>
          <w:tcPr>
            <w:tcW w:w="0" w:type="auto"/>
            <w:tcBorders>
              <w:top w:val="nil"/>
              <w:left w:val="nil"/>
              <w:bottom w:val="single" w:sz="8" w:space="0" w:color="auto"/>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12.9%</w:t>
            </w:r>
          </w:p>
        </w:tc>
        <w:tc>
          <w:tcPr>
            <w:tcW w:w="0" w:type="auto"/>
            <w:tcBorders>
              <w:top w:val="nil"/>
              <w:left w:val="nil"/>
              <w:bottom w:val="single" w:sz="8" w:space="0" w:color="auto"/>
              <w:right w:val="nil"/>
            </w:tcBorders>
            <w:shd w:val="clear" w:color="auto" w:fill="auto"/>
            <w:noWrap/>
            <w:vAlign w:val="bottom"/>
            <w:hideMark/>
          </w:tcPr>
          <w:p w:rsidR="0037257D" w:rsidRPr="00E26A2F" w:rsidRDefault="0037257D" w:rsidP="00520E9E">
            <w:pPr>
              <w:spacing w:line="240" w:lineRule="auto"/>
              <w:ind w:hanging="30"/>
              <w:jc w:val="center"/>
              <w:rPr>
                <w:color w:val="000000"/>
                <w:sz w:val="20"/>
                <w:szCs w:val="20"/>
              </w:rPr>
            </w:pPr>
            <w:r w:rsidRPr="00E26A2F">
              <w:rPr>
                <w:color w:val="000000"/>
                <w:sz w:val="20"/>
                <w:szCs w:val="20"/>
              </w:rPr>
              <w:t>38</w:t>
            </w:r>
          </w:p>
        </w:tc>
        <w:tc>
          <w:tcPr>
            <w:tcW w:w="0" w:type="auto"/>
            <w:tcBorders>
              <w:top w:val="nil"/>
              <w:left w:val="nil"/>
              <w:bottom w:val="single" w:sz="8" w:space="0" w:color="auto"/>
              <w:right w:val="nil"/>
            </w:tcBorders>
            <w:shd w:val="clear" w:color="auto" w:fill="auto"/>
            <w:noWrap/>
            <w:vAlign w:val="bottom"/>
            <w:hideMark/>
          </w:tcPr>
          <w:p w:rsidR="0037257D" w:rsidRPr="00E26A2F" w:rsidRDefault="0037257D" w:rsidP="00AC5DE1">
            <w:pPr>
              <w:spacing w:line="240" w:lineRule="auto"/>
              <w:ind w:hanging="30"/>
              <w:jc w:val="center"/>
              <w:rPr>
                <w:color w:val="000000"/>
                <w:sz w:val="20"/>
                <w:szCs w:val="20"/>
              </w:rPr>
            </w:pPr>
            <w:r w:rsidRPr="00E26A2F">
              <w:rPr>
                <w:color w:val="000000"/>
                <w:sz w:val="20"/>
                <w:szCs w:val="20"/>
              </w:rPr>
              <w:t>21.3%</w:t>
            </w:r>
          </w:p>
        </w:tc>
        <w:tc>
          <w:tcPr>
            <w:tcW w:w="0" w:type="auto"/>
            <w:tcBorders>
              <w:top w:val="nil"/>
              <w:left w:val="nil"/>
              <w:bottom w:val="single" w:sz="8" w:space="0" w:color="auto"/>
              <w:right w:val="single" w:sz="8" w:space="0" w:color="auto"/>
            </w:tcBorders>
            <w:shd w:val="clear" w:color="auto" w:fill="auto"/>
            <w:noWrap/>
            <w:vAlign w:val="bottom"/>
            <w:hideMark/>
          </w:tcPr>
          <w:p w:rsidR="0037257D" w:rsidRPr="00E26A2F" w:rsidRDefault="0037257D" w:rsidP="00E26A2F">
            <w:pPr>
              <w:spacing w:line="240" w:lineRule="auto"/>
              <w:ind w:hanging="30"/>
              <w:rPr>
                <w:b/>
                <w:bCs/>
                <w:color w:val="000000"/>
                <w:sz w:val="20"/>
                <w:szCs w:val="20"/>
              </w:rPr>
            </w:pPr>
            <w:r w:rsidRPr="00E26A2F">
              <w:rPr>
                <w:b/>
                <w:bCs/>
                <w:color w:val="000000"/>
                <w:sz w:val="20"/>
                <w:szCs w:val="20"/>
              </w:rPr>
              <w:t> </w:t>
            </w:r>
          </w:p>
        </w:tc>
      </w:tr>
    </w:tbl>
    <w:p w:rsidR="0037257D" w:rsidRPr="00E26A2F" w:rsidRDefault="0037257D" w:rsidP="00E26A2F">
      <w:pPr>
        <w:spacing w:line="240" w:lineRule="auto"/>
        <w:ind w:firstLine="86"/>
        <w:rPr>
          <w:sz w:val="20"/>
          <w:szCs w:val="20"/>
        </w:rPr>
      </w:pPr>
      <w:r w:rsidRPr="00E26A2F">
        <w:rPr>
          <w:sz w:val="20"/>
          <w:szCs w:val="20"/>
        </w:rPr>
        <w:t>*SMD=Standardized Mean Difference, other variables examined included education, study site, selective estrogen receptor modulators (SERMS) and gonadotropin-releasing hormone (GnRH).</w:t>
      </w:r>
    </w:p>
    <w:p w:rsidR="0037257D" w:rsidRPr="004C3245" w:rsidRDefault="0037257D" w:rsidP="0037257D"/>
    <w:p w:rsidR="0037257D" w:rsidRPr="004C3245" w:rsidRDefault="0037257D" w:rsidP="0037257D">
      <w:pPr>
        <w:jc w:val="center"/>
      </w:pPr>
    </w:p>
    <w:p w:rsidR="0037257D" w:rsidRPr="004C3245" w:rsidRDefault="0037257D" w:rsidP="0037257D">
      <w:pPr>
        <w:jc w:val="center"/>
      </w:pPr>
    </w:p>
    <w:p w:rsidR="0037257D" w:rsidRPr="004C3245" w:rsidRDefault="0037257D" w:rsidP="00835A6E">
      <w:pPr>
        <w:pStyle w:val="Heading3"/>
      </w:pPr>
      <w:bookmarkStart w:id="21" w:name="_Toc6485185"/>
      <w:r w:rsidRPr="004C3245">
        <w:lastRenderedPageBreak/>
        <w:t>Annual rate of change in BMD in femoral neck, lumbar spine, and total hip with covariate adjustments</w:t>
      </w:r>
      <w:bookmarkEnd w:id="21"/>
      <w:r w:rsidRPr="004C3245">
        <w:t xml:space="preserve"> </w:t>
      </w:r>
    </w:p>
    <w:p w:rsidR="0037257D" w:rsidRPr="004C3245" w:rsidRDefault="0037257D" w:rsidP="0037257D">
      <w:r w:rsidRPr="004C3245">
        <w:rPr>
          <w:b/>
        </w:rPr>
        <w:tab/>
      </w:r>
      <w:r w:rsidRPr="004C3245">
        <w:t xml:space="preserve">Table 2 shows the type 3 test to determine which covariates have a significant effect on BMD in the neck. BMD in the femoral neck was found to be statistically significantly associated with BMI (p&lt;0.0001). It was also found to be statistically significantly associated with menopausal status and thiazide diuretic, (p&lt;0.0001) and (p&lt;0.0041), respectively. Table 3 shows covariates that were statistically significant with the BMD in the hip were BMI (p&lt;0.0001), race (p&lt;0.0098), menopausal status (p&lt;0.0001), and thiazide diuretic use (p&lt;0.0013). Table 4 shows that BMD in lumbar spine was statistically significantly associated with age (p&lt;0.0001), race (p&lt;0.0273), menopause status (p&lt;0.0001), and thiazide diuretic (p&lt;0.0069). </w:t>
      </w:r>
    </w:p>
    <w:p w:rsidR="0037257D" w:rsidRPr="004C3245" w:rsidRDefault="0037257D" w:rsidP="0037257D"/>
    <w:p w:rsidR="00835A6E" w:rsidRPr="004C3245" w:rsidRDefault="00835A6E" w:rsidP="00835A6E">
      <w:pPr>
        <w:pStyle w:val="Caption"/>
        <w:rPr>
          <w:b w:val="0"/>
          <w:sz w:val="24"/>
          <w:szCs w:val="24"/>
        </w:rPr>
      </w:pPr>
      <w:bookmarkStart w:id="22" w:name="_Toc6485193"/>
      <w:r>
        <w:t xml:space="preserve">Table </w:t>
      </w:r>
      <w:r>
        <w:fldChar w:fldCharType="begin"/>
      </w:r>
      <w:r>
        <w:instrText xml:space="preserve"> SEQ Table \* ARABIC </w:instrText>
      </w:r>
      <w:r>
        <w:fldChar w:fldCharType="separate"/>
      </w:r>
      <w:r w:rsidR="00D17C05">
        <w:t>2</w:t>
      </w:r>
      <w:r>
        <w:fldChar w:fldCharType="end"/>
      </w:r>
      <w:r>
        <w:t xml:space="preserve"> Covariate efforts on BMD in femoral nect</w:t>
      </w:r>
      <w:bookmarkEnd w:id="22"/>
    </w:p>
    <w:p w:rsidR="0037257D" w:rsidRPr="004C3245" w:rsidRDefault="0037257D" w:rsidP="00835A6E">
      <w:pPr>
        <w:ind w:firstLine="2160"/>
      </w:pPr>
      <w:r w:rsidRPr="004C3245">
        <w:rPr>
          <w:noProof/>
        </w:rPr>
        <w:drawing>
          <wp:inline distT="0" distB="0" distL="0" distR="0" wp14:anchorId="6A6C82B9" wp14:editId="5FDFE1F3">
            <wp:extent cx="3219450" cy="2400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2400300"/>
                    </a:xfrm>
                    <a:prstGeom prst="rect">
                      <a:avLst/>
                    </a:prstGeom>
                    <a:noFill/>
                    <a:ln>
                      <a:noFill/>
                    </a:ln>
                  </pic:spPr>
                </pic:pic>
              </a:graphicData>
            </a:graphic>
          </wp:inline>
        </w:drawing>
      </w:r>
    </w:p>
    <w:p w:rsidR="0037257D" w:rsidRPr="004C3245" w:rsidRDefault="0037257D" w:rsidP="0037257D"/>
    <w:p w:rsidR="0037257D" w:rsidRPr="004C3245" w:rsidRDefault="0037257D" w:rsidP="0037257D"/>
    <w:p w:rsidR="0037257D" w:rsidRPr="004C3245" w:rsidRDefault="0037257D" w:rsidP="0037257D"/>
    <w:p w:rsidR="0037257D" w:rsidRPr="004C3245" w:rsidRDefault="0037257D" w:rsidP="0037257D"/>
    <w:p w:rsidR="008F6E71" w:rsidRPr="004C3245" w:rsidRDefault="008F6E71" w:rsidP="008F6E71">
      <w:pPr>
        <w:pStyle w:val="Caption"/>
        <w:rPr>
          <w:b w:val="0"/>
          <w:sz w:val="24"/>
          <w:szCs w:val="24"/>
        </w:rPr>
      </w:pPr>
      <w:bookmarkStart w:id="23" w:name="_Toc6485194"/>
      <w:r>
        <w:t xml:space="preserve">Table </w:t>
      </w:r>
      <w:r>
        <w:fldChar w:fldCharType="begin"/>
      </w:r>
      <w:r>
        <w:instrText xml:space="preserve"> SEQ Table \* ARABIC </w:instrText>
      </w:r>
      <w:r>
        <w:fldChar w:fldCharType="separate"/>
      </w:r>
      <w:r w:rsidR="00D17C05">
        <w:t>3</w:t>
      </w:r>
      <w:r>
        <w:fldChar w:fldCharType="end"/>
      </w:r>
      <w:r>
        <w:t xml:space="preserve"> Covariate efforts on BMD in hip</w:t>
      </w:r>
      <w:bookmarkEnd w:id="23"/>
    </w:p>
    <w:p w:rsidR="0037257D" w:rsidRPr="004C3245" w:rsidRDefault="0037257D" w:rsidP="008F6E71">
      <w:pPr>
        <w:ind w:firstLine="360"/>
        <w:jc w:val="center"/>
        <w:rPr>
          <w:b/>
        </w:rPr>
      </w:pPr>
      <w:r w:rsidRPr="004C3245">
        <w:rPr>
          <w:b/>
          <w:noProof/>
        </w:rPr>
        <w:drawing>
          <wp:inline distT="0" distB="0" distL="0" distR="0" wp14:anchorId="2AEC12F3" wp14:editId="3D9FCECB">
            <wp:extent cx="3257550" cy="24669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7550" cy="2466975"/>
                    </a:xfrm>
                    <a:prstGeom prst="rect">
                      <a:avLst/>
                    </a:prstGeom>
                    <a:noFill/>
                    <a:ln>
                      <a:noFill/>
                    </a:ln>
                  </pic:spPr>
                </pic:pic>
              </a:graphicData>
            </a:graphic>
          </wp:inline>
        </w:drawing>
      </w:r>
    </w:p>
    <w:p w:rsidR="0037257D" w:rsidRPr="004C3245" w:rsidRDefault="0037257D" w:rsidP="0037257D">
      <w:pPr>
        <w:rPr>
          <w:b/>
        </w:rPr>
      </w:pPr>
    </w:p>
    <w:p w:rsidR="008F6E71" w:rsidRPr="004C3245" w:rsidRDefault="008F6E71" w:rsidP="008F6E71">
      <w:pPr>
        <w:pStyle w:val="Caption"/>
        <w:rPr>
          <w:b w:val="0"/>
          <w:sz w:val="24"/>
          <w:szCs w:val="24"/>
        </w:rPr>
      </w:pPr>
      <w:bookmarkStart w:id="24" w:name="_Toc6485195"/>
      <w:r>
        <w:t xml:space="preserve">Table </w:t>
      </w:r>
      <w:r>
        <w:fldChar w:fldCharType="begin"/>
      </w:r>
      <w:r>
        <w:instrText xml:space="preserve"> SEQ Table \* ARABIC </w:instrText>
      </w:r>
      <w:r>
        <w:fldChar w:fldCharType="separate"/>
      </w:r>
      <w:r w:rsidR="00D17C05">
        <w:t>4</w:t>
      </w:r>
      <w:r>
        <w:fldChar w:fldCharType="end"/>
      </w:r>
      <w:r>
        <w:t xml:space="preserve"> Covariate efforts on BMD in lumbar spine</w:t>
      </w:r>
      <w:bookmarkEnd w:id="24"/>
    </w:p>
    <w:p w:rsidR="0037257D" w:rsidRPr="004C3245" w:rsidRDefault="0037257D" w:rsidP="008F6E71">
      <w:pPr>
        <w:jc w:val="center"/>
        <w:rPr>
          <w:b/>
        </w:rPr>
      </w:pPr>
      <w:r w:rsidRPr="004C3245">
        <w:rPr>
          <w:b/>
          <w:noProof/>
        </w:rPr>
        <w:drawing>
          <wp:inline distT="0" distB="0" distL="0" distR="0" wp14:anchorId="36CD0568" wp14:editId="72554171">
            <wp:extent cx="3400425" cy="24479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0425" cy="2447925"/>
                    </a:xfrm>
                    <a:prstGeom prst="rect">
                      <a:avLst/>
                    </a:prstGeom>
                    <a:noFill/>
                    <a:ln>
                      <a:noFill/>
                    </a:ln>
                  </pic:spPr>
                </pic:pic>
              </a:graphicData>
            </a:graphic>
          </wp:inline>
        </w:drawing>
      </w:r>
    </w:p>
    <w:p w:rsidR="0037257D" w:rsidRPr="004C3245" w:rsidRDefault="0037257D" w:rsidP="0037257D"/>
    <w:p w:rsidR="0037257D" w:rsidRPr="004C3245" w:rsidRDefault="0037257D" w:rsidP="0037257D"/>
    <w:p w:rsidR="0037257D" w:rsidRPr="004C3245" w:rsidRDefault="0037257D" w:rsidP="0037257D"/>
    <w:p w:rsidR="0037257D" w:rsidRPr="004C3245" w:rsidRDefault="0037257D" w:rsidP="008F6E71">
      <w:pPr>
        <w:pStyle w:val="Heading3"/>
      </w:pPr>
      <w:r w:rsidRPr="004C3245">
        <w:rPr>
          <w:sz w:val="18"/>
        </w:rPr>
        <w:lastRenderedPageBreak/>
        <w:t xml:space="preserve"> </w:t>
      </w:r>
      <w:bookmarkStart w:id="25" w:name="_Toc6485186"/>
      <w:r w:rsidR="00353979">
        <w:t>An</w:t>
      </w:r>
      <w:r w:rsidRPr="004C3245">
        <w:t>nual rate of change in BMD in femoral neck, lumbar spine, total hip</w:t>
      </w:r>
      <w:bookmarkEnd w:id="25"/>
      <w:r w:rsidRPr="004C3245">
        <w:t xml:space="preserve">   </w:t>
      </w:r>
    </w:p>
    <w:p w:rsidR="0037257D" w:rsidRPr="004C3245" w:rsidRDefault="0037257D" w:rsidP="0037257D">
      <w:r w:rsidRPr="004C3245">
        <w:rPr>
          <w:b/>
        </w:rPr>
        <w:tab/>
      </w:r>
      <w:r w:rsidRPr="004C3245">
        <w:t xml:space="preserve">Figure 2 shows the annual rate of change in the femoral neck, total hip, and lumbar spine through the course of the study. At the FN a decrease of -0.71% was found in the TH users compared to non-users -0.85% decrease (p&lt;0.22). At the total hip, TH users group experienced a -0.57% loss and -0.66% in the non- users group (p&lt;0.47). The TH users group experienced a -0.59% BMD loss in lumbar spine and -0.71% BMD loss in the non- users group with a (p&lt;0.41). These results were adjusted for age, race, BMI, menopausal status, thiazide diuretics and hormone use.  </w:t>
      </w:r>
    </w:p>
    <w:p w:rsidR="0037257D" w:rsidRDefault="0037257D" w:rsidP="0037257D">
      <w:pPr>
        <w:rPr>
          <w:sz w:val="21"/>
        </w:rPr>
      </w:pPr>
      <w:r w:rsidRPr="004C3245">
        <w:rPr>
          <w:sz w:val="21"/>
        </w:rPr>
        <w:tab/>
      </w:r>
      <w:r w:rsidRPr="004C3245">
        <w:rPr>
          <w:noProof/>
        </w:rPr>
        <w:drawing>
          <wp:inline distT="0" distB="0" distL="0" distR="0" wp14:anchorId="4BBC8403" wp14:editId="1A213997">
            <wp:extent cx="5943600" cy="38481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F6E71" w:rsidRPr="008F6E71" w:rsidRDefault="008F6E71" w:rsidP="008F6E71">
      <w:pPr>
        <w:rPr>
          <w:sz w:val="20"/>
          <w:szCs w:val="20"/>
        </w:rPr>
      </w:pPr>
      <w:r>
        <w:rPr>
          <w:sz w:val="20"/>
          <w:szCs w:val="20"/>
        </w:rPr>
        <w:t>*</w:t>
      </w:r>
      <w:r w:rsidRPr="008F6E71">
        <w:rPr>
          <w:sz w:val="20"/>
          <w:szCs w:val="20"/>
        </w:rPr>
        <w:t>Adjusted for age, race, body mass index (BMI), menopausal status, thiazide diuretic and hormone use</w:t>
      </w:r>
    </w:p>
    <w:p w:rsidR="008F6E71" w:rsidRPr="004C3245" w:rsidRDefault="008F6E71" w:rsidP="008F6E71">
      <w:pPr>
        <w:pStyle w:val="Caption"/>
        <w:rPr>
          <w:sz w:val="21"/>
          <w:szCs w:val="24"/>
        </w:rPr>
      </w:pPr>
      <w:bookmarkStart w:id="26" w:name="_Toc6485198"/>
      <w:r>
        <w:t xml:space="preserve">Figure </w:t>
      </w:r>
      <w:r>
        <w:fldChar w:fldCharType="begin"/>
      </w:r>
      <w:r>
        <w:instrText xml:space="preserve"> SEQ Figure \* ARABIC </w:instrText>
      </w:r>
      <w:r>
        <w:fldChar w:fldCharType="separate"/>
      </w:r>
      <w:r w:rsidR="00D17C05">
        <w:t>2</w:t>
      </w:r>
      <w:r>
        <w:fldChar w:fldCharType="end"/>
      </w:r>
      <w:r>
        <w:t xml:space="preserve"> Annual rate of bone loss in lumbar spine, femoral neck, and toal hip after medication initiation</w:t>
      </w:r>
      <w:bookmarkEnd w:id="26"/>
    </w:p>
    <w:p w:rsidR="0037257D" w:rsidRPr="004C3245" w:rsidRDefault="0037257D" w:rsidP="008F6E71">
      <w:pPr>
        <w:ind w:firstLine="0"/>
        <w:rPr>
          <w:sz w:val="18"/>
        </w:rPr>
      </w:pPr>
    </w:p>
    <w:p w:rsidR="0037257D" w:rsidRPr="004C3245" w:rsidRDefault="0037257D" w:rsidP="008F6E71">
      <w:pPr>
        <w:pStyle w:val="Heading3"/>
      </w:pPr>
      <w:bookmarkStart w:id="27" w:name="_Toc6485187"/>
      <w:r w:rsidRPr="004C3245">
        <w:lastRenderedPageBreak/>
        <w:t>Piecewise Rate of change in BMD</w:t>
      </w:r>
      <w:bookmarkEnd w:id="27"/>
    </w:p>
    <w:p w:rsidR="0037257D" w:rsidRPr="004C3245" w:rsidRDefault="0037257D" w:rsidP="0037257D">
      <w:r w:rsidRPr="004C3245">
        <w:tab/>
        <w:t>Table 2 shows the average estimated BMD decrease in each site for 3 years prior to thyroid medication initiation and seven years after baseline (thyroid initiation). Figure 3 shows the annual change in BMD loss in each site of the users over time. The estimated BMD loss in the neck prior to the initiation of thyroid medication was -0.74% each year for 3 years until baseline visit. After thyroid medication was initiated, there was an observed -0.71% decrease in BMD in the neck each year for seven years. The decrease in BMD loss in the neck was found to be significant (p&lt;0.0001) within the user group. The estimated BMD loss in the hip prior to the initiation of thyroid medication was -0.27% for 3 years until baseline visit. After thyroid medication was initiated, there was an observed -0.57% decrease in BMD in the hip each year for seven years. The decrease in BMD loss in the hip was found to be significant (p&lt;0.0001) within the user group. The estimated BMD loss in the spine prior to the initiation of thyroid medication was -0.69% for 3 years until baseline visit. After thyroid medication was initiated, there was an observed -0.59% decrease in BMD in the spine each year for seven years. The decrease in BMD loss in the spine was found to be significant (p&lt;0.0001) within the user group.</w:t>
      </w:r>
    </w:p>
    <w:p w:rsidR="0037257D" w:rsidRPr="004C3245" w:rsidRDefault="0037257D" w:rsidP="0037257D"/>
    <w:p w:rsidR="0037257D" w:rsidRPr="004C3245" w:rsidRDefault="0037257D" w:rsidP="0037257D"/>
    <w:p w:rsidR="0037257D" w:rsidRPr="004C3245" w:rsidRDefault="0037257D" w:rsidP="0037257D"/>
    <w:p w:rsidR="0037257D" w:rsidRPr="004C3245" w:rsidRDefault="0037257D" w:rsidP="0037257D"/>
    <w:p w:rsidR="0037257D" w:rsidRPr="004C3245" w:rsidRDefault="0037257D" w:rsidP="0037257D"/>
    <w:p w:rsidR="0037257D" w:rsidRPr="004C3245" w:rsidRDefault="0037257D" w:rsidP="0037257D"/>
    <w:p w:rsidR="0037257D" w:rsidRPr="004C3245" w:rsidRDefault="0037257D" w:rsidP="0037257D"/>
    <w:p w:rsidR="0037257D" w:rsidRPr="004C3245" w:rsidRDefault="0037257D" w:rsidP="0037257D"/>
    <w:p w:rsidR="00D17C05" w:rsidRDefault="00D17C05" w:rsidP="00D17C05">
      <w:pPr>
        <w:pStyle w:val="Caption"/>
      </w:pPr>
    </w:p>
    <w:p w:rsidR="00D17C05" w:rsidRPr="004C3245" w:rsidRDefault="00D17C05" w:rsidP="00D17C05">
      <w:pPr>
        <w:pStyle w:val="Caption"/>
        <w:rPr>
          <w:b w:val="0"/>
          <w:sz w:val="21"/>
          <w:szCs w:val="21"/>
        </w:rPr>
      </w:pPr>
      <w:bookmarkStart w:id="28" w:name="_Toc6485196"/>
      <w:r>
        <w:t xml:space="preserve">Table </w:t>
      </w:r>
      <w:r>
        <w:fldChar w:fldCharType="begin"/>
      </w:r>
      <w:r>
        <w:instrText xml:space="preserve"> SEQ Table \* ARABIC </w:instrText>
      </w:r>
      <w:r>
        <w:fldChar w:fldCharType="separate"/>
      </w:r>
      <w:r>
        <w:t>5</w:t>
      </w:r>
      <w:r>
        <w:fldChar w:fldCharType="end"/>
      </w:r>
      <w:r>
        <w:t xml:space="preserve"> Estimates for within group differences in BMD loss</w:t>
      </w:r>
      <w:bookmarkEnd w:id="28"/>
    </w:p>
    <w:tbl>
      <w:tblPr>
        <w:tblStyle w:val="TableGrid"/>
        <w:tblW w:w="9175" w:type="dxa"/>
        <w:tblLayout w:type="fixed"/>
        <w:tblLook w:val="04A0" w:firstRow="1" w:lastRow="0" w:firstColumn="1" w:lastColumn="0" w:noHBand="0" w:noVBand="1"/>
      </w:tblPr>
      <w:tblGrid>
        <w:gridCol w:w="967"/>
        <w:gridCol w:w="905"/>
        <w:gridCol w:w="1110"/>
        <w:gridCol w:w="876"/>
        <w:gridCol w:w="570"/>
        <w:gridCol w:w="967"/>
        <w:gridCol w:w="990"/>
        <w:gridCol w:w="900"/>
        <w:gridCol w:w="900"/>
        <w:gridCol w:w="990"/>
      </w:tblGrid>
      <w:tr w:rsidR="00E92E24" w:rsidRPr="004C3245" w:rsidTr="00E92E24">
        <w:tc>
          <w:tcPr>
            <w:tcW w:w="967" w:type="dxa"/>
          </w:tcPr>
          <w:p w:rsidR="0037257D" w:rsidRPr="00E92E24" w:rsidRDefault="0037257D" w:rsidP="00E92E24">
            <w:pPr>
              <w:spacing w:line="240" w:lineRule="auto"/>
              <w:ind w:firstLine="60"/>
              <w:jc w:val="left"/>
              <w:rPr>
                <w:b/>
                <w:sz w:val="22"/>
                <w:szCs w:val="22"/>
              </w:rPr>
            </w:pPr>
            <w:r w:rsidRPr="00E92E24">
              <w:rPr>
                <w:b/>
                <w:sz w:val="22"/>
                <w:szCs w:val="22"/>
              </w:rPr>
              <w:t>Site</w:t>
            </w:r>
          </w:p>
        </w:tc>
        <w:tc>
          <w:tcPr>
            <w:tcW w:w="905" w:type="dxa"/>
          </w:tcPr>
          <w:p w:rsidR="0037257D" w:rsidRPr="00E92E24" w:rsidRDefault="0037257D" w:rsidP="00E92E24">
            <w:pPr>
              <w:spacing w:line="240" w:lineRule="auto"/>
              <w:ind w:firstLine="60"/>
              <w:jc w:val="left"/>
              <w:rPr>
                <w:b/>
                <w:sz w:val="22"/>
                <w:szCs w:val="22"/>
              </w:rPr>
            </w:pPr>
            <w:r w:rsidRPr="00E92E24">
              <w:rPr>
                <w:b/>
                <w:sz w:val="22"/>
                <w:szCs w:val="22"/>
              </w:rPr>
              <w:t>Label</w:t>
            </w:r>
          </w:p>
        </w:tc>
        <w:tc>
          <w:tcPr>
            <w:tcW w:w="1110" w:type="dxa"/>
          </w:tcPr>
          <w:p w:rsidR="0037257D" w:rsidRPr="00E92E24" w:rsidRDefault="0037257D" w:rsidP="00E92E24">
            <w:pPr>
              <w:spacing w:line="240" w:lineRule="auto"/>
              <w:ind w:firstLine="60"/>
              <w:jc w:val="left"/>
              <w:rPr>
                <w:b/>
                <w:sz w:val="22"/>
                <w:szCs w:val="22"/>
              </w:rPr>
            </w:pPr>
            <w:r w:rsidRPr="00E92E24">
              <w:rPr>
                <w:b/>
                <w:sz w:val="22"/>
                <w:szCs w:val="22"/>
              </w:rPr>
              <w:t>Estimate</w:t>
            </w:r>
          </w:p>
        </w:tc>
        <w:tc>
          <w:tcPr>
            <w:tcW w:w="876" w:type="dxa"/>
          </w:tcPr>
          <w:p w:rsidR="0037257D" w:rsidRPr="00E92E24" w:rsidRDefault="0037257D" w:rsidP="00E92E24">
            <w:pPr>
              <w:spacing w:line="240" w:lineRule="auto"/>
              <w:ind w:firstLine="60"/>
              <w:jc w:val="left"/>
              <w:rPr>
                <w:b/>
                <w:sz w:val="22"/>
                <w:szCs w:val="22"/>
              </w:rPr>
            </w:pPr>
            <w:r w:rsidRPr="00E92E24">
              <w:rPr>
                <w:b/>
                <w:sz w:val="22"/>
                <w:szCs w:val="22"/>
              </w:rPr>
              <w:t>Error</w:t>
            </w:r>
          </w:p>
        </w:tc>
        <w:tc>
          <w:tcPr>
            <w:tcW w:w="570" w:type="dxa"/>
          </w:tcPr>
          <w:p w:rsidR="0037257D" w:rsidRPr="00E92E24" w:rsidRDefault="0037257D" w:rsidP="00E92E24">
            <w:pPr>
              <w:spacing w:line="240" w:lineRule="auto"/>
              <w:ind w:firstLine="60"/>
              <w:jc w:val="left"/>
              <w:rPr>
                <w:b/>
                <w:sz w:val="22"/>
                <w:szCs w:val="22"/>
              </w:rPr>
            </w:pPr>
            <w:r w:rsidRPr="00E92E24">
              <w:rPr>
                <w:b/>
                <w:sz w:val="22"/>
                <w:szCs w:val="22"/>
              </w:rPr>
              <w:t>DF</w:t>
            </w:r>
          </w:p>
        </w:tc>
        <w:tc>
          <w:tcPr>
            <w:tcW w:w="967" w:type="dxa"/>
          </w:tcPr>
          <w:p w:rsidR="0037257D" w:rsidRPr="00E92E24" w:rsidRDefault="0037257D" w:rsidP="00E92E24">
            <w:pPr>
              <w:spacing w:line="240" w:lineRule="auto"/>
              <w:ind w:firstLine="60"/>
              <w:jc w:val="left"/>
              <w:rPr>
                <w:b/>
                <w:sz w:val="22"/>
                <w:szCs w:val="22"/>
              </w:rPr>
            </w:pPr>
            <w:r w:rsidRPr="00E92E24">
              <w:rPr>
                <w:b/>
                <w:sz w:val="22"/>
                <w:szCs w:val="22"/>
              </w:rPr>
              <w:t>t-value</w:t>
            </w:r>
          </w:p>
        </w:tc>
        <w:tc>
          <w:tcPr>
            <w:tcW w:w="990" w:type="dxa"/>
          </w:tcPr>
          <w:p w:rsidR="0037257D" w:rsidRPr="00E92E24" w:rsidRDefault="0037257D" w:rsidP="00E92E24">
            <w:pPr>
              <w:spacing w:line="240" w:lineRule="auto"/>
              <w:ind w:firstLine="60"/>
              <w:jc w:val="left"/>
              <w:rPr>
                <w:b/>
                <w:sz w:val="22"/>
                <w:szCs w:val="22"/>
              </w:rPr>
            </w:pPr>
            <w:r w:rsidRPr="00E92E24">
              <w:rPr>
                <w:b/>
                <w:sz w:val="22"/>
                <w:szCs w:val="22"/>
              </w:rPr>
              <w:t>Pr &gt; |t|</w:t>
            </w:r>
          </w:p>
        </w:tc>
        <w:tc>
          <w:tcPr>
            <w:tcW w:w="900" w:type="dxa"/>
          </w:tcPr>
          <w:p w:rsidR="0037257D" w:rsidRPr="00E92E24" w:rsidRDefault="0037257D" w:rsidP="00E92E24">
            <w:pPr>
              <w:spacing w:line="240" w:lineRule="auto"/>
              <w:ind w:firstLine="60"/>
              <w:jc w:val="left"/>
              <w:rPr>
                <w:b/>
                <w:sz w:val="22"/>
                <w:szCs w:val="22"/>
              </w:rPr>
            </w:pPr>
            <w:r w:rsidRPr="00E92E24">
              <w:rPr>
                <w:b/>
                <w:sz w:val="22"/>
                <w:szCs w:val="22"/>
              </w:rPr>
              <w:t>Alpha</w:t>
            </w:r>
          </w:p>
        </w:tc>
        <w:tc>
          <w:tcPr>
            <w:tcW w:w="900" w:type="dxa"/>
          </w:tcPr>
          <w:p w:rsidR="0037257D" w:rsidRPr="00E92E24" w:rsidRDefault="0037257D" w:rsidP="00E92E24">
            <w:pPr>
              <w:spacing w:line="240" w:lineRule="auto"/>
              <w:ind w:firstLine="0"/>
              <w:jc w:val="left"/>
              <w:rPr>
                <w:b/>
                <w:sz w:val="22"/>
                <w:szCs w:val="22"/>
              </w:rPr>
            </w:pPr>
            <w:r w:rsidRPr="00E92E24">
              <w:rPr>
                <w:b/>
                <w:sz w:val="22"/>
                <w:szCs w:val="22"/>
              </w:rPr>
              <w:t>Lower</w:t>
            </w:r>
          </w:p>
        </w:tc>
        <w:tc>
          <w:tcPr>
            <w:tcW w:w="990" w:type="dxa"/>
          </w:tcPr>
          <w:p w:rsidR="0037257D" w:rsidRPr="00E92E24" w:rsidRDefault="0037257D" w:rsidP="00E92E24">
            <w:pPr>
              <w:spacing w:line="240" w:lineRule="auto"/>
              <w:ind w:firstLine="0"/>
              <w:jc w:val="left"/>
              <w:rPr>
                <w:b/>
                <w:sz w:val="22"/>
                <w:szCs w:val="22"/>
              </w:rPr>
            </w:pPr>
            <w:r w:rsidRPr="00E92E24">
              <w:rPr>
                <w:b/>
                <w:sz w:val="22"/>
                <w:szCs w:val="22"/>
              </w:rPr>
              <w:t>Upper</w:t>
            </w:r>
          </w:p>
        </w:tc>
      </w:tr>
      <w:tr w:rsidR="00E92E24" w:rsidRPr="004C3245" w:rsidTr="00E92E24">
        <w:tc>
          <w:tcPr>
            <w:tcW w:w="967" w:type="dxa"/>
            <w:vMerge w:val="restart"/>
          </w:tcPr>
          <w:p w:rsidR="0037257D" w:rsidRPr="004C3245" w:rsidRDefault="0037257D" w:rsidP="00E92E24">
            <w:pPr>
              <w:spacing w:line="240" w:lineRule="auto"/>
              <w:ind w:firstLine="60"/>
              <w:jc w:val="left"/>
              <w:rPr>
                <w:sz w:val="20"/>
              </w:rPr>
            </w:pPr>
            <w:r w:rsidRPr="004C3245">
              <w:rPr>
                <w:sz w:val="20"/>
              </w:rPr>
              <w:t>Femoral Neck</w:t>
            </w:r>
          </w:p>
        </w:tc>
        <w:tc>
          <w:tcPr>
            <w:tcW w:w="905" w:type="dxa"/>
          </w:tcPr>
          <w:p w:rsidR="0037257D" w:rsidRPr="004C3245" w:rsidRDefault="0037257D" w:rsidP="00E92E24">
            <w:pPr>
              <w:spacing w:line="240" w:lineRule="auto"/>
              <w:ind w:firstLine="60"/>
              <w:jc w:val="left"/>
            </w:pPr>
            <w:r w:rsidRPr="004C3245">
              <w:rPr>
                <w:sz w:val="20"/>
              </w:rPr>
              <w:t>Early users</w:t>
            </w:r>
          </w:p>
        </w:tc>
        <w:tc>
          <w:tcPr>
            <w:tcW w:w="1110" w:type="dxa"/>
          </w:tcPr>
          <w:p w:rsidR="0037257D" w:rsidRPr="004C3245" w:rsidRDefault="0037257D" w:rsidP="00E92E24">
            <w:pPr>
              <w:spacing w:line="240" w:lineRule="auto"/>
              <w:ind w:firstLine="60"/>
              <w:jc w:val="left"/>
            </w:pPr>
            <w:r w:rsidRPr="004C3245">
              <w:rPr>
                <w:sz w:val="16"/>
                <w:szCs w:val="16"/>
              </w:rPr>
              <w:t>-0.00735</w:t>
            </w:r>
          </w:p>
        </w:tc>
        <w:tc>
          <w:tcPr>
            <w:tcW w:w="876" w:type="dxa"/>
          </w:tcPr>
          <w:p w:rsidR="0037257D" w:rsidRPr="004C3245" w:rsidRDefault="0037257D" w:rsidP="00E92E24">
            <w:pPr>
              <w:spacing w:line="240" w:lineRule="auto"/>
              <w:ind w:firstLine="60"/>
              <w:jc w:val="left"/>
            </w:pPr>
            <w:r w:rsidRPr="004C3245">
              <w:rPr>
                <w:sz w:val="16"/>
                <w:szCs w:val="16"/>
              </w:rPr>
              <w:t>0.001414</w:t>
            </w:r>
          </w:p>
        </w:tc>
        <w:tc>
          <w:tcPr>
            <w:tcW w:w="570" w:type="dxa"/>
          </w:tcPr>
          <w:p w:rsidR="0037257D" w:rsidRPr="004C3245" w:rsidRDefault="0037257D" w:rsidP="00E92E24">
            <w:pPr>
              <w:spacing w:line="240" w:lineRule="auto"/>
              <w:ind w:firstLine="60"/>
              <w:jc w:val="left"/>
            </w:pPr>
            <w:r w:rsidRPr="004C3245">
              <w:rPr>
                <w:sz w:val="16"/>
                <w:szCs w:val="16"/>
              </w:rPr>
              <w:t>292</w:t>
            </w:r>
          </w:p>
        </w:tc>
        <w:tc>
          <w:tcPr>
            <w:tcW w:w="967" w:type="dxa"/>
          </w:tcPr>
          <w:p w:rsidR="0037257D" w:rsidRPr="004C3245" w:rsidRDefault="0037257D" w:rsidP="00E92E24">
            <w:pPr>
              <w:spacing w:line="240" w:lineRule="auto"/>
              <w:ind w:firstLine="60"/>
              <w:jc w:val="left"/>
            </w:pPr>
            <w:r w:rsidRPr="004C3245">
              <w:rPr>
                <w:sz w:val="16"/>
                <w:szCs w:val="16"/>
              </w:rPr>
              <w:t>-5.20</w:t>
            </w:r>
          </w:p>
        </w:tc>
        <w:tc>
          <w:tcPr>
            <w:tcW w:w="990" w:type="dxa"/>
          </w:tcPr>
          <w:p w:rsidR="0037257D" w:rsidRPr="004C3245" w:rsidRDefault="0037257D" w:rsidP="00E92E24">
            <w:pPr>
              <w:spacing w:line="240" w:lineRule="auto"/>
              <w:ind w:firstLine="60"/>
              <w:jc w:val="left"/>
            </w:pPr>
            <w:r w:rsidRPr="004C3245">
              <w:rPr>
                <w:sz w:val="16"/>
                <w:szCs w:val="16"/>
              </w:rPr>
              <w:t>&lt;.0001</w:t>
            </w:r>
          </w:p>
        </w:tc>
        <w:tc>
          <w:tcPr>
            <w:tcW w:w="900" w:type="dxa"/>
          </w:tcPr>
          <w:p w:rsidR="0037257D" w:rsidRPr="004C3245" w:rsidRDefault="0037257D" w:rsidP="00E92E24">
            <w:pPr>
              <w:spacing w:line="240" w:lineRule="auto"/>
              <w:ind w:firstLine="60"/>
              <w:jc w:val="left"/>
            </w:pPr>
            <w:r w:rsidRPr="004C3245">
              <w:rPr>
                <w:sz w:val="16"/>
                <w:szCs w:val="16"/>
              </w:rPr>
              <w:t>0.05</w:t>
            </w:r>
          </w:p>
        </w:tc>
        <w:tc>
          <w:tcPr>
            <w:tcW w:w="900" w:type="dxa"/>
          </w:tcPr>
          <w:p w:rsidR="0037257D" w:rsidRPr="004C3245" w:rsidRDefault="0037257D" w:rsidP="00E92E24">
            <w:pPr>
              <w:spacing w:line="240" w:lineRule="auto"/>
              <w:jc w:val="left"/>
            </w:pPr>
            <w:r w:rsidRPr="004C3245">
              <w:rPr>
                <w:sz w:val="16"/>
                <w:szCs w:val="16"/>
              </w:rPr>
              <w:t>-0.01013</w:t>
            </w:r>
          </w:p>
        </w:tc>
        <w:tc>
          <w:tcPr>
            <w:tcW w:w="990" w:type="dxa"/>
          </w:tcPr>
          <w:p w:rsidR="0037257D" w:rsidRPr="004C3245" w:rsidRDefault="0037257D" w:rsidP="00E92E24">
            <w:pPr>
              <w:spacing w:line="240" w:lineRule="auto"/>
              <w:jc w:val="left"/>
            </w:pPr>
            <w:r w:rsidRPr="004C3245">
              <w:rPr>
                <w:sz w:val="16"/>
                <w:szCs w:val="16"/>
              </w:rPr>
              <w:t>-0.00457</w:t>
            </w:r>
          </w:p>
        </w:tc>
      </w:tr>
      <w:tr w:rsidR="00E92E24" w:rsidRPr="004C3245" w:rsidTr="00E92E24">
        <w:tc>
          <w:tcPr>
            <w:tcW w:w="967" w:type="dxa"/>
            <w:vMerge/>
          </w:tcPr>
          <w:p w:rsidR="0037257D" w:rsidRPr="004C3245" w:rsidRDefault="0037257D" w:rsidP="00E92E24">
            <w:pPr>
              <w:spacing w:line="240" w:lineRule="auto"/>
              <w:ind w:firstLine="60"/>
              <w:jc w:val="left"/>
              <w:rPr>
                <w:sz w:val="20"/>
              </w:rPr>
            </w:pPr>
          </w:p>
        </w:tc>
        <w:tc>
          <w:tcPr>
            <w:tcW w:w="905" w:type="dxa"/>
          </w:tcPr>
          <w:p w:rsidR="0037257D" w:rsidRPr="004C3245" w:rsidRDefault="0037257D" w:rsidP="00E92E24">
            <w:pPr>
              <w:spacing w:line="240" w:lineRule="auto"/>
              <w:ind w:firstLine="60"/>
              <w:jc w:val="left"/>
            </w:pPr>
            <w:r w:rsidRPr="004C3245">
              <w:rPr>
                <w:sz w:val="20"/>
              </w:rPr>
              <w:t>Late users</w:t>
            </w:r>
          </w:p>
        </w:tc>
        <w:tc>
          <w:tcPr>
            <w:tcW w:w="1110" w:type="dxa"/>
          </w:tcPr>
          <w:p w:rsidR="0037257D" w:rsidRPr="004C3245" w:rsidRDefault="0037257D" w:rsidP="00E92E24">
            <w:pPr>
              <w:spacing w:line="240" w:lineRule="auto"/>
              <w:ind w:firstLine="60"/>
              <w:jc w:val="left"/>
            </w:pPr>
            <w:r w:rsidRPr="004C3245">
              <w:rPr>
                <w:sz w:val="16"/>
                <w:szCs w:val="16"/>
              </w:rPr>
              <w:t>-0.00709</w:t>
            </w:r>
          </w:p>
        </w:tc>
        <w:tc>
          <w:tcPr>
            <w:tcW w:w="876" w:type="dxa"/>
          </w:tcPr>
          <w:p w:rsidR="0037257D" w:rsidRPr="004C3245" w:rsidRDefault="0037257D" w:rsidP="00E92E24">
            <w:pPr>
              <w:spacing w:line="240" w:lineRule="auto"/>
              <w:ind w:firstLine="60"/>
              <w:jc w:val="left"/>
            </w:pPr>
            <w:r w:rsidRPr="004C3245">
              <w:rPr>
                <w:sz w:val="16"/>
                <w:szCs w:val="16"/>
              </w:rPr>
              <w:t>0.000911</w:t>
            </w:r>
          </w:p>
        </w:tc>
        <w:tc>
          <w:tcPr>
            <w:tcW w:w="570" w:type="dxa"/>
          </w:tcPr>
          <w:p w:rsidR="0037257D" w:rsidRPr="004C3245" w:rsidRDefault="0037257D" w:rsidP="00E92E24">
            <w:pPr>
              <w:spacing w:line="240" w:lineRule="auto"/>
              <w:ind w:firstLine="60"/>
              <w:jc w:val="left"/>
            </w:pPr>
            <w:r w:rsidRPr="004C3245">
              <w:rPr>
                <w:sz w:val="16"/>
                <w:szCs w:val="16"/>
              </w:rPr>
              <w:t>287</w:t>
            </w:r>
          </w:p>
        </w:tc>
        <w:tc>
          <w:tcPr>
            <w:tcW w:w="967" w:type="dxa"/>
          </w:tcPr>
          <w:p w:rsidR="0037257D" w:rsidRPr="004C3245" w:rsidRDefault="0037257D" w:rsidP="00E92E24">
            <w:pPr>
              <w:spacing w:line="240" w:lineRule="auto"/>
              <w:ind w:firstLine="60"/>
              <w:jc w:val="left"/>
            </w:pPr>
            <w:r w:rsidRPr="004C3245">
              <w:rPr>
                <w:sz w:val="16"/>
                <w:szCs w:val="16"/>
              </w:rPr>
              <w:t>-7.78</w:t>
            </w:r>
          </w:p>
        </w:tc>
        <w:tc>
          <w:tcPr>
            <w:tcW w:w="990" w:type="dxa"/>
          </w:tcPr>
          <w:p w:rsidR="0037257D" w:rsidRPr="004C3245" w:rsidRDefault="0037257D" w:rsidP="00E92E24">
            <w:pPr>
              <w:spacing w:line="240" w:lineRule="auto"/>
              <w:ind w:firstLine="60"/>
              <w:jc w:val="left"/>
            </w:pPr>
            <w:r w:rsidRPr="004C3245">
              <w:rPr>
                <w:sz w:val="16"/>
                <w:szCs w:val="16"/>
              </w:rPr>
              <w:t>&lt;.0001</w:t>
            </w:r>
          </w:p>
        </w:tc>
        <w:tc>
          <w:tcPr>
            <w:tcW w:w="900" w:type="dxa"/>
          </w:tcPr>
          <w:p w:rsidR="0037257D" w:rsidRPr="004C3245" w:rsidRDefault="0037257D" w:rsidP="00E92E24">
            <w:pPr>
              <w:spacing w:line="240" w:lineRule="auto"/>
              <w:ind w:firstLine="60"/>
              <w:jc w:val="left"/>
            </w:pPr>
            <w:r w:rsidRPr="004C3245">
              <w:rPr>
                <w:sz w:val="16"/>
                <w:szCs w:val="16"/>
              </w:rPr>
              <w:t>0.05</w:t>
            </w:r>
          </w:p>
        </w:tc>
        <w:tc>
          <w:tcPr>
            <w:tcW w:w="900" w:type="dxa"/>
          </w:tcPr>
          <w:p w:rsidR="0037257D" w:rsidRPr="004C3245" w:rsidRDefault="0037257D" w:rsidP="00E92E24">
            <w:pPr>
              <w:spacing w:line="240" w:lineRule="auto"/>
              <w:jc w:val="left"/>
            </w:pPr>
            <w:r w:rsidRPr="004C3245">
              <w:rPr>
                <w:sz w:val="16"/>
                <w:szCs w:val="16"/>
              </w:rPr>
              <w:t>-0.00888</w:t>
            </w:r>
          </w:p>
        </w:tc>
        <w:tc>
          <w:tcPr>
            <w:tcW w:w="990" w:type="dxa"/>
          </w:tcPr>
          <w:p w:rsidR="0037257D" w:rsidRPr="004C3245" w:rsidRDefault="0037257D" w:rsidP="00E92E24">
            <w:pPr>
              <w:spacing w:line="240" w:lineRule="auto"/>
              <w:jc w:val="left"/>
            </w:pPr>
            <w:r w:rsidRPr="004C3245">
              <w:rPr>
                <w:sz w:val="16"/>
                <w:szCs w:val="16"/>
              </w:rPr>
              <w:t>-0.00529</w:t>
            </w:r>
          </w:p>
        </w:tc>
      </w:tr>
      <w:tr w:rsidR="00E92E24" w:rsidRPr="004C3245" w:rsidTr="00E92E24">
        <w:tc>
          <w:tcPr>
            <w:tcW w:w="967" w:type="dxa"/>
            <w:vMerge w:val="restart"/>
          </w:tcPr>
          <w:p w:rsidR="0037257D" w:rsidRPr="004C3245" w:rsidRDefault="0037257D" w:rsidP="00E92E24">
            <w:pPr>
              <w:spacing w:line="240" w:lineRule="auto"/>
              <w:ind w:firstLine="60"/>
              <w:jc w:val="left"/>
              <w:rPr>
                <w:sz w:val="20"/>
              </w:rPr>
            </w:pPr>
            <w:r w:rsidRPr="004C3245">
              <w:rPr>
                <w:sz w:val="20"/>
              </w:rPr>
              <w:t>Hip</w:t>
            </w:r>
          </w:p>
        </w:tc>
        <w:tc>
          <w:tcPr>
            <w:tcW w:w="905" w:type="dxa"/>
          </w:tcPr>
          <w:p w:rsidR="0037257D" w:rsidRPr="004C3245" w:rsidRDefault="0037257D" w:rsidP="00E92E24">
            <w:pPr>
              <w:spacing w:line="240" w:lineRule="auto"/>
              <w:ind w:firstLine="60"/>
              <w:jc w:val="left"/>
            </w:pPr>
            <w:r w:rsidRPr="004C3245">
              <w:rPr>
                <w:sz w:val="20"/>
              </w:rPr>
              <w:t>Early users</w:t>
            </w:r>
          </w:p>
        </w:tc>
        <w:tc>
          <w:tcPr>
            <w:tcW w:w="1110" w:type="dxa"/>
          </w:tcPr>
          <w:p w:rsidR="0037257D" w:rsidRPr="004C3245" w:rsidRDefault="0037257D" w:rsidP="00E92E24">
            <w:pPr>
              <w:spacing w:line="240" w:lineRule="auto"/>
              <w:ind w:firstLine="60"/>
              <w:jc w:val="left"/>
            </w:pPr>
            <w:r w:rsidRPr="004C3245">
              <w:rPr>
                <w:sz w:val="16"/>
                <w:szCs w:val="16"/>
              </w:rPr>
              <w:t>-0.00269</w:t>
            </w:r>
          </w:p>
        </w:tc>
        <w:tc>
          <w:tcPr>
            <w:tcW w:w="876" w:type="dxa"/>
          </w:tcPr>
          <w:p w:rsidR="0037257D" w:rsidRPr="004C3245" w:rsidRDefault="0037257D" w:rsidP="00E92E24">
            <w:pPr>
              <w:spacing w:line="240" w:lineRule="auto"/>
              <w:ind w:firstLine="60"/>
              <w:jc w:val="left"/>
            </w:pPr>
            <w:r w:rsidRPr="004C3245">
              <w:rPr>
                <w:sz w:val="16"/>
                <w:szCs w:val="16"/>
              </w:rPr>
              <w:t>0.001191</w:t>
            </w:r>
          </w:p>
        </w:tc>
        <w:tc>
          <w:tcPr>
            <w:tcW w:w="570" w:type="dxa"/>
          </w:tcPr>
          <w:p w:rsidR="0037257D" w:rsidRPr="004C3245" w:rsidRDefault="0037257D" w:rsidP="00E92E24">
            <w:pPr>
              <w:spacing w:line="240" w:lineRule="auto"/>
              <w:ind w:firstLine="60"/>
              <w:jc w:val="left"/>
            </w:pPr>
            <w:r w:rsidRPr="004C3245">
              <w:rPr>
                <w:sz w:val="16"/>
                <w:szCs w:val="16"/>
              </w:rPr>
              <w:t>318</w:t>
            </w:r>
          </w:p>
        </w:tc>
        <w:tc>
          <w:tcPr>
            <w:tcW w:w="967" w:type="dxa"/>
          </w:tcPr>
          <w:p w:rsidR="0037257D" w:rsidRPr="004C3245" w:rsidRDefault="0037257D" w:rsidP="00E92E24">
            <w:pPr>
              <w:spacing w:line="240" w:lineRule="auto"/>
              <w:ind w:firstLine="60"/>
              <w:jc w:val="left"/>
            </w:pPr>
            <w:r w:rsidRPr="004C3245">
              <w:rPr>
                <w:sz w:val="16"/>
                <w:szCs w:val="16"/>
              </w:rPr>
              <w:t>-2.26</w:t>
            </w:r>
          </w:p>
        </w:tc>
        <w:tc>
          <w:tcPr>
            <w:tcW w:w="990" w:type="dxa"/>
          </w:tcPr>
          <w:p w:rsidR="0037257D" w:rsidRPr="004C3245" w:rsidRDefault="0037257D" w:rsidP="00E92E24">
            <w:pPr>
              <w:spacing w:line="240" w:lineRule="auto"/>
              <w:ind w:firstLine="60"/>
              <w:jc w:val="left"/>
            </w:pPr>
            <w:r w:rsidRPr="004C3245">
              <w:rPr>
                <w:sz w:val="16"/>
                <w:szCs w:val="16"/>
              </w:rPr>
              <w:t>0.0247</w:t>
            </w:r>
          </w:p>
        </w:tc>
        <w:tc>
          <w:tcPr>
            <w:tcW w:w="900" w:type="dxa"/>
          </w:tcPr>
          <w:p w:rsidR="0037257D" w:rsidRPr="004C3245" w:rsidRDefault="0037257D" w:rsidP="00E92E24">
            <w:pPr>
              <w:spacing w:line="240" w:lineRule="auto"/>
              <w:ind w:firstLine="60"/>
              <w:jc w:val="left"/>
            </w:pPr>
            <w:r w:rsidRPr="004C3245">
              <w:rPr>
                <w:sz w:val="16"/>
                <w:szCs w:val="16"/>
              </w:rPr>
              <w:t>0.05</w:t>
            </w:r>
          </w:p>
        </w:tc>
        <w:tc>
          <w:tcPr>
            <w:tcW w:w="900" w:type="dxa"/>
          </w:tcPr>
          <w:p w:rsidR="0037257D" w:rsidRPr="004C3245" w:rsidRDefault="0037257D" w:rsidP="00E92E24">
            <w:pPr>
              <w:spacing w:line="240" w:lineRule="auto"/>
              <w:jc w:val="left"/>
            </w:pPr>
            <w:r w:rsidRPr="004C3245">
              <w:rPr>
                <w:sz w:val="16"/>
                <w:szCs w:val="16"/>
              </w:rPr>
              <w:t>-0.00503</w:t>
            </w:r>
          </w:p>
        </w:tc>
        <w:tc>
          <w:tcPr>
            <w:tcW w:w="990" w:type="dxa"/>
          </w:tcPr>
          <w:p w:rsidR="0037257D" w:rsidRPr="004C3245" w:rsidRDefault="0037257D" w:rsidP="00E92E24">
            <w:pPr>
              <w:spacing w:line="240" w:lineRule="auto"/>
              <w:jc w:val="left"/>
            </w:pPr>
            <w:r w:rsidRPr="004C3245">
              <w:rPr>
                <w:sz w:val="16"/>
                <w:szCs w:val="16"/>
              </w:rPr>
              <w:t>-0.00034</w:t>
            </w:r>
          </w:p>
        </w:tc>
      </w:tr>
      <w:tr w:rsidR="00E92E24" w:rsidRPr="004C3245" w:rsidTr="00E92E24">
        <w:tc>
          <w:tcPr>
            <w:tcW w:w="967" w:type="dxa"/>
            <w:vMerge/>
          </w:tcPr>
          <w:p w:rsidR="0037257D" w:rsidRPr="004C3245" w:rsidRDefault="0037257D" w:rsidP="00E92E24">
            <w:pPr>
              <w:spacing w:line="240" w:lineRule="auto"/>
              <w:ind w:firstLine="60"/>
              <w:jc w:val="left"/>
              <w:rPr>
                <w:sz w:val="20"/>
              </w:rPr>
            </w:pPr>
          </w:p>
        </w:tc>
        <w:tc>
          <w:tcPr>
            <w:tcW w:w="905" w:type="dxa"/>
          </w:tcPr>
          <w:p w:rsidR="0037257D" w:rsidRPr="004C3245" w:rsidRDefault="0037257D" w:rsidP="00E92E24">
            <w:pPr>
              <w:spacing w:line="240" w:lineRule="auto"/>
              <w:ind w:firstLine="60"/>
              <w:jc w:val="left"/>
            </w:pPr>
            <w:r w:rsidRPr="004C3245">
              <w:rPr>
                <w:sz w:val="20"/>
              </w:rPr>
              <w:t>Late users</w:t>
            </w:r>
          </w:p>
        </w:tc>
        <w:tc>
          <w:tcPr>
            <w:tcW w:w="1110" w:type="dxa"/>
          </w:tcPr>
          <w:p w:rsidR="0037257D" w:rsidRPr="004C3245" w:rsidRDefault="0037257D" w:rsidP="00E92E24">
            <w:pPr>
              <w:spacing w:line="240" w:lineRule="auto"/>
              <w:ind w:firstLine="60"/>
              <w:jc w:val="left"/>
            </w:pPr>
            <w:r w:rsidRPr="004C3245">
              <w:rPr>
                <w:sz w:val="16"/>
                <w:szCs w:val="16"/>
              </w:rPr>
              <w:t>-0.00574</w:t>
            </w:r>
          </w:p>
        </w:tc>
        <w:tc>
          <w:tcPr>
            <w:tcW w:w="876" w:type="dxa"/>
          </w:tcPr>
          <w:p w:rsidR="0037257D" w:rsidRPr="004C3245" w:rsidRDefault="0037257D" w:rsidP="00E92E24">
            <w:pPr>
              <w:spacing w:line="240" w:lineRule="auto"/>
              <w:ind w:firstLine="60"/>
              <w:jc w:val="left"/>
            </w:pPr>
            <w:r w:rsidRPr="004C3245">
              <w:rPr>
                <w:sz w:val="16"/>
                <w:szCs w:val="16"/>
              </w:rPr>
              <w:t>0.000868</w:t>
            </w:r>
          </w:p>
        </w:tc>
        <w:tc>
          <w:tcPr>
            <w:tcW w:w="570" w:type="dxa"/>
          </w:tcPr>
          <w:p w:rsidR="0037257D" w:rsidRPr="004C3245" w:rsidRDefault="0037257D" w:rsidP="00E92E24">
            <w:pPr>
              <w:spacing w:line="240" w:lineRule="auto"/>
              <w:ind w:firstLine="60"/>
              <w:jc w:val="left"/>
            </w:pPr>
            <w:r w:rsidRPr="004C3245">
              <w:rPr>
                <w:sz w:val="16"/>
                <w:szCs w:val="16"/>
              </w:rPr>
              <w:t>277</w:t>
            </w:r>
          </w:p>
        </w:tc>
        <w:tc>
          <w:tcPr>
            <w:tcW w:w="967" w:type="dxa"/>
          </w:tcPr>
          <w:p w:rsidR="0037257D" w:rsidRPr="004C3245" w:rsidRDefault="0037257D" w:rsidP="00E92E24">
            <w:pPr>
              <w:spacing w:line="240" w:lineRule="auto"/>
              <w:ind w:firstLine="60"/>
              <w:jc w:val="left"/>
            </w:pPr>
            <w:r w:rsidRPr="004C3245">
              <w:rPr>
                <w:sz w:val="16"/>
                <w:szCs w:val="16"/>
              </w:rPr>
              <w:t>-6.61</w:t>
            </w:r>
          </w:p>
        </w:tc>
        <w:tc>
          <w:tcPr>
            <w:tcW w:w="990" w:type="dxa"/>
          </w:tcPr>
          <w:p w:rsidR="0037257D" w:rsidRPr="004C3245" w:rsidRDefault="0037257D" w:rsidP="00E92E24">
            <w:pPr>
              <w:spacing w:line="240" w:lineRule="auto"/>
              <w:ind w:firstLine="60"/>
              <w:jc w:val="left"/>
            </w:pPr>
            <w:r w:rsidRPr="004C3245">
              <w:rPr>
                <w:sz w:val="16"/>
                <w:szCs w:val="16"/>
              </w:rPr>
              <w:t>&lt;.0001</w:t>
            </w:r>
          </w:p>
        </w:tc>
        <w:tc>
          <w:tcPr>
            <w:tcW w:w="900" w:type="dxa"/>
          </w:tcPr>
          <w:p w:rsidR="0037257D" w:rsidRPr="004C3245" w:rsidRDefault="0037257D" w:rsidP="00E92E24">
            <w:pPr>
              <w:spacing w:line="240" w:lineRule="auto"/>
              <w:ind w:firstLine="60"/>
              <w:jc w:val="left"/>
            </w:pPr>
            <w:r w:rsidRPr="004C3245">
              <w:rPr>
                <w:sz w:val="16"/>
                <w:szCs w:val="16"/>
              </w:rPr>
              <w:t>0.05</w:t>
            </w:r>
          </w:p>
        </w:tc>
        <w:tc>
          <w:tcPr>
            <w:tcW w:w="900" w:type="dxa"/>
          </w:tcPr>
          <w:p w:rsidR="0037257D" w:rsidRPr="004C3245" w:rsidRDefault="0037257D" w:rsidP="00E92E24">
            <w:pPr>
              <w:spacing w:line="240" w:lineRule="auto"/>
              <w:jc w:val="left"/>
            </w:pPr>
            <w:r w:rsidRPr="004C3245">
              <w:rPr>
                <w:sz w:val="16"/>
                <w:szCs w:val="16"/>
              </w:rPr>
              <w:t>-0.00745</w:t>
            </w:r>
          </w:p>
        </w:tc>
        <w:tc>
          <w:tcPr>
            <w:tcW w:w="990" w:type="dxa"/>
          </w:tcPr>
          <w:p w:rsidR="0037257D" w:rsidRPr="004C3245" w:rsidRDefault="0037257D" w:rsidP="00E92E24">
            <w:pPr>
              <w:spacing w:line="240" w:lineRule="auto"/>
              <w:jc w:val="left"/>
            </w:pPr>
            <w:r w:rsidRPr="004C3245">
              <w:rPr>
                <w:sz w:val="16"/>
                <w:szCs w:val="16"/>
              </w:rPr>
              <w:t>-0.00403</w:t>
            </w:r>
          </w:p>
        </w:tc>
      </w:tr>
      <w:tr w:rsidR="00E92E24" w:rsidRPr="004C3245" w:rsidTr="00E92E24">
        <w:tc>
          <w:tcPr>
            <w:tcW w:w="967" w:type="dxa"/>
            <w:vMerge w:val="restart"/>
          </w:tcPr>
          <w:p w:rsidR="0037257D" w:rsidRPr="004C3245" w:rsidRDefault="0037257D" w:rsidP="00E92E24">
            <w:pPr>
              <w:spacing w:line="240" w:lineRule="auto"/>
              <w:ind w:firstLine="60"/>
              <w:jc w:val="left"/>
              <w:rPr>
                <w:sz w:val="20"/>
              </w:rPr>
            </w:pPr>
            <w:r w:rsidRPr="004C3245">
              <w:rPr>
                <w:sz w:val="20"/>
              </w:rPr>
              <w:t>Lumbar Spine</w:t>
            </w:r>
          </w:p>
        </w:tc>
        <w:tc>
          <w:tcPr>
            <w:tcW w:w="905" w:type="dxa"/>
          </w:tcPr>
          <w:p w:rsidR="0037257D" w:rsidRPr="004C3245" w:rsidRDefault="0037257D" w:rsidP="00E92E24">
            <w:pPr>
              <w:spacing w:line="240" w:lineRule="auto"/>
              <w:ind w:firstLine="60"/>
              <w:jc w:val="left"/>
            </w:pPr>
            <w:r w:rsidRPr="004C3245">
              <w:rPr>
                <w:sz w:val="20"/>
              </w:rPr>
              <w:t>Early users</w:t>
            </w:r>
          </w:p>
        </w:tc>
        <w:tc>
          <w:tcPr>
            <w:tcW w:w="1110" w:type="dxa"/>
          </w:tcPr>
          <w:p w:rsidR="0037257D" w:rsidRPr="004C3245" w:rsidRDefault="0037257D" w:rsidP="00E92E24">
            <w:pPr>
              <w:spacing w:line="240" w:lineRule="auto"/>
              <w:ind w:firstLine="60"/>
              <w:jc w:val="left"/>
            </w:pPr>
            <w:r w:rsidRPr="004C3245">
              <w:rPr>
                <w:sz w:val="16"/>
                <w:szCs w:val="16"/>
              </w:rPr>
              <w:t>-0.00699</w:t>
            </w:r>
          </w:p>
        </w:tc>
        <w:tc>
          <w:tcPr>
            <w:tcW w:w="876" w:type="dxa"/>
          </w:tcPr>
          <w:p w:rsidR="0037257D" w:rsidRPr="004C3245" w:rsidRDefault="0037257D" w:rsidP="00E92E24">
            <w:pPr>
              <w:spacing w:line="240" w:lineRule="auto"/>
              <w:ind w:firstLine="60"/>
              <w:jc w:val="left"/>
            </w:pPr>
            <w:r w:rsidRPr="004C3245">
              <w:rPr>
                <w:sz w:val="16"/>
                <w:szCs w:val="16"/>
              </w:rPr>
              <w:t>0.001458</w:t>
            </w:r>
          </w:p>
        </w:tc>
        <w:tc>
          <w:tcPr>
            <w:tcW w:w="570" w:type="dxa"/>
          </w:tcPr>
          <w:p w:rsidR="0037257D" w:rsidRPr="004C3245" w:rsidRDefault="0037257D" w:rsidP="00E92E24">
            <w:pPr>
              <w:spacing w:line="240" w:lineRule="auto"/>
              <w:ind w:firstLine="60"/>
              <w:jc w:val="left"/>
            </w:pPr>
            <w:r w:rsidRPr="004C3245">
              <w:rPr>
                <w:sz w:val="16"/>
                <w:szCs w:val="16"/>
              </w:rPr>
              <w:t>309</w:t>
            </w:r>
          </w:p>
        </w:tc>
        <w:tc>
          <w:tcPr>
            <w:tcW w:w="967" w:type="dxa"/>
          </w:tcPr>
          <w:p w:rsidR="0037257D" w:rsidRPr="004C3245" w:rsidRDefault="0037257D" w:rsidP="00E92E24">
            <w:pPr>
              <w:spacing w:line="240" w:lineRule="auto"/>
              <w:ind w:firstLine="60"/>
              <w:jc w:val="left"/>
            </w:pPr>
            <w:r w:rsidRPr="004C3245">
              <w:rPr>
                <w:sz w:val="16"/>
                <w:szCs w:val="16"/>
              </w:rPr>
              <w:t>-4.79</w:t>
            </w:r>
          </w:p>
        </w:tc>
        <w:tc>
          <w:tcPr>
            <w:tcW w:w="990" w:type="dxa"/>
          </w:tcPr>
          <w:p w:rsidR="0037257D" w:rsidRPr="004C3245" w:rsidRDefault="0037257D" w:rsidP="00E92E24">
            <w:pPr>
              <w:spacing w:line="240" w:lineRule="auto"/>
              <w:ind w:firstLine="60"/>
              <w:jc w:val="left"/>
            </w:pPr>
            <w:r w:rsidRPr="004C3245">
              <w:rPr>
                <w:sz w:val="16"/>
                <w:szCs w:val="16"/>
              </w:rPr>
              <w:t>&lt;.0001</w:t>
            </w:r>
          </w:p>
        </w:tc>
        <w:tc>
          <w:tcPr>
            <w:tcW w:w="900" w:type="dxa"/>
          </w:tcPr>
          <w:p w:rsidR="0037257D" w:rsidRPr="004C3245" w:rsidRDefault="0037257D" w:rsidP="00E92E24">
            <w:pPr>
              <w:spacing w:line="240" w:lineRule="auto"/>
              <w:ind w:firstLine="60"/>
              <w:jc w:val="left"/>
            </w:pPr>
            <w:r w:rsidRPr="004C3245">
              <w:rPr>
                <w:sz w:val="16"/>
                <w:szCs w:val="16"/>
              </w:rPr>
              <w:t>0.05</w:t>
            </w:r>
          </w:p>
        </w:tc>
        <w:tc>
          <w:tcPr>
            <w:tcW w:w="900" w:type="dxa"/>
          </w:tcPr>
          <w:p w:rsidR="0037257D" w:rsidRPr="004C3245" w:rsidRDefault="0037257D" w:rsidP="00E92E24">
            <w:pPr>
              <w:spacing w:line="240" w:lineRule="auto"/>
              <w:jc w:val="left"/>
            </w:pPr>
            <w:r w:rsidRPr="004C3245">
              <w:rPr>
                <w:sz w:val="16"/>
                <w:szCs w:val="16"/>
              </w:rPr>
              <w:t>-0.00986</w:t>
            </w:r>
          </w:p>
        </w:tc>
        <w:tc>
          <w:tcPr>
            <w:tcW w:w="990" w:type="dxa"/>
          </w:tcPr>
          <w:p w:rsidR="0037257D" w:rsidRPr="004C3245" w:rsidRDefault="0037257D" w:rsidP="00E92E24">
            <w:pPr>
              <w:spacing w:line="240" w:lineRule="auto"/>
              <w:jc w:val="left"/>
            </w:pPr>
            <w:r w:rsidRPr="004C3245">
              <w:rPr>
                <w:sz w:val="16"/>
                <w:szCs w:val="16"/>
              </w:rPr>
              <w:t>-0.00412</w:t>
            </w:r>
          </w:p>
        </w:tc>
      </w:tr>
      <w:tr w:rsidR="00E92E24" w:rsidRPr="004C3245" w:rsidTr="00E92E24">
        <w:tc>
          <w:tcPr>
            <w:tcW w:w="967" w:type="dxa"/>
            <w:vMerge/>
          </w:tcPr>
          <w:p w:rsidR="0037257D" w:rsidRPr="004C3245" w:rsidRDefault="0037257D" w:rsidP="00E92E24">
            <w:pPr>
              <w:spacing w:line="240" w:lineRule="auto"/>
              <w:ind w:firstLine="60"/>
              <w:jc w:val="left"/>
              <w:rPr>
                <w:sz w:val="20"/>
              </w:rPr>
            </w:pPr>
          </w:p>
        </w:tc>
        <w:tc>
          <w:tcPr>
            <w:tcW w:w="905" w:type="dxa"/>
          </w:tcPr>
          <w:p w:rsidR="0037257D" w:rsidRPr="004C3245" w:rsidRDefault="0037257D" w:rsidP="00E92E24">
            <w:pPr>
              <w:spacing w:line="240" w:lineRule="auto"/>
              <w:ind w:firstLine="60"/>
              <w:jc w:val="left"/>
            </w:pPr>
            <w:r w:rsidRPr="004C3245">
              <w:rPr>
                <w:sz w:val="20"/>
              </w:rPr>
              <w:t>Late users</w:t>
            </w:r>
          </w:p>
        </w:tc>
        <w:tc>
          <w:tcPr>
            <w:tcW w:w="1110" w:type="dxa"/>
          </w:tcPr>
          <w:p w:rsidR="0037257D" w:rsidRPr="004C3245" w:rsidRDefault="0037257D" w:rsidP="00E92E24">
            <w:pPr>
              <w:autoSpaceDE w:val="0"/>
              <w:autoSpaceDN w:val="0"/>
              <w:adjustRightInd w:val="0"/>
              <w:spacing w:line="240" w:lineRule="auto"/>
              <w:ind w:firstLine="60"/>
              <w:jc w:val="left"/>
              <w:rPr>
                <w:sz w:val="16"/>
                <w:szCs w:val="16"/>
              </w:rPr>
            </w:pPr>
            <w:r w:rsidRPr="004C3245">
              <w:rPr>
                <w:sz w:val="16"/>
                <w:szCs w:val="16"/>
              </w:rPr>
              <w:t>-0.00589</w:t>
            </w:r>
          </w:p>
          <w:p w:rsidR="0037257D" w:rsidRPr="004C3245" w:rsidRDefault="0037257D" w:rsidP="00E92E24">
            <w:pPr>
              <w:spacing w:line="240" w:lineRule="auto"/>
              <w:ind w:firstLine="60"/>
              <w:jc w:val="left"/>
            </w:pPr>
          </w:p>
        </w:tc>
        <w:tc>
          <w:tcPr>
            <w:tcW w:w="876" w:type="dxa"/>
          </w:tcPr>
          <w:p w:rsidR="0037257D" w:rsidRPr="004C3245" w:rsidRDefault="0037257D" w:rsidP="00E92E24">
            <w:pPr>
              <w:spacing w:line="240" w:lineRule="auto"/>
              <w:ind w:firstLine="60"/>
              <w:jc w:val="left"/>
            </w:pPr>
            <w:r w:rsidRPr="004C3245">
              <w:rPr>
                <w:sz w:val="16"/>
                <w:szCs w:val="16"/>
              </w:rPr>
              <w:t>0.001063</w:t>
            </w:r>
          </w:p>
        </w:tc>
        <w:tc>
          <w:tcPr>
            <w:tcW w:w="570" w:type="dxa"/>
          </w:tcPr>
          <w:p w:rsidR="0037257D" w:rsidRPr="004C3245" w:rsidRDefault="0037257D" w:rsidP="00E92E24">
            <w:pPr>
              <w:spacing w:line="240" w:lineRule="auto"/>
              <w:ind w:firstLine="60"/>
              <w:jc w:val="left"/>
            </w:pPr>
            <w:r w:rsidRPr="004C3245">
              <w:rPr>
                <w:sz w:val="16"/>
                <w:szCs w:val="16"/>
              </w:rPr>
              <w:t>258</w:t>
            </w:r>
          </w:p>
        </w:tc>
        <w:tc>
          <w:tcPr>
            <w:tcW w:w="967" w:type="dxa"/>
          </w:tcPr>
          <w:p w:rsidR="0037257D" w:rsidRPr="004C3245" w:rsidRDefault="0037257D" w:rsidP="00E92E24">
            <w:pPr>
              <w:spacing w:line="240" w:lineRule="auto"/>
              <w:ind w:firstLine="60"/>
              <w:jc w:val="left"/>
            </w:pPr>
            <w:r w:rsidRPr="004C3245">
              <w:rPr>
                <w:sz w:val="16"/>
                <w:szCs w:val="16"/>
              </w:rPr>
              <w:t>-5.54</w:t>
            </w:r>
          </w:p>
        </w:tc>
        <w:tc>
          <w:tcPr>
            <w:tcW w:w="990" w:type="dxa"/>
          </w:tcPr>
          <w:p w:rsidR="0037257D" w:rsidRPr="004C3245" w:rsidRDefault="0037257D" w:rsidP="00E92E24">
            <w:pPr>
              <w:spacing w:line="240" w:lineRule="auto"/>
              <w:ind w:firstLine="60"/>
              <w:jc w:val="left"/>
            </w:pPr>
            <w:r w:rsidRPr="004C3245">
              <w:rPr>
                <w:sz w:val="16"/>
                <w:szCs w:val="16"/>
              </w:rPr>
              <w:t>&lt;.0001</w:t>
            </w:r>
          </w:p>
        </w:tc>
        <w:tc>
          <w:tcPr>
            <w:tcW w:w="900" w:type="dxa"/>
          </w:tcPr>
          <w:p w:rsidR="0037257D" w:rsidRPr="004C3245" w:rsidRDefault="0037257D" w:rsidP="00E92E24">
            <w:pPr>
              <w:spacing w:line="240" w:lineRule="auto"/>
              <w:ind w:firstLine="60"/>
              <w:jc w:val="left"/>
            </w:pPr>
            <w:r w:rsidRPr="004C3245">
              <w:rPr>
                <w:sz w:val="16"/>
                <w:szCs w:val="16"/>
              </w:rPr>
              <w:t>0.05</w:t>
            </w:r>
          </w:p>
        </w:tc>
        <w:tc>
          <w:tcPr>
            <w:tcW w:w="900" w:type="dxa"/>
          </w:tcPr>
          <w:p w:rsidR="0037257D" w:rsidRPr="004C3245" w:rsidRDefault="0037257D" w:rsidP="00E92E24">
            <w:pPr>
              <w:spacing w:line="240" w:lineRule="auto"/>
              <w:jc w:val="left"/>
            </w:pPr>
            <w:r w:rsidRPr="004C3245">
              <w:rPr>
                <w:sz w:val="16"/>
                <w:szCs w:val="16"/>
              </w:rPr>
              <w:t>-0.00798</w:t>
            </w:r>
          </w:p>
        </w:tc>
        <w:tc>
          <w:tcPr>
            <w:tcW w:w="990" w:type="dxa"/>
          </w:tcPr>
          <w:p w:rsidR="0037257D" w:rsidRPr="004C3245" w:rsidRDefault="0037257D" w:rsidP="00E92E24">
            <w:pPr>
              <w:spacing w:line="240" w:lineRule="auto"/>
              <w:jc w:val="left"/>
            </w:pPr>
            <w:r w:rsidRPr="004C3245">
              <w:rPr>
                <w:sz w:val="16"/>
                <w:szCs w:val="16"/>
              </w:rPr>
              <w:t>-0.00379</w:t>
            </w:r>
          </w:p>
        </w:tc>
      </w:tr>
    </w:tbl>
    <w:p w:rsidR="0037257D" w:rsidRPr="004C3245" w:rsidRDefault="0037257D" w:rsidP="008F6E71">
      <w:pPr>
        <w:spacing w:line="240" w:lineRule="auto"/>
      </w:pPr>
    </w:p>
    <w:p w:rsidR="0037257D" w:rsidRPr="004C3245" w:rsidRDefault="0037257D" w:rsidP="0037257D"/>
    <w:p w:rsidR="0037257D" w:rsidRPr="004C3245" w:rsidRDefault="0037257D" w:rsidP="0037257D">
      <w:pPr>
        <w:rPr>
          <w:b/>
          <w:sz w:val="21"/>
        </w:rPr>
      </w:pPr>
    </w:p>
    <w:p w:rsidR="0037257D" w:rsidRPr="004C3245" w:rsidRDefault="0037257D" w:rsidP="00D17C05">
      <w:pPr>
        <w:ind w:hanging="90"/>
        <w:rPr>
          <w:b/>
          <w:sz w:val="21"/>
        </w:rPr>
      </w:pPr>
      <w:r w:rsidRPr="004C3245">
        <w:rPr>
          <w:noProof/>
        </w:rPr>
        <w:drawing>
          <wp:inline distT="0" distB="0" distL="0" distR="0" wp14:anchorId="07AB08CF" wp14:editId="477DB475">
            <wp:extent cx="5943600" cy="3163570"/>
            <wp:effectExtent l="0" t="0" r="0" b="177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7257D" w:rsidRPr="004C3245" w:rsidRDefault="00D17C05" w:rsidP="00D17C05">
      <w:pPr>
        <w:pStyle w:val="Caption"/>
        <w:rPr>
          <w:b w:val="0"/>
          <w:sz w:val="21"/>
          <w:szCs w:val="24"/>
        </w:rPr>
      </w:pPr>
      <w:bookmarkStart w:id="29" w:name="_Toc6485199"/>
      <w:r>
        <w:t xml:space="preserve">Figure </w:t>
      </w:r>
      <w:r>
        <w:fldChar w:fldCharType="begin"/>
      </w:r>
      <w:r>
        <w:instrText xml:space="preserve"> SEQ Figure \* ARABIC </w:instrText>
      </w:r>
      <w:r>
        <w:fldChar w:fldCharType="separate"/>
      </w:r>
      <w:r>
        <w:t>3</w:t>
      </w:r>
      <w:r>
        <w:fldChar w:fldCharType="end"/>
      </w:r>
      <w:r>
        <w:t xml:space="preserve"> Percent BMD loss in femoral neck, hip, lumbar spine</w:t>
      </w:r>
      <w:bookmarkEnd w:id="29"/>
    </w:p>
    <w:p w:rsidR="0037257D" w:rsidRPr="004C3245" w:rsidRDefault="0037257D" w:rsidP="0037257D">
      <w:pPr>
        <w:rPr>
          <w:b/>
          <w:sz w:val="21"/>
        </w:rPr>
      </w:pPr>
    </w:p>
    <w:p w:rsidR="0037257D" w:rsidRPr="004C3245" w:rsidRDefault="0037257D" w:rsidP="0037257D">
      <w:pPr>
        <w:rPr>
          <w:sz w:val="18"/>
        </w:rPr>
      </w:pPr>
    </w:p>
    <w:p w:rsidR="0037257D" w:rsidRPr="004C3245" w:rsidRDefault="0037257D" w:rsidP="0037257D">
      <w:pPr>
        <w:rPr>
          <w:sz w:val="18"/>
        </w:rPr>
      </w:pPr>
    </w:p>
    <w:p w:rsidR="0037257D" w:rsidRPr="004C3245" w:rsidRDefault="0037257D" w:rsidP="0037257D">
      <w:pPr>
        <w:rPr>
          <w:sz w:val="18"/>
        </w:rPr>
      </w:pPr>
    </w:p>
    <w:p w:rsidR="0037257D" w:rsidRPr="004C3245" w:rsidRDefault="0037257D" w:rsidP="00B40467">
      <w:pPr>
        <w:pStyle w:val="Heading1"/>
      </w:pPr>
      <w:bookmarkStart w:id="30" w:name="_Toc6485188"/>
      <w:r w:rsidRPr="004C3245">
        <w:lastRenderedPageBreak/>
        <w:t>Discussion</w:t>
      </w:r>
      <w:bookmarkEnd w:id="30"/>
      <w:r w:rsidRPr="004C3245">
        <w:t xml:space="preserve"> </w:t>
      </w:r>
    </w:p>
    <w:p w:rsidR="0037257D" w:rsidRPr="004C3245" w:rsidRDefault="0037257D" w:rsidP="0037257D">
      <w:r w:rsidRPr="004C3245">
        <w:rPr>
          <w:b/>
        </w:rPr>
        <w:tab/>
      </w:r>
      <w:r w:rsidRPr="004C3245">
        <w:t xml:space="preserve">We studied a longitudinal cohort of women who were transitioning through menopause to determine if thyroid medication had an effect on bone mineral density loss in the femoral neck, lumbar spine, or hip. In this study, we found no significant changes between the user and non-user groups. A previously mentioned study that looked at the effects of long-term L-Thyroxine and its effect on BMD was greater than our results indicated </w:t>
      </w:r>
      <w:r w:rsidRPr="004C3245">
        <w:rPr>
          <w:vertAlign w:val="superscript"/>
        </w:rPr>
        <w:t>41</w:t>
      </w:r>
      <w:r w:rsidRPr="004C3245">
        <w:t xml:space="preserve">.  Their users experienced a 12.8% decrease in femoral neck and a 10.1% decrease in femoral trochanter compared to the non-users they were matched to </w:t>
      </w:r>
      <w:r w:rsidRPr="004C3245">
        <w:rPr>
          <w:vertAlign w:val="superscript"/>
        </w:rPr>
        <w:t>41</w:t>
      </w:r>
      <w:r w:rsidRPr="004C3245">
        <w:t xml:space="preserve">. Their results also showed a similar decrease in the lumbar spine bone density in both groups </w:t>
      </w:r>
      <w:r w:rsidRPr="004C3245">
        <w:rPr>
          <w:vertAlign w:val="superscript"/>
        </w:rPr>
        <w:t>41</w:t>
      </w:r>
      <w:r w:rsidRPr="004C3245">
        <w:t xml:space="preserve"> This study showed a greater decrease in BMD compared to our results and differs from our findings in that thyroid medications does not appear to prevent or provide a significant protective effect against BMD loss in lumbar spine, femoral neck, or hip. </w:t>
      </w:r>
    </w:p>
    <w:p w:rsidR="0037257D" w:rsidRPr="004C3245" w:rsidRDefault="0037257D" w:rsidP="0037257D">
      <w:r w:rsidRPr="004C3245">
        <w:tab/>
        <w:t xml:space="preserve">Another study looked to investigate the effects of L-thyroxine on 202 Caucasian women and its effect on lumbar spine, three sites of the hip, and proximal radius </w:t>
      </w:r>
      <w:r w:rsidRPr="004C3245">
        <w:rPr>
          <w:vertAlign w:val="superscript"/>
        </w:rPr>
        <w:t>42</w:t>
      </w:r>
      <w:r w:rsidRPr="004C3245">
        <w:t xml:space="preserve">. Their literature review is consistent with ours in finding previous studies that an increase in age (p&lt;0.001), higher BMI (p&lt;0.0001), history of thyrotoxicosis (p&lt;0.05) are associated with a decrease in lumbar spine BMD. Their results indicated that thyroid medication therapy was not statistically significantly associated with BMD loss in the spine or total hip. There was a significant association between a decrease in BMD loss in the proximal radius and previous thyrotoxicosis and the average dose of thyroid hormone </w:t>
      </w:r>
      <w:r w:rsidRPr="004C3245">
        <w:rPr>
          <w:vertAlign w:val="superscript"/>
        </w:rPr>
        <w:t>42</w:t>
      </w:r>
      <w:r w:rsidRPr="004C3245">
        <w:t xml:space="preserve">. Our study looked only at lumbar spine, hip, and femoral neck and adjusting for the same a priori variables, we found the same results, no significance. </w:t>
      </w:r>
    </w:p>
    <w:p w:rsidR="0037257D" w:rsidRPr="004C3245" w:rsidRDefault="0037257D" w:rsidP="0037257D">
      <w:r w:rsidRPr="004C3245">
        <w:tab/>
        <w:t xml:space="preserve">The effects of levothyroxine were measured in a cross-sectional descriptive study on 150 women over the age of 50 </w:t>
      </w:r>
      <w:r w:rsidRPr="004C3245">
        <w:rPr>
          <w:vertAlign w:val="superscript"/>
        </w:rPr>
        <w:t>41</w:t>
      </w:r>
      <w:r w:rsidRPr="004C3245">
        <w:t xml:space="preserve">. Their results showed that there was no statistically significant </w:t>
      </w:r>
      <w:r w:rsidRPr="004C3245">
        <w:lastRenderedPageBreak/>
        <w:t xml:space="preserve">differences of femoral neck T-score between the group recently diagnosed with hypothyroidism, patients with hypothyroidism who have been treated with two years with levothyroxine, and a non-hypothyroidism group (control). This differs from our study in that they compared three groups in which two did not receive thyroid medication (hypothyroid diagnosed and control), and a user group who was diagnosed. Their results also reflect a two year treatment and with the same thyroid medication.  The T-score at the lumbar spine was statistically significantly different (p=0.01) in BMD loss. These results indicate that there may be a potential relationship between thyroid medication use and lumbar spine BMD loss, but there are many potential biases when conducting a cross-sectional study. Since a cross-sectional study is a snapshot of the effect of an independent variable on a dependent, there is always potential for a misrepresentation of the true relationship. Cross-sectional studies also do not capture those who experience an observable outcome after the measure was taken. </w:t>
      </w:r>
    </w:p>
    <w:p w:rsidR="0037257D" w:rsidRPr="004C3245" w:rsidRDefault="0037257D" w:rsidP="0037257D">
      <w:pPr>
        <w:rPr>
          <w:b/>
        </w:rPr>
      </w:pPr>
    </w:p>
    <w:p w:rsidR="0037257D" w:rsidRPr="004C3245" w:rsidRDefault="0037257D" w:rsidP="00B40467">
      <w:pPr>
        <w:pStyle w:val="Heading1"/>
      </w:pPr>
      <w:bookmarkStart w:id="31" w:name="_Toc6485189"/>
      <w:r w:rsidRPr="004C3245">
        <w:lastRenderedPageBreak/>
        <w:t>Study Limitations and Future Research</w:t>
      </w:r>
      <w:bookmarkEnd w:id="31"/>
      <w:r w:rsidRPr="004C3245">
        <w:t xml:space="preserve"> </w:t>
      </w:r>
    </w:p>
    <w:p w:rsidR="0037257D" w:rsidRPr="004C3245" w:rsidRDefault="0037257D" w:rsidP="0037257D">
      <w:r w:rsidRPr="004C3245">
        <w:tab/>
        <w:t xml:space="preserve">Strengths of this analysis include the ability to compare bone loss density among four ethnic groups over time and obtain longitudinal measurements, SWAN total sample size, propensity score matching, and a new users design, the population on the racial/ethnic groups is very representative for the US population. The use of the new user’s study design to decrease the potential overt bias by excluding those who have been on thyroid medication prior to the SWAN baseline assessment. </w:t>
      </w:r>
    </w:p>
    <w:p w:rsidR="0037257D" w:rsidRPr="004C3245" w:rsidRDefault="0037257D" w:rsidP="0037257D">
      <w:r w:rsidRPr="004C3245">
        <w:t xml:space="preserve">Some limitations could have affected our final results. Prior SWAN research does show the rate of BMD throughout the menopausal transition, so this provided us information on how BMD loss increases and decreases over time. Another major concern in observational studies is overt bias, which can potentially create problems in determining whether the outcome associates with the drug use or the conditions that lead to the drug use. Another limitation of this study is the difference in thyroid hormone in the blood between each participant. Thyroid levels vary between participants; thus, the effect of thyroid medication will differ based on this factor, thus some participants might experience a more protective effect from the thyroid medication. </w:t>
      </w:r>
    </w:p>
    <w:p w:rsidR="0037257D" w:rsidRPr="004C3245" w:rsidRDefault="0037257D" w:rsidP="0037257D">
      <w:r w:rsidRPr="004C3245">
        <w:tab/>
        <w:t xml:space="preserve">In conclusion, this analysis does not confirm that thyroid medication will either accelerate or decelerate the rate of bone mineral density loss in femoral neck, total hip, and lumbar spine in TH users. There is a trend that shows there may be some relationship in that the treatment group experiences a potentially slower decrease in BMD, but this trend is not significant in either group. Future research should include a larger sample size to investigate the relationship. Future research should also investigate other medications to see if they could have an effect on BMD loss in women. </w:t>
      </w:r>
    </w:p>
    <w:p w:rsidR="0037257D" w:rsidRPr="00B40467" w:rsidRDefault="0037257D" w:rsidP="000E1978">
      <w:pPr>
        <w:pStyle w:val="Heading2"/>
        <w:rPr>
          <w:rFonts w:cs="Times New Roman"/>
        </w:rPr>
      </w:pPr>
      <w:bookmarkStart w:id="32" w:name="_Toc6485190"/>
      <w:r w:rsidRPr="00B40467">
        <w:lastRenderedPageBreak/>
        <w:t>Acknowledgments</w:t>
      </w:r>
      <w:bookmarkEnd w:id="32"/>
    </w:p>
    <w:p w:rsidR="0037257D" w:rsidRPr="004C3245" w:rsidRDefault="0037257D" w:rsidP="0037257D">
      <w:r w:rsidRPr="004C3245">
        <w:t>We thank the study staff at each site and all the women who participated in SWAN.</w:t>
      </w:r>
    </w:p>
    <w:p w:rsidR="0037257D" w:rsidRPr="004C3245" w:rsidRDefault="00B40467" w:rsidP="00B40467">
      <w:pPr>
        <w:pStyle w:val="Heading"/>
      </w:pPr>
      <w:bookmarkStart w:id="33" w:name="_Toc6485191"/>
      <w:r>
        <w:lastRenderedPageBreak/>
        <w:t>Bibliography</w:t>
      </w:r>
      <w:bookmarkEnd w:id="33"/>
    </w:p>
    <w:p w:rsidR="0037257D" w:rsidRPr="004C3245" w:rsidRDefault="00FD5384" w:rsidP="00FD5384">
      <w:pPr>
        <w:numPr>
          <w:ilvl w:val="0"/>
          <w:numId w:val="14"/>
        </w:numPr>
        <w:spacing w:before="100" w:beforeAutospacing="1" w:line="240" w:lineRule="auto"/>
        <w:ind w:hanging="720"/>
        <w:jc w:val="left"/>
      </w:pPr>
      <w:r>
        <w:t>Finkelstein JS</w:t>
      </w:r>
      <w:r w:rsidR="0037257D" w:rsidRPr="004C3245">
        <w:t>2004 Osteoporosis. In: Goldman L, Ausiello D, eds. Cecil textbook of medicine. 22nd ed. Philadelphia: Saunders; 1547–1555</w:t>
      </w:r>
    </w:p>
    <w:p w:rsidR="0037257D" w:rsidRPr="004C3245" w:rsidRDefault="00FD5384" w:rsidP="00FD5384">
      <w:pPr>
        <w:numPr>
          <w:ilvl w:val="0"/>
          <w:numId w:val="14"/>
        </w:numPr>
        <w:spacing w:before="100" w:beforeAutospacing="1" w:line="240" w:lineRule="auto"/>
        <w:ind w:hanging="720"/>
        <w:jc w:val="left"/>
      </w:pPr>
      <w:r>
        <w:t xml:space="preserve">Riggs BL, Melton III LJ </w:t>
      </w:r>
      <w:r w:rsidR="0037257D" w:rsidRPr="004C3245">
        <w:t>1992 The prevention and treatment of osteoporosis. N Engl J Med 327:620–627 [</w:t>
      </w:r>
      <w:hyperlink r:id="rId17">
        <w:r w:rsidR="0037257D" w:rsidRPr="004C3245">
          <w:rPr>
            <w:u w:val="single"/>
          </w:rPr>
          <w:t>PubMed</w:t>
        </w:r>
      </w:hyperlink>
      <w:r w:rsidR="0037257D" w:rsidRPr="004C3245">
        <w:t>]</w:t>
      </w:r>
    </w:p>
    <w:p w:rsidR="0037257D" w:rsidRPr="004C3245" w:rsidRDefault="0037257D" w:rsidP="00FD5384">
      <w:pPr>
        <w:numPr>
          <w:ilvl w:val="0"/>
          <w:numId w:val="14"/>
        </w:numPr>
        <w:spacing w:before="100" w:beforeAutospacing="1" w:line="240" w:lineRule="auto"/>
        <w:ind w:hanging="720"/>
        <w:jc w:val="left"/>
      </w:pPr>
      <w:r w:rsidRPr="004C3245">
        <w:t>Greendale, G. A., Sowers, M., Han, W., Huang, M. H., Finkelstein, J. S., Crandall, C. J., … Karlamangla, A. S. (2012). Bone mineral density loss in relation to the final menstrual period in a multiethnic cohort: results from the Study of Women's Health Across the Nation (SWAN). Journal of bone and mineral research : the official journal of the American Society for Bone and Mineral Research, 27(1), 111–118. doi:10.1002/jbmr.534</w:t>
      </w:r>
    </w:p>
    <w:p w:rsidR="0037257D" w:rsidRPr="004C3245" w:rsidRDefault="0037257D" w:rsidP="00FD5384">
      <w:pPr>
        <w:numPr>
          <w:ilvl w:val="0"/>
          <w:numId w:val="14"/>
        </w:numPr>
        <w:spacing w:before="100" w:beforeAutospacing="1" w:line="240" w:lineRule="auto"/>
        <w:ind w:hanging="720"/>
        <w:jc w:val="left"/>
      </w:pPr>
      <w:r w:rsidRPr="004C3245">
        <w:t>Finkelstein, Joel &amp; E Brockwell, Sarah &amp; Mehta, Vinay &amp; A Greendale, Gail &amp; R Sowers, MaryFran &amp; Ettinger, Bruce &amp; C Lo, Joan &amp; Johnston, Janet &amp; Cauley, Jane &amp; E Danielson, Michelle &amp; Neer, Robert. (2008). Bone Mineral Density Changes during the Menopause Transition in a Multiethnic Cohort of Women. The Journal of clinical endocrinology and metabolism. 93. 861-8. 10.1210/jc.2007-1876.</w:t>
      </w:r>
    </w:p>
    <w:p w:rsidR="0037257D" w:rsidRPr="004C3245" w:rsidRDefault="0037257D" w:rsidP="00FD5384">
      <w:pPr>
        <w:pStyle w:val="ListParagraph"/>
        <w:numPr>
          <w:ilvl w:val="0"/>
          <w:numId w:val="14"/>
        </w:numPr>
        <w:spacing w:before="100" w:beforeAutospacing="1" w:line="240" w:lineRule="auto"/>
        <w:ind w:hanging="720"/>
        <w:contextualSpacing/>
        <w:jc w:val="left"/>
      </w:pPr>
      <w:r w:rsidRPr="004C3245">
        <w:t xml:space="preserve">Shomon, M. (n.d.). What's the Link Between Thyroid Disease and Menopause? Retrieved from </w:t>
      </w:r>
      <w:hyperlink r:id="rId18" w:history="1">
        <w:r w:rsidRPr="004C3245">
          <w:rPr>
            <w:rStyle w:val="Hyperlink"/>
          </w:rPr>
          <w:t>https://www.verywellhealth.com/thyroid-disease-menopause-link-3231797</w:t>
        </w:r>
      </w:hyperlink>
    </w:p>
    <w:p w:rsidR="0037257D" w:rsidRPr="004C3245" w:rsidRDefault="0037257D" w:rsidP="00FD5384">
      <w:pPr>
        <w:pStyle w:val="ListParagraph"/>
        <w:numPr>
          <w:ilvl w:val="0"/>
          <w:numId w:val="14"/>
        </w:numPr>
        <w:spacing w:before="100" w:beforeAutospacing="1" w:line="240" w:lineRule="auto"/>
        <w:ind w:hanging="720"/>
        <w:contextualSpacing/>
        <w:jc w:val="left"/>
      </w:pPr>
      <w:r w:rsidRPr="004C3245">
        <w:t>Hollowell JG, Staehling NW, Flanders WD, Hannon WH, Gunter EW, Spencer CA, Braverman LE J Clin Endocrinol Metab. 2002 Feb; 87(2):489-99.</w:t>
      </w:r>
    </w:p>
    <w:p w:rsidR="0037257D" w:rsidRPr="004C3245" w:rsidRDefault="0037257D" w:rsidP="00FD5384">
      <w:pPr>
        <w:pStyle w:val="ListParagraph"/>
        <w:numPr>
          <w:ilvl w:val="0"/>
          <w:numId w:val="14"/>
        </w:numPr>
        <w:spacing w:before="100" w:beforeAutospacing="1" w:line="240" w:lineRule="auto"/>
        <w:ind w:hanging="720"/>
        <w:contextualSpacing/>
        <w:jc w:val="left"/>
      </w:pPr>
      <w:r w:rsidRPr="004C3245">
        <w:t>Tunbridge WM, Evered DC, Hall R, Appleton D, Brewis M, Clark F, Evans JG, Young E, Bird T, Smith PA Clin Endocrinol (Oxf). 1977 Dec; 7(6):481-93.</w:t>
      </w:r>
    </w:p>
    <w:p w:rsidR="0037257D" w:rsidRPr="004C3245" w:rsidRDefault="0037257D" w:rsidP="00FD5384">
      <w:pPr>
        <w:pStyle w:val="ListParagraph"/>
        <w:numPr>
          <w:ilvl w:val="0"/>
          <w:numId w:val="14"/>
        </w:numPr>
        <w:spacing w:before="100" w:beforeAutospacing="1" w:line="240" w:lineRule="auto"/>
        <w:ind w:hanging="720"/>
        <w:contextualSpacing/>
        <w:jc w:val="left"/>
      </w:pPr>
      <w:r w:rsidRPr="004C3245">
        <w:t>Vanderpump MP, Tunbridge WM, French JM, Appleton D, Bates D, Clark F, Grimley Evans J, Hasan DM, Rodgers H, Tunbridge FClin Endocrinol (Oxf). 1995 Jul; 43(1):55-68.</w:t>
      </w:r>
    </w:p>
    <w:p w:rsidR="0037257D" w:rsidRPr="004C3245" w:rsidRDefault="0037257D" w:rsidP="00FD5384">
      <w:pPr>
        <w:numPr>
          <w:ilvl w:val="0"/>
          <w:numId w:val="14"/>
        </w:numPr>
        <w:spacing w:before="100" w:beforeAutospacing="1" w:line="240" w:lineRule="auto"/>
        <w:ind w:hanging="720"/>
        <w:jc w:val="left"/>
      </w:pPr>
      <w:r w:rsidRPr="004C3245">
        <w:t xml:space="preserve">Karsenty G. Transcriptional control of skeletogenesis. Annu Rev Genomics Hum Genet. 2008;9:183–196. </w:t>
      </w:r>
    </w:p>
    <w:p w:rsidR="0037257D" w:rsidRPr="004C3245" w:rsidRDefault="0037257D" w:rsidP="00FD5384">
      <w:pPr>
        <w:numPr>
          <w:ilvl w:val="0"/>
          <w:numId w:val="14"/>
        </w:numPr>
        <w:spacing w:before="100" w:beforeAutospacing="1" w:line="240" w:lineRule="auto"/>
        <w:ind w:hanging="720"/>
        <w:jc w:val="left"/>
      </w:pPr>
      <w:r w:rsidRPr="004C3245">
        <w:t>Raggatt LJ, Partridge NC. Cellular and molecular mechanisms of bone remodeling. J Biol Chem. 2010;285(33):25103–25108.</w:t>
      </w:r>
    </w:p>
    <w:p w:rsidR="0037257D" w:rsidRPr="004C3245" w:rsidRDefault="0037257D" w:rsidP="00FD5384">
      <w:pPr>
        <w:numPr>
          <w:ilvl w:val="0"/>
          <w:numId w:val="14"/>
        </w:numPr>
        <w:spacing w:before="100" w:beforeAutospacing="1" w:line="240" w:lineRule="auto"/>
        <w:ind w:hanging="720"/>
        <w:jc w:val="left"/>
      </w:pPr>
      <w:r w:rsidRPr="004C3245">
        <w:t>Corral DA, Amling M, Priemel M, et al. Dissociation between bone resorption and bone formation in osteopenic transgenic mice. Proc Natl Acad Sci U S A. 1998;95(23):13835–13840.</w:t>
      </w:r>
    </w:p>
    <w:p w:rsidR="0037257D" w:rsidRPr="004C3245" w:rsidRDefault="0037257D" w:rsidP="00FD5384">
      <w:pPr>
        <w:numPr>
          <w:ilvl w:val="0"/>
          <w:numId w:val="14"/>
        </w:numPr>
        <w:spacing w:before="100" w:beforeAutospacing="1" w:line="240" w:lineRule="auto"/>
        <w:ind w:hanging="720"/>
        <w:jc w:val="left"/>
      </w:pPr>
      <w:r w:rsidRPr="004C3245">
        <w:t>Gori F, Hofbauer LC, Dunstan CR, Spelsberg TC, Khosla S, Riggs BL. The expression of osteoprotegerin and RANK ligand and the support of osteoclast formation by stromal-osteoblast lineage cells is developmentally regulated 1. Endocrinology. 2000;141(12):4768–4776.</w:t>
      </w:r>
    </w:p>
    <w:p w:rsidR="0037257D" w:rsidRPr="004C3245" w:rsidRDefault="0037257D" w:rsidP="00FD5384">
      <w:pPr>
        <w:numPr>
          <w:ilvl w:val="0"/>
          <w:numId w:val="14"/>
        </w:numPr>
        <w:spacing w:before="100" w:beforeAutospacing="1" w:line="240" w:lineRule="auto"/>
        <w:ind w:hanging="720"/>
        <w:jc w:val="left"/>
      </w:pPr>
      <w:r w:rsidRPr="004C3245">
        <w:t xml:space="preserve">Komori T, Yagi H, Nomura S, et al. Targeted disruption of Cbfa1 results in a complete lack of bone formation owing to maturational arrest of osteoblasts. Cell. 1997;89(5):755–764. </w:t>
      </w:r>
    </w:p>
    <w:p w:rsidR="0037257D" w:rsidRPr="004C3245" w:rsidRDefault="0037257D" w:rsidP="00FD5384">
      <w:pPr>
        <w:numPr>
          <w:ilvl w:val="0"/>
          <w:numId w:val="14"/>
        </w:numPr>
        <w:spacing w:before="100" w:beforeAutospacing="1" w:line="240" w:lineRule="auto"/>
        <w:ind w:hanging="720"/>
        <w:jc w:val="left"/>
      </w:pPr>
      <w:r w:rsidRPr="004C3245">
        <w:t>Mohamad, N. V., Soelaiman, I., &amp; Chin, K. (2016). A concise review of testosterone and bone health. Clinical Interventions in Aging,Volume 11, 1317-1324. doi:10.2147/cia.s115472</w:t>
      </w:r>
    </w:p>
    <w:p w:rsidR="0037257D" w:rsidRPr="004C3245" w:rsidRDefault="0037257D" w:rsidP="00FD5384">
      <w:pPr>
        <w:numPr>
          <w:ilvl w:val="0"/>
          <w:numId w:val="14"/>
        </w:numPr>
        <w:spacing w:before="100" w:beforeAutospacing="1" w:line="240" w:lineRule="auto"/>
        <w:ind w:hanging="720"/>
        <w:jc w:val="left"/>
      </w:pPr>
      <w:r w:rsidRPr="004C3245">
        <w:lastRenderedPageBreak/>
        <w:t>Suda T, Takahashi N, Udagawa N, Jimi E, Gillespie MT, Martin TJ. Modulation of osteoclast differentiation and function by the new members of the tumor necrosis factor receptor and ligand families. Endocr Rev. 1999;20(3):345–357.</w:t>
      </w:r>
    </w:p>
    <w:p w:rsidR="0037257D" w:rsidRPr="004C3245" w:rsidRDefault="0037257D" w:rsidP="00FD5384">
      <w:pPr>
        <w:numPr>
          <w:ilvl w:val="0"/>
          <w:numId w:val="14"/>
        </w:numPr>
        <w:spacing w:before="100" w:beforeAutospacing="1" w:line="240" w:lineRule="auto"/>
        <w:ind w:hanging="720"/>
        <w:jc w:val="left"/>
      </w:pPr>
      <w:r w:rsidRPr="004C3245">
        <w:t>Hofbauer LC, Hicok KC, Chen D, Khosla S. Regulation of osteoprotegerin production by androgens and anti-androgens in human osteoblastic lineage cells. Eur J Endocrinol. 2002;147(2):269–273.</w:t>
      </w:r>
    </w:p>
    <w:p w:rsidR="0037257D" w:rsidRPr="004C3245" w:rsidRDefault="0037257D" w:rsidP="00FD5384">
      <w:pPr>
        <w:numPr>
          <w:ilvl w:val="0"/>
          <w:numId w:val="14"/>
        </w:numPr>
        <w:spacing w:before="100" w:beforeAutospacing="1" w:line="240" w:lineRule="auto"/>
        <w:ind w:hanging="720"/>
        <w:jc w:val="left"/>
      </w:pPr>
      <w:r w:rsidRPr="004C3245">
        <w:t xml:space="preserve">Clarke BL, Khosla S. Androgens and bone. Steroids. 2009;74(3):296–305. </w:t>
      </w:r>
    </w:p>
    <w:p w:rsidR="0037257D" w:rsidRPr="004C3245" w:rsidRDefault="0037257D" w:rsidP="00FD5384">
      <w:pPr>
        <w:numPr>
          <w:ilvl w:val="0"/>
          <w:numId w:val="14"/>
        </w:numPr>
        <w:spacing w:before="100" w:beforeAutospacing="1" w:line="240" w:lineRule="auto"/>
        <w:ind w:hanging="720"/>
        <w:jc w:val="left"/>
      </w:pPr>
      <w:r w:rsidRPr="004C3245">
        <w:t xml:space="preserve">Palumbo C. A three-dimensional ultrastructural study of osteoid-osteocytes in the tibia of chick embryos. Cell Tissue Res. 1986;246(1):125–131. </w:t>
      </w:r>
    </w:p>
    <w:p w:rsidR="0037257D" w:rsidRPr="004C3245" w:rsidRDefault="0037257D" w:rsidP="00FD5384">
      <w:pPr>
        <w:numPr>
          <w:ilvl w:val="0"/>
          <w:numId w:val="14"/>
        </w:numPr>
        <w:spacing w:before="100" w:beforeAutospacing="1" w:line="240" w:lineRule="auto"/>
        <w:ind w:hanging="720"/>
        <w:jc w:val="left"/>
      </w:pPr>
      <w:r w:rsidRPr="004C3245">
        <w:t>Bonewald LF. Osteocytes as dynamic multifunctional cells. Ann N Y Acad Sci. 2007;1116(1):281–290.</w:t>
      </w:r>
    </w:p>
    <w:p w:rsidR="0037257D" w:rsidRPr="004C3245" w:rsidRDefault="0037257D" w:rsidP="00FD5384">
      <w:pPr>
        <w:numPr>
          <w:ilvl w:val="0"/>
          <w:numId w:val="14"/>
        </w:numPr>
        <w:spacing w:before="100" w:beforeAutospacing="1" w:line="240" w:lineRule="auto"/>
        <w:ind w:hanging="720"/>
        <w:jc w:val="left"/>
      </w:pPr>
      <w:r w:rsidRPr="004C3245">
        <w:t>Kamioka H, Honjo T, Takano-Yamamoto T. A three-dimensional distribution of osteocyte processes revealed by the combination of confocal laser scanning microscopy and differential interference contrast microscopy. Bone. 2001;28(2):145–149.</w:t>
      </w:r>
    </w:p>
    <w:p w:rsidR="0037257D" w:rsidRPr="004C3245" w:rsidRDefault="0037257D" w:rsidP="00FD5384">
      <w:pPr>
        <w:numPr>
          <w:ilvl w:val="0"/>
          <w:numId w:val="14"/>
        </w:numPr>
        <w:spacing w:before="100" w:beforeAutospacing="1" w:line="240" w:lineRule="auto"/>
        <w:ind w:hanging="720"/>
        <w:jc w:val="left"/>
        <w:rPr>
          <w:rFonts w:eastAsiaTheme="minorHAnsi"/>
        </w:rPr>
      </w:pPr>
      <w:r w:rsidRPr="008A4FCF">
        <w:rPr>
          <w:shd w:val="clear" w:color="auto" w:fill="FFFFFF"/>
        </w:rPr>
        <w:t xml:space="preserve">Bone Mass Measurement: What the Numbers Mean. (n.d.). Retrieved from </w:t>
      </w:r>
      <w:hyperlink r:id="rId19" w:anchor="c" w:history="1">
        <w:r w:rsidRPr="008A4FCF">
          <w:rPr>
            <w:rStyle w:val="Hyperlink"/>
            <w:shd w:val="clear" w:color="auto" w:fill="FFFFFF"/>
          </w:rPr>
          <w:t>https://www.bones.nih.gov/health-info/bone/bone-health/bone-mass-measurement-what-numbers-mean#c</w:t>
        </w:r>
      </w:hyperlink>
    </w:p>
    <w:p w:rsidR="0037257D" w:rsidRPr="004C3245" w:rsidRDefault="0037257D" w:rsidP="00FD5384">
      <w:pPr>
        <w:pStyle w:val="ListParagraph"/>
        <w:numPr>
          <w:ilvl w:val="0"/>
          <w:numId w:val="14"/>
        </w:numPr>
        <w:spacing w:before="100" w:beforeAutospacing="1" w:line="240" w:lineRule="auto"/>
        <w:ind w:hanging="720"/>
        <w:contextualSpacing/>
        <w:jc w:val="left"/>
      </w:pPr>
      <w:r w:rsidRPr="004C3245">
        <w:t xml:space="preserve">Gietka-Czernel M. (2017). The thyroid gland in postmenopausal women: physiology and diseases. </w:t>
      </w:r>
      <w:r w:rsidRPr="004C3245">
        <w:rPr>
          <w:i/>
          <w:iCs/>
        </w:rPr>
        <w:t>Przeglad menopauzalny = Menopause review</w:t>
      </w:r>
      <w:r w:rsidRPr="004C3245">
        <w:t xml:space="preserve">, </w:t>
      </w:r>
      <w:r w:rsidRPr="004C3245">
        <w:rPr>
          <w:i/>
          <w:iCs/>
        </w:rPr>
        <w:t>16</w:t>
      </w:r>
      <w:r w:rsidRPr="004C3245">
        <w:t>(2), 33–37. doi:10.5114/pm.2017.68588</w:t>
      </w:r>
    </w:p>
    <w:p w:rsidR="0037257D" w:rsidRPr="004C3245" w:rsidRDefault="0037257D" w:rsidP="00FD5384">
      <w:pPr>
        <w:numPr>
          <w:ilvl w:val="0"/>
          <w:numId w:val="14"/>
        </w:numPr>
        <w:spacing w:before="100" w:beforeAutospacing="1" w:line="240" w:lineRule="auto"/>
        <w:ind w:hanging="720"/>
        <w:jc w:val="left"/>
      </w:pPr>
      <w:r w:rsidRPr="004C3245">
        <w:t>Tuchendler, D., &amp; Bolanowski, M. (2014). The influence of thyroid dysfunction on bone metabolism. Thyroid research.</w:t>
      </w:r>
    </w:p>
    <w:p w:rsidR="0037257D" w:rsidRPr="004C3245" w:rsidRDefault="0037257D" w:rsidP="00FD5384">
      <w:pPr>
        <w:numPr>
          <w:ilvl w:val="0"/>
          <w:numId w:val="14"/>
        </w:numPr>
        <w:spacing w:before="100" w:beforeAutospacing="1" w:line="240" w:lineRule="auto"/>
        <w:ind w:hanging="720"/>
        <w:jc w:val="left"/>
      </w:pPr>
      <w:r w:rsidRPr="004C3245">
        <w:t xml:space="preserve">Basset J, Williams G. The molecular actions of thyroid hormone in bone. Trends Endocrinol Metab. 2003;14:356–364. doi: 10.1016/S1043-2760(03)00144-9. </w:t>
      </w:r>
    </w:p>
    <w:p w:rsidR="0037257D" w:rsidRPr="004C3245" w:rsidRDefault="0037257D" w:rsidP="00FD5384">
      <w:pPr>
        <w:numPr>
          <w:ilvl w:val="0"/>
          <w:numId w:val="14"/>
        </w:numPr>
        <w:spacing w:before="100" w:beforeAutospacing="1" w:line="240" w:lineRule="auto"/>
        <w:ind w:hanging="720"/>
        <w:jc w:val="left"/>
      </w:pPr>
      <w:r w:rsidRPr="004C3245">
        <w:t>Gautier K. Genetic analysis reveals different functions for the products of the thyroid hormone receptors α locus. Mol Cell Biol. 2001;21:4748–4760. doi: 10.1128/MCB.21.14.4748-4760.2001.</w:t>
      </w:r>
    </w:p>
    <w:p w:rsidR="0037257D" w:rsidRPr="004C3245" w:rsidRDefault="0037257D" w:rsidP="00FD5384">
      <w:pPr>
        <w:numPr>
          <w:ilvl w:val="0"/>
          <w:numId w:val="14"/>
        </w:numPr>
        <w:spacing w:before="100" w:beforeAutospacing="1" w:line="240" w:lineRule="auto"/>
        <w:ind w:hanging="720"/>
        <w:jc w:val="left"/>
        <w:rPr>
          <w:highlight w:val="white"/>
        </w:rPr>
      </w:pPr>
      <w:r w:rsidRPr="004C3245">
        <w:rPr>
          <w:highlight w:val="white"/>
        </w:rPr>
        <w:t>Harvey CB, O'Shea PJ, Scott AJ, Robson H, Siebler T, Shalet SM, Samarut J, Chassande O,Williams GR. Molecular mechanisms ofthyroid hormone effects on bone growth and function. Mol Genet Metab. 2002;75:17-30.</w:t>
      </w:r>
    </w:p>
    <w:p w:rsidR="0037257D" w:rsidRPr="004C3245" w:rsidRDefault="0037257D" w:rsidP="00FD5384">
      <w:pPr>
        <w:numPr>
          <w:ilvl w:val="0"/>
          <w:numId w:val="14"/>
        </w:numPr>
        <w:spacing w:before="100" w:beforeAutospacing="1" w:line="240" w:lineRule="auto"/>
        <w:ind w:hanging="720"/>
        <w:jc w:val="left"/>
      </w:pPr>
      <w:r w:rsidRPr="004C3245">
        <w:rPr>
          <w:highlight w:val="white"/>
        </w:rPr>
        <w:t xml:space="preserve">Kim, H., &amp; Mohan, S. (2013). Role and Mechanisms of Actions of Thyroid Hormone on the Skeletal Development. </w:t>
      </w:r>
      <w:r w:rsidRPr="004C3245">
        <w:rPr>
          <w:i/>
          <w:highlight w:val="white"/>
        </w:rPr>
        <w:t>Bone Research,1</w:t>
      </w:r>
      <w:r w:rsidRPr="004C3245">
        <w:rPr>
          <w:highlight w:val="white"/>
        </w:rPr>
        <w:t>(2), 146-161. doi:10.4248/br201302004</w:t>
      </w:r>
    </w:p>
    <w:p w:rsidR="0037257D" w:rsidRPr="004C3245" w:rsidRDefault="0037257D" w:rsidP="00FD5384">
      <w:pPr>
        <w:numPr>
          <w:ilvl w:val="0"/>
          <w:numId w:val="14"/>
        </w:numPr>
        <w:spacing w:before="100" w:beforeAutospacing="1" w:line="240" w:lineRule="auto"/>
        <w:ind w:hanging="720"/>
        <w:jc w:val="left"/>
      </w:pPr>
      <w:r w:rsidRPr="004C3245">
        <w:t xml:space="preserve">Stevens D, Harvey C, Scott A, Williams A, Jackson D, O'Shea P, Williams G. Thyroid hormone activates fibroblast growth factor receptor-1 in bone. Mol Endocrinol. 2003;17:1751–1766. doi: 10.1210/me.2003-0137. </w:t>
      </w:r>
    </w:p>
    <w:p w:rsidR="0037257D" w:rsidRPr="004C3245" w:rsidRDefault="0037257D" w:rsidP="00FD5384">
      <w:pPr>
        <w:numPr>
          <w:ilvl w:val="0"/>
          <w:numId w:val="14"/>
        </w:numPr>
        <w:spacing w:before="100" w:beforeAutospacing="1" w:line="240" w:lineRule="auto"/>
        <w:ind w:hanging="720"/>
        <w:jc w:val="left"/>
        <w:rPr>
          <w:rStyle w:val="Hyperlink"/>
        </w:rPr>
      </w:pPr>
      <w:r w:rsidRPr="004C3245">
        <w:t>Földes, J. , Tarján, G. , Szathmari, M. , Varga, F. , Krasznai, I. and Horvath, C. (1993), Bone mineral density in patients with endogenous subclinical hyperthyroidism: Is this thyroid status a risk factor for osteoporosis?. Clinical Endocrinology, 39: 521-527. doi:</w:t>
      </w:r>
      <w:hyperlink r:id="rId20" w:history="1">
        <w:r w:rsidRPr="004C3245">
          <w:rPr>
            <w:rStyle w:val="Hyperlink"/>
          </w:rPr>
          <w:t>10.1111/j.1365-2265.1993.tb02403.x</w:t>
        </w:r>
      </w:hyperlink>
    </w:p>
    <w:p w:rsidR="0037257D" w:rsidRPr="004C3245" w:rsidRDefault="0037257D" w:rsidP="00FD5384">
      <w:pPr>
        <w:numPr>
          <w:ilvl w:val="0"/>
          <w:numId w:val="14"/>
        </w:numPr>
        <w:spacing w:before="100" w:beforeAutospacing="1" w:line="240" w:lineRule="auto"/>
        <w:ind w:hanging="720"/>
        <w:jc w:val="left"/>
      </w:pPr>
      <w:r w:rsidRPr="004C3245">
        <w:rPr>
          <w:iCs/>
        </w:rPr>
        <w:t>Krølner B, Jørgensen JV, Nielsen SP Clin Endocrinol (Oxf). 1983 May; 18(5):439-46.</w:t>
      </w:r>
    </w:p>
    <w:p w:rsidR="0037257D" w:rsidRPr="004C3245" w:rsidRDefault="0037257D" w:rsidP="00FD5384">
      <w:pPr>
        <w:numPr>
          <w:ilvl w:val="0"/>
          <w:numId w:val="14"/>
        </w:numPr>
        <w:spacing w:before="100" w:beforeAutospacing="1" w:line="240" w:lineRule="auto"/>
        <w:ind w:hanging="720"/>
        <w:jc w:val="left"/>
        <w:rPr>
          <w:highlight w:val="white"/>
        </w:rPr>
      </w:pPr>
      <w:r w:rsidRPr="004C3245">
        <w:rPr>
          <w:highlight w:val="white"/>
        </w:rPr>
        <w:t>Pereira RC, Jorgetti V, Canalis E. Triiodothyronine induces colla- genase-3 and gelatinase B expression in murine osteoblasts. Am JPhysiol. 1999;277:E496-E504.</w:t>
      </w:r>
    </w:p>
    <w:p w:rsidR="0037257D" w:rsidRPr="004C3245" w:rsidRDefault="0037257D" w:rsidP="00FD5384">
      <w:pPr>
        <w:numPr>
          <w:ilvl w:val="0"/>
          <w:numId w:val="14"/>
        </w:numPr>
        <w:spacing w:before="100" w:beforeAutospacing="1" w:line="240" w:lineRule="auto"/>
        <w:ind w:hanging="720"/>
        <w:jc w:val="left"/>
        <w:rPr>
          <w:highlight w:val="white"/>
        </w:rPr>
      </w:pPr>
      <w:r w:rsidRPr="004C3245">
        <w:rPr>
          <w:highlight w:val="white"/>
        </w:rPr>
        <w:t>Gouveia CH, Schultz JJ, Bianco AC, Brent GA. Thyroid hormonestimulation of osteocalcin gene expression in ROS 17/2.8 cells ismediated by transcriptional and post-transcriptional mechanisms.J Endocrinol. 2001;170:667-675.</w:t>
      </w:r>
    </w:p>
    <w:p w:rsidR="0037257D" w:rsidRPr="004C3245" w:rsidRDefault="0037257D" w:rsidP="00FD5384">
      <w:pPr>
        <w:numPr>
          <w:ilvl w:val="0"/>
          <w:numId w:val="14"/>
        </w:numPr>
        <w:spacing w:before="100" w:beforeAutospacing="1" w:line="240" w:lineRule="auto"/>
        <w:ind w:hanging="720"/>
        <w:jc w:val="left"/>
        <w:rPr>
          <w:highlight w:val="white"/>
        </w:rPr>
      </w:pPr>
      <w:r w:rsidRPr="004C3245">
        <w:rPr>
          <w:highlight w:val="white"/>
        </w:rPr>
        <w:lastRenderedPageBreak/>
        <w:t>Varga F, Rumpler M, Zoehrer R, Turecek C, Spitzer S, Thaler R, Paschalis EP, Klaushofer K. T3 affects expression of collagen I and collagen cross-linking in bone cell cultures. Biochem Biophys Res Commun. 2010;402:180-185.</w:t>
      </w:r>
    </w:p>
    <w:p w:rsidR="0037257D" w:rsidRPr="004C3245" w:rsidRDefault="0037257D" w:rsidP="00FD5384">
      <w:pPr>
        <w:numPr>
          <w:ilvl w:val="0"/>
          <w:numId w:val="14"/>
        </w:numPr>
        <w:spacing w:before="100" w:beforeAutospacing="1" w:line="240" w:lineRule="auto"/>
        <w:ind w:hanging="720"/>
        <w:jc w:val="left"/>
        <w:rPr>
          <w:highlight w:val="white"/>
        </w:rPr>
      </w:pPr>
      <w:r w:rsidRPr="004C3245">
        <w:rPr>
          <w:highlight w:val="white"/>
        </w:rPr>
        <w:t>Varga F, Rumpler M, Luegmayr E, Fratzl-Zelman N, Glantschnig H, Klaushofer K. Triiodothyronine, a regulator of osteoblasticdifferentiation: depression of histone H4, attenuation of c-fos/ c-jun, and induction of osteocalcin expression. Calcif Tissue Int.1997;61:404-411.</w:t>
      </w:r>
    </w:p>
    <w:p w:rsidR="0037257D" w:rsidRPr="004C3245" w:rsidRDefault="0037257D" w:rsidP="00FD5384">
      <w:pPr>
        <w:numPr>
          <w:ilvl w:val="0"/>
          <w:numId w:val="14"/>
        </w:numPr>
        <w:spacing w:before="100" w:beforeAutospacing="1" w:line="240" w:lineRule="auto"/>
        <w:ind w:hanging="720"/>
        <w:jc w:val="left"/>
        <w:rPr>
          <w:highlight w:val="white"/>
        </w:rPr>
      </w:pPr>
      <w:r w:rsidRPr="004C3245">
        <w:rPr>
          <w:highlight w:val="white"/>
        </w:rPr>
        <w:t>Banovac K, Koren E. Triiodothyronine stimulates the release ofmembrane-bound alkaline phosphatase in osteoblastic cells. Calcif Tissue Int. 2000;67:460-465.</w:t>
      </w:r>
    </w:p>
    <w:p w:rsidR="0037257D" w:rsidRPr="004C3245" w:rsidRDefault="0037257D" w:rsidP="00FD5384">
      <w:pPr>
        <w:numPr>
          <w:ilvl w:val="0"/>
          <w:numId w:val="14"/>
        </w:numPr>
        <w:spacing w:before="100" w:beforeAutospacing="1" w:line="240" w:lineRule="auto"/>
        <w:ind w:hanging="720"/>
        <w:jc w:val="left"/>
      </w:pPr>
      <w:r w:rsidRPr="004C3245">
        <w:rPr>
          <w:highlight w:val="white"/>
        </w:rPr>
        <w:t>Allain TJ, Chambers TJ, Flanagan AM, McGregor AM. Tri- iodothyronine stimulates rat osteoclastic bone resorption by anindirect effect. J Endocrinol. 1992;133:327-331.</w:t>
      </w:r>
    </w:p>
    <w:p w:rsidR="0037257D" w:rsidRPr="004C3245" w:rsidRDefault="0037257D" w:rsidP="00FD5384">
      <w:pPr>
        <w:numPr>
          <w:ilvl w:val="0"/>
          <w:numId w:val="14"/>
        </w:numPr>
        <w:spacing w:before="100" w:beforeAutospacing="1" w:line="240" w:lineRule="auto"/>
        <w:ind w:hanging="720"/>
        <w:jc w:val="left"/>
      </w:pPr>
      <w:r w:rsidRPr="004C3245">
        <w:rPr>
          <w:highlight w:val="white"/>
        </w:rPr>
        <w:t>Britto JM, Fenton AJ, Holloway WR, Nicholson GC. Osteoblastsmediate thyroid hormone stimulation of osteoclastic bone resorption. Endocrinology. 1994;134:169-176.</w:t>
      </w:r>
    </w:p>
    <w:p w:rsidR="0037257D" w:rsidRPr="004C3245" w:rsidRDefault="0037257D" w:rsidP="00FD5384">
      <w:pPr>
        <w:numPr>
          <w:ilvl w:val="0"/>
          <w:numId w:val="14"/>
        </w:numPr>
        <w:spacing w:before="100" w:beforeAutospacing="1" w:line="240" w:lineRule="auto"/>
        <w:ind w:hanging="720"/>
        <w:jc w:val="left"/>
      </w:pPr>
      <w:r w:rsidRPr="004C3245">
        <w:rPr>
          <w:highlight w:val="white"/>
        </w:rPr>
        <w:t>Klaushofer K, Hoffmann O, Gleispach H, Leis HJ, Czerwenka E, Koller K, Peterlik M. Bone-resorbing activity of thyroid hormones is related to prostaglandin production in cultured neonatal mousecalvaria. J Bone Miner Res. 1989;4:305-312.</w:t>
      </w:r>
    </w:p>
    <w:p w:rsidR="0037257D" w:rsidRPr="004C3245" w:rsidRDefault="0037257D" w:rsidP="00FD5384">
      <w:pPr>
        <w:numPr>
          <w:ilvl w:val="0"/>
          <w:numId w:val="14"/>
        </w:numPr>
        <w:spacing w:before="100" w:beforeAutospacing="1" w:line="240" w:lineRule="auto"/>
        <w:ind w:hanging="720"/>
        <w:jc w:val="left"/>
        <w:rPr>
          <w:highlight w:val="white"/>
        </w:rPr>
      </w:pPr>
      <w:r w:rsidRPr="004C3245">
        <w:rPr>
          <w:highlight w:val="white"/>
        </w:rPr>
        <w:t xml:space="preserve">Schneider, D. L. (1994). Thyroid Hormone Use and Bone Mineral Density in Elderly Women. </w:t>
      </w:r>
      <w:r w:rsidRPr="004C3245">
        <w:rPr>
          <w:i/>
          <w:highlight w:val="white"/>
        </w:rPr>
        <w:t>Jama,271</w:t>
      </w:r>
      <w:r w:rsidRPr="004C3245">
        <w:rPr>
          <w:highlight w:val="white"/>
        </w:rPr>
        <w:t>(16), 1245. doi:10.1001/jama.1994.03510400031027</w:t>
      </w:r>
    </w:p>
    <w:p w:rsidR="0037257D" w:rsidRPr="004C3245" w:rsidRDefault="0037257D" w:rsidP="00FD5384">
      <w:pPr>
        <w:numPr>
          <w:ilvl w:val="0"/>
          <w:numId w:val="14"/>
        </w:numPr>
        <w:spacing w:before="100" w:beforeAutospacing="1" w:line="240" w:lineRule="auto"/>
        <w:ind w:hanging="720"/>
        <w:jc w:val="left"/>
        <w:rPr>
          <w:highlight w:val="white"/>
        </w:rPr>
      </w:pPr>
      <w:r w:rsidRPr="004C3245">
        <w:rPr>
          <w:highlight w:val="white"/>
        </w:rPr>
        <w:t xml:space="preserve">Binkley, N., Bone, H., Gilligan, J. P., &amp; Krause, D. S. (2014). Efficacy and safety of oral recombinant calcitonin tablets in postmenopausal women with low bone mass and increased fracture risk: A randomized, placebo-controlled trial. </w:t>
      </w:r>
      <w:r w:rsidRPr="004C3245">
        <w:rPr>
          <w:i/>
          <w:highlight w:val="white"/>
        </w:rPr>
        <w:t>Osteoporosis International,25</w:t>
      </w:r>
      <w:r w:rsidRPr="004C3245">
        <w:rPr>
          <w:highlight w:val="white"/>
        </w:rPr>
        <w:t>(11), 2649-2656. doi:10.1007/s00198-014-2796-0</w:t>
      </w:r>
    </w:p>
    <w:p w:rsidR="0037257D" w:rsidRPr="004C3245" w:rsidRDefault="0037257D" w:rsidP="00FD5384">
      <w:pPr>
        <w:numPr>
          <w:ilvl w:val="0"/>
          <w:numId w:val="14"/>
        </w:numPr>
        <w:spacing w:before="100" w:beforeAutospacing="1" w:line="240" w:lineRule="auto"/>
        <w:ind w:hanging="720"/>
        <w:jc w:val="left"/>
        <w:rPr>
          <w:highlight w:val="white"/>
        </w:rPr>
      </w:pPr>
      <w:r w:rsidRPr="004C3245">
        <w:rPr>
          <w:highlight w:val="white"/>
        </w:rPr>
        <w:t xml:space="preserve">Karimifar, M., Esmaili, F., Salari, A., Kachuei, A., Faragzadegan, Z., &amp; Karimifar, M. (2014). Effects of Levothyroxine and thyroid stimulating hormone on bone loss in patients with primary hypothyroidism. </w:t>
      </w:r>
      <w:r w:rsidRPr="004C3245">
        <w:rPr>
          <w:i/>
          <w:highlight w:val="white"/>
        </w:rPr>
        <w:t>Journal of research in pharmacy practice</w:t>
      </w:r>
      <w:r w:rsidRPr="004C3245">
        <w:rPr>
          <w:highlight w:val="white"/>
        </w:rPr>
        <w:t xml:space="preserve">, </w:t>
      </w:r>
      <w:r w:rsidRPr="004C3245">
        <w:rPr>
          <w:i/>
          <w:highlight w:val="white"/>
        </w:rPr>
        <w:t>3</w:t>
      </w:r>
      <w:r w:rsidRPr="004C3245">
        <w:rPr>
          <w:highlight w:val="white"/>
        </w:rPr>
        <w:t>(3), 83-7.</w:t>
      </w:r>
    </w:p>
    <w:p w:rsidR="0037257D" w:rsidRPr="004C3245" w:rsidRDefault="000E1978" w:rsidP="00FD5384">
      <w:pPr>
        <w:numPr>
          <w:ilvl w:val="0"/>
          <w:numId w:val="14"/>
        </w:numPr>
        <w:spacing w:before="100" w:beforeAutospacing="1" w:line="240" w:lineRule="auto"/>
        <w:ind w:hanging="720"/>
        <w:jc w:val="left"/>
      </w:pPr>
      <w:r w:rsidRPr="004C3245">
        <w:t>Duncan</w:t>
      </w:r>
      <w:r w:rsidR="00717B27">
        <w:t xml:space="preserve">, W.E, </w:t>
      </w:r>
      <w:r w:rsidRPr="004C3245">
        <w:t>Chang</w:t>
      </w:r>
      <w:r w:rsidR="00717B27">
        <w:t xml:space="preserve"> A., </w:t>
      </w:r>
      <w:r w:rsidRPr="004C3245">
        <w:t>Solomon</w:t>
      </w:r>
      <w:r w:rsidR="00717B27">
        <w:t xml:space="preserve"> B., and </w:t>
      </w:r>
      <w:r w:rsidRPr="004C3245">
        <w:t>Wartofsky</w:t>
      </w:r>
      <w:r w:rsidR="00717B27">
        <w:t xml:space="preserve"> L. </w:t>
      </w:r>
      <w:r w:rsidR="0037257D" w:rsidRPr="004C3245">
        <w:t>Thyroid.</w:t>
      </w:r>
      <w:r w:rsidR="00717B27">
        <w:t xml:space="preserve"> </w:t>
      </w:r>
      <w:r w:rsidR="0037257D" w:rsidRPr="004C3245">
        <w:t>Jan (1994).ahead of print</w:t>
      </w:r>
      <w:hyperlink r:id="rId21">
        <w:r w:rsidR="0037257D" w:rsidRPr="004C3245">
          <w:rPr>
            <w:rStyle w:val="Hyperlink"/>
          </w:rPr>
          <w:t>http://doi.org/10.1089/thy.1994.4.183</w:t>
        </w:r>
      </w:hyperlink>
      <w:r w:rsidR="0037257D" w:rsidRPr="004C3245">
        <w:rPr>
          <w:b/>
        </w:rPr>
        <w:t xml:space="preserve"> </w:t>
      </w:r>
      <w:r w:rsidR="0037257D" w:rsidRPr="004C3245">
        <w:t>Volume: 4 Issue 2</w:t>
      </w:r>
    </w:p>
    <w:p w:rsidR="0037257D" w:rsidRPr="004C3245" w:rsidRDefault="0037257D" w:rsidP="00FD5384">
      <w:pPr>
        <w:numPr>
          <w:ilvl w:val="0"/>
          <w:numId w:val="14"/>
        </w:numPr>
        <w:spacing w:before="100" w:beforeAutospacing="1" w:line="240" w:lineRule="auto"/>
        <w:ind w:hanging="720"/>
        <w:jc w:val="left"/>
        <w:rPr>
          <w:highlight w:val="white"/>
        </w:rPr>
      </w:pPr>
      <w:r w:rsidRPr="004C3245">
        <w:rPr>
          <w:highlight w:val="white"/>
        </w:rPr>
        <w:t xml:space="preserve">Paul, T. L., Kerrigan, J., Bravemen, L. E., &amp; Baran, D. T. (1988). Long-term L-thyroxine therapy is associated with decreased hip bone density in premenopausal women. </w:t>
      </w:r>
      <w:r w:rsidRPr="004C3245">
        <w:rPr>
          <w:i/>
          <w:highlight w:val="white"/>
        </w:rPr>
        <w:t>JAMA: The Journal of the American Medical Association,259</w:t>
      </w:r>
      <w:r w:rsidRPr="004C3245">
        <w:rPr>
          <w:highlight w:val="white"/>
        </w:rPr>
        <w:t>(21), 3137-3141. doi:10.1001/jama.259.21.3137</w:t>
      </w:r>
    </w:p>
    <w:p w:rsidR="0037257D" w:rsidRPr="004C3245" w:rsidRDefault="0037257D" w:rsidP="00FD5384">
      <w:pPr>
        <w:numPr>
          <w:ilvl w:val="0"/>
          <w:numId w:val="14"/>
        </w:numPr>
        <w:spacing w:before="100" w:beforeAutospacing="1" w:line="240" w:lineRule="auto"/>
        <w:ind w:hanging="720"/>
        <w:jc w:val="left"/>
      </w:pPr>
      <w:r w:rsidRPr="004C3245">
        <w:t xml:space="preserve">Davis, Susan &amp; Mccloud, Philip &amp; J.G. Strauss, Boyd &amp; Burger, Henry. (1995). Testosterone enhances estradiol's effect on postmenopausal bone density and sexuality. Maturitas. 21. 227-36. 10.1016/0378-5122(94)00898-H. </w:t>
      </w:r>
    </w:p>
    <w:p w:rsidR="0037257D" w:rsidRPr="004C3245" w:rsidRDefault="0037257D" w:rsidP="00FD5384">
      <w:pPr>
        <w:numPr>
          <w:ilvl w:val="0"/>
          <w:numId w:val="14"/>
        </w:numPr>
        <w:spacing w:before="100" w:beforeAutospacing="1" w:line="240" w:lineRule="auto"/>
        <w:ind w:hanging="720"/>
        <w:jc w:val="left"/>
      </w:pPr>
      <w:r w:rsidRPr="004C3245">
        <w:t xml:space="preserve">Arpaci, Dilek &amp; Saglam, Fatma &amp; Cuhaci, Fatma &amp; Ozdemir, Didem &amp; Ersoy, Reyhan &amp; Cakir, Bekir. (2015). Serum testosterone does not affect bone mineral density in postmenopausal women. Archives of endocrinology and metabolism. 59. 292-6. 10.1590/2359-3997000000085. </w:t>
      </w:r>
    </w:p>
    <w:p w:rsidR="0037257D" w:rsidRPr="004C3245" w:rsidRDefault="0037257D" w:rsidP="00FD5384">
      <w:pPr>
        <w:numPr>
          <w:ilvl w:val="0"/>
          <w:numId w:val="14"/>
        </w:numPr>
        <w:spacing w:before="100" w:beforeAutospacing="1" w:line="240" w:lineRule="auto"/>
        <w:ind w:hanging="720"/>
        <w:jc w:val="left"/>
      </w:pPr>
      <w:r w:rsidRPr="004C3245">
        <w:t>Cauley JA, Robbins J, Chen Z, et al. Effects of Estrogen Plus Progestin on Risk of Fracture and Bone Mineral Density: The Women's Health Initiative Randomized Trial. JAMA. 2003;290(13):1729–1738. doi:10.1001/jama.290.13.1729</w:t>
      </w:r>
    </w:p>
    <w:p w:rsidR="0037257D" w:rsidRPr="004C3245" w:rsidRDefault="0037257D" w:rsidP="00FD5384">
      <w:pPr>
        <w:numPr>
          <w:ilvl w:val="0"/>
          <w:numId w:val="14"/>
        </w:numPr>
        <w:spacing w:before="100" w:beforeAutospacing="1" w:line="240" w:lineRule="auto"/>
        <w:ind w:hanging="720"/>
        <w:jc w:val="left"/>
      </w:pPr>
      <w:r w:rsidRPr="004C3245">
        <w:t>Felson, D. T., Zhang, Y., Hannan, M. T., Kiel, D. P., Wilson, P., &amp; Anderson, J. J. (1993). The Effect of Postmenopausal Estrogen Therapy on Bone Density in Elderly Women. New England Journal of Medicine,329(16), 1141-1146. doi:10.1056/nejm199310143291601</w:t>
      </w:r>
    </w:p>
    <w:p w:rsidR="0037257D" w:rsidRPr="004C3245" w:rsidRDefault="0037257D" w:rsidP="00FD5384">
      <w:pPr>
        <w:numPr>
          <w:ilvl w:val="0"/>
          <w:numId w:val="14"/>
        </w:numPr>
        <w:spacing w:before="100" w:beforeAutospacing="1" w:line="240" w:lineRule="auto"/>
        <w:ind w:hanging="720"/>
        <w:jc w:val="left"/>
      </w:pPr>
      <w:r w:rsidRPr="004C3245">
        <w:lastRenderedPageBreak/>
        <w:t xml:space="preserve">Menopause &amp; Osteoporosis. (2015, July 29). Retrieved from </w:t>
      </w:r>
      <w:hyperlink r:id="rId22">
        <w:r w:rsidRPr="004C3245">
          <w:rPr>
            <w:u w:val="single"/>
          </w:rPr>
          <w:t>https://my.clevelandclinic.org/health/articles/10091-menopause--osteoporosis</w:t>
        </w:r>
      </w:hyperlink>
    </w:p>
    <w:p w:rsidR="0037257D" w:rsidRPr="004C3245" w:rsidRDefault="0037257D" w:rsidP="00FD5384">
      <w:pPr>
        <w:numPr>
          <w:ilvl w:val="0"/>
          <w:numId w:val="14"/>
        </w:numPr>
        <w:spacing w:before="100" w:beforeAutospacing="1" w:line="240" w:lineRule="auto"/>
        <w:ind w:hanging="720"/>
        <w:jc w:val="left"/>
      </w:pPr>
      <w:r w:rsidRPr="004C3245">
        <w:t xml:space="preserve">Neer RM, Investigators S. Bone loss across the menopausal transition. </w:t>
      </w:r>
      <w:r w:rsidRPr="004C3245">
        <w:rPr>
          <w:i/>
          <w:iCs/>
        </w:rPr>
        <w:t xml:space="preserve">Annals of the New York Academy of Sciences. </w:t>
      </w:r>
      <w:r w:rsidRPr="004C3245">
        <w:t>Mar 2010;1192:66-71.</w:t>
      </w:r>
    </w:p>
    <w:p w:rsidR="0037257D" w:rsidRPr="004C3245" w:rsidRDefault="0037257D" w:rsidP="00FD5384">
      <w:pPr>
        <w:pStyle w:val="ListParagraph"/>
        <w:numPr>
          <w:ilvl w:val="0"/>
          <w:numId w:val="14"/>
        </w:numPr>
        <w:spacing w:before="100" w:beforeAutospacing="1" w:line="240" w:lineRule="auto"/>
        <w:ind w:hanging="720"/>
        <w:contextualSpacing/>
        <w:jc w:val="left"/>
        <w:rPr>
          <w:shd w:val="clear" w:color="auto" w:fill="FFFFFF"/>
        </w:rPr>
      </w:pPr>
      <w:r w:rsidRPr="004C3245">
        <w:rPr>
          <w:shd w:val="clear" w:color="auto" w:fill="FFFFFF"/>
        </w:rPr>
        <w:t>Dutta M, Pakhetra R, Garg M. Evaluation of bone mineral density in type 2 diabetes mellitus patients before and after treatment. </w:t>
      </w:r>
      <w:r w:rsidRPr="004C3245">
        <w:rPr>
          <w:rStyle w:val="ref-journal"/>
          <w:shd w:val="clear" w:color="auto" w:fill="FFFFFF"/>
        </w:rPr>
        <w:t>Med J Armed Forces India. </w:t>
      </w:r>
      <w:r w:rsidRPr="004C3245">
        <w:rPr>
          <w:shd w:val="clear" w:color="auto" w:fill="FFFFFF"/>
        </w:rPr>
        <w:t>2012;</w:t>
      </w:r>
      <w:r w:rsidRPr="004C3245">
        <w:rPr>
          <w:rStyle w:val="ref-vol"/>
          <w:shd w:val="clear" w:color="auto" w:fill="FFFFFF"/>
        </w:rPr>
        <w:t>68</w:t>
      </w:r>
      <w:r w:rsidRPr="004C3245">
        <w:rPr>
          <w:shd w:val="clear" w:color="auto" w:fill="FFFFFF"/>
        </w:rPr>
        <w:t>(1):48–52. doi: 10.1016/S0377-1237(11)60120-2.</w:t>
      </w:r>
    </w:p>
    <w:p w:rsidR="0037257D" w:rsidRPr="004C3245" w:rsidRDefault="0037257D" w:rsidP="00FD5384">
      <w:pPr>
        <w:pStyle w:val="ListParagraph"/>
        <w:numPr>
          <w:ilvl w:val="0"/>
          <w:numId w:val="14"/>
        </w:numPr>
        <w:spacing w:before="100" w:beforeAutospacing="1" w:line="240" w:lineRule="auto"/>
        <w:ind w:hanging="720"/>
        <w:contextualSpacing/>
        <w:jc w:val="left"/>
        <w:rPr>
          <w:shd w:val="clear" w:color="auto" w:fill="FFFFFF"/>
        </w:rPr>
      </w:pPr>
      <w:r w:rsidRPr="004C3245">
        <w:rPr>
          <w:shd w:val="clear" w:color="auto" w:fill="FFFFFF"/>
        </w:rPr>
        <w:t>Ruppert, K et al. “The effect of insulin on bone mineral density among women with type 2 diabetes: a SWAN Pharmacoepidemiology study” </w:t>
      </w:r>
      <w:r w:rsidRPr="004C3245">
        <w:rPr>
          <w:i/>
          <w:iCs/>
          <w:shd w:val="clear" w:color="auto" w:fill="FFFFFF"/>
        </w:rPr>
        <w:t>Osteoporosis international : a journal established as result of cooperation between the European Foundation for Osteoporosis and the National Osteoporosis Foundation of the USA</w:t>
      </w:r>
      <w:r w:rsidRPr="004C3245">
        <w:rPr>
          <w:shd w:val="clear" w:color="auto" w:fill="FFFFFF"/>
        </w:rPr>
        <w:t> vol. 29,2 (2017): 347-354.</w:t>
      </w:r>
    </w:p>
    <w:p w:rsidR="0037257D" w:rsidRPr="004C3245" w:rsidRDefault="0037257D" w:rsidP="00FD5384">
      <w:pPr>
        <w:pStyle w:val="ListParagraph"/>
        <w:numPr>
          <w:ilvl w:val="0"/>
          <w:numId w:val="14"/>
        </w:numPr>
        <w:spacing w:before="100" w:beforeAutospacing="1" w:line="240" w:lineRule="auto"/>
        <w:ind w:hanging="720"/>
        <w:contextualSpacing/>
        <w:jc w:val="left"/>
      </w:pPr>
      <w:r w:rsidRPr="004C3245">
        <w:t>Simpson, W. H. (n.d.). Alcohol and Other Factors Affecting Osteoporosis Risk in Women. Retrieved from https://pubs.niaaa.nih.gov/publications/arh26-4/292-298.htm</w:t>
      </w:r>
    </w:p>
    <w:p w:rsidR="0037257D" w:rsidRPr="004C3245" w:rsidRDefault="0037257D" w:rsidP="00FD5384">
      <w:pPr>
        <w:pStyle w:val="ListParagraph"/>
        <w:numPr>
          <w:ilvl w:val="0"/>
          <w:numId w:val="14"/>
        </w:numPr>
        <w:spacing w:before="100" w:beforeAutospacing="1" w:line="240" w:lineRule="auto"/>
        <w:ind w:hanging="720"/>
        <w:contextualSpacing/>
        <w:jc w:val="left"/>
        <w:rPr>
          <w:shd w:val="clear" w:color="auto" w:fill="FFFFFF"/>
        </w:rPr>
      </w:pPr>
      <w:r w:rsidRPr="004C3245">
        <w:rPr>
          <w:shd w:val="clear" w:color="auto" w:fill="FFFFFF"/>
        </w:rPr>
        <w:t>Solomon, D. H., Ruppert, K., Zhao, Z., Lian, Y. J., Kuo, I., Greendale, G. A., &amp; Finkelstein, J. S. (2015). Bone mineral density changes among women initiating blood pressure lowering drugs: A SWAN cohort study. </w:t>
      </w:r>
      <w:r w:rsidRPr="004C3245">
        <w:rPr>
          <w:i/>
          <w:iCs/>
          <w:shd w:val="clear" w:color="auto" w:fill="FFFFFF"/>
        </w:rPr>
        <w:t>Osteoporosis International,27</w:t>
      </w:r>
      <w:r w:rsidRPr="004C3245">
        <w:rPr>
          <w:shd w:val="clear" w:color="auto" w:fill="FFFFFF"/>
        </w:rPr>
        <w:t>(3), 1181-1189. doi:10.1007/s00198-015-3332-6</w:t>
      </w:r>
    </w:p>
    <w:p w:rsidR="0037257D" w:rsidRPr="004C3245" w:rsidRDefault="0037257D" w:rsidP="00FD5384">
      <w:pPr>
        <w:pStyle w:val="ListParagraph"/>
        <w:numPr>
          <w:ilvl w:val="0"/>
          <w:numId w:val="14"/>
        </w:numPr>
        <w:spacing w:before="100" w:beforeAutospacing="1" w:line="240" w:lineRule="auto"/>
        <w:ind w:hanging="720"/>
        <w:contextualSpacing/>
        <w:jc w:val="left"/>
        <w:rPr>
          <w:shd w:val="clear" w:color="auto" w:fill="FFFFFF"/>
        </w:rPr>
      </w:pPr>
      <w:r w:rsidRPr="004C3245">
        <w:t>Yano H, Ohya K, Amagasa T (1994) Effects of insulin on invitro bone formation in fetal rat parietal bone. Endocr J41:293–300</w:t>
      </w:r>
    </w:p>
    <w:p w:rsidR="0037257D" w:rsidRPr="004C3245" w:rsidRDefault="0037257D" w:rsidP="00FD5384">
      <w:pPr>
        <w:pStyle w:val="ListParagraph"/>
        <w:numPr>
          <w:ilvl w:val="0"/>
          <w:numId w:val="14"/>
        </w:numPr>
        <w:autoSpaceDE w:val="0"/>
        <w:autoSpaceDN w:val="0"/>
        <w:adjustRightInd w:val="0"/>
        <w:spacing w:before="100" w:beforeAutospacing="1" w:line="240" w:lineRule="auto"/>
        <w:ind w:hanging="720"/>
        <w:contextualSpacing/>
        <w:jc w:val="left"/>
      </w:pPr>
      <w:r w:rsidRPr="004C3245">
        <w:t>Mohan S, Richman C, Guo R, Amaar Y, Donahue LR, Wergedal J, Baylink DJ (2003) Insulin-like growth factor regulates peak bone mineral density in mice by both growth hormone- dependent and -independent mechanisms.Endocrinology 144:929–936</w:t>
      </w:r>
    </w:p>
    <w:p w:rsidR="0037257D" w:rsidRPr="004C3245" w:rsidRDefault="0037257D" w:rsidP="00FD5384">
      <w:pPr>
        <w:pStyle w:val="ListParagraph"/>
        <w:numPr>
          <w:ilvl w:val="0"/>
          <w:numId w:val="14"/>
        </w:numPr>
        <w:spacing w:before="100" w:beforeAutospacing="1" w:line="240" w:lineRule="auto"/>
        <w:ind w:hanging="720"/>
        <w:contextualSpacing/>
        <w:jc w:val="left"/>
        <w:rPr>
          <w:shd w:val="clear" w:color="auto" w:fill="FFFFFF"/>
        </w:rPr>
      </w:pPr>
      <w:r w:rsidRPr="004C3245">
        <w:rPr>
          <w:shd w:val="clear" w:color="auto" w:fill="FFFFFF"/>
        </w:rPr>
        <w:t>Faries D, Leon A, Haro JM, Obenchain RL (2010) Analysis of Observational Health Care Data using SAS. SAS Institute</w:t>
      </w:r>
    </w:p>
    <w:p w:rsidR="0037257D" w:rsidRPr="004C3245" w:rsidRDefault="0037257D" w:rsidP="00FD5384">
      <w:pPr>
        <w:spacing w:before="100" w:beforeAutospacing="1" w:line="240" w:lineRule="auto"/>
        <w:ind w:left="720"/>
      </w:pPr>
    </w:p>
    <w:p w:rsidR="0037257D" w:rsidRPr="004C3245" w:rsidRDefault="0037257D" w:rsidP="00FD5384">
      <w:pPr>
        <w:spacing w:before="100" w:beforeAutospacing="1" w:line="240" w:lineRule="auto"/>
        <w:rPr>
          <w:rFonts w:eastAsiaTheme="minorHAnsi"/>
        </w:rPr>
      </w:pPr>
    </w:p>
    <w:p w:rsidR="0037257D" w:rsidRPr="004C3245" w:rsidRDefault="0037257D" w:rsidP="00FD5384">
      <w:pPr>
        <w:spacing w:before="100" w:beforeAutospacing="1" w:line="240" w:lineRule="auto"/>
      </w:pPr>
    </w:p>
    <w:p w:rsidR="0037257D" w:rsidRPr="004C3245" w:rsidRDefault="0037257D" w:rsidP="00FD5384">
      <w:pPr>
        <w:autoSpaceDE w:val="0"/>
        <w:autoSpaceDN w:val="0"/>
        <w:adjustRightInd w:val="0"/>
        <w:spacing w:before="100" w:beforeAutospacing="1" w:line="240" w:lineRule="auto"/>
      </w:pPr>
    </w:p>
    <w:p w:rsidR="0037257D" w:rsidRPr="0037257D" w:rsidRDefault="0037257D" w:rsidP="00FD5384">
      <w:pPr>
        <w:spacing w:before="100" w:beforeAutospacing="1" w:line="240" w:lineRule="auto"/>
      </w:pPr>
    </w:p>
    <w:sectPr w:rsidR="0037257D" w:rsidRPr="0037257D" w:rsidSect="004F605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956" w:rsidRDefault="00863956">
      <w:r>
        <w:separator/>
      </w:r>
    </w:p>
  </w:endnote>
  <w:endnote w:type="continuationSeparator" w:id="0">
    <w:p w:rsidR="00863956" w:rsidRDefault="0086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ngsuh">
    <w:altName w:val="Times New Roman"/>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56" w:rsidRDefault="00863956" w:rsidP="006B1124">
    <w:pPr>
      <w:tabs>
        <w:tab w:val="center" w:pos="4680"/>
      </w:tabs>
      <w:ind w:firstLine="0"/>
    </w:pPr>
    <w:r>
      <w:tab/>
    </w:r>
    <w:r>
      <w:fldChar w:fldCharType="begin"/>
    </w:r>
    <w:r>
      <w:instrText xml:space="preserve"> PAGE </w:instrText>
    </w:r>
    <w:r>
      <w:fldChar w:fldCharType="separate"/>
    </w:r>
    <w:r>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56" w:rsidRDefault="00863956" w:rsidP="00AF3154">
    <w:pPr>
      <w:pStyle w:val="Footer"/>
      <w:tabs>
        <w:tab w:val="clear" w:pos="4320"/>
        <w:tab w:val="center" w:pos="4680"/>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56" w:rsidRDefault="00863956" w:rsidP="006B1124">
    <w:pPr>
      <w:tabs>
        <w:tab w:val="center" w:pos="4680"/>
      </w:tabs>
      <w:ind w:firstLine="0"/>
    </w:pPr>
    <w:r>
      <w:tab/>
    </w:r>
    <w:r>
      <w:fldChar w:fldCharType="begin"/>
    </w:r>
    <w:r>
      <w:instrText xml:space="preserve"> PAGE </w:instrText>
    </w:r>
    <w:r>
      <w:fldChar w:fldCharType="separate"/>
    </w:r>
    <w:r w:rsidR="00A6734D">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956" w:rsidRDefault="00863956">
      <w:r>
        <w:separator/>
      </w:r>
    </w:p>
  </w:footnote>
  <w:footnote w:type="continuationSeparator" w:id="0">
    <w:p w:rsidR="00863956" w:rsidRDefault="00863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56" w:rsidRPr="00932701" w:rsidRDefault="00863956" w:rsidP="0093270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E800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7690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6F20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F215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8226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4A40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4C1E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D660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443A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E811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315625"/>
    <w:multiLevelType w:val="multilevel"/>
    <w:tmpl w:val="E8605FD6"/>
    <w:lvl w:ilvl="0">
      <w:start w:val="1"/>
      <w:numFmt w:val="decimal"/>
      <w:pStyle w:val="Heading1"/>
      <w:suff w:val="space"/>
      <w:lvlText w:val="%1.0"/>
      <w:lvlJc w:val="left"/>
      <w:pPr>
        <w:ind w:left="792" w:hanging="792"/>
      </w:pPr>
      <w:rPr>
        <w:rFonts w:hint="default"/>
        <w:b/>
        <w:i w:val="0"/>
        <w:sz w:val="24"/>
        <w:szCs w:val="24"/>
      </w:rPr>
    </w:lvl>
    <w:lvl w:ilvl="1">
      <w:start w:val="1"/>
      <w:numFmt w:val="decimal"/>
      <w:pStyle w:val="Heading2"/>
      <w:suff w:val="space"/>
      <w:lvlText w:val="%1.%2"/>
      <w:lvlJc w:val="left"/>
      <w:pPr>
        <w:ind w:left="1656" w:hanging="864"/>
      </w:pPr>
      <w:rPr>
        <w:rFonts w:hint="default"/>
        <w:b/>
        <w:i w:val="0"/>
        <w:sz w:val="24"/>
      </w:rPr>
    </w:lvl>
    <w:lvl w:ilvl="2">
      <w:start w:val="1"/>
      <w:numFmt w:val="decimal"/>
      <w:pStyle w:val="Heading3"/>
      <w:suff w:val="space"/>
      <w:lvlText w:val="%1.%2.%3 "/>
      <w:lvlJc w:val="left"/>
      <w:pPr>
        <w:ind w:left="3096" w:hanging="1440"/>
      </w:pPr>
      <w:rPr>
        <w:rFonts w:hint="default"/>
        <w:b/>
        <w:i w:val="0"/>
        <w:sz w:val="24"/>
        <w:szCs w:val="24"/>
      </w:rPr>
    </w:lvl>
    <w:lvl w:ilvl="3">
      <w:start w:val="1"/>
      <w:numFmt w:val="decimal"/>
      <w:pStyle w:val="Heading4"/>
      <w:suff w:val="space"/>
      <w:lvlText w:val="%1.%2.%3.%4"/>
      <w:lvlJc w:val="left"/>
      <w:pPr>
        <w:ind w:left="4824" w:hanging="1728"/>
      </w:pPr>
      <w:rPr>
        <w:rFonts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6B41FBA"/>
    <w:multiLevelType w:val="multilevel"/>
    <w:tmpl w:val="23C6E0A2"/>
    <w:styleLink w:val="Style1"/>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pPr>
        <w:ind w:left="0" w:firstLine="0"/>
      </w:pPr>
      <w:rPr>
        <w:rFonts w:hint="default"/>
        <w:b/>
        <w:i w:val="0"/>
        <w:caps w:val="0"/>
        <w:sz w:val="24"/>
        <w:szCs w:val="24"/>
      </w:rPr>
    </w:lvl>
    <w:lvl w:ilvl="5">
      <w:start w:val="1"/>
      <w:numFmt w:val="decimal"/>
      <w:suff w:val="space"/>
      <w:lvlText w:val="%5.%6"/>
      <w:lvlJc w:val="left"/>
      <w:pPr>
        <w:ind w:left="0" w:firstLine="0"/>
      </w:pPr>
      <w:rPr>
        <w:rFonts w:hint="default"/>
        <w:b/>
        <w:i w:val="0"/>
        <w:sz w:val="24"/>
        <w:szCs w:val="24"/>
      </w:rPr>
    </w:lvl>
    <w:lvl w:ilvl="6">
      <w:start w:val="1"/>
      <w:numFmt w:val="decimal"/>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2" w15:restartNumberingAfterBreak="0">
    <w:nsid w:val="48756846"/>
    <w:multiLevelType w:val="multilevel"/>
    <w:tmpl w:val="A59615B4"/>
    <w:lvl w:ilvl="0">
      <w:start w:val="1"/>
      <w:numFmt w:val="upperLetter"/>
      <w:pStyle w:val="AppSection"/>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pStyle w:val="Appendix"/>
      <w:suff w:val="space"/>
      <w:lvlText w:val="Appendix %5"/>
      <w:lvlJc w:val="left"/>
      <w:pPr>
        <w:ind w:left="0" w:firstLine="0"/>
      </w:pPr>
      <w:rPr>
        <w:rFonts w:hint="default"/>
        <w:b/>
        <w:i w:val="0"/>
        <w:caps w:val="0"/>
        <w:sz w:val="24"/>
        <w:szCs w:val="24"/>
      </w:rPr>
    </w:lvl>
    <w:lvl w:ilvl="5">
      <w:start w:val="1"/>
      <w:numFmt w:val="decimal"/>
      <w:pStyle w:val="AppSection"/>
      <w:suff w:val="space"/>
      <w:lvlText w:val="%5.%6"/>
      <w:lvlJc w:val="left"/>
      <w:pPr>
        <w:ind w:left="0" w:firstLine="0"/>
      </w:pPr>
      <w:rPr>
        <w:rFonts w:hint="default"/>
        <w:b/>
        <w:i w:val="0"/>
        <w:sz w:val="24"/>
        <w:szCs w:val="24"/>
      </w:rPr>
    </w:lvl>
    <w:lvl w:ilvl="6">
      <w:start w:val="1"/>
      <w:numFmt w:val="decimal"/>
      <w:pStyle w:val="AppSubsection"/>
      <w:suff w:val="space"/>
      <w:lvlText w:val="%5.%6.%7"/>
      <w:lvlJc w:val="left"/>
      <w:pPr>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3" w15:restartNumberingAfterBreak="0">
    <w:nsid w:val="7C57757D"/>
    <w:multiLevelType w:val="hybridMultilevel"/>
    <w:tmpl w:val="0B7E5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0"/>
  </w:num>
  <w:num w:numId="9">
    <w:abstractNumId w:val="1"/>
  </w:num>
  <w:num w:numId="10">
    <w:abstractNumId w:val="3"/>
  </w:num>
  <w:num w:numId="11">
    <w:abstractNumId w:val="2"/>
  </w:num>
  <w:num w:numId="12">
    <w:abstractNumId w:val="8"/>
  </w:num>
  <w:num w:numId="13">
    <w:abstractNumId w:val="11"/>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C2"/>
    <w:rsid w:val="000000E2"/>
    <w:rsid w:val="00001A56"/>
    <w:rsid w:val="00001C37"/>
    <w:rsid w:val="00007079"/>
    <w:rsid w:val="0001649C"/>
    <w:rsid w:val="00020691"/>
    <w:rsid w:val="0002247B"/>
    <w:rsid w:val="00023292"/>
    <w:rsid w:val="00026E3B"/>
    <w:rsid w:val="00035D1E"/>
    <w:rsid w:val="00037CEE"/>
    <w:rsid w:val="000635D4"/>
    <w:rsid w:val="00064169"/>
    <w:rsid w:val="00086364"/>
    <w:rsid w:val="000B716F"/>
    <w:rsid w:val="000C0539"/>
    <w:rsid w:val="000E1978"/>
    <w:rsid w:val="000F5DBB"/>
    <w:rsid w:val="0011612C"/>
    <w:rsid w:val="0011645E"/>
    <w:rsid w:val="0012127B"/>
    <w:rsid w:val="00130B6B"/>
    <w:rsid w:val="00131BB5"/>
    <w:rsid w:val="001324BC"/>
    <w:rsid w:val="00150EF7"/>
    <w:rsid w:val="0016572C"/>
    <w:rsid w:val="00174952"/>
    <w:rsid w:val="00186B52"/>
    <w:rsid w:val="001A5B53"/>
    <w:rsid w:val="001C1C2F"/>
    <w:rsid w:val="001C7CDC"/>
    <w:rsid w:val="001D3F1D"/>
    <w:rsid w:val="001F3C64"/>
    <w:rsid w:val="00200B2E"/>
    <w:rsid w:val="00202BEE"/>
    <w:rsid w:val="002060D7"/>
    <w:rsid w:val="00242997"/>
    <w:rsid w:val="002466E5"/>
    <w:rsid w:val="0025093C"/>
    <w:rsid w:val="00261153"/>
    <w:rsid w:val="00267158"/>
    <w:rsid w:val="002706BA"/>
    <w:rsid w:val="00271C20"/>
    <w:rsid w:val="00276E7E"/>
    <w:rsid w:val="00281E1B"/>
    <w:rsid w:val="00285C81"/>
    <w:rsid w:val="0028782F"/>
    <w:rsid w:val="00295A1C"/>
    <w:rsid w:val="002A2359"/>
    <w:rsid w:val="002B41A8"/>
    <w:rsid w:val="002C09FD"/>
    <w:rsid w:val="002D01B1"/>
    <w:rsid w:val="002D11E0"/>
    <w:rsid w:val="0030592B"/>
    <w:rsid w:val="00307A4C"/>
    <w:rsid w:val="00326C4F"/>
    <w:rsid w:val="00337CC7"/>
    <w:rsid w:val="00353979"/>
    <w:rsid w:val="00361C81"/>
    <w:rsid w:val="00367476"/>
    <w:rsid w:val="0037257D"/>
    <w:rsid w:val="0037383A"/>
    <w:rsid w:val="003A25F2"/>
    <w:rsid w:val="003A34DE"/>
    <w:rsid w:val="003B1894"/>
    <w:rsid w:val="003B7B2F"/>
    <w:rsid w:val="003C435E"/>
    <w:rsid w:val="003C791E"/>
    <w:rsid w:val="003D1372"/>
    <w:rsid w:val="003D1F85"/>
    <w:rsid w:val="003E31E1"/>
    <w:rsid w:val="003F1C72"/>
    <w:rsid w:val="004128EE"/>
    <w:rsid w:val="0042151D"/>
    <w:rsid w:val="004250A3"/>
    <w:rsid w:val="004367F6"/>
    <w:rsid w:val="00450673"/>
    <w:rsid w:val="00451CB4"/>
    <w:rsid w:val="0045405E"/>
    <w:rsid w:val="00455D94"/>
    <w:rsid w:val="0046438E"/>
    <w:rsid w:val="00474137"/>
    <w:rsid w:val="00486073"/>
    <w:rsid w:val="00486137"/>
    <w:rsid w:val="00492F5A"/>
    <w:rsid w:val="0049590A"/>
    <w:rsid w:val="00495B23"/>
    <w:rsid w:val="004B7295"/>
    <w:rsid w:val="004B7B28"/>
    <w:rsid w:val="004D7AA4"/>
    <w:rsid w:val="004E32F7"/>
    <w:rsid w:val="004E3B59"/>
    <w:rsid w:val="004E5E20"/>
    <w:rsid w:val="004F0846"/>
    <w:rsid w:val="004F223B"/>
    <w:rsid w:val="004F5D61"/>
    <w:rsid w:val="004F605E"/>
    <w:rsid w:val="004F7CAF"/>
    <w:rsid w:val="00507649"/>
    <w:rsid w:val="00520E9E"/>
    <w:rsid w:val="00524533"/>
    <w:rsid w:val="0053570F"/>
    <w:rsid w:val="00536110"/>
    <w:rsid w:val="00537BA3"/>
    <w:rsid w:val="00557281"/>
    <w:rsid w:val="005641CB"/>
    <w:rsid w:val="0056532E"/>
    <w:rsid w:val="005C7A08"/>
    <w:rsid w:val="005D12FD"/>
    <w:rsid w:val="005E74F2"/>
    <w:rsid w:val="005E7DD1"/>
    <w:rsid w:val="005F79B6"/>
    <w:rsid w:val="006250C2"/>
    <w:rsid w:val="00633C36"/>
    <w:rsid w:val="00636C11"/>
    <w:rsid w:val="006378BB"/>
    <w:rsid w:val="006425BF"/>
    <w:rsid w:val="00656EE6"/>
    <w:rsid w:val="00662856"/>
    <w:rsid w:val="006713F1"/>
    <w:rsid w:val="00676758"/>
    <w:rsid w:val="0069134F"/>
    <w:rsid w:val="00694341"/>
    <w:rsid w:val="006A348D"/>
    <w:rsid w:val="006A5780"/>
    <w:rsid w:val="006B1124"/>
    <w:rsid w:val="006C03CC"/>
    <w:rsid w:val="006C3E92"/>
    <w:rsid w:val="006D4F5B"/>
    <w:rsid w:val="006F6B3A"/>
    <w:rsid w:val="006F73B0"/>
    <w:rsid w:val="00701306"/>
    <w:rsid w:val="00715DD4"/>
    <w:rsid w:val="00717B27"/>
    <w:rsid w:val="0075752F"/>
    <w:rsid w:val="0076768F"/>
    <w:rsid w:val="00775294"/>
    <w:rsid w:val="007A43BC"/>
    <w:rsid w:val="007B3646"/>
    <w:rsid w:val="007B3848"/>
    <w:rsid w:val="007B5DD8"/>
    <w:rsid w:val="007E07DF"/>
    <w:rsid w:val="007E2ADD"/>
    <w:rsid w:val="0081091F"/>
    <w:rsid w:val="00822639"/>
    <w:rsid w:val="00824678"/>
    <w:rsid w:val="00834193"/>
    <w:rsid w:val="00835A6E"/>
    <w:rsid w:val="008526FB"/>
    <w:rsid w:val="00863956"/>
    <w:rsid w:val="00863D37"/>
    <w:rsid w:val="008650E7"/>
    <w:rsid w:val="008720B5"/>
    <w:rsid w:val="00872F59"/>
    <w:rsid w:val="00877A79"/>
    <w:rsid w:val="00881F16"/>
    <w:rsid w:val="00896178"/>
    <w:rsid w:val="008A110F"/>
    <w:rsid w:val="008A4541"/>
    <w:rsid w:val="008E192E"/>
    <w:rsid w:val="008F10E7"/>
    <w:rsid w:val="008F60CE"/>
    <w:rsid w:val="008F6E71"/>
    <w:rsid w:val="00901CC9"/>
    <w:rsid w:val="00905846"/>
    <w:rsid w:val="0091054F"/>
    <w:rsid w:val="00932701"/>
    <w:rsid w:val="00933068"/>
    <w:rsid w:val="00936D40"/>
    <w:rsid w:val="009503B5"/>
    <w:rsid w:val="00972D3B"/>
    <w:rsid w:val="00977828"/>
    <w:rsid w:val="00987A37"/>
    <w:rsid w:val="0099539E"/>
    <w:rsid w:val="009B3B5D"/>
    <w:rsid w:val="009B5021"/>
    <w:rsid w:val="009C1A7A"/>
    <w:rsid w:val="009C283C"/>
    <w:rsid w:val="009D536F"/>
    <w:rsid w:val="00A12E35"/>
    <w:rsid w:val="00A1660F"/>
    <w:rsid w:val="00A208D2"/>
    <w:rsid w:val="00A21542"/>
    <w:rsid w:val="00A23857"/>
    <w:rsid w:val="00A311F4"/>
    <w:rsid w:val="00A3281F"/>
    <w:rsid w:val="00A35269"/>
    <w:rsid w:val="00A4149D"/>
    <w:rsid w:val="00A4495A"/>
    <w:rsid w:val="00A45F73"/>
    <w:rsid w:val="00A56D12"/>
    <w:rsid w:val="00A6734D"/>
    <w:rsid w:val="00A75099"/>
    <w:rsid w:val="00A96B60"/>
    <w:rsid w:val="00AA2C6A"/>
    <w:rsid w:val="00AA3E52"/>
    <w:rsid w:val="00AA773F"/>
    <w:rsid w:val="00AA7BED"/>
    <w:rsid w:val="00AB08F3"/>
    <w:rsid w:val="00AC4CF3"/>
    <w:rsid w:val="00AC5DE1"/>
    <w:rsid w:val="00AC7DB1"/>
    <w:rsid w:val="00AE23D5"/>
    <w:rsid w:val="00AF0220"/>
    <w:rsid w:val="00AF3154"/>
    <w:rsid w:val="00B00241"/>
    <w:rsid w:val="00B0718A"/>
    <w:rsid w:val="00B21DD8"/>
    <w:rsid w:val="00B27900"/>
    <w:rsid w:val="00B33801"/>
    <w:rsid w:val="00B40467"/>
    <w:rsid w:val="00B407EB"/>
    <w:rsid w:val="00B40E08"/>
    <w:rsid w:val="00B42340"/>
    <w:rsid w:val="00B424B6"/>
    <w:rsid w:val="00B56F3C"/>
    <w:rsid w:val="00B57E9B"/>
    <w:rsid w:val="00B614F2"/>
    <w:rsid w:val="00B74B27"/>
    <w:rsid w:val="00B75F05"/>
    <w:rsid w:val="00B917F0"/>
    <w:rsid w:val="00B95809"/>
    <w:rsid w:val="00B95CAC"/>
    <w:rsid w:val="00B972E3"/>
    <w:rsid w:val="00BB4FAE"/>
    <w:rsid w:val="00BB500A"/>
    <w:rsid w:val="00BC04A6"/>
    <w:rsid w:val="00BC0804"/>
    <w:rsid w:val="00BE1BD6"/>
    <w:rsid w:val="00BE5EFE"/>
    <w:rsid w:val="00BF71F0"/>
    <w:rsid w:val="00BF7D4D"/>
    <w:rsid w:val="00C328C1"/>
    <w:rsid w:val="00C35A51"/>
    <w:rsid w:val="00C422CB"/>
    <w:rsid w:val="00C43878"/>
    <w:rsid w:val="00C4735A"/>
    <w:rsid w:val="00C4772D"/>
    <w:rsid w:val="00C723E4"/>
    <w:rsid w:val="00C9228E"/>
    <w:rsid w:val="00C97221"/>
    <w:rsid w:val="00CA2BC8"/>
    <w:rsid w:val="00CB03F9"/>
    <w:rsid w:val="00CB7642"/>
    <w:rsid w:val="00CD029A"/>
    <w:rsid w:val="00CE2814"/>
    <w:rsid w:val="00CE2FA5"/>
    <w:rsid w:val="00D05429"/>
    <w:rsid w:val="00D057FC"/>
    <w:rsid w:val="00D06DD6"/>
    <w:rsid w:val="00D16076"/>
    <w:rsid w:val="00D17C05"/>
    <w:rsid w:val="00D21791"/>
    <w:rsid w:val="00D369C8"/>
    <w:rsid w:val="00D443F7"/>
    <w:rsid w:val="00D52D15"/>
    <w:rsid w:val="00D530BC"/>
    <w:rsid w:val="00D74CB6"/>
    <w:rsid w:val="00D81ED0"/>
    <w:rsid w:val="00D97469"/>
    <w:rsid w:val="00DA5BA8"/>
    <w:rsid w:val="00DA7F20"/>
    <w:rsid w:val="00DC75C0"/>
    <w:rsid w:val="00DF31DD"/>
    <w:rsid w:val="00DF4722"/>
    <w:rsid w:val="00E05E1D"/>
    <w:rsid w:val="00E26A2F"/>
    <w:rsid w:val="00E32D09"/>
    <w:rsid w:val="00E34012"/>
    <w:rsid w:val="00E35361"/>
    <w:rsid w:val="00E36565"/>
    <w:rsid w:val="00E40A3A"/>
    <w:rsid w:val="00E456F4"/>
    <w:rsid w:val="00E65256"/>
    <w:rsid w:val="00E92E24"/>
    <w:rsid w:val="00E96EF3"/>
    <w:rsid w:val="00EA2796"/>
    <w:rsid w:val="00EB74F2"/>
    <w:rsid w:val="00EE1957"/>
    <w:rsid w:val="00F0330D"/>
    <w:rsid w:val="00F102EE"/>
    <w:rsid w:val="00F24A51"/>
    <w:rsid w:val="00F3047B"/>
    <w:rsid w:val="00F34251"/>
    <w:rsid w:val="00F46A24"/>
    <w:rsid w:val="00F46DD1"/>
    <w:rsid w:val="00F4707E"/>
    <w:rsid w:val="00F47990"/>
    <w:rsid w:val="00F53DF6"/>
    <w:rsid w:val="00F56B64"/>
    <w:rsid w:val="00F91BDB"/>
    <w:rsid w:val="00F93A35"/>
    <w:rsid w:val="00FB402B"/>
    <w:rsid w:val="00FB6AA1"/>
    <w:rsid w:val="00FD5384"/>
    <w:rsid w:val="00FD7DE5"/>
    <w:rsid w:val="00FF3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14C529"/>
  <w14:defaultImageDpi w14:val="330"/>
  <w15:chartTrackingRefBased/>
  <w15:docId w15:val="{0CD64925-14C1-4E96-8CED-A808A7F6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92E"/>
    <w:pPr>
      <w:spacing w:line="480" w:lineRule="auto"/>
      <w:ind w:firstLine="720"/>
      <w:jc w:val="both"/>
    </w:pPr>
    <w:rPr>
      <w:sz w:val="24"/>
      <w:szCs w:val="24"/>
    </w:rPr>
  </w:style>
  <w:style w:type="paragraph" w:styleId="Heading1">
    <w:name w:val="heading 1"/>
    <w:basedOn w:val="Normal"/>
    <w:next w:val="Normal"/>
    <w:qFormat/>
    <w:rsid w:val="00295A1C"/>
    <w:pPr>
      <w:keepNext/>
      <w:pageBreakBefore/>
      <w:numPr>
        <w:numId w:val="2"/>
      </w:numPr>
      <w:spacing w:after="960"/>
      <w:jc w:val="center"/>
      <w:outlineLvl w:val="0"/>
    </w:pPr>
    <w:rPr>
      <w:rFonts w:cs="Arial"/>
      <w:b/>
      <w:bCs/>
    </w:rPr>
  </w:style>
  <w:style w:type="paragraph" w:styleId="Heading2">
    <w:name w:val="heading 2"/>
    <w:basedOn w:val="Heading1"/>
    <w:next w:val="Normal"/>
    <w:qFormat/>
    <w:rsid w:val="00295A1C"/>
    <w:pPr>
      <w:pageBreakBefore w:val="0"/>
      <w:numPr>
        <w:ilvl w:val="1"/>
      </w:numPr>
      <w:spacing w:before="960" w:after="480"/>
      <w:ind w:left="864"/>
      <w:contextualSpacing/>
      <w:outlineLvl w:val="1"/>
    </w:pPr>
    <w:rPr>
      <w:bCs w:val="0"/>
      <w:iCs/>
    </w:rPr>
  </w:style>
  <w:style w:type="paragraph" w:styleId="Heading3">
    <w:name w:val="heading 3"/>
    <w:basedOn w:val="Heading2"/>
    <w:next w:val="Normal"/>
    <w:qFormat/>
    <w:rsid w:val="00B27900"/>
    <w:pPr>
      <w:numPr>
        <w:ilvl w:val="2"/>
      </w:numPr>
      <w:spacing w:before="480"/>
      <w:ind w:left="1440"/>
      <w:jc w:val="left"/>
      <w:outlineLvl w:val="2"/>
    </w:pPr>
    <w:rPr>
      <w:bCs/>
    </w:rPr>
  </w:style>
  <w:style w:type="paragraph" w:styleId="Heading4">
    <w:name w:val="heading 4"/>
    <w:basedOn w:val="Heading3"/>
    <w:next w:val="Normal"/>
    <w:qFormat/>
    <w:rsid w:val="00B27900"/>
    <w:pPr>
      <w:numPr>
        <w:ilvl w:val="3"/>
      </w:numPr>
      <w:spacing w:after="0"/>
      <w:ind w:left="1728"/>
      <w:contextualSpacing w:val="0"/>
      <w:outlineLvl w:val="3"/>
    </w:pPr>
    <w:rPr>
      <w:bCs w:val="0"/>
    </w:rPr>
  </w:style>
  <w:style w:type="paragraph" w:styleId="Heading5">
    <w:name w:val="heading 5"/>
    <w:basedOn w:val="Normal"/>
    <w:next w:val="Normal"/>
    <w:qFormat/>
    <w:rsid w:val="00DA5BA8"/>
    <w:pPr>
      <w:spacing w:before="240" w:after="60"/>
      <w:outlineLvl w:val="4"/>
    </w:pPr>
    <w:rPr>
      <w:b/>
      <w:bCs/>
      <w:i/>
      <w:iCs/>
      <w:sz w:val="26"/>
      <w:szCs w:val="26"/>
    </w:rPr>
  </w:style>
  <w:style w:type="paragraph" w:styleId="Heading6">
    <w:name w:val="heading 6"/>
    <w:basedOn w:val="Normal"/>
    <w:next w:val="Normal"/>
    <w:link w:val="Heading6Char"/>
    <w:unhideWhenUsed/>
    <w:qFormat/>
    <w:rsid w:val="00D97469"/>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D97469"/>
    <w:pPr>
      <w:spacing w:before="240" w:after="60"/>
      <w:outlineLvl w:val="6"/>
    </w:pPr>
    <w:rPr>
      <w:rFonts w:ascii="Calibri" w:hAnsi="Calibri"/>
    </w:rPr>
  </w:style>
  <w:style w:type="paragraph" w:styleId="Heading8">
    <w:name w:val="heading 8"/>
    <w:basedOn w:val="Normal"/>
    <w:next w:val="Normal"/>
    <w:link w:val="Heading8Char"/>
    <w:semiHidden/>
    <w:unhideWhenUsed/>
    <w:qFormat/>
    <w:rsid w:val="00D97469"/>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D97469"/>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E5E20"/>
    <w:pPr>
      <w:tabs>
        <w:tab w:val="right" w:leader="dot" w:pos="9350"/>
      </w:tabs>
      <w:ind w:right="720" w:firstLine="0"/>
    </w:pPr>
    <w:rPr>
      <w:b/>
    </w:rPr>
  </w:style>
  <w:style w:type="paragraph" w:customStyle="1" w:styleId="AppSection">
    <w:name w:val="App Section"/>
    <w:basedOn w:val="Normal"/>
    <w:next w:val="Normal"/>
    <w:rsid w:val="009B5021"/>
    <w:pPr>
      <w:keepNext/>
      <w:numPr>
        <w:ilvl w:val="5"/>
        <w:numId w:val="1"/>
      </w:numPr>
      <w:spacing w:before="960" w:after="480"/>
      <w:jc w:val="center"/>
      <w:outlineLvl w:val="1"/>
    </w:pPr>
    <w:rPr>
      <w:b/>
    </w:rPr>
  </w:style>
  <w:style w:type="paragraph" w:customStyle="1" w:styleId="Appendix">
    <w:name w:val="Appendix"/>
    <w:basedOn w:val="Normal"/>
    <w:next w:val="Normal"/>
    <w:qFormat/>
    <w:rsid w:val="00001A56"/>
    <w:pPr>
      <w:keepNext/>
      <w:pageBreakBefore/>
      <w:numPr>
        <w:ilvl w:val="4"/>
        <w:numId w:val="1"/>
      </w:numPr>
      <w:spacing w:before="960" w:after="960"/>
      <w:jc w:val="center"/>
      <w:outlineLvl w:val="0"/>
    </w:pPr>
    <w:rPr>
      <w:b/>
    </w:rPr>
  </w:style>
  <w:style w:type="paragraph" w:customStyle="1" w:styleId="AppendixTitle">
    <w:name w:val="Appendix Title"/>
    <w:basedOn w:val="Heading1"/>
    <w:next w:val="Normal"/>
    <w:rsid w:val="008A110F"/>
    <w:pPr>
      <w:pageBreakBefore w:val="0"/>
      <w:numPr>
        <w:numId w:val="0"/>
      </w:numPr>
    </w:pPr>
  </w:style>
  <w:style w:type="paragraph" w:customStyle="1" w:styleId="BibliographyEntry">
    <w:name w:val="Bibliography Entry"/>
    <w:basedOn w:val="Normal"/>
    <w:rsid w:val="00DA5BA8"/>
    <w:pPr>
      <w:spacing w:after="240" w:line="240" w:lineRule="auto"/>
      <w:ind w:left="720" w:hanging="720"/>
    </w:pPr>
  </w:style>
  <w:style w:type="character" w:styleId="Hyperlink">
    <w:name w:val="Hyperlink"/>
    <w:uiPriority w:val="99"/>
    <w:rsid w:val="00367476"/>
    <w:rPr>
      <w:color w:val="0000FF"/>
      <w:u w:val="single"/>
    </w:rPr>
  </w:style>
  <w:style w:type="paragraph" w:customStyle="1" w:styleId="Heading">
    <w:name w:val="Heading"/>
    <w:basedOn w:val="Preliminary"/>
    <w:next w:val="Normal"/>
    <w:rsid w:val="00130B6B"/>
  </w:style>
  <w:style w:type="paragraph" w:styleId="Header">
    <w:name w:val="header"/>
    <w:basedOn w:val="Normal"/>
    <w:link w:val="HeaderChar"/>
    <w:uiPriority w:val="99"/>
    <w:rsid w:val="00367476"/>
    <w:pPr>
      <w:tabs>
        <w:tab w:val="center" w:pos="4320"/>
        <w:tab w:val="right" w:pos="8640"/>
      </w:tabs>
    </w:pPr>
  </w:style>
  <w:style w:type="paragraph" w:customStyle="1" w:styleId="AppSubsection">
    <w:name w:val="App Subsection"/>
    <w:basedOn w:val="AppSection"/>
    <w:next w:val="Normal"/>
    <w:rsid w:val="00261153"/>
    <w:pPr>
      <w:numPr>
        <w:ilvl w:val="6"/>
      </w:numPr>
      <w:spacing w:before="480"/>
      <w:jc w:val="left"/>
      <w:outlineLvl w:val="2"/>
    </w:pPr>
  </w:style>
  <w:style w:type="paragraph" w:styleId="TOC2">
    <w:name w:val="toc 2"/>
    <w:basedOn w:val="Normal"/>
    <w:next w:val="Normal"/>
    <w:autoRedefine/>
    <w:uiPriority w:val="39"/>
    <w:rsid w:val="00CA2BC8"/>
    <w:pPr>
      <w:tabs>
        <w:tab w:val="left" w:pos="1170"/>
        <w:tab w:val="right" w:leader="dot" w:pos="9350"/>
      </w:tabs>
      <w:ind w:left="504" w:firstLine="0"/>
    </w:pPr>
    <w:rPr>
      <w:b/>
    </w:rPr>
  </w:style>
  <w:style w:type="paragraph" w:styleId="TOC3">
    <w:name w:val="toc 3"/>
    <w:basedOn w:val="Normal"/>
    <w:next w:val="Normal"/>
    <w:autoRedefine/>
    <w:uiPriority w:val="39"/>
    <w:rsid w:val="00495B23"/>
    <w:pPr>
      <w:tabs>
        <w:tab w:val="left" w:pos="1920"/>
        <w:tab w:val="right" w:leader="dot" w:pos="9350"/>
      </w:tabs>
      <w:ind w:left="1008" w:firstLine="0"/>
    </w:pPr>
    <w:rPr>
      <w:b/>
    </w:rPr>
  </w:style>
  <w:style w:type="paragraph" w:styleId="Footer">
    <w:name w:val="footer"/>
    <w:basedOn w:val="Normal"/>
    <w:link w:val="FooterChar"/>
    <w:uiPriority w:val="99"/>
    <w:rsid w:val="00367476"/>
    <w:pPr>
      <w:tabs>
        <w:tab w:val="center" w:pos="4320"/>
        <w:tab w:val="right" w:pos="8640"/>
      </w:tabs>
    </w:pPr>
  </w:style>
  <w:style w:type="paragraph" w:styleId="Caption">
    <w:name w:val="caption"/>
    <w:basedOn w:val="NoIndent"/>
    <w:next w:val="Normal"/>
    <w:qFormat/>
    <w:rsid w:val="00715DD4"/>
    <w:pPr>
      <w:outlineLvl w:val="1"/>
    </w:pPr>
    <w:rPr>
      <w:b/>
      <w:bCs/>
      <w:sz w:val="20"/>
      <w:szCs w:val="20"/>
    </w:rPr>
  </w:style>
  <w:style w:type="paragraph" w:styleId="TOC4">
    <w:name w:val="toc 4"/>
    <w:basedOn w:val="Normal"/>
    <w:next w:val="Normal"/>
    <w:autoRedefine/>
    <w:uiPriority w:val="39"/>
    <w:rsid w:val="00DA5BA8"/>
    <w:pPr>
      <w:ind w:left="1512" w:firstLine="0"/>
    </w:pPr>
    <w:rPr>
      <w:b/>
    </w:rPr>
  </w:style>
  <w:style w:type="paragraph" w:customStyle="1" w:styleId="Preliminary">
    <w:name w:val="Preliminary"/>
    <w:basedOn w:val="Heading1"/>
    <w:next w:val="Normal"/>
    <w:rsid w:val="00D81ED0"/>
    <w:pPr>
      <w:numPr>
        <w:numId w:val="0"/>
      </w:numPr>
    </w:pPr>
  </w:style>
  <w:style w:type="table" w:styleId="TableGrid">
    <w:name w:val="Table Grid"/>
    <w:basedOn w:val="TableNormal"/>
    <w:uiPriority w:val="39"/>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A23857"/>
    <w:pPr>
      <w:ind w:firstLine="0"/>
    </w:pPr>
  </w:style>
  <w:style w:type="paragraph" w:styleId="BalloonText">
    <w:name w:val="Balloon Text"/>
    <w:basedOn w:val="Normal"/>
    <w:link w:val="BalloonTextChar"/>
    <w:uiPriority w:val="99"/>
    <w:rsid w:val="00D97469"/>
    <w:pPr>
      <w:spacing w:line="240" w:lineRule="auto"/>
    </w:pPr>
    <w:rPr>
      <w:rFonts w:ascii="Segoe UI" w:hAnsi="Segoe UI" w:cs="Segoe UI"/>
      <w:sz w:val="18"/>
      <w:szCs w:val="18"/>
    </w:rPr>
  </w:style>
  <w:style w:type="character" w:customStyle="1" w:styleId="BalloonTextChar">
    <w:name w:val="Balloon Text Char"/>
    <w:link w:val="BalloonText"/>
    <w:uiPriority w:val="99"/>
    <w:rsid w:val="00D97469"/>
    <w:rPr>
      <w:rFonts w:ascii="Segoe UI" w:hAnsi="Segoe UI" w:cs="Segoe UI"/>
      <w:sz w:val="18"/>
      <w:szCs w:val="18"/>
    </w:rPr>
  </w:style>
  <w:style w:type="paragraph" w:styleId="Bibliography">
    <w:name w:val="Bibliography"/>
    <w:basedOn w:val="Normal"/>
    <w:next w:val="Normal"/>
    <w:uiPriority w:val="37"/>
    <w:semiHidden/>
    <w:unhideWhenUsed/>
    <w:rsid w:val="00D97469"/>
  </w:style>
  <w:style w:type="paragraph" w:styleId="BlockText">
    <w:name w:val="Block Text"/>
    <w:basedOn w:val="Normal"/>
    <w:rsid w:val="00D97469"/>
    <w:pPr>
      <w:spacing w:after="120"/>
      <w:ind w:left="1440" w:right="1440"/>
    </w:pPr>
  </w:style>
  <w:style w:type="paragraph" w:styleId="BodyText">
    <w:name w:val="Body Text"/>
    <w:basedOn w:val="Normal"/>
    <w:link w:val="BodyTextChar"/>
    <w:rsid w:val="00D97469"/>
    <w:pPr>
      <w:spacing w:after="120"/>
    </w:pPr>
  </w:style>
  <w:style w:type="character" w:customStyle="1" w:styleId="BodyTextChar">
    <w:name w:val="Body Text Char"/>
    <w:link w:val="BodyText"/>
    <w:rsid w:val="00D97469"/>
    <w:rPr>
      <w:sz w:val="24"/>
      <w:szCs w:val="24"/>
    </w:rPr>
  </w:style>
  <w:style w:type="paragraph" w:styleId="BodyText2">
    <w:name w:val="Body Text 2"/>
    <w:basedOn w:val="Normal"/>
    <w:link w:val="BodyText2Char"/>
    <w:rsid w:val="00D97469"/>
    <w:pPr>
      <w:spacing w:after="120"/>
    </w:pPr>
  </w:style>
  <w:style w:type="character" w:customStyle="1" w:styleId="BodyText2Char">
    <w:name w:val="Body Text 2 Char"/>
    <w:link w:val="BodyText2"/>
    <w:rsid w:val="00D97469"/>
    <w:rPr>
      <w:sz w:val="24"/>
      <w:szCs w:val="24"/>
    </w:rPr>
  </w:style>
  <w:style w:type="paragraph" w:styleId="BodyText3">
    <w:name w:val="Body Text 3"/>
    <w:basedOn w:val="Normal"/>
    <w:link w:val="BodyText3Char"/>
    <w:rsid w:val="00D97469"/>
    <w:pPr>
      <w:spacing w:after="120"/>
    </w:pPr>
    <w:rPr>
      <w:sz w:val="16"/>
      <w:szCs w:val="16"/>
    </w:rPr>
  </w:style>
  <w:style w:type="character" w:customStyle="1" w:styleId="BodyText3Char">
    <w:name w:val="Body Text 3 Char"/>
    <w:link w:val="BodyText3"/>
    <w:rsid w:val="00D97469"/>
    <w:rPr>
      <w:sz w:val="16"/>
      <w:szCs w:val="16"/>
    </w:rPr>
  </w:style>
  <w:style w:type="paragraph" w:styleId="BodyTextFirstIndent">
    <w:name w:val="Body Text First Indent"/>
    <w:basedOn w:val="BodyText"/>
    <w:link w:val="BodyTextFirstIndentChar"/>
    <w:rsid w:val="00D97469"/>
    <w:pPr>
      <w:ind w:firstLine="210"/>
    </w:pPr>
  </w:style>
  <w:style w:type="character" w:customStyle="1" w:styleId="BodyTextFirstIndentChar">
    <w:name w:val="Body Text First Indent Char"/>
    <w:basedOn w:val="BodyTextChar"/>
    <w:link w:val="BodyTextFirstIndent"/>
    <w:rsid w:val="00D97469"/>
    <w:rPr>
      <w:sz w:val="24"/>
      <w:szCs w:val="24"/>
    </w:rPr>
  </w:style>
  <w:style w:type="paragraph" w:styleId="BodyTextIndent">
    <w:name w:val="Body Text Indent"/>
    <w:basedOn w:val="Normal"/>
    <w:link w:val="BodyTextIndentChar"/>
    <w:rsid w:val="00D97469"/>
    <w:pPr>
      <w:spacing w:after="120"/>
      <w:ind w:left="360"/>
    </w:pPr>
  </w:style>
  <w:style w:type="character" w:customStyle="1" w:styleId="BodyTextIndentChar">
    <w:name w:val="Body Text Indent Char"/>
    <w:link w:val="BodyTextIndent"/>
    <w:rsid w:val="00D97469"/>
    <w:rPr>
      <w:sz w:val="24"/>
      <w:szCs w:val="24"/>
    </w:rPr>
  </w:style>
  <w:style w:type="paragraph" w:styleId="BodyTextFirstIndent2">
    <w:name w:val="Body Text First Indent 2"/>
    <w:basedOn w:val="BodyTextIndent"/>
    <w:link w:val="BodyTextFirstIndent2Char"/>
    <w:rsid w:val="00D97469"/>
    <w:pPr>
      <w:ind w:firstLine="210"/>
    </w:pPr>
  </w:style>
  <w:style w:type="character" w:customStyle="1" w:styleId="BodyTextFirstIndent2Char">
    <w:name w:val="Body Text First Indent 2 Char"/>
    <w:basedOn w:val="BodyTextIndentChar"/>
    <w:link w:val="BodyTextFirstIndent2"/>
    <w:rsid w:val="00D97469"/>
    <w:rPr>
      <w:sz w:val="24"/>
      <w:szCs w:val="24"/>
    </w:rPr>
  </w:style>
  <w:style w:type="paragraph" w:styleId="BodyTextIndent2">
    <w:name w:val="Body Text Indent 2"/>
    <w:basedOn w:val="Normal"/>
    <w:link w:val="BodyTextIndent2Char"/>
    <w:rsid w:val="00D97469"/>
    <w:pPr>
      <w:spacing w:after="120"/>
      <w:ind w:left="360"/>
    </w:pPr>
  </w:style>
  <w:style w:type="character" w:customStyle="1" w:styleId="BodyTextIndent2Char">
    <w:name w:val="Body Text Indent 2 Char"/>
    <w:link w:val="BodyTextIndent2"/>
    <w:rsid w:val="00D97469"/>
    <w:rPr>
      <w:sz w:val="24"/>
      <w:szCs w:val="24"/>
    </w:rPr>
  </w:style>
  <w:style w:type="paragraph" w:styleId="BodyTextIndent3">
    <w:name w:val="Body Text Indent 3"/>
    <w:basedOn w:val="Normal"/>
    <w:link w:val="BodyTextIndent3Char"/>
    <w:rsid w:val="00D97469"/>
    <w:pPr>
      <w:spacing w:after="120"/>
      <w:ind w:left="360"/>
    </w:pPr>
    <w:rPr>
      <w:sz w:val="16"/>
      <w:szCs w:val="16"/>
    </w:rPr>
  </w:style>
  <w:style w:type="character" w:customStyle="1" w:styleId="BodyTextIndent3Char">
    <w:name w:val="Body Text Indent 3 Char"/>
    <w:link w:val="BodyTextIndent3"/>
    <w:rsid w:val="00D97469"/>
    <w:rPr>
      <w:sz w:val="16"/>
      <w:szCs w:val="16"/>
    </w:rPr>
  </w:style>
  <w:style w:type="paragraph" w:styleId="Closing">
    <w:name w:val="Closing"/>
    <w:basedOn w:val="Normal"/>
    <w:link w:val="ClosingChar"/>
    <w:rsid w:val="00D97469"/>
    <w:pPr>
      <w:ind w:left="4320"/>
    </w:pPr>
  </w:style>
  <w:style w:type="character" w:customStyle="1" w:styleId="ClosingChar">
    <w:name w:val="Closing Char"/>
    <w:link w:val="Closing"/>
    <w:rsid w:val="00D97469"/>
    <w:rPr>
      <w:sz w:val="24"/>
      <w:szCs w:val="24"/>
    </w:rPr>
  </w:style>
  <w:style w:type="paragraph" w:styleId="CommentText">
    <w:name w:val="annotation text"/>
    <w:basedOn w:val="Normal"/>
    <w:link w:val="CommentTextChar"/>
    <w:uiPriority w:val="99"/>
    <w:rsid w:val="00D97469"/>
    <w:rPr>
      <w:sz w:val="20"/>
      <w:szCs w:val="20"/>
    </w:rPr>
  </w:style>
  <w:style w:type="character" w:customStyle="1" w:styleId="CommentTextChar">
    <w:name w:val="Comment Text Char"/>
    <w:basedOn w:val="DefaultParagraphFont"/>
    <w:link w:val="CommentText"/>
    <w:uiPriority w:val="99"/>
    <w:rsid w:val="00D97469"/>
  </w:style>
  <w:style w:type="paragraph" w:styleId="CommentSubject">
    <w:name w:val="annotation subject"/>
    <w:basedOn w:val="CommentText"/>
    <w:next w:val="CommentText"/>
    <w:link w:val="CommentSubjectChar"/>
    <w:uiPriority w:val="99"/>
    <w:rsid w:val="00D97469"/>
    <w:rPr>
      <w:b/>
      <w:bCs/>
    </w:rPr>
  </w:style>
  <w:style w:type="character" w:customStyle="1" w:styleId="CommentSubjectChar">
    <w:name w:val="Comment Subject Char"/>
    <w:link w:val="CommentSubject"/>
    <w:uiPriority w:val="99"/>
    <w:rsid w:val="00D97469"/>
    <w:rPr>
      <w:b/>
      <w:bCs/>
    </w:rPr>
  </w:style>
  <w:style w:type="paragraph" w:styleId="Date">
    <w:name w:val="Date"/>
    <w:basedOn w:val="Normal"/>
    <w:next w:val="Normal"/>
    <w:link w:val="DateChar"/>
    <w:rsid w:val="00D97469"/>
  </w:style>
  <w:style w:type="character" w:customStyle="1" w:styleId="DateChar">
    <w:name w:val="Date Char"/>
    <w:link w:val="Date"/>
    <w:rsid w:val="00D97469"/>
    <w:rPr>
      <w:sz w:val="24"/>
      <w:szCs w:val="24"/>
    </w:rPr>
  </w:style>
  <w:style w:type="paragraph" w:styleId="DocumentMap">
    <w:name w:val="Document Map"/>
    <w:basedOn w:val="Normal"/>
    <w:link w:val="DocumentMapChar"/>
    <w:rsid w:val="00D97469"/>
    <w:rPr>
      <w:rFonts w:ascii="Segoe UI" w:hAnsi="Segoe UI" w:cs="Segoe UI"/>
      <w:sz w:val="16"/>
      <w:szCs w:val="16"/>
    </w:rPr>
  </w:style>
  <w:style w:type="character" w:customStyle="1" w:styleId="DocumentMapChar">
    <w:name w:val="Document Map Char"/>
    <w:link w:val="DocumentMap"/>
    <w:rsid w:val="00D97469"/>
    <w:rPr>
      <w:rFonts w:ascii="Segoe UI" w:hAnsi="Segoe UI" w:cs="Segoe UI"/>
      <w:sz w:val="16"/>
      <w:szCs w:val="16"/>
    </w:rPr>
  </w:style>
  <w:style w:type="paragraph" w:styleId="E-mailSignature">
    <w:name w:val="E-mail Signature"/>
    <w:basedOn w:val="Normal"/>
    <w:link w:val="E-mailSignatureChar"/>
    <w:rsid w:val="00D97469"/>
  </w:style>
  <w:style w:type="character" w:customStyle="1" w:styleId="E-mailSignatureChar">
    <w:name w:val="E-mail Signature Char"/>
    <w:link w:val="E-mailSignature"/>
    <w:rsid w:val="00D97469"/>
    <w:rPr>
      <w:sz w:val="24"/>
      <w:szCs w:val="24"/>
    </w:rPr>
  </w:style>
  <w:style w:type="paragraph" w:styleId="EndnoteText">
    <w:name w:val="endnote text"/>
    <w:basedOn w:val="Normal"/>
    <w:link w:val="EndnoteTextChar"/>
    <w:rsid w:val="00D97469"/>
    <w:rPr>
      <w:sz w:val="20"/>
      <w:szCs w:val="20"/>
    </w:rPr>
  </w:style>
  <w:style w:type="character" w:customStyle="1" w:styleId="EndnoteTextChar">
    <w:name w:val="Endnote Text Char"/>
    <w:basedOn w:val="DefaultParagraphFont"/>
    <w:link w:val="EndnoteText"/>
    <w:rsid w:val="00D97469"/>
  </w:style>
  <w:style w:type="paragraph" w:styleId="EnvelopeAddress">
    <w:name w:val="envelope address"/>
    <w:basedOn w:val="Normal"/>
    <w:rsid w:val="00D97469"/>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rsid w:val="00D97469"/>
    <w:rPr>
      <w:rFonts w:ascii="Calibri Light" w:hAnsi="Calibri Light"/>
      <w:sz w:val="20"/>
      <w:szCs w:val="20"/>
    </w:rPr>
  </w:style>
  <w:style w:type="paragraph" w:styleId="FootnoteText">
    <w:name w:val="footnote text"/>
    <w:basedOn w:val="Normal"/>
    <w:link w:val="FootnoteTextChar"/>
    <w:rsid w:val="00D97469"/>
    <w:rPr>
      <w:sz w:val="20"/>
      <w:szCs w:val="20"/>
    </w:rPr>
  </w:style>
  <w:style w:type="character" w:customStyle="1" w:styleId="FootnoteTextChar">
    <w:name w:val="Footnote Text Char"/>
    <w:basedOn w:val="DefaultParagraphFont"/>
    <w:link w:val="FootnoteText"/>
    <w:rsid w:val="00D97469"/>
  </w:style>
  <w:style w:type="character" w:customStyle="1" w:styleId="Heading6Char">
    <w:name w:val="Heading 6 Char"/>
    <w:link w:val="Heading6"/>
    <w:semiHidden/>
    <w:rsid w:val="00D97469"/>
    <w:rPr>
      <w:rFonts w:ascii="Calibri" w:eastAsia="Times New Roman" w:hAnsi="Calibri" w:cs="Times New Roman"/>
      <w:b/>
      <w:bCs/>
      <w:sz w:val="22"/>
      <w:szCs w:val="22"/>
    </w:rPr>
  </w:style>
  <w:style w:type="character" w:customStyle="1" w:styleId="Heading7Char">
    <w:name w:val="Heading 7 Char"/>
    <w:link w:val="Heading7"/>
    <w:semiHidden/>
    <w:rsid w:val="00D97469"/>
    <w:rPr>
      <w:rFonts w:ascii="Calibri" w:eastAsia="Times New Roman" w:hAnsi="Calibri" w:cs="Times New Roman"/>
      <w:sz w:val="24"/>
      <w:szCs w:val="24"/>
    </w:rPr>
  </w:style>
  <w:style w:type="character" w:customStyle="1" w:styleId="Heading8Char">
    <w:name w:val="Heading 8 Char"/>
    <w:link w:val="Heading8"/>
    <w:semiHidden/>
    <w:rsid w:val="00D97469"/>
    <w:rPr>
      <w:rFonts w:ascii="Calibri" w:eastAsia="Times New Roman" w:hAnsi="Calibri" w:cs="Times New Roman"/>
      <w:i/>
      <w:iCs/>
      <w:sz w:val="24"/>
      <w:szCs w:val="24"/>
    </w:rPr>
  </w:style>
  <w:style w:type="character" w:customStyle="1" w:styleId="Heading9Char">
    <w:name w:val="Heading 9 Char"/>
    <w:link w:val="Heading9"/>
    <w:semiHidden/>
    <w:rsid w:val="00D97469"/>
    <w:rPr>
      <w:rFonts w:ascii="Calibri Light" w:eastAsia="Times New Roman" w:hAnsi="Calibri Light" w:cs="Times New Roman"/>
      <w:sz w:val="22"/>
      <w:szCs w:val="22"/>
    </w:rPr>
  </w:style>
  <w:style w:type="paragraph" w:styleId="HTMLAddress">
    <w:name w:val="HTML Address"/>
    <w:basedOn w:val="Normal"/>
    <w:link w:val="HTMLAddressChar"/>
    <w:rsid w:val="00D97469"/>
    <w:rPr>
      <w:i/>
      <w:iCs/>
    </w:rPr>
  </w:style>
  <w:style w:type="character" w:customStyle="1" w:styleId="HTMLAddressChar">
    <w:name w:val="HTML Address Char"/>
    <w:link w:val="HTMLAddress"/>
    <w:rsid w:val="00D97469"/>
    <w:rPr>
      <w:i/>
      <w:iCs/>
      <w:sz w:val="24"/>
      <w:szCs w:val="24"/>
    </w:rPr>
  </w:style>
  <w:style w:type="paragraph" w:styleId="HTMLPreformatted">
    <w:name w:val="HTML Preformatted"/>
    <w:basedOn w:val="Normal"/>
    <w:link w:val="HTMLPreformattedChar"/>
    <w:rsid w:val="00D97469"/>
    <w:rPr>
      <w:rFonts w:ascii="Courier New" w:hAnsi="Courier New" w:cs="Courier New"/>
      <w:sz w:val="20"/>
      <w:szCs w:val="20"/>
    </w:rPr>
  </w:style>
  <w:style w:type="character" w:customStyle="1" w:styleId="HTMLPreformattedChar">
    <w:name w:val="HTML Preformatted Char"/>
    <w:link w:val="HTMLPreformatted"/>
    <w:rsid w:val="00D97469"/>
    <w:rPr>
      <w:rFonts w:ascii="Courier New" w:hAnsi="Courier New" w:cs="Courier New"/>
    </w:rPr>
  </w:style>
  <w:style w:type="paragraph" w:styleId="Index1">
    <w:name w:val="index 1"/>
    <w:basedOn w:val="Normal"/>
    <w:next w:val="Normal"/>
    <w:autoRedefine/>
    <w:rsid w:val="00D97469"/>
    <w:pPr>
      <w:ind w:left="240" w:hanging="240"/>
    </w:pPr>
  </w:style>
  <w:style w:type="paragraph" w:styleId="Index2">
    <w:name w:val="index 2"/>
    <w:basedOn w:val="Normal"/>
    <w:next w:val="Normal"/>
    <w:autoRedefine/>
    <w:rsid w:val="00D97469"/>
    <w:pPr>
      <w:ind w:left="480" w:hanging="240"/>
    </w:pPr>
  </w:style>
  <w:style w:type="paragraph" w:styleId="Index3">
    <w:name w:val="index 3"/>
    <w:basedOn w:val="Normal"/>
    <w:next w:val="Normal"/>
    <w:autoRedefine/>
    <w:rsid w:val="00D97469"/>
    <w:pPr>
      <w:ind w:left="720" w:hanging="240"/>
    </w:pPr>
  </w:style>
  <w:style w:type="paragraph" w:styleId="Index4">
    <w:name w:val="index 4"/>
    <w:basedOn w:val="Normal"/>
    <w:next w:val="Normal"/>
    <w:autoRedefine/>
    <w:rsid w:val="00D97469"/>
    <w:pPr>
      <w:ind w:left="960" w:hanging="240"/>
    </w:pPr>
  </w:style>
  <w:style w:type="paragraph" w:styleId="Index5">
    <w:name w:val="index 5"/>
    <w:basedOn w:val="Normal"/>
    <w:next w:val="Normal"/>
    <w:autoRedefine/>
    <w:rsid w:val="00D97469"/>
    <w:pPr>
      <w:ind w:left="1200" w:hanging="240"/>
    </w:pPr>
  </w:style>
  <w:style w:type="paragraph" w:styleId="Index6">
    <w:name w:val="index 6"/>
    <w:basedOn w:val="Normal"/>
    <w:next w:val="Normal"/>
    <w:autoRedefine/>
    <w:rsid w:val="00D97469"/>
    <w:pPr>
      <w:ind w:left="1440" w:hanging="240"/>
    </w:pPr>
  </w:style>
  <w:style w:type="paragraph" w:styleId="Index7">
    <w:name w:val="index 7"/>
    <w:basedOn w:val="Normal"/>
    <w:next w:val="Normal"/>
    <w:autoRedefine/>
    <w:rsid w:val="00D97469"/>
    <w:pPr>
      <w:ind w:left="1680" w:hanging="240"/>
    </w:pPr>
  </w:style>
  <w:style w:type="paragraph" w:styleId="Index8">
    <w:name w:val="index 8"/>
    <w:basedOn w:val="Normal"/>
    <w:next w:val="Normal"/>
    <w:autoRedefine/>
    <w:rsid w:val="00D97469"/>
    <w:pPr>
      <w:ind w:left="1920" w:hanging="240"/>
    </w:pPr>
  </w:style>
  <w:style w:type="paragraph" w:styleId="Index9">
    <w:name w:val="index 9"/>
    <w:basedOn w:val="Normal"/>
    <w:next w:val="Normal"/>
    <w:autoRedefine/>
    <w:rsid w:val="00D97469"/>
    <w:pPr>
      <w:ind w:left="2160" w:hanging="240"/>
    </w:pPr>
  </w:style>
  <w:style w:type="paragraph" w:styleId="IndexHeading">
    <w:name w:val="index heading"/>
    <w:basedOn w:val="Normal"/>
    <w:next w:val="Index1"/>
    <w:rsid w:val="00D97469"/>
    <w:rPr>
      <w:rFonts w:ascii="Calibri Light" w:hAnsi="Calibri Light"/>
      <w:b/>
      <w:bCs/>
    </w:rPr>
  </w:style>
  <w:style w:type="paragraph" w:styleId="IntenseQuote">
    <w:name w:val="Intense Quote"/>
    <w:basedOn w:val="Normal"/>
    <w:next w:val="Normal"/>
    <w:link w:val="IntenseQuoteChar"/>
    <w:uiPriority w:val="30"/>
    <w:qFormat/>
    <w:rsid w:val="00D97469"/>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7469"/>
    <w:rPr>
      <w:i/>
      <w:iCs/>
      <w:color w:val="5B9BD5"/>
      <w:sz w:val="24"/>
      <w:szCs w:val="24"/>
    </w:rPr>
  </w:style>
  <w:style w:type="paragraph" w:styleId="List">
    <w:name w:val="List"/>
    <w:basedOn w:val="Normal"/>
    <w:rsid w:val="00D97469"/>
    <w:pPr>
      <w:ind w:left="360" w:hanging="360"/>
      <w:contextualSpacing/>
    </w:pPr>
  </w:style>
  <w:style w:type="paragraph" w:styleId="List2">
    <w:name w:val="List 2"/>
    <w:basedOn w:val="Normal"/>
    <w:rsid w:val="00D97469"/>
    <w:pPr>
      <w:ind w:left="720" w:hanging="360"/>
      <w:contextualSpacing/>
    </w:pPr>
  </w:style>
  <w:style w:type="paragraph" w:styleId="List3">
    <w:name w:val="List 3"/>
    <w:basedOn w:val="Normal"/>
    <w:rsid w:val="00D97469"/>
    <w:pPr>
      <w:ind w:left="1080" w:hanging="360"/>
      <w:contextualSpacing/>
    </w:pPr>
  </w:style>
  <w:style w:type="paragraph" w:styleId="List4">
    <w:name w:val="List 4"/>
    <w:basedOn w:val="Normal"/>
    <w:rsid w:val="00D97469"/>
    <w:pPr>
      <w:ind w:left="1440" w:hanging="360"/>
      <w:contextualSpacing/>
    </w:pPr>
  </w:style>
  <w:style w:type="paragraph" w:styleId="List5">
    <w:name w:val="List 5"/>
    <w:basedOn w:val="Normal"/>
    <w:rsid w:val="00D97469"/>
    <w:pPr>
      <w:ind w:left="1800" w:hanging="360"/>
      <w:contextualSpacing/>
    </w:pPr>
  </w:style>
  <w:style w:type="paragraph" w:styleId="ListBullet">
    <w:name w:val="List Bullet"/>
    <w:basedOn w:val="Normal"/>
    <w:rsid w:val="00D97469"/>
    <w:pPr>
      <w:numPr>
        <w:numId w:val="3"/>
      </w:numPr>
      <w:contextualSpacing/>
    </w:pPr>
  </w:style>
  <w:style w:type="paragraph" w:styleId="ListBullet2">
    <w:name w:val="List Bullet 2"/>
    <w:basedOn w:val="Normal"/>
    <w:rsid w:val="00D97469"/>
    <w:pPr>
      <w:numPr>
        <w:numId w:val="4"/>
      </w:numPr>
      <w:contextualSpacing/>
    </w:pPr>
  </w:style>
  <w:style w:type="paragraph" w:styleId="ListBullet3">
    <w:name w:val="List Bullet 3"/>
    <w:basedOn w:val="Normal"/>
    <w:rsid w:val="00D97469"/>
    <w:pPr>
      <w:numPr>
        <w:numId w:val="5"/>
      </w:numPr>
      <w:contextualSpacing/>
    </w:pPr>
  </w:style>
  <w:style w:type="paragraph" w:styleId="ListBullet4">
    <w:name w:val="List Bullet 4"/>
    <w:basedOn w:val="Normal"/>
    <w:rsid w:val="00D97469"/>
    <w:pPr>
      <w:numPr>
        <w:numId w:val="6"/>
      </w:numPr>
      <w:contextualSpacing/>
    </w:pPr>
  </w:style>
  <w:style w:type="paragraph" w:styleId="ListBullet5">
    <w:name w:val="List Bullet 5"/>
    <w:basedOn w:val="Normal"/>
    <w:rsid w:val="00D97469"/>
    <w:pPr>
      <w:numPr>
        <w:numId w:val="7"/>
      </w:numPr>
      <w:contextualSpacing/>
    </w:pPr>
  </w:style>
  <w:style w:type="paragraph" w:styleId="ListContinue">
    <w:name w:val="List Continue"/>
    <w:basedOn w:val="Normal"/>
    <w:rsid w:val="00D97469"/>
    <w:pPr>
      <w:spacing w:after="120"/>
      <w:ind w:left="360"/>
      <w:contextualSpacing/>
    </w:pPr>
  </w:style>
  <w:style w:type="paragraph" w:styleId="ListContinue2">
    <w:name w:val="List Continue 2"/>
    <w:basedOn w:val="Normal"/>
    <w:rsid w:val="00D97469"/>
    <w:pPr>
      <w:spacing w:after="120"/>
      <w:ind w:left="720"/>
      <w:contextualSpacing/>
    </w:pPr>
  </w:style>
  <w:style w:type="paragraph" w:styleId="ListContinue3">
    <w:name w:val="List Continue 3"/>
    <w:basedOn w:val="Normal"/>
    <w:rsid w:val="00D97469"/>
    <w:pPr>
      <w:spacing w:after="120"/>
      <w:ind w:left="1080"/>
      <w:contextualSpacing/>
    </w:pPr>
  </w:style>
  <w:style w:type="paragraph" w:styleId="ListContinue4">
    <w:name w:val="List Continue 4"/>
    <w:basedOn w:val="Normal"/>
    <w:rsid w:val="00D97469"/>
    <w:pPr>
      <w:spacing w:after="120"/>
      <w:ind w:left="1440"/>
      <w:contextualSpacing/>
    </w:pPr>
  </w:style>
  <w:style w:type="paragraph" w:styleId="ListContinue5">
    <w:name w:val="List Continue 5"/>
    <w:basedOn w:val="Normal"/>
    <w:rsid w:val="00D97469"/>
    <w:pPr>
      <w:spacing w:after="120"/>
      <w:ind w:left="1800"/>
      <w:contextualSpacing/>
    </w:pPr>
  </w:style>
  <w:style w:type="paragraph" w:styleId="ListNumber">
    <w:name w:val="List Number"/>
    <w:basedOn w:val="Normal"/>
    <w:rsid w:val="00D97469"/>
    <w:pPr>
      <w:numPr>
        <w:numId w:val="12"/>
      </w:numPr>
      <w:contextualSpacing/>
    </w:pPr>
  </w:style>
  <w:style w:type="paragraph" w:styleId="ListNumber2">
    <w:name w:val="List Number 2"/>
    <w:basedOn w:val="Normal"/>
    <w:rsid w:val="00D97469"/>
    <w:pPr>
      <w:numPr>
        <w:numId w:val="10"/>
      </w:numPr>
      <w:contextualSpacing/>
    </w:pPr>
  </w:style>
  <w:style w:type="paragraph" w:styleId="ListNumber3">
    <w:name w:val="List Number 3"/>
    <w:basedOn w:val="Normal"/>
    <w:rsid w:val="00D97469"/>
    <w:pPr>
      <w:numPr>
        <w:numId w:val="11"/>
      </w:numPr>
      <w:contextualSpacing/>
    </w:pPr>
  </w:style>
  <w:style w:type="paragraph" w:styleId="ListNumber4">
    <w:name w:val="List Number 4"/>
    <w:basedOn w:val="Normal"/>
    <w:rsid w:val="00D97469"/>
    <w:pPr>
      <w:numPr>
        <w:numId w:val="9"/>
      </w:numPr>
      <w:contextualSpacing/>
    </w:pPr>
  </w:style>
  <w:style w:type="paragraph" w:styleId="ListNumber5">
    <w:name w:val="List Number 5"/>
    <w:basedOn w:val="Normal"/>
    <w:rsid w:val="00D97469"/>
    <w:pPr>
      <w:numPr>
        <w:numId w:val="8"/>
      </w:numPr>
      <w:contextualSpacing/>
    </w:pPr>
  </w:style>
  <w:style w:type="paragraph" w:styleId="ListParagraph">
    <w:name w:val="List Paragraph"/>
    <w:basedOn w:val="Normal"/>
    <w:uiPriority w:val="34"/>
    <w:qFormat/>
    <w:rsid w:val="00D97469"/>
    <w:pPr>
      <w:ind w:left="720"/>
    </w:pPr>
  </w:style>
  <w:style w:type="paragraph" w:styleId="MacroText">
    <w:name w:val="macro"/>
    <w:link w:val="MacroTextChar"/>
    <w:rsid w:val="00D97469"/>
    <w:pPr>
      <w:tabs>
        <w:tab w:val="left" w:pos="480"/>
        <w:tab w:val="left" w:pos="960"/>
        <w:tab w:val="left" w:pos="1440"/>
        <w:tab w:val="left" w:pos="1920"/>
        <w:tab w:val="left" w:pos="2400"/>
        <w:tab w:val="left" w:pos="2880"/>
        <w:tab w:val="left" w:pos="3360"/>
        <w:tab w:val="left" w:pos="3840"/>
        <w:tab w:val="left" w:pos="4320"/>
      </w:tabs>
      <w:spacing w:line="480" w:lineRule="auto"/>
      <w:ind w:firstLine="720"/>
      <w:jc w:val="both"/>
    </w:pPr>
    <w:rPr>
      <w:rFonts w:ascii="Courier New" w:hAnsi="Courier New" w:cs="Courier New"/>
    </w:rPr>
  </w:style>
  <w:style w:type="character" w:customStyle="1" w:styleId="MacroTextChar">
    <w:name w:val="Macro Text Char"/>
    <w:link w:val="MacroText"/>
    <w:rsid w:val="00D97469"/>
    <w:rPr>
      <w:rFonts w:ascii="Courier New" w:hAnsi="Courier New" w:cs="Courier New"/>
    </w:rPr>
  </w:style>
  <w:style w:type="paragraph" w:styleId="MessageHeader">
    <w:name w:val="Message Header"/>
    <w:basedOn w:val="Normal"/>
    <w:link w:val="MessageHeaderChar"/>
    <w:rsid w:val="00D9746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rPr>
  </w:style>
  <w:style w:type="character" w:customStyle="1" w:styleId="MessageHeaderChar">
    <w:name w:val="Message Header Char"/>
    <w:link w:val="MessageHeader"/>
    <w:rsid w:val="00D97469"/>
    <w:rPr>
      <w:rFonts w:ascii="Calibri Light" w:eastAsia="Times New Roman" w:hAnsi="Calibri Light" w:cs="Times New Roman"/>
      <w:sz w:val="24"/>
      <w:szCs w:val="24"/>
      <w:shd w:val="pct20" w:color="auto" w:fill="auto"/>
    </w:rPr>
  </w:style>
  <w:style w:type="paragraph" w:styleId="NoSpacing">
    <w:name w:val="No Spacing"/>
    <w:uiPriority w:val="1"/>
    <w:qFormat/>
    <w:rsid w:val="00D97469"/>
    <w:pPr>
      <w:ind w:firstLine="720"/>
      <w:jc w:val="both"/>
    </w:pPr>
    <w:rPr>
      <w:sz w:val="24"/>
      <w:szCs w:val="24"/>
    </w:rPr>
  </w:style>
  <w:style w:type="paragraph" w:styleId="NormalWeb">
    <w:name w:val="Normal (Web)"/>
    <w:basedOn w:val="Normal"/>
    <w:uiPriority w:val="99"/>
    <w:rsid w:val="00D97469"/>
  </w:style>
  <w:style w:type="paragraph" w:styleId="NormalIndent">
    <w:name w:val="Normal Indent"/>
    <w:basedOn w:val="Normal"/>
    <w:rsid w:val="00D97469"/>
    <w:pPr>
      <w:ind w:left="720"/>
    </w:pPr>
  </w:style>
  <w:style w:type="paragraph" w:styleId="NoteHeading">
    <w:name w:val="Note Heading"/>
    <w:basedOn w:val="Normal"/>
    <w:next w:val="Normal"/>
    <w:link w:val="NoteHeadingChar"/>
    <w:rsid w:val="00D97469"/>
  </w:style>
  <w:style w:type="character" w:customStyle="1" w:styleId="NoteHeadingChar">
    <w:name w:val="Note Heading Char"/>
    <w:link w:val="NoteHeading"/>
    <w:rsid w:val="00D97469"/>
    <w:rPr>
      <w:sz w:val="24"/>
      <w:szCs w:val="24"/>
    </w:rPr>
  </w:style>
  <w:style w:type="paragraph" w:styleId="PlainText">
    <w:name w:val="Plain Text"/>
    <w:basedOn w:val="Normal"/>
    <w:link w:val="PlainTextChar"/>
    <w:rsid w:val="00D97469"/>
    <w:rPr>
      <w:rFonts w:ascii="Courier New" w:hAnsi="Courier New" w:cs="Courier New"/>
      <w:sz w:val="20"/>
      <w:szCs w:val="20"/>
    </w:rPr>
  </w:style>
  <w:style w:type="character" w:customStyle="1" w:styleId="PlainTextChar">
    <w:name w:val="Plain Text Char"/>
    <w:link w:val="PlainText"/>
    <w:rsid w:val="00D97469"/>
    <w:rPr>
      <w:rFonts w:ascii="Courier New" w:hAnsi="Courier New" w:cs="Courier New"/>
    </w:rPr>
  </w:style>
  <w:style w:type="paragraph" w:styleId="Quote">
    <w:name w:val="Quote"/>
    <w:basedOn w:val="Normal"/>
    <w:next w:val="Normal"/>
    <w:link w:val="QuoteChar"/>
    <w:uiPriority w:val="29"/>
    <w:qFormat/>
    <w:rsid w:val="00D97469"/>
    <w:pPr>
      <w:spacing w:before="200" w:after="160"/>
      <w:ind w:left="864" w:right="864"/>
      <w:jc w:val="center"/>
    </w:pPr>
    <w:rPr>
      <w:i/>
      <w:iCs/>
      <w:color w:val="404040"/>
    </w:rPr>
  </w:style>
  <w:style w:type="character" w:customStyle="1" w:styleId="QuoteChar">
    <w:name w:val="Quote Char"/>
    <w:link w:val="Quote"/>
    <w:uiPriority w:val="29"/>
    <w:rsid w:val="00D97469"/>
    <w:rPr>
      <w:i/>
      <w:iCs/>
      <w:color w:val="404040"/>
      <w:sz w:val="24"/>
      <w:szCs w:val="24"/>
    </w:rPr>
  </w:style>
  <w:style w:type="paragraph" w:styleId="Salutation">
    <w:name w:val="Salutation"/>
    <w:basedOn w:val="Normal"/>
    <w:next w:val="Normal"/>
    <w:link w:val="SalutationChar"/>
    <w:rsid w:val="00D97469"/>
  </w:style>
  <w:style w:type="character" w:customStyle="1" w:styleId="SalutationChar">
    <w:name w:val="Salutation Char"/>
    <w:link w:val="Salutation"/>
    <w:rsid w:val="00D97469"/>
    <w:rPr>
      <w:sz w:val="24"/>
      <w:szCs w:val="24"/>
    </w:rPr>
  </w:style>
  <w:style w:type="paragraph" w:styleId="Signature">
    <w:name w:val="Signature"/>
    <w:basedOn w:val="Normal"/>
    <w:link w:val="SignatureChar"/>
    <w:rsid w:val="00D97469"/>
    <w:pPr>
      <w:ind w:left="4320"/>
    </w:pPr>
  </w:style>
  <w:style w:type="character" w:customStyle="1" w:styleId="SignatureChar">
    <w:name w:val="Signature Char"/>
    <w:link w:val="Signature"/>
    <w:rsid w:val="00D97469"/>
    <w:rPr>
      <w:sz w:val="24"/>
      <w:szCs w:val="24"/>
    </w:rPr>
  </w:style>
  <w:style w:type="paragraph" w:styleId="Subtitle">
    <w:name w:val="Subtitle"/>
    <w:basedOn w:val="Normal"/>
    <w:next w:val="Normal"/>
    <w:link w:val="SubtitleChar"/>
    <w:qFormat/>
    <w:rsid w:val="00D97469"/>
    <w:pPr>
      <w:spacing w:after="60"/>
      <w:jc w:val="center"/>
      <w:outlineLvl w:val="1"/>
    </w:pPr>
    <w:rPr>
      <w:rFonts w:ascii="Calibri Light" w:hAnsi="Calibri Light"/>
    </w:rPr>
  </w:style>
  <w:style w:type="character" w:customStyle="1" w:styleId="SubtitleChar">
    <w:name w:val="Subtitle Char"/>
    <w:link w:val="Subtitle"/>
    <w:rsid w:val="00D97469"/>
    <w:rPr>
      <w:rFonts w:ascii="Calibri Light" w:eastAsia="Times New Roman" w:hAnsi="Calibri Light" w:cs="Times New Roman"/>
      <w:sz w:val="24"/>
      <w:szCs w:val="24"/>
    </w:rPr>
  </w:style>
  <w:style w:type="paragraph" w:styleId="TableofAuthorities">
    <w:name w:val="table of authorities"/>
    <w:basedOn w:val="Normal"/>
    <w:next w:val="Normal"/>
    <w:rsid w:val="00D97469"/>
    <w:pPr>
      <w:ind w:left="240" w:hanging="240"/>
    </w:pPr>
  </w:style>
  <w:style w:type="paragraph" w:styleId="Title">
    <w:name w:val="Title"/>
    <w:basedOn w:val="Normal"/>
    <w:next w:val="Normal"/>
    <w:link w:val="TitleChar"/>
    <w:qFormat/>
    <w:rsid w:val="00D9746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97469"/>
    <w:rPr>
      <w:rFonts w:ascii="Calibri Light" w:eastAsia="Times New Roman" w:hAnsi="Calibri Light" w:cs="Times New Roman"/>
      <w:b/>
      <w:bCs/>
      <w:kern w:val="28"/>
      <w:sz w:val="32"/>
      <w:szCs w:val="32"/>
    </w:rPr>
  </w:style>
  <w:style w:type="paragraph" w:styleId="TOAHeading">
    <w:name w:val="toa heading"/>
    <w:basedOn w:val="Normal"/>
    <w:next w:val="Normal"/>
    <w:rsid w:val="00D97469"/>
    <w:pPr>
      <w:spacing w:before="120"/>
    </w:pPr>
    <w:rPr>
      <w:rFonts w:ascii="Calibri Light" w:hAnsi="Calibri Light"/>
      <w:b/>
      <w:bCs/>
    </w:rPr>
  </w:style>
  <w:style w:type="paragraph" w:styleId="TOC5">
    <w:name w:val="toc 5"/>
    <w:basedOn w:val="Normal"/>
    <w:next w:val="Normal"/>
    <w:autoRedefine/>
    <w:rsid w:val="00D97469"/>
    <w:pPr>
      <w:ind w:left="960"/>
    </w:pPr>
  </w:style>
  <w:style w:type="paragraph" w:styleId="TOC6">
    <w:name w:val="toc 6"/>
    <w:basedOn w:val="Normal"/>
    <w:next w:val="Normal"/>
    <w:autoRedefine/>
    <w:rsid w:val="00D97469"/>
    <w:pPr>
      <w:ind w:left="1200"/>
    </w:pPr>
  </w:style>
  <w:style w:type="paragraph" w:styleId="TOC7">
    <w:name w:val="toc 7"/>
    <w:basedOn w:val="Normal"/>
    <w:next w:val="Normal"/>
    <w:autoRedefine/>
    <w:rsid w:val="00D97469"/>
    <w:pPr>
      <w:ind w:left="1440"/>
    </w:pPr>
  </w:style>
  <w:style w:type="paragraph" w:styleId="TOC8">
    <w:name w:val="toc 8"/>
    <w:basedOn w:val="Normal"/>
    <w:next w:val="Normal"/>
    <w:autoRedefine/>
    <w:rsid w:val="00D97469"/>
    <w:pPr>
      <w:ind w:left="1680"/>
    </w:pPr>
  </w:style>
  <w:style w:type="paragraph" w:styleId="TOC9">
    <w:name w:val="toc 9"/>
    <w:basedOn w:val="Normal"/>
    <w:next w:val="Normal"/>
    <w:autoRedefine/>
    <w:uiPriority w:val="39"/>
    <w:rsid w:val="00D97469"/>
    <w:pPr>
      <w:ind w:left="1920"/>
    </w:pPr>
  </w:style>
  <w:style w:type="paragraph" w:styleId="TOCHeading">
    <w:name w:val="TOC Heading"/>
    <w:basedOn w:val="Heading1"/>
    <w:next w:val="Normal"/>
    <w:uiPriority w:val="39"/>
    <w:semiHidden/>
    <w:unhideWhenUsed/>
    <w:qFormat/>
    <w:rsid w:val="00D97469"/>
    <w:pPr>
      <w:pageBreakBefore w:val="0"/>
      <w:numPr>
        <w:numId w:val="0"/>
      </w:numPr>
      <w:spacing w:before="240" w:after="60"/>
      <w:ind w:firstLine="720"/>
      <w:jc w:val="both"/>
      <w:outlineLvl w:val="9"/>
    </w:pPr>
    <w:rPr>
      <w:rFonts w:ascii="Calibri Light" w:hAnsi="Calibri Light" w:cs="Times New Roman"/>
      <w:caps/>
      <w:kern w:val="32"/>
      <w:sz w:val="32"/>
      <w:szCs w:val="32"/>
    </w:rPr>
  </w:style>
  <w:style w:type="numbering" w:customStyle="1" w:styleId="Style1">
    <w:name w:val="Style1"/>
    <w:uiPriority w:val="99"/>
    <w:rsid w:val="006C03CC"/>
    <w:pPr>
      <w:numPr>
        <w:numId w:val="13"/>
      </w:numPr>
    </w:pPr>
  </w:style>
  <w:style w:type="paragraph" w:customStyle="1" w:styleId="TitlePage">
    <w:name w:val="Title Page"/>
    <w:basedOn w:val="Heading"/>
    <w:next w:val="Normal"/>
    <w:qFormat/>
    <w:rsid w:val="00D06DD6"/>
    <w:pPr>
      <w:keepNext w:val="0"/>
      <w:pageBreakBefore w:val="0"/>
      <w:spacing w:after="0" w:line="240" w:lineRule="auto"/>
    </w:pPr>
    <w:rPr>
      <w:color w:val="FFFFFF" w:themeColor="background1"/>
      <w:sz w:val="2"/>
    </w:rPr>
  </w:style>
  <w:style w:type="paragraph" w:customStyle="1" w:styleId="CommitteePage">
    <w:name w:val="Committee Page"/>
    <w:basedOn w:val="Heading"/>
    <w:next w:val="Normal"/>
    <w:qFormat/>
    <w:rsid w:val="00D06DD6"/>
    <w:pPr>
      <w:spacing w:after="0"/>
    </w:pPr>
    <w:rPr>
      <w:color w:val="FFFFFF" w:themeColor="background1"/>
      <w:sz w:val="2"/>
    </w:rPr>
  </w:style>
  <w:style w:type="paragraph" w:customStyle="1" w:styleId="AbstractHeading">
    <w:name w:val="Abstract Heading"/>
    <w:basedOn w:val="TitlePage"/>
    <w:qFormat/>
    <w:rsid w:val="002B41A8"/>
  </w:style>
  <w:style w:type="character" w:customStyle="1" w:styleId="FooterChar">
    <w:name w:val="Footer Char"/>
    <w:basedOn w:val="DefaultParagraphFont"/>
    <w:link w:val="Footer"/>
    <w:uiPriority w:val="99"/>
    <w:rsid w:val="00AF3154"/>
    <w:rPr>
      <w:sz w:val="24"/>
      <w:szCs w:val="24"/>
    </w:rPr>
  </w:style>
  <w:style w:type="paragraph" w:customStyle="1" w:styleId="NoIndent">
    <w:name w:val="No Indent"/>
    <w:basedOn w:val="Normal"/>
    <w:qFormat/>
    <w:rsid w:val="00905846"/>
    <w:pPr>
      <w:ind w:firstLine="0"/>
      <w:jc w:val="center"/>
    </w:pPr>
    <w:rPr>
      <w:noProof/>
    </w:rPr>
  </w:style>
  <w:style w:type="character" w:styleId="PlaceholderText">
    <w:name w:val="Placeholder Text"/>
    <w:basedOn w:val="DefaultParagraphFont"/>
    <w:uiPriority w:val="99"/>
    <w:semiHidden/>
    <w:rsid w:val="00BE1BD6"/>
    <w:rPr>
      <w:color w:val="808080"/>
    </w:rPr>
  </w:style>
  <w:style w:type="character" w:customStyle="1" w:styleId="TitleHeading">
    <w:name w:val="Title Heading"/>
    <w:basedOn w:val="BodyTextChar"/>
    <w:uiPriority w:val="1"/>
    <w:rsid w:val="00A1660F"/>
    <w:rPr>
      <w:rFonts w:ascii="Times New Roman" w:hAnsi="Times New Roman"/>
      <w:b w:val="0"/>
      <w:caps/>
      <w:smallCaps w:val="0"/>
      <w:sz w:val="24"/>
      <w:szCs w:val="24"/>
    </w:rPr>
  </w:style>
  <w:style w:type="paragraph" w:customStyle="1" w:styleId="TableofContentsHeading">
    <w:name w:val="Table of Contents Heading"/>
    <w:basedOn w:val="Preliminary"/>
    <w:qFormat/>
    <w:rsid w:val="004F0846"/>
  </w:style>
  <w:style w:type="paragraph" w:customStyle="1" w:styleId="HeadingNoTab">
    <w:name w:val="Heading No Tab"/>
    <w:basedOn w:val="Heading"/>
    <w:qFormat/>
    <w:rsid w:val="00064169"/>
  </w:style>
  <w:style w:type="paragraph" w:customStyle="1" w:styleId="CaptionDescription">
    <w:name w:val="Caption Description"/>
    <w:basedOn w:val="NoIndent"/>
    <w:next w:val="Normal"/>
    <w:qFormat/>
    <w:rsid w:val="00CE2814"/>
    <w:rPr>
      <w:b/>
      <w:sz w:val="20"/>
    </w:rPr>
  </w:style>
  <w:style w:type="character" w:customStyle="1" w:styleId="HeaderChar">
    <w:name w:val="Header Char"/>
    <w:basedOn w:val="DefaultParagraphFont"/>
    <w:link w:val="Header"/>
    <w:uiPriority w:val="99"/>
    <w:rsid w:val="0037257D"/>
    <w:rPr>
      <w:sz w:val="24"/>
      <w:szCs w:val="24"/>
    </w:rPr>
  </w:style>
  <w:style w:type="character" w:customStyle="1" w:styleId="ref-journal">
    <w:name w:val="ref-journal"/>
    <w:basedOn w:val="DefaultParagraphFont"/>
    <w:rsid w:val="0037257D"/>
  </w:style>
  <w:style w:type="character" w:customStyle="1" w:styleId="ref-vol">
    <w:name w:val="ref-vol"/>
    <w:basedOn w:val="DefaultParagraphFont"/>
    <w:rsid w:val="0037257D"/>
  </w:style>
  <w:style w:type="character" w:customStyle="1" w:styleId="apple-converted-space">
    <w:name w:val="apple-converted-space"/>
    <w:basedOn w:val="DefaultParagraphFont"/>
    <w:rsid w:val="0037257D"/>
  </w:style>
  <w:style w:type="character" w:styleId="CommentReference">
    <w:name w:val="annotation reference"/>
    <w:basedOn w:val="DefaultParagraphFont"/>
    <w:uiPriority w:val="99"/>
    <w:unhideWhenUsed/>
    <w:rsid w:val="003725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99198">
      <w:bodyDiv w:val="1"/>
      <w:marLeft w:val="0"/>
      <w:marRight w:val="0"/>
      <w:marTop w:val="0"/>
      <w:marBottom w:val="0"/>
      <w:divBdr>
        <w:top w:val="none" w:sz="0" w:space="0" w:color="auto"/>
        <w:left w:val="none" w:sz="0" w:space="0" w:color="auto"/>
        <w:bottom w:val="none" w:sz="0" w:space="0" w:color="auto"/>
        <w:right w:val="none" w:sz="0" w:space="0" w:color="auto"/>
      </w:divBdr>
    </w:div>
    <w:div w:id="898782154">
      <w:bodyDiv w:val="1"/>
      <w:marLeft w:val="0"/>
      <w:marRight w:val="0"/>
      <w:marTop w:val="0"/>
      <w:marBottom w:val="0"/>
      <w:divBdr>
        <w:top w:val="none" w:sz="0" w:space="0" w:color="auto"/>
        <w:left w:val="none" w:sz="0" w:space="0" w:color="auto"/>
        <w:bottom w:val="none" w:sz="0" w:space="0" w:color="auto"/>
        <w:right w:val="none" w:sz="0" w:space="0" w:color="auto"/>
      </w:divBdr>
    </w:div>
    <w:div w:id="1602880694">
      <w:bodyDiv w:val="1"/>
      <w:marLeft w:val="0"/>
      <w:marRight w:val="0"/>
      <w:marTop w:val="0"/>
      <w:marBottom w:val="0"/>
      <w:divBdr>
        <w:top w:val="none" w:sz="0" w:space="0" w:color="auto"/>
        <w:left w:val="none" w:sz="0" w:space="0" w:color="auto"/>
        <w:bottom w:val="none" w:sz="0" w:space="0" w:color="auto"/>
        <w:right w:val="none" w:sz="0" w:space="0" w:color="auto"/>
      </w:divBdr>
    </w:div>
    <w:div w:id="2049453268">
      <w:bodyDiv w:val="1"/>
      <w:marLeft w:val="0"/>
      <w:marRight w:val="0"/>
      <w:marTop w:val="0"/>
      <w:marBottom w:val="0"/>
      <w:divBdr>
        <w:top w:val="none" w:sz="0" w:space="0" w:color="auto"/>
        <w:left w:val="none" w:sz="0" w:space="0" w:color="auto"/>
        <w:bottom w:val="none" w:sz="0" w:space="0" w:color="auto"/>
        <w:right w:val="none" w:sz="0" w:space="0" w:color="auto"/>
      </w:divBdr>
    </w:div>
    <w:div w:id="21467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s://www.verywellhealth.com/thyroid-disease-menopause-link-3231797" TargetMode="External"/><Relationship Id="rId3" Type="http://schemas.openxmlformats.org/officeDocument/2006/relationships/styles" Target="styles.xml"/><Relationship Id="rId21" Type="http://schemas.openxmlformats.org/officeDocument/2006/relationships/hyperlink" Target="https://doi.org/10.1089/thy.1994.4.183"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ncbi.nlm.nih.gov/pubmed/164095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doi.org/10.1111/j.1365-2265.1993.tb02403.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bones.nih.gov/health-info/bone/bone-health/bone-mass-measurement-what-numbers-mea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s://my.clevelandclinic.org/health/articles/10091-menopause--osteoporo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udrow\Documents\Custom%20Office%20Templates\ETD_Template_Pitt_v1.7.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EE16\AppData\Local\Microsoft\Windows\Temporary%20Internet%20Files\Content.IE5\JXIAZQ9P\Final%20Model%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Annual Rate of Bone Loss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'[Final Model Graph.xlsx]Sheet1'!$D$7</c:f>
              <c:strCache>
                <c:ptCount val="1"/>
                <c:pt idx="0">
                  <c:v>Treatment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'[Final Model Graph.xlsx]Sheet1'!$C$8:$C$10</c:f>
              <c:strCache>
                <c:ptCount val="3"/>
                <c:pt idx="0">
                  <c:v>Femoral Neck </c:v>
                </c:pt>
                <c:pt idx="1">
                  <c:v>Hip </c:v>
                </c:pt>
                <c:pt idx="2">
                  <c:v>Spine </c:v>
                </c:pt>
              </c:strCache>
            </c:strRef>
          </c:cat>
          <c:val>
            <c:numRef>
              <c:f>'[Final Model Graph.xlsx]Sheet1'!$D$8:$D$10</c:f>
              <c:numCache>
                <c:formatCode>0.00%</c:formatCode>
                <c:ptCount val="3"/>
                <c:pt idx="0">
                  <c:v>-7.1000000000000004E-3</c:v>
                </c:pt>
                <c:pt idx="1">
                  <c:v>-5.7000000000000002E-3</c:v>
                </c:pt>
                <c:pt idx="2">
                  <c:v>-5.8999999999999999E-3</c:v>
                </c:pt>
              </c:numCache>
            </c:numRef>
          </c:val>
          <c:extLst>
            <c:ext xmlns:c16="http://schemas.microsoft.com/office/drawing/2014/chart" uri="{C3380CC4-5D6E-409C-BE32-E72D297353CC}">
              <c16:uniqueId val="{00000000-6CEC-4103-89EA-8492B15512A8}"/>
            </c:ext>
          </c:extLst>
        </c:ser>
        <c:ser>
          <c:idx val="1"/>
          <c:order val="1"/>
          <c:tx>
            <c:strRef>
              <c:f>'[Final Model Graph.xlsx]Sheet1'!$E$7</c:f>
              <c:strCache>
                <c:ptCount val="1"/>
                <c:pt idx="0">
                  <c:v>Control</c:v>
                </c:pt>
              </c:strCache>
            </c:strRef>
          </c:tx>
          <c:spPr>
            <a:solidFill>
              <a:schemeClr val="accent2"/>
            </a:solidFill>
            <a:ln>
              <a:noFill/>
            </a:ln>
            <a:effectLst/>
          </c:spPr>
          <c:invertIfNegative val="0"/>
          <c:dLbls>
            <c:dLbl>
              <c:idx val="0"/>
              <c:layout>
                <c:manualLayout>
                  <c:x val="0"/>
                  <c:y val="1.049501486793772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CEC-4103-89EA-8492B15512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'[Final Model Graph.xlsx]Sheet1'!$C$8:$C$10</c:f>
              <c:strCache>
                <c:ptCount val="3"/>
                <c:pt idx="0">
                  <c:v>Femoral Neck </c:v>
                </c:pt>
                <c:pt idx="1">
                  <c:v>Hip </c:v>
                </c:pt>
                <c:pt idx="2">
                  <c:v>Spine </c:v>
                </c:pt>
              </c:strCache>
            </c:strRef>
          </c:cat>
          <c:val>
            <c:numRef>
              <c:f>'[Final Model Graph.xlsx]Sheet1'!$E$8:$E$10</c:f>
              <c:numCache>
                <c:formatCode>0.00%</c:formatCode>
                <c:ptCount val="3"/>
                <c:pt idx="0">
                  <c:v>-8.5000000000000006E-3</c:v>
                </c:pt>
                <c:pt idx="1">
                  <c:v>-6.6E-3</c:v>
                </c:pt>
                <c:pt idx="2">
                  <c:v>-7.1000000000000004E-3</c:v>
                </c:pt>
              </c:numCache>
            </c:numRef>
          </c:val>
          <c:extLst>
            <c:ext xmlns:c16="http://schemas.microsoft.com/office/drawing/2014/chart" uri="{C3380CC4-5D6E-409C-BE32-E72D297353CC}">
              <c16:uniqueId val="{00000002-6CEC-4103-89EA-8492B15512A8}"/>
            </c:ext>
          </c:extLst>
        </c:ser>
        <c:dLbls>
          <c:dLblPos val="outEnd"/>
          <c:showLegendKey val="0"/>
          <c:showVal val="1"/>
          <c:showCatName val="0"/>
          <c:showSerName val="0"/>
          <c:showPercent val="0"/>
          <c:showBubbleSize val="0"/>
        </c:dLbls>
        <c:gapWidth val="219"/>
        <c:overlap val="-27"/>
        <c:axId val="336579904"/>
        <c:axId val="336872864"/>
      </c:barChart>
      <c:catAx>
        <c:axId val="33657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872864"/>
        <c:crosses val="autoZero"/>
        <c:auto val="1"/>
        <c:lblAlgn val="ctr"/>
        <c:lblOffset val="100"/>
        <c:noMultiLvlLbl val="0"/>
      </c:catAx>
      <c:valAx>
        <c:axId val="336872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Loss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5799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 loss BMD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Sheet1!$E$51</c:f>
              <c:strCache>
                <c:ptCount val="1"/>
                <c:pt idx="0">
                  <c:v>hip (p&lt;.0001)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Sheet1!$D$52:$D$62</c:f>
              <c:strCache>
                <c:ptCount val="11"/>
                <c:pt idx="0">
                  <c:v>-3 years</c:v>
                </c:pt>
                <c:pt idx="1">
                  <c:v>-2 years</c:v>
                </c:pt>
                <c:pt idx="2">
                  <c:v>-1 year</c:v>
                </c:pt>
                <c:pt idx="3">
                  <c:v>baseline</c:v>
                </c:pt>
                <c:pt idx="4">
                  <c:v>1 year</c:v>
                </c:pt>
                <c:pt idx="5">
                  <c:v>2 years</c:v>
                </c:pt>
                <c:pt idx="6">
                  <c:v>3 years</c:v>
                </c:pt>
                <c:pt idx="7">
                  <c:v>4 years</c:v>
                </c:pt>
                <c:pt idx="8">
                  <c:v>5 years</c:v>
                </c:pt>
                <c:pt idx="9">
                  <c:v>6 years</c:v>
                </c:pt>
                <c:pt idx="10">
                  <c:v>7 years</c:v>
                </c:pt>
              </c:strCache>
            </c:strRef>
          </c:cat>
          <c:val>
            <c:numRef>
              <c:f>Sheet1!$E$52:$E$62</c:f>
              <c:numCache>
                <c:formatCode>General</c:formatCode>
                <c:ptCount val="11"/>
                <c:pt idx="0">
                  <c:v>0.99329999999999996</c:v>
                </c:pt>
                <c:pt idx="1">
                  <c:v>0.99060999999999999</c:v>
                </c:pt>
                <c:pt idx="2">
                  <c:v>0.98792000000000002</c:v>
                </c:pt>
                <c:pt idx="3">
                  <c:v>0.98523000000000005</c:v>
                </c:pt>
                <c:pt idx="4">
                  <c:v>0.97949000000000008</c:v>
                </c:pt>
                <c:pt idx="5">
                  <c:v>0.97375000000000012</c:v>
                </c:pt>
                <c:pt idx="6">
                  <c:v>0.96801000000000015</c:v>
                </c:pt>
                <c:pt idx="7">
                  <c:v>0.96227000000000018</c:v>
                </c:pt>
                <c:pt idx="8">
                  <c:v>0.95653000000000021</c:v>
                </c:pt>
                <c:pt idx="9">
                  <c:v>0.95079000000000025</c:v>
                </c:pt>
                <c:pt idx="10">
                  <c:v>0.94505000000000028</c:v>
                </c:pt>
              </c:numCache>
            </c:numRef>
          </c:val>
          <c:smooth val="0"/>
          <c:extLst>
            <c:ext xmlns:c16="http://schemas.microsoft.com/office/drawing/2014/chart" uri="{C3380CC4-5D6E-409C-BE32-E72D297353CC}">
              <c16:uniqueId val="{00000000-1807-4BAD-8BBA-804E152D0B80}"/>
            </c:ext>
          </c:extLst>
        </c:ser>
        <c:ser>
          <c:idx val="1"/>
          <c:order val="1"/>
          <c:tx>
            <c:strRef>
              <c:f>Sheet1!$F$51</c:f>
              <c:strCache>
                <c:ptCount val="1"/>
                <c:pt idx="0">
                  <c:v>neck (p&lt;.0001)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Sheet1!$D$52:$D$62</c:f>
              <c:strCache>
                <c:ptCount val="11"/>
                <c:pt idx="0">
                  <c:v>-3 years</c:v>
                </c:pt>
                <c:pt idx="1">
                  <c:v>-2 years</c:v>
                </c:pt>
                <c:pt idx="2">
                  <c:v>-1 year</c:v>
                </c:pt>
                <c:pt idx="3">
                  <c:v>baseline</c:v>
                </c:pt>
                <c:pt idx="4">
                  <c:v>1 year</c:v>
                </c:pt>
                <c:pt idx="5">
                  <c:v>2 years</c:v>
                </c:pt>
                <c:pt idx="6">
                  <c:v>3 years</c:v>
                </c:pt>
                <c:pt idx="7">
                  <c:v>4 years</c:v>
                </c:pt>
                <c:pt idx="8">
                  <c:v>5 years</c:v>
                </c:pt>
                <c:pt idx="9">
                  <c:v>6 years</c:v>
                </c:pt>
                <c:pt idx="10">
                  <c:v>7 years</c:v>
                </c:pt>
              </c:strCache>
            </c:strRef>
          </c:cat>
          <c:val>
            <c:numRef>
              <c:f>Sheet1!$F$52:$F$62</c:f>
              <c:numCache>
                <c:formatCode>General</c:formatCode>
                <c:ptCount val="11"/>
                <c:pt idx="0">
                  <c:v>0.99519999999999997</c:v>
                </c:pt>
                <c:pt idx="1">
                  <c:v>0.98785000000000001</c:v>
                </c:pt>
                <c:pt idx="2">
                  <c:v>0.98050000000000004</c:v>
                </c:pt>
                <c:pt idx="3">
                  <c:v>0.97315000000000007</c:v>
                </c:pt>
                <c:pt idx="4">
                  <c:v>0.96606000000000003</c:v>
                </c:pt>
                <c:pt idx="5">
                  <c:v>0.95896999999999999</c:v>
                </c:pt>
                <c:pt idx="6">
                  <c:v>0.95187999999999995</c:v>
                </c:pt>
                <c:pt idx="7">
                  <c:v>0.94478999999999991</c:v>
                </c:pt>
                <c:pt idx="8">
                  <c:v>0.93769999999999987</c:v>
                </c:pt>
                <c:pt idx="9">
                  <c:v>0.93060999999999983</c:v>
                </c:pt>
                <c:pt idx="10">
                  <c:v>0.92351999999999979</c:v>
                </c:pt>
              </c:numCache>
            </c:numRef>
          </c:val>
          <c:smooth val="0"/>
          <c:extLst>
            <c:ext xmlns:c16="http://schemas.microsoft.com/office/drawing/2014/chart" uri="{C3380CC4-5D6E-409C-BE32-E72D297353CC}">
              <c16:uniqueId val="{00000001-1807-4BAD-8BBA-804E152D0B80}"/>
            </c:ext>
          </c:extLst>
        </c:ser>
        <c:ser>
          <c:idx val="2"/>
          <c:order val="2"/>
          <c:tx>
            <c:strRef>
              <c:f>Sheet1!$G$51</c:f>
              <c:strCache>
                <c:ptCount val="1"/>
                <c:pt idx="0">
                  <c:v>spine (p&lt;.0001)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Sheet1!$D$52:$D$62</c:f>
              <c:strCache>
                <c:ptCount val="11"/>
                <c:pt idx="0">
                  <c:v>-3 years</c:v>
                </c:pt>
                <c:pt idx="1">
                  <c:v>-2 years</c:v>
                </c:pt>
                <c:pt idx="2">
                  <c:v>-1 year</c:v>
                </c:pt>
                <c:pt idx="3">
                  <c:v>baseline</c:v>
                </c:pt>
                <c:pt idx="4">
                  <c:v>1 year</c:v>
                </c:pt>
                <c:pt idx="5">
                  <c:v>2 years</c:v>
                </c:pt>
                <c:pt idx="6">
                  <c:v>3 years</c:v>
                </c:pt>
                <c:pt idx="7">
                  <c:v>4 years</c:v>
                </c:pt>
                <c:pt idx="8">
                  <c:v>5 years</c:v>
                </c:pt>
                <c:pt idx="9">
                  <c:v>6 years</c:v>
                </c:pt>
                <c:pt idx="10">
                  <c:v>7 years</c:v>
                </c:pt>
              </c:strCache>
            </c:strRef>
          </c:cat>
          <c:val>
            <c:numRef>
              <c:f>Sheet1!$G$52:$G$62</c:f>
              <c:numCache>
                <c:formatCode>General</c:formatCode>
                <c:ptCount val="11"/>
                <c:pt idx="0">
                  <c:v>0.97989999999999999</c:v>
                </c:pt>
                <c:pt idx="1">
                  <c:v>0.97290999999999994</c:v>
                </c:pt>
                <c:pt idx="2">
                  <c:v>0.96591999999999989</c:v>
                </c:pt>
                <c:pt idx="3">
                  <c:v>0.95892999999999984</c:v>
                </c:pt>
                <c:pt idx="4">
                  <c:v>0.95303999999999989</c:v>
                </c:pt>
                <c:pt idx="5">
                  <c:v>0.94714999999999994</c:v>
                </c:pt>
                <c:pt idx="6">
                  <c:v>0.94125999999999999</c:v>
                </c:pt>
                <c:pt idx="7">
                  <c:v>0.93537000000000003</c:v>
                </c:pt>
                <c:pt idx="8">
                  <c:v>0.92948000000000008</c:v>
                </c:pt>
                <c:pt idx="9">
                  <c:v>0.92359000000000013</c:v>
                </c:pt>
                <c:pt idx="10">
                  <c:v>0.91770000000000018</c:v>
                </c:pt>
              </c:numCache>
            </c:numRef>
          </c:val>
          <c:smooth val="0"/>
          <c:extLst>
            <c:ext xmlns:c16="http://schemas.microsoft.com/office/drawing/2014/chart" uri="{C3380CC4-5D6E-409C-BE32-E72D297353CC}">
              <c16:uniqueId val="{00000002-1807-4BAD-8BBA-804E152D0B80}"/>
            </c:ext>
          </c:extLst>
        </c:ser>
        <c:dLbls>
          <c:showLegendKey val="0"/>
          <c:showVal val="0"/>
          <c:showCatName val="0"/>
          <c:showSerName val="0"/>
          <c:showPercent val="0"/>
          <c:showBubbleSize val="0"/>
        </c:dLbls>
        <c:marker val="1"/>
        <c:smooth val="0"/>
        <c:axId val="403456456"/>
        <c:axId val="403457768"/>
      </c:lineChart>
      <c:catAx>
        <c:axId val="403456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457768"/>
        <c:crosses val="autoZero"/>
        <c:auto val="1"/>
        <c:lblAlgn val="ctr"/>
        <c:lblOffset val="100"/>
        <c:noMultiLvlLbl val="0"/>
      </c:catAx>
      <c:valAx>
        <c:axId val="4034577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456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50AC5FC4CF434CAF81B3CE03BFC2D8"/>
        <w:category>
          <w:name w:val="General"/>
          <w:gallery w:val="placeholder"/>
        </w:category>
        <w:types>
          <w:type w:val="bbPlcHdr"/>
        </w:types>
        <w:behaviors>
          <w:behavior w:val="content"/>
        </w:behaviors>
        <w:guid w:val="{AA18847B-6266-4C17-B3E8-55AAA8277530}"/>
      </w:docPartPr>
      <w:docPartBody>
        <w:p w:rsidR="00073F3C" w:rsidRDefault="00AC1AD2">
          <w:pPr>
            <w:pStyle w:val="4050AC5FC4CF434CAF81B3CE03BFC2D8"/>
          </w:pPr>
          <w:r w:rsidRPr="00174952">
            <w:rPr>
              <w:color w:val="A6A6A6" w:themeColor="background1" w:themeShade="A6"/>
            </w:rPr>
            <w:t>Click to choose your degree</w:t>
          </w:r>
        </w:p>
      </w:docPartBody>
    </w:docPart>
    <w:docPart>
      <w:docPartPr>
        <w:name w:val="08C639D7560D47549777506C1024DCA3"/>
        <w:category>
          <w:name w:val="General"/>
          <w:gallery w:val="placeholder"/>
        </w:category>
        <w:types>
          <w:type w:val="bbPlcHdr"/>
        </w:types>
        <w:behaviors>
          <w:behavior w:val="content"/>
        </w:behaviors>
        <w:guid w:val="{158CA053-0AFE-42E0-8F2F-172B6D005ACD}"/>
      </w:docPartPr>
      <w:docPartBody>
        <w:p w:rsidR="00073F3C" w:rsidRDefault="00AC1AD2">
          <w:pPr>
            <w:pStyle w:val="08C639D7560D47549777506C1024DCA3"/>
          </w:pPr>
          <w:r>
            <w:rPr>
              <w:rStyle w:val="PlaceholderText"/>
            </w:rPr>
            <w:t>Click to choose your 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ngsuh">
    <w:altName w:val="Times New Roman"/>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D2"/>
    <w:rsid w:val="00073F3C"/>
    <w:rsid w:val="00AC1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50AC5FC4CF434CAF81B3CE03BFC2D8">
    <w:name w:val="4050AC5FC4CF434CAF81B3CE03BFC2D8"/>
  </w:style>
  <w:style w:type="character" w:styleId="PlaceholderText">
    <w:name w:val="Placeholder Text"/>
    <w:basedOn w:val="DefaultParagraphFont"/>
    <w:uiPriority w:val="99"/>
    <w:semiHidden/>
    <w:rPr>
      <w:color w:val="808080"/>
    </w:rPr>
  </w:style>
  <w:style w:type="paragraph" w:customStyle="1" w:styleId="08C639D7560D47549777506C1024DCA3">
    <w:name w:val="08C639D7560D47549777506C1024DCA3"/>
  </w:style>
  <w:style w:type="paragraph" w:customStyle="1" w:styleId="D017062D6A11400E945671428503B3D3">
    <w:name w:val="D017062D6A11400E945671428503B3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65B7B-BA4C-4ED8-854A-DC517FE9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ETD_Template_Pitt_v1.7.dotx</Template>
  <TotalTime>3</TotalTime>
  <Pages>42</Pages>
  <Words>8453</Words>
  <Characters>49271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57609</CharactersWithSpaces>
  <SharedDoc>false</SharedDoc>
  <HLinks>
    <vt:vector size="120" baseType="variant">
      <vt:variant>
        <vt:i4>1638463</vt:i4>
      </vt:variant>
      <vt:variant>
        <vt:i4>131</vt:i4>
      </vt:variant>
      <vt:variant>
        <vt:i4>0</vt:i4>
      </vt:variant>
      <vt:variant>
        <vt:i4>5</vt:i4>
      </vt:variant>
      <vt:variant>
        <vt:lpwstr/>
      </vt:variant>
      <vt:variant>
        <vt:lpwstr>_Toc520984215</vt:lpwstr>
      </vt:variant>
      <vt:variant>
        <vt:i4>1638463</vt:i4>
      </vt:variant>
      <vt:variant>
        <vt:i4>125</vt:i4>
      </vt:variant>
      <vt:variant>
        <vt:i4>0</vt:i4>
      </vt:variant>
      <vt:variant>
        <vt:i4>5</vt:i4>
      </vt:variant>
      <vt:variant>
        <vt:lpwstr/>
      </vt:variant>
      <vt:variant>
        <vt:lpwstr>_Toc520984214</vt:lpwstr>
      </vt:variant>
      <vt:variant>
        <vt:i4>1638463</vt:i4>
      </vt:variant>
      <vt:variant>
        <vt:i4>119</vt:i4>
      </vt:variant>
      <vt:variant>
        <vt:i4>0</vt:i4>
      </vt:variant>
      <vt:variant>
        <vt:i4>5</vt:i4>
      </vt:variant>
      <vt:variant>
        <vt:lpwstr/>
      </vt:variant>
      <vt:variant>
        <vt:lpwstr>_Toc520984213</vt:lpwstr>
      </vt:variant>
      <vt:variant>
        <vt:i4>1441850</vt:i4>
      </vt:variant>
      <vt:variant>
        <vt:i4>110</vt:i4>
      </vt:variant>
      <vt:variant>
        <vt:i4>0</vt:i4>
      </vt:variant>
      <vt:variant>
        <vt:i4>5</vt:i4>
      </vt:variant>
      <vt:variant>
        <vt:lpwstr/>
      </vt:variant>
      <vt:variant>
        <vt:lpwstr>_Toc114179887</vt:lpwstr>
      </vt:variant>
      <vt:variant>
        <vt:i4>1245240</vt:i4>
      </vt:variant>
      <vt:variant>
        <vt:i4>101</vt:i4>
      </vt:variant>
      <vt:variant>
        <vt:i4>0</vt:i4>
      </vt:variant>
      <vt:variant>
        <vt:i4>5</vt:i4>
      </vt:variant>
      <vt:variant>
        <vt:lpwstr/>
      </vt:variant>
      <vt:variant>
        <vt:lpwstr>_Toc519260274</vt:lpwstr>
      </vt:variant>
      <vt:variant>
        <vt:i4>1245240</vt:i4>
      </vt:variant>
      <vt:variant>
        <vt:i4>95</vt:i4>
      </vt:variant>
      <vt:variant>
        <vt:i4>0</vt:i4>
      </vt:variant>
      <vt:variant>
        <vt:i4>5</vt:i4>
      </vt:variant>
      <vt:variant>
        <vt:lpwstr/>
      </vt:variant>
      <vt:variant>
        <vt:lpwstr>_Toc519260273</vt:lpwstr>
      </vt:variant>
      <vt:variant>
        <vt:i4>1245240</vt:i4>
      </vt:variant>
      <vt:variant>
        <vt:i4>89</vt:i4>
      </vt:variant>
      <vt:variant>
        <vt:i4>0</vt:i4>
      </vt:variant>
      <vt:variant>
        <vt:i4>5</vt:i4>
      </vt:variant>
      <vt:variant>
        <vt:lpwstr/>
      </vt:variant>
      <vt:variant>
        <vt:lpwstr>_Toc519260272</vt:lpwstr>
      </vt:variant>
      <vt:variant>
        <vt:i4>1245240</vt:i4>
      </vt:variant>
      <vt:variant>
        <vt:i4>83</vt:i4>
      </vt:variant>
      <vt:variant>
        <vt:i4>0</vt:i4>
      </vt:variant>
      <vt:variant>
        <vt:i4>5</vt:i4>
      </vt:variant>
      <vt:variant>
        <vt:lpwstr/>
      </vt:variant>
      <vt:variant>
        <vt:lpwstr>_Toc519260271</vt:lpwstr>
      </vt:variant>
      <vt:variant>
        <vt:i4>1245240</vt:i4>
      </vt:variant>
      <vt:variant>
        <vt:i4>77</vt:i4>
      </vt:variant>
      <vt:variant>
        <vt:i4>0</vt:i4>
      </vt:variant>
      <vt:variant>
        <vt:i4>5</vt:i4>
      </vt:variant>
      <vt:variant>
        <vt:lpwstr/>
      </vt:variant>
      <vt:variant>
        <vt:lpwstr>_Toc519260270</vt:lpwstr>
      </vt:variant>
      <vt:variant>
        <vt:i4>1179704</vt:i4>
      </vt:variant>
      <vt:variant>
        <vt:i4>71</vt:i4>
      </vt:variant>
      <vt:variant>
        <vt:i4>0</vt:i4>
      </vt:variant>
      <vt:variant>
        <vt:i4>5</vt:i4>
      </vt:variant>
      <vt:variant>
        <vt:lpwstr/>
      </vt:variant>
      <vt:variant>
        <vt:lpwstr>_Toc519260269</vt:lpwstr>
      </vt:variant>
      <vt:variant>
        <vt:i4>1179704</vt:i4>
      </vt:variant>
      <vt:variant>
        <vt:i4>65</vt:i4>
      </vt:variant>
      <vt:variant>
        <vt:i4>0</vt:i4>
      </vt:variant>
      <vt:variant>
        <vt:i4>5</vt:i4>
      </vt:variant>
      <vt:variant>
        <vt:lpwstr/>
      </vt:variant>
      <vt:variant>
        <vt:lpwstr>_Toc519260268</vt:lpwstr>
      </vt:variant>
      <vt:variant>
        <vt:i4>1179704</vt:i4>
      </vt:variant>
      <vt:variant>
        <vt:i4>59</vt:i4>
      </vt:variant>
      <vt:variant>
        <vt:i4>0</vt:i4>
      </vt:variant>
      <vt:variant>
        <vt:i4>5</vt:i4>
      </vt:variant>
      <vt:variant>
        <vt:lpwstr/>
      </vt:variant>
      <vt:variant>
        <vt:lpwstr>_Toc519260267</vt:lpwstr>
      </vt:variant>
      <vt:variant>
        <vt:i4>1179704</vt:i4>
      </vt:variant>
      <vt:variant>
        <vt:i4>53</vt:i4>
      </vt:variant>
      <vt:variant>
        <vt:i4>0</vt:i4>
      </vt:variant>
      <vt:variant>
        <vt:i4>5</vt:i4>
      </vt:variant>
      <vt:variant>
        <vt:lpwstr/>
      </vt:variant>
      <vt:variant>
        <vt:lpwstr>_Toc519260266</vt:lpwstr>
      </vt:variant>
      <vt:variant>
        <vt:i4>1179704</vt:i4>
      </vt:variant>
      <vt:variant>
        <vt:i4>47</vt:i4>
      </vt:variant>
      <vt:variant>
        <vt:i4>0</vt:i4>
      </vt:variant>
      <vt:variant>
        <vt:i4>5</vt:i4>
      </vt:variant>
      <vt:variant>
        <vt:lpwstr/>
      </vt:variant>
      <vt:variant>
        <vt:lpwstr>_Toc519260265</vt:lpwstr>
      </vt:variant>
      <vt:variant>
        <vt:i4>1179704</vt:i4>
      </vt:variant>
      <vt:variant>
        <vt:i4>41</vt:i4>
      </vt:variant>
      <vt:variant>
        <vt:i4>0</vt:i4>
      </vt:variant>
      <vt:variant>
        <vt:i4>5</vt:i4>
      </vt:variant>
      <vt:variant>
        <vt:lpwstr/>
      </vt:variant>
      <vt:variant>
        <vt:lpwstr>_Toc519260264</vt:lpwstr>
      </vt:variant>
      <vt:variant>
        <vt:i4>1179704</vt:i4>
      </vt:variant>
      <vt:variant>
        <vt:i4>35</vt:i4>
      </vt:variant>
      <vt:variant>
        <vt:i4>0</vt:i4>
      </vt:variant>
      <vt:variant>
        <vt:i4>5</vt:i4>
      </vt:variant>
      <vt:variant>
        <vt:lpwstr/>
      </vt:variant>
      <vt:variant>
        <vt:lpwstr>_Toc519260263</vt:lpwstr>
      </vt:variant>
      <vt:variant>
        <vt:i4>1179704</vt:i4>
      </vt:variant>
      <vt:variant>
        <vt:i4>29</vt:i4>
      </vt:variant>
      <vt:variant>
        <vt:i4>0</vt:i4>
      </vt:variant>
      <vt:variant>
        <vt:i4>5</vt:i4>
      </vt:variant>
      <vt:variant>
        <vt:lpwstr/>
      </vt:variant>
      <vt:variant>
        <vt:lpwstr>_Toc519260262</vt:lpwstr>
      </vt:variant>
      <vt:variant>
        <vt:i4>1179704</vt:i4>
      </vt:variant>
      <vt:variant>
        <vt:i4>23</vt:i4>
      </vt:variant>
      <vt:variant>
        <vt:i4>0</vt:i4>
      </vt:variant>
      <vt:variant>
        <vt:i4>5</vt:i4>
      </vt:variant>
      <vt:variant>
        <vt:lpwstr/>
      </vt:variant>
      <vt:variant>
        <vt:lpwstr>_Toc519260261</vt:lpwstr>
      </vt:variant>
      <vt:variant>
        <vt:i4>1179704</vt:i4>
      </vt:variant>
      <vt:variant>
        <vt:i4>17</vt:i4>
      </vt:variant>
      <vt:variant>
        <vt:i4>0</vt:i4>
      </vt:variant>
      <vt:variant>
        <vt:i4>5</vt:i4>
      </vt:variant>
      <vt:variant>
        <vt:lpwstr/>
      </vt:variant>
      <vt:variant>
        <vt:lpwstr>_Toc519260260</vt:lpwstr>
      </vt:variant>
      <vt:variant>
        <vt:i4>1114168</vt:i4>
      </vt:variant>
      <vt:variant>
        <vt:i4>11</vt:i4>
      </vt:variant>
      <vt:variant>
        <vt:i4>0</vt:i4>
      </vt:variant>
      <vt:variant>
        <vt:i4>5</vt:i4>
      </vt:variant>
      <vt:variant>
        <vt:lpwstr/>
      </vt:variant>
      <vt:variant>
        <vt:lpwstr>_Toc519260259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Fudrow, John P</dc:creator>
  <cp:keywords/>
  <dc:description/>
  <cp:lastModifiedBy>Pegher, Joanne</cp:lastModifiedBy>
  <cp:revision>5</cp:revision>
  <cp:lastPrinted>2005-09-30T13:41:00Z</cp:lastPrinted>
  <dcterms:created xsi:type="dcterms:W3CDTF">2019-04-18T17:06:00Z</dcterms:created>
  <dcterms:modified xsi:type="dcterms:W3CDTF">2019-10-04T21:43:00Z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51d1ffc7-6bb3-3765-94c3-88607a6e8ddc</vt:lpwstr>
  </property>
  <property fmtid="{D5CDD505-2E9C-101B-9397-08002B2CF9AE}" pid="24" name="Mendeley Citation Style_1">
    <vt:lpwstr>http://www.zotero.org/styles/apa</vt:lpwstr>
  </property>
</Properties>
</file>