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222809F" w14:textId="7817C0C2" w:rsidR="004E3B59" w:rsidRDefault="00733A9F" w:rsidP="00BF2B29">
      <w:r>
        <w:rPr>
          <w:noProof/>
        </w:rPr>
        <mc:AlternateContent>
          <mc:Choice Requires="wps">
            <w:drawing>
              <wp:anchor distT="0" distB="0" distL="114300" distR="114300" simplePos="0" relativeHeight="251656192" behindDoc="0" locked="0" layoutInCell="1" allowOverlap="1" wp14:anchorId="0D1418A1" wp14:editId="57018345">
                <wp:simplePos x="0" y="0"/>
                <wp:positionH relativeFrom="page">
                  <wp:posOffset>914400</wp:posOffset>
                </wp:positionH>
                <wp:positionV relativeFrom="page">
                  <wp:posOffset>914400</wp:posOffset>
                </wp:positionV>
                <wp:extent cx="5943600" cy="8343900"/>
                <wp:effectExtent l="0" t="0" r="0" b="0"/>
                <wp:wrapSquare wrapText="bothSides"/>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4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A1A24" w14:textId="14FD3227" w:rsidR="007E217A" w:rsidRDefault="007E217A" w:rsidP="00536110">
                            <w:pPr>
                              <w:jc w:val="center"/>
                              <w:rPr>
                                <w:b/>
                              </w:rPr>
                            </w:pPr>
                            <w:r>
                              <w:rPr>
                                <w:b/>
                              </w:rPr>
                              <w:t>PATIENT CONTINUITY IN PRIMARY CARE (ALLEGHENY HEALTH NETWORK)</w:t>
                            </w:r>
                          </w:p>
                          <w:p w14:paraId="1579A562" w14:textId="77777777" w:rsidR="007E217A" w:rsidRDefault="007E217A" w:rsidP="00536110">
                            <w:pPr>
                              <w:jc w:val="center"/>
                              <w:rPr>
                                <w:b/>
                              </w:rPr>
                            </w:pPr>
                          </w:p>
                          <w:p w14:paraId="76CA4CF5" w14:textId="77777777" w:rsidR="007E217A" w:rsidRDefault="007E217A" w:rsidP="00536110">
                            <w:pPr>
                              <w:jc w:val="center"/>
                              <w:rPr>
                                <w:b/>
                              </w:rPr>
                            </w:pPr>
                          </w:p>
                          <w:p w14:paraId="49F74139" w14:textId="77777777" w:rsidR="007E217A" w:rsidRDefault="007E217A" w:rsidP="00536110">
                            <w:pPr>
                              <w:jc w:val="center"/>
                              <w:rPr>
                                <w:b/>
                              </w:rPr>
                            </w:pPr>
                          </w:p>
                          <w:p w14:paraId="2D8E090A" w14:textId="77777777" w:rsidR="007E217A" w:rsidRDefault="007E217A" w:rsidP="00536110">
                            <w:pPr>
                              <w:jc w:val="center"/>
                              <w:rPr>
                                <w:b/>
                              </w:rPr>
                            </w:pPr>
                          </w:p>
                          <w:p w14:paraId="3CFD9C99" w14:textId="77777777" w:rsidR="007E217A" w:rsidRDefault="007E217A" w:rsidP="00536110">
                            <w:pPr>
                              <w:jc w:val="center"/>
                              <w:rPr>
                                <w:b/>
                              </w:rPr>
                            </w:pPr>
                          </w:p>
                          <w:p w14:paraId="686D7CDC" w14:textId="77777777" w:rsidR="007E217A" w:rsidRDefault="007E217A" w:rsidP="00536110">
                            <w:pPr>
                              <w:jc w:val="center"/>
                              <w:rPr>
                                <w:b/>
                              </w:rPr>
                            </w:pPr>
                          </w:p>
                          <w:p w14:paraId="4B5BF79C" w14:textId="77777777" w:rsidR="007E217A" w:rsidRDefault="007E217A" w:rsidP="00536110">
                            <w:pPr>
                              <w:jc w:val="center"/>
                              <w:rPr>
                                <w:b/>
                              </w:rPr>
                            </w:pPr>
                          </w:p>
                          <w:p w14:paraId="223706E5" w14:textId="77777777" w:rsidR="007E217A" w:rsidRDefault="007E217A" w:rsidP="00536110">
                            <w:pPr>
                              <w:jc w:val="center"/>
                              <w:rPr>
                                <w:b/>
                              </w:rPr>
                            </w:pPr>
                          </w:p>
                          <w:p w14:paraId="34105642" w14:textId="6DFB9C08" w:rsidR="007E217A" w:rsidRDefault="007E217A" w:rsidP="00B57E9B">
                            <w:pPr>
                              <w:jc w:val="center"/>
                            </w:pPr>
                            <w:r>
                              <w:t>by</w:t>
                            </w:r>
                          </w:p>
                          <w:p w14:paraId="5AC348E0" w14:textId="77777777" w:rsidR="007E217A" w:rsidRDefault="007E217A" w:rsidP="00B57E9B">
                            <w:pPr>
                              <w:jc w:val="center"/>
                            </w:pPr>
                          </w:p>
                          <w:p w14:paraId="71C9FE5C" w14:textId="0C5A0AF2" w:rsidR="007E217A" w:rsidRDefault="007E217A" w:rsidP="00B57E9B">
                            <w:pPr>
                              <w:jc w:val="center"/>
                            </w:pPr>
                            <w:r>
                              <w:t>Monica Menon</w:t>
                            </w:r>
                          </w:p>
                          <w:p w14:paraId="75628F1F" w14:textId="77777777" w:rsidR="007E217A" w:rsidRDefault="007E217A" w:rsidP="00B57E9B">
                            <w:pPr>
                              <w:jc w:val="center"/>
                            </w:pPr>
                          </w:p>
                          <w:p w14:paraId="6D300E33" w14:textId="1555930B" w:rsidR="007E217A" w:rsidRDefault="007E217A" w:rsidP="00536110">
                            <w:pPr>
                              <w:jc w:val="center"/>
                            </w:pPr>
                            <w:r>
                              <w:t>BS, Duquesne University, 2016</w:t>
                            </w:r>
                          </w:p>
                          <w:p w14:paraId="679DA140" w14:textId="77777777" w:rsidR="007E217A" w:rsidRPr="00834193" w:rsidRDefault="007E217A" w:rsidP="00536110">
                            <w:pPr>
                              <w:jc w:val="center"/>
                              <w:rPr>
                                <w:noProof/>
                              </w:rPr>
                            </w:pPr>
                          </w:p>
                          <w:p w14:paraId="254015A7" w14:textId="77777777" w:rsidR="007E217A" w:rsidRDefault="007E217A" w:rsidP="00536110">
                            <w:pPr>
                              <w:jc w:val="center"/>
                              <w:rPr>
                                <w:b/>
                              </w:rPr>
                            </w:pPr>
                          </w:p>
                          <w:p w14:paraId="268B75BF" w14:textId="77777777" w:rsidR="007E217A" w:rsidRDefault="007E217A" w:rsidP="00536110">
                            <w:pPr>
                              <w:jc w:val="center"/>
                              <w:rPr>
                                <w:b/>
                              </w:rPr>
                            </w:pPr>
                          </w:p>
                          <w:p w14:paraId="4F30DE34" w14:textId="77777777" w:rsidR="007E217A" w:rsidRDefault="007E217A" w:rsidP="00536110">
                            <w:pPr>
                              <w:jc w:val="center"/>
                              <w:rPr>
                                <w:b/>
                              </w:rPr>
                            </w:pPr>
                          </w:p>
                          <w:p w14:paraId="20C9451D" w14:textId="77777777" w:rsidR="007E217A" w:rsidRDefault="007E217A" w:rsidP="00536110">
                            <w:pPr>
                              <w:jc w:val="center"/>
                              <w:rPr>
                                <w:b/>
                              </w:rPr>
                            </w:pPr>
                          </w:p>
                          <w:p w14:paraId="646D234E" w14:textId="77777777" w:rsidR="007E217A" w:rsidRDefault="007E217A" w:rsidP="00536110">
                            <w:pPr>
                              <w:jc w:val="center"/>
                              <w:rPr>
                                <w:b/>
                              </w:rPr>
                            </w:pPr>
                          </w:p>
                          <w:p w14:paraId="49F042E6" w14:textId="77777777" w:rsidR="007E217A" w:rsidRDefault="007E217A" w:rsidP="00536110">
                            <w:pPr>
                              <w:jc w:val="center"/>
                              <w:rPr>
                                <w:b/>
                              </w:rPr>
                            </w:pPr>
                          </w:p>
                          <w:p w14:paraId="21434A0C" w14:textId="77777777" w:rsidR="007E217A" w:rsidRDefault="007E217A" w:rsidP="00536110">
                            <w:pPr>
                              <w:jc w:val="center"/>
                              <w:rPr>
                                <w:b/>
                              </w:rPr>
                            </w:pPr>
                          </w:p>
                          <w:p w14:paraId="2D7C75B1" w14:textId="77777777" w:rsidR="007E217A" w:rsidRDefault="007E217A" w:rsidP="00536110">
                            <w:pPr>
                              <w:jc w:val="center"/>
                              <w:rPr>
                                <w:b/>
                              </w:rPr>
                            </w:pPr>
                          </w:p>
                          <w:p w14:paraId="1ABBDE25" w14:textId="10D2504A" w:rsidR="007E217A" w:rsidRDefault="007E217A" w:rsidP="00B57E9B">
                            <w:pPr>
                              <w:jc w:val="center"/>
                            </w:pPr>
                            <w:r>
                              <w:t>Submitted to the Graduate Faculty of</w:t>
                            </w:r>
                          </w:p>
                          <w:p w14:paraId="6F5EDE1A" w14:textId="77777777" w:rsidR="007E217A" w:rsidRDefault="007E217A" w:rsidP="00B57E9B">
                            <w:pPr>
                              <w:jc w:val="center"/>
                            </w:pPr>
                          </w:p>
                          <w:p w14:paraId="3445F8ED" w14:textId="5C48C0C9" w:rsidR="007E217A" w:rsidRDefault="007E217A" w:rsidP="00B57E9B">
                            <w:pPr>
                              <w:jc w:val="center"/>
                            </w:pPr>
                            <w:r>
                              <w:t>Health Policy and Management</w:t>
                            </w:r>
                          </w:p>
                          <w:p w14:paraId="6E18D627" w14:textId="77777777" w:rsidR="007E217A" w:rsidRDefault="007E217A" w:rsidP="00B57E9B">
                            <w:pPr>
                              <w:jc w:val="center"/>
                            </w:pPr>
                          </w:p>
                          <w:p w14:paraId="7B6B5A82" w14:textId="1EC812E9" w:rsidR="007E217A" w:rsidRDefault="007E217A" w:rsidP="00B57E9B">
                            <w:pPr>
                              <w:jc w:val="center"/>
                            </w:pPr>
                            <w:r>
                              <w:t xml:space="preserve">Graduate School of Public Health in partial fulfillment </w:t>
                            </w:r>
                          </w:p>
                          <w:p w14:paraId="7C8A3109" w14:textId="77777777" w:rsidR="007E217A" w:rsidRDefault="007E217A" w:rsidP="00B57E9B">
                            <w:pPr>
                              <w:jc w:val="center"/>
                            </w:pPr>
                          </w:p>
                          <w:p w14:paraId="607C3931" w14:textId="5885EF03" w:rsidR="007E217A" w:rsidRDefault="007E217A" w:rsidP="00B57E9B">
                            <w:pPr>
                              <w:jc w:val="center"/>
                            </w:pPr>
                            <w:r>
                              <w:t>of the requirements for the degree of</w:t>
                            </w:r>
                          </w:p>
                          <w:p w14:paraId="252F2939" w14:textId="77777777" w:rsidR="007E217A" w:rsidRDefault="007E217A" w:rsidP="00B57E9B">
                            <w:pPr>
                              <w:jc w:val="center"/>
                            </w:pPr>
                          </w:p>
                          <w:p w14:paraId="18AAF255" w14:textId="77777777" w:rsidR="007E217A" w:rsidRDefault="007E217A" w:rsidP="00536110">
                            <w:pPr>
                              <w:jc w:val="center"/>
                            </w:pPr>
                            <w:r>
                              <w:t>Master of Health Administration</w:t>
                            </w:r>
                          </w:p>
                          <w:p w14:paraId="711F5F13" w14:textId="77777777" w:rsidR="007E217A" w:rsidRDefault="007E217A" w:rsidP="00536110">
                            <w:pPr>
                              <w:jc w:val="center"/>
                            </w:pPr>
                          </w:p>
                          <w:p w14:paraId="5B8F3E95" w14:textId="77777777" w:rsidR="007E217A" w:rsidRDefault="007E217A" w:rsidP="00536110">
                            <w:pPr>
                              <w:jc w:val="center"/>
                            </w:pPr>
                          </w:p>
                          <w:p w14:paraId="2160BC83" w14:textId="77777777" w:rsidR="007E217A" w:rsidRDefault="007E217A" w:rsidP="00B57E9B">
                            <w:pPr>
                              <w:jc w:val="center"/>
                            </w:pPr>
                          </w:p>
                          <w:p w14:paraId="172CB406" w14:textId="77777777" w:rsidR="007E217A" w:rsidRDefault="007E217A" w:rsidP="00B57E9B">
                            <w:pPr>
                              <w:jc w:val="center"/>
                            </w:pPr>
                          </w:p>
                          <w:p w14:paraId="29031A21" w14:textId="77777777" w:rsidR="007E217A" w:rsidRDefault="007E217A" w:rsidP="00B57E9B">
                            <w:pPr>
                              <w:jc w:val="center"/>
                            </w:pPr>
                          </w:p>
                          <w:p w14:paraId="770E368E" w14:textId="77777777" w:rsidR="007E217A" w:rsidRDefault="007E217A" w:rsidP="00B57E9B">
                            <w:pPr>
                              <w:jc w:val="center"/>
                            </w:pPr>
                          </w:p>
                          <w:p w14:paraId="774FEC3B" w14:textId="77777777" w:rsidR="007E217A" w:rsidRDefault="007E217A" w:rsidP="00B57E9B">
                            <w:pPr>
                              <w:jc w:val="center"/>
                            </w:pPr>
                          </w:p>
                          <w:p w14:paraId="50267D02" w14:textId="77777777" w:rsidR="007E217A" w:rsidRDefault="007E217A" w:rsidP="00B57E9B">
                            <w:pPr>
                              <w:jc w:val="center"/>
                            </w:pPr>
                          </w:p>
                          <w:p w14:paraId="6F968D04" w14:textId="77777777" w:rsidR="007E217A" w:rsidRDefault="007E217A" w:rsidP="00B57E9B">
                            <w:pPr>
                              <w:jc w:val="center"/>
                            </w:pPr>
                          </w:p>
                          <w:p w14:paraId="7DACC3BE" w14:textId="7378B0AE" w:rsidR="007E217A" w:rsidRDefault="007E217A" w:rsidP="00337CC7">
                            <w:pPr>
                              <w:jc w:val="center"/>
                            </w:pPr>
                            <w:r w:rsidRPr="00AB08F3">
                              <w:t>University of Pittsburg</w:t>
                            </w:r>
                            <w:r>
                              <w:t>h</w:t>
                            </w:r>
                          </w:p>
                          <w:p w14:paraId="781EFFE3" w14:textId="77777777" w:rsidR="007E217A" w:rsidRPr="00AB08F3" w:rsidRDefault="007E217A" w:rsidP="00337CC7">
                            <w:pPr>
                              <w:jc w:val="center"/>
                            </w:pPr>
                          </w:p>
                          <w:p w14:paraId="67DE4270" w14:textId="77777777" w:rsidR="007E217A" w:rsidRPr="004E3B59" w:rsidRDefault="007E217A" w:rsidP="006B1124">
                            <w:pPr>
                              <w:jc w:val="center"/>
                              <w:rPr>
                                <w:b/>
                              </w:rPr>
                            </w:pPr>
                            <w: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418A1" id="_x0000_t202" coordsize="21600,21600" o:spt="202" path="m,l,21600r21600,l21600,xe">
                <v:stroke joinstyle="miter"/>
                <v:path gradientshapeok="t" o:connecttype="rect"/>
              </v:shapetype>
              <v:shape id="Text Box 14" o:spid="_x0000_s1026" type="#_x0000_t202" style="position:absolute;margin-left:1in;margin-top:1in;width:468pt;height:65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" stroked="f">
                <v:textbox inset="0,0,0,0">
                  <w:txbxContent>
                    <w:p w14:paraId="246A1A24" w14:textId="14FD3227" w:rsidR="007E217A" w:rsidRDefault="007E217A" w:rsidP="00536110">
                      <w:pPr>
                        <w:jc w:val="center"/>
                        <w:rPr>
                          <w:b/>
                        </w:rPr>
                      </w:pPr>
                      <w:r>
                        <w:rPr>
                          <w:b/>
                        </w:rPr>
                        <w:t>PATIENT CONTINUITY IN PRIMARY CARE (ALLEGHENY HEALTH NETWORK)</w:t>
                      </w:r>
                    </w:p>
                    <w:p w14:paraId="1579A562" w14:textId="77777777" w:rsidR="007E217A" w:rsidRDefault="007E217A" w:rsidP="00536110">
                      <w:pPr>
                        <w:jc w:val="center"/>
                        <w:rPr>
                          <w:b/>
                        </w:rPr>
                      </w:pPr>
                    </w:p>
                    <w:p w14:paraId="76CA4CF5" w14:textId="77777777" w:rsidR="007E217A" w:rsidRDefault="007E217A" w:rsidP="00536110">
                      <w:pPr>
                        <w:jc w:val="center"/>
                        <w:rPr>
                          <w:b/>
                        </w:rPr>
                      </w:pPr>
                    </w:p>
                    <w:p w14:paraId="49F74139" w14:textId="77777777" w:rsidR="007E217A" w:rsidRDefault="007E217A" w:rsidP="00536110">
                      <w:pPr>
                        <w:jc w:val="center"/>
                        <w:rPr>
                          <w:b/>
                        </w:rPr>
                      </w:pPr>
                    </w:p>
                    <w:p w14:paraId="2D8E090A" w14:textId="77777777" w:rsidR="007E217A" w:rsidRDefault="007E217A" w:rsidP="00536110">
                      <w:pPr>
                        <w:jc w:val="center"/>
                        <w:rPr>
                          <w:b/>
                        </w:rPr>
                      </w:pPr>
                    </w:p>
                    <w:p w14:paraId="3CFD9C99" w14:textId="77777777" w:rsidR="007E217A" w:rsidRDefault="007E217A" w:rsidP="00536110">
                      <w:pPr>
                        <w:jc w:val="center"/>
                        <w:rPr>
                          <w:b/>
                        </w:rPr>
                      </w:pPr>
                    </w:p>
                    <w:p w14:paraId="686D7CDC" w14:textId="77777777" w:rsidR="007E217A" w:rsidRDefault="007E217A" w:rsidP="00536110">
                      <w:pPr>
                        <w:jc w:val="center"/>
                        <w:rPr>
                          <w:b/>
                        </w:rPr>
                      </w:pPr>
                    </w:p>
                    <w:p w14:paraId="4B5BF79C" w14:textId="77777777" w:rsidR="007E217A" w:rsidRDefault="007E217A" w:rsidP="00536110">
                      <w:pPr>
                        <w:jc w:val="center"/>
                        <w:rPr>
                          <w:b/>
                        </w:rPr>
                      </w:pPr>
                    </w:p>
                    <w:p w14:paraId="223706E5" w14:textId="77777777" w:rsidR="007E217A" w:rsidRDefault="007E217A" w:rsidP="00536110">
                      <w:pPr>
                        <w:jc w:val="center"/>
                        <w:rPr>
                          <w:b/>
                        </w:rPr>
                      </w:pPr>
                    </w:p>
                    <w:p w14:paraId="34105642" w14:textId="6DFB9C08" w:rsidR="007E217A" w:rsidRDefault="007E217A" w:rsidP="00B57E9B">
                      <w:pPr>
                        <w:jc w:val="center"/>
                      </w:pPr>
                      <w:r>
                        <w:t>by</w:t>
                      </w:r>
                    </w:p>
                    <w:p w14:paraId="5AC348E0" w14:textId="77777777" w:rsidR="007E217A" w:rsidRDefault="007E217A" w:rsidP="00B57E9B">
                      <w:pPr>
                        <w:jc w:val="center"/>
                      </w:pPr>
                    </w:p>
                    <w:p w14:paraId="71C9FE5C" w14:textId="0C5A0AF2" w:rsidR="007E217A" w:rsidRDefault="007E217A" w:rsidP="00B57E9B">
                      <w:pPr>
                        <w:jc w:val="center"/>
                      </w:pPr>
                      <w:r>
                        <w:t>Monica Menon</w:t>
                      </w:r>
                    </w:p>
                    <w:p w14:paraId="75628F1F" w14:textId="77777777" w:rsidR="007E217A" w:rsidRDefault="007E217A" w:rsidP="00B57E9B">
                      <w:pPr>
                        <w:jc w:val="center"/>
                      </w:pPr>
                    </w:p>
                    <w:p w14:paraId="6D300E33" w14:textId="1555930B" w:rsidR="007E217A" w:rsidRDefault="007E217A" w:rsidP="00536110">
                      <w:pPr>
                        <w:jc w:val="center"/>
                      </w:pPr>
                      <w:r>
                        <w:t>BS, Duquesne University, 2016</w:t>
                      </w:r>
                    </w:p>
                    <w:p w14:paraId="679DA140" w14:textId="77777777" w:rsidR="007E217A" w:rsidRPr="00834193" w:rsidRDefault="007E217A" w:rsidP="00536110">
                      <w:pPr>
                        <w:jc w:val="center"/>
                        <w:rPr>
                          <w:noProof/>
                        </w:rPr>
                      </w:pPr>
                    </w:p>
                    <w:p w14:paraId="254015A7" w14:textId="77777777" w:rsidR="007E217A" w:rsidRDefault="007E217A" w:rsidP="00536110">
                      <w:pPr>
                        <w:jc w:val="center"/>
                        <w:rPr>
                          <w:b/>
                        </w:rPr>
                      </w:pPr>
                    </w:p>
                    <w:p w14:paraId="268B75BF" w14:textId="77777777" w:rsidR="007E217A" w:rsidRDefault="007E217A" w:rsidP="00536110">
                      <w:pPr>
                        <w:jc w:val="center"/>
                        <w:rPr>
                          <w:b/>
                        </w:rPr>
                      </w:pPr>
                    </w:p>
                    <w:p w14:paraId="4F30DE34" w14:textId="77777777" w:rsidR="007E217A" w:rsidRDefault="007E217A" w:rsidP="00536110">
                      <w:pPr>
                        <w:jc w:val="center"/>
                        <w:rPr>
                          <w:b/>
                        </w:rPr>
                      </w:pPr>
                    </w:p>
                    <w:p w14:paraId="20C9451D" w14:textId="77777777" w:rsidR="007E217A" w:rsidRDefault="007E217A" w:rsidP="00536110">
                      <w:pPr>
                        <w:jc w:val="center"/>
                        <w:rPr>
                          <w:b/>
                        </w:rPr>
                      </w:pPr>
                    </w:p>
                    <w:p w14:paraId="646D234E" w14:textId="77777777" w:rsidR="007E217A" w:rsidRDefault="007E217A" w:rsidP="00536110">
                      <w:pPr>
                        <w:jc w:val="center"/>
                        <w:rPr>
                          <w:b/>
                        </w:rPr>
                      </w:pPr>
                    </w:p>
                    <w:p w14:paraId="49F042E6" w14:textId="77777777" w:rsidR="007E217A" w:rsidRDefault="007E217A" w:rsidP="00536110">
                      <w:pPr>
                        <w:jc w:val="center"/>
                        <w:rPr>
                          <w:b/>
                        </w:rPr>
                      </w:pPr>
                    </w:p>
                    <w:p w14:paraId="21434A0C" w14:textId="77777777" w:rsidR="007E217A" w:rsidRDefault="007E217A" w:rsidP="00536110">
                      <w:pPr>
                        <w:jc w:val="center"/>
                        <w:rPr>
                          <w:b/>
                        </w:rPr>
                      </w:pPr>
                    </w:p>
                    <w:p w14:paraId="2D7C75B1" w14:textId="77777777" w:rsidR="007E217A" w:rsidRDefault="007E217A" w:rsidP="00536110">
                      <w:pPr>
                        <w:jc w:val="center"/>
                        <w:rPr>
                          <w:b/>
                        </w:rPr>
                      </w:pPr>
                    </w:p>
                    <w:p w14:paraId="1ABBDE25" w14:textId="10D2504A" w:rsidR="007E217A" w:rsidRDefault="007E217A" w:rsidP="00B57E9B">
                      <w:pPr>
                        <w:jc w:val="center"/>
                      </w:pPr>
                      <w:r>
                        <w:t>Submitted to the Graduate Faculty of</w:t>
                      </w:r>
                    </w:p>
                    <w:p w14:paraId="6F5EDE1A" w14:textId="77777777" w:rsidR="007E217A" w:rsidRDefault="007E217A" w:rsidP="00B57E9B">
                      <w:pPr>
                        <w:jc w:val="center"/>
                      </w:pPr>
                    </w:p>
                    <w:p w14:paraId="3445F8ED" w14:textId="5C48C0C9" w:rsidR="007E217A" w:rsidRDefault="007E217A" w:rsidP="00B57E9B">
                      <w:pPr>
                        <w:jc w:val="center"/>
                      </w:pPr>
                      <w:r>
                        <w:t>Health Policy and Management</w:t>
                      </w:r>
                    </w:p>
                    <w:p w14:paraId="6E18D627" w14:textId="77777777" w:rsidR="007E217A" w:rsidRDefault="007E217A" w:rsidP="00B57E9B">
                      <w:pPr>
                        <w:jc w:val="center"/>
                      </w:pPr>
                    </w:p>
                    <w:p w14:paraId="7B6B5A82" w14:textId="1EC812E9" w:rsidR="007E217A" w:rsidRDefault="007E217A" w:rsidP="00B57E9B">
                      <w:pPr>
                        <w:jc w:val="center"/>
                      </w:pPr>
                      <w:r>
                        <w:t xml:space="preserve">Graduate School of Public Health in partial fulfillment </w:t>
                      </w:r>
                    </w:p>
                    <w:p w14:paraId="7C8A3109" w14:textId="77777777" w:rsidR="007E217A" w:rsidRDefault="007E217A" w:rsidP="00B57E9B">
                      <w:pPr>
                        <w:jc w:val="center"/>
                      </w:pPr>
                    </w:p>
                    <w:p w14:paraId="607C3931" w14:textId="5885EF03" w:rsidR="007E217A" w:rsidRDefault="007E217A" w:rsidP="00B57E9B">
                      <w:pPr>
                        <w:jc w:val="center"/>
                      </w:pPr>
                      <w:r>
                        <w:t>of the requirements for the degree of</w:t>
                      </w:r>
                    </w:p>
                    <w:p w14:paraId="252F2939" w14:textId="77777777" w:rsidR="007E217A" w:rsidRDefault="007E217A" w:rsidP="00B57E9B">
                      <w:pPr>
                        <w:jc w:val="center"/>
                      </w:pPr>
                    </w:p>
                    <w:p w14:paraId="18AAF255" w14:textId="77777777" w:rsidR="007E217A" w:rsidRDefault="007E217A" w:rsidP="00536110">
                      <w:pPr>
                        <w:jc w:val="center"/>
                      </w:pPr>
                      <w:r>
                        <w:t>Master of Health Administration</w:t>
                      </w:r>
                    </w:p>
                    <w:p w14:paraId="711F5F13" w14:textId="77777777" w:rsidR="007E217A" w:rsidRDefault="007E217A" w:rsidP="00536110">
                      <w:pPr>
                        <w:jc w:val="center"/>
                      </w:pPr>
                    </w:p>
                    <w:p w14:paraId="5B8F3E95" w14:textId="77777777" w:rsidR="007E217A" w:rsidRDefault="007E217A" w:rsidP="00536110">
                      <w:pPr>
                        <w:jc w:val="center"/>
                      </w:pPr>
                    </w:p>
                    <w:p w14:paraId="2160BC83" w14:textId="77777777" w:rsidR="007E217A" w:rsidRDefault="007E217A" w:rsidP="00B57E9B">
                      <w:pPr>
                        <w:jc w:val="center"/>
                      </w:pPr>
                    </w:p>
                    <w:p w14:paraId="172CB406" w14:textId="77777777" w:rsidR="007E217A" w:rsidRDefault="007E217A" w:rsidP="00B57E9B">
                      <w:pPr>
                        <w:jc w:val="center"/>
                      </w:pPr>
                    </w:p>
                    <w:p w14:paraId="29031A21" w14:textId="77777777" w:rsidR="007E217A" w:rsidRDefault="007E217A" w:rsidP="00B57E9B">
                      <w:pPr>
                        <w:jc w:val="center"/>
                      </w:pPr>
                    </w:p>
                    <w:p w14:paraId="770E368E" w14:textId="77777777" w:rsidR="007E217A" w:rsidRDefault="007E217A" w:rsidP="00B57E9B">
                      <w:pPr>
                        <w:jc w:val="center"/>
                      </w:pPr>
                    </w:p>
                    <w:p w14:paraId="774FEC3B" w14:textId="77777777" w:rsidR="007E217A" w:rsidRDefault="007E217A" w:rsidP="00B57E9B">
                      <w:pPr>
                        <w:jc w:val="center"/>
                      </w:pPr>
                    </w:p>
                    <w:p w14:paraId="50267D02" w14:textId="77777777" w:rsidR="007E217A" w:rsidRDefault="007E217A" w:rsidP="00B57E9B">
                      <w:pPr>
                        <w:jc w:val="center"/>
                      </w:pPr>
                    </w:p>
                    <w:p w14:paraId="6F968D04" w14:textId="77777777" w:rsidR="007E217A" w:rsidRDefault="007E217A" w:rsidP="00B57E9B">
                      <w:pPr>
                        <w:jc w:val="center"/>
                      </w:pPr>
                    </w:p>
                    <w:p w14:paraId="7DACC3BE" w14:textId="7378B0AE" w:rsidR="007E217A" w:rsidRDefault="007E217A" w:rsidP="00337CC7">
                      <w:pPr>
                        <w:jc w:val="center"/>
                      </w:pPr>
                      <w:r w:rsidRPr="00AB08F3">
                        <w:t>University of Pittsburg</w:t>
                      </w:r>
                      <w:r>
                        <w:t>h</w:t>
                      </w:r>
                    </w:p>
                    <w:p w14:paraId="781EFFE3" w14:textId="77777777" w:rsidR="007E217A" w:rsidRPr="00AB08F3" w:rsidRDefault="007E217A" w:rsidP="00337CC7">
                      <w:pPr>
                        <w:jc w:val="center"/>
                      </w:pPr>
                    </w:p>
                    <w:p w14:paraId="67DE4270" w14:textId="77777777" w:rsidR="007E217A" w:rsidRPr="004E3B59" w:rsidRDefault="007E217A" w:rsidP="006B1124">
                      <w:pPr>
                        <w:jc w:val="center"/>
                        <w:rPr>
                          <w:b/>
                        </w:rPr>
                      </w:pPr>
                      <w:r>
                        <w:t>2019</w:t>
                      </w:r>
                    </w:p>
                  </w:txbxContent>
                </v:textbox>
                <w10:wrap type="square" anchorx="page" anchory="page"/>
              </v:shape>
            </w:pict>
          </mc:Fallback>
        </mc:AlternateContent>
      </w:r>
    </w:p>
    <w:p w14:paraId="26F9C1E2" w14:textId="77777777" w:rsidR="00B25656" w:rsidRDefault="00733A9F" w:rsidP="007F763B">
      <w:pPr>
        <w:pStyle w:val="Noindent"/>
        <w:spacing w:line="240" w:lineRule="auto"/>
      </w:pPr>
      <w:r>
        <w:rPr>
          <w:noProof/>
        </w:rPr>
        <w:lastRenderedPageBreak/>
        <mc:AlternateContent>
          <mc:Choice Requires="wps">
            <w:drawing>
              <wp:anchor distT="0" distB="0" distL="114300" distR="114300" simplePos="0" relativeHeight="251657216" behindDoc="0" locked="0" layoutInCell="1" allowOverlap="1" wp14:anchorId="7015E367" wp14:editId="35CEEFA5">
                <wp:simplePos x="0" y="0"/>
                <wp:positionH relativeFrom="page">
                  <wp:posOffset>1009650</wp:posOffset>
                </wp:positionH>
                <wp:positionV relativeFrom="margin">
                  <wp:posOffset>342900</wp:posOffset>
                </wp:positionV>
                <wp:extent cx="5848350" cy="7242175"/>
                <wp:effectExtent l="0" t="0" r="0" b="0"/>
                <wp:wrapSquare wrapText="bothSides"/>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724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92067" w14:textId="77777777" w:rsidR="007E217A" w:rsidRDefault="007E217A" w:rsidP="006B1124">
                            <w:pPr>
                              <w:jc w:val="center"/>
                            </w:pPr>
                            <w:r>
                              <w:t>UNIVERSITY OF PITTSBURGH</w:t>
                            </w:r>
                          </w:p>
                          <w:p w14:paraId="736CE150" w14:textId="77777777" w:rsidR="007E217A" w:rsidRDefault="007E217A" w:rsidP="00536110">
                            <w:pPr>
                              <w:jc w:val="center"/>
                            </w:pPr>
                            <w:r>
                              <w:t>GRADUATE SCHOOL OF PUBLIC HEALTH</w:t>
                            </w:r>
                          </w:p>
                          <w:p w14:paraId="330CA85C" w14:textId="77777777" w:rsidR="007E217A" w:rsidRDefault="007E217A" w:rsidP="00536110">
                            <w:pPr>
                              <w:jc w:val="center"/>
                            </w:pPr>
                          </w:p>
                          <w:p w14:paraId="07A3934A" w14:textId="77777777" w:rsidR="007E217A" w:rsidRDefault="007E217A" w:rsidP="00536110">
                            <w:pPr>
                              <w:jc w:val="center"/>
                            </w:pPr>
                          </w:p>
                          <w:p w14:paraId="29562466" w14:textId="77777777" w:rsidR="007E217A" w:rsidRDefault="007E217A" w:rsidP="00536110">
                            <w:pPr>
                              <w:jc w:val="center"/>
                            </w:pPr>
                          </w:p>
                          <w:p w14:paraId="68BF1E77" w14:textId="77777777" w:rsidR="007E217A" w:rsidRDefault="007E217A" w:rsidP="00536110">
                            <w:pPr>
                              <w:jc w:val="center"/>
                            </w:pPr>
                          </w:p>
                          <w:p w14:paraId="0700AB07" w14:textId="77777777" w:rsidR="007E217A" w:rsidRDefault="007E217A" w:rsidP="00536110">
                            <w:pPr>
                              <w:jc w:val="center"/>
                            </w:pPr>
                          </w:p>
                          <w:p w14:paraId="3FADDF52" w14:textId="77777777" w:rsidR="007E217A" w:rsidRDefault="007E217A" w:rsidP="00536110">
                            <w:pPr>
                              <w:jc w:val="center"/>
                            </w:pPr>
                          </w:p>
                          <w:p w14:paraId="0C5D13F9" w14:textId="78C8604A" w:rsidR="007E217A" w:rsidRDefault="007E217A" w:rsidP="006A5780">
                            <w:pPr>
                              <w:jc w:val="center"/>
                            </w:pPr>
                            <w:r>
                              <w:t>This essay is submitted</w:t>
                            </w:r>
                          </w:p>
                          <w:p w14:paraId="3A22EA93" w14:textId="77777777" w:rsidR="007E217A" w:rsidRDefault="007E217A" w:rsidP="006A5780">
                            <w:pPr>
                              <w:jc w:val="center"/>
                            </w:pPr>
                          </w:p>
                          <w:p w14:paraId="69D4005C" w14:textId="6C3A554A" w:rsidR="007E217A" w:rsidRDefault="007E217A" w:rsidP="006B1124">
                            <w:pPr>
                              <w:jc w:val="center"/>
                            </w:pPr>
                            <w:r>
                              <w:t>by</w:t>
                            </w:r>
                          </w:p>
                          <w:p w14:paraId="6EF17DC7" w14:textId="77777777" w:rsidR="007E217A" w:rsidRDefault="007E217A" w:rsidP="006B1124">
                            <w:pPr>
                              <w:jc w:val="center"/>
                            </w:pPr>
                          </w:p>
                          <w:p w14:paraId="051EBF83" w14:textId="0D7C1CAF" w:rsidR="007E217A" w:rsidRDefault="007E217A" w:rsidP="006A5780">
                            <w:pPr>
                              <w:jc w:val="center"/>
                            </w:pPr>
                            <w:r>
                              <w:t>Monica Menon</w:t>
                            </w:r>
                          </w:p>
                          <w:p w14:paraId="07A5C242" w14:textId="77777777" w:rsidR="007E217A" w:rsidRDefault="007E217A" w:rsidP="006A5780">
                            <w:pPr>
                              <w:jc w:val="center"/>
                            </w:pPr>
                          </w:p>
                          <w:p w14:paraId="7D1A2442" w14:textId="77777777" w:rsidR="007E217A" w:rsidRDefault="007E217A" w:rsidP="006A5780">
                            <w:pPr>
                              <w:jc w:val="center"/>
                            </w:pPr>
                            <w:r>
                              <w:t>on</w:t>
                            </w:r>
                          </w:p>
                          <w:p w14:paraId="228BEE32" w14:textId="10D42682" w:rsidR="007E217A" w:rsidRDefault="007E217A" w:rsidP="006A5780">
                            <w:pPr>
                              <w:jc w:val="center"/>
                            </w:pPr>
                          </w:p>
                          <w:p w14:paraId="35D5FA28" w14:textId="10C902E5" w:rsidR="007E217A" w:rsidRDefault="007E217A" w:rsidP="006A5780">
                            <w:pPr>
                              <w:jc w:val="center"/>
                            </w:pPr>
                            <w:r>
                              <w:t>April</w:t>
                            </w:r>
                            <w:r w:rsidR="00CA37BA">
                              <w:t xml:space="preserve"> 24</w:t>
                            </w:r>
                            <w:r>
                              <w:t>, 2019</w:t>
                            </w:r>
                          </w:p>
                          <w:p w14:paraId="5200C70C" w14:textId="77777777" w:rsidR="007E217A" w:rsidRDefault="007E217A" w:rsidP="006A5780">
                            <w:pPr>
                              <w:jc w:val="center"/>
                            </w:pPr>
                          </w:p>
                          <w:p w14:paraId="33C3B5B5" w14:textId="0475495C" w:rsidR="007E217A" w:rsidRDefault="007E217A" w:rsidP="006A5780">
                            <w:pPr>
                              <w:jc w:val="center"/>
                            </w:pPr>
                            <w:r>
                              <w:t>and approved by</w:t>
                            </w:r>
                          </w:p>
                          <w:p w14:paraId="761EADC7" w14:textId="77777777" w:rsidR="007E217A" w:rsidRDefault="007E217A" w:rsidP="006A5780">
                            <w:pPr>
                              <w:jc w:val="center"/>
                            </w:pPr>
                          </w:p>
                          <w:p w14:paraId="11FDA102" w14:textId="4AA88248" w:rsidR="007E217A" w:rsidRPr="00B25656" w:rsidRDefault="007E217A" w:rsidP="00B25656">
                            <w:pPr>
                              <w:jc w:val="center"/>
                              <w:rPr>
                                <w:b/>
                              </w:rPr>
                            </w:pPr>
                            <w:r w:rsidRPr="00B25656">
                              <w:rPr>
                                <w:b/>
                              </w:rPr>
                              <w:t>Essay Advisor:</w:t>
                            </w:r>
                          </w:p>
                          <w:p w14:paraId="4A168AFD" w14:textId="19AB64C8" w:rsidR="007E217A" w:rsidRDefault="007E217A" w:rsidP="00B25656">
                            <w:pPr>
                              <w:jc w:val="center"/>
                            </w:pPr>
                            <w:r>
                              <w:t>Tina Hershey, JD, MPH</w:t>
                            </w:r>
                          </w:p>
                          <w:p w14:paraId="5F46084C" w14:textId="43EA3C64" w:rsidR="007E217A" w:rsidRDefault="007E217A" w:rsidP="00B25656">
                            <w:pPr>
                              <w:jc w:val="center"/>
                            </w:pPr>
                            <w:r>
                              <w:t>Professor</w:t>
                            </w:r>
                          </w:p>
                          <w:p w14:paraId="4C545A95" w14:textId="7F1A85F4" w:rsidR="007E217A" w:rsidRDefault="007E217A" w:rsidP="00B25656">
                            <w:pPr>
                              <w:jc w:val="center"/>
                            </w:pPr>
                            <w:r>
                              <w:t>Health Policy and Management</w:t>
                            </w:r>
                          </w:p>
                          <w:p w14:paraId="5B23F2EC" w14:textId="5E7251AE" w:rsidR="007E217A" w:rsidRDefault="007E217A" w:rsidP="00B25656">
                            <w:pPr>
                              <w:jc w:val="center"/>
                            </w:pPr>
                            <w:r>
                              <w:t>Graduate School of Public Health</w:t>
                            </w:r>
                          </w:p>
                          <w:p w14:paraId="0D2B3E0D" w14:textId="77777777" w:rsidR="007E217A" w:rsidRDefault="007E217A" w:rsidP="00B25656">
                            <w:pPr>
                              <w:jc w:val="center"/>
                            </w:pPr>
                            <w:r>
                              <w:t>University of Pittsburgh</w:t>
                            </w:r>
                          </w:p>
                          <w:p w14:paraId="4EF824EE" w14:textId="77777777" w:rsidR="007E217A" w:rsidRDefault="007E217A" w:rsidP="00B25656">
                            <w:pPr>
                              <w:jc w:val="center"/>
                            </w:pPr>
                          </w:p>
                          <w:p w14:paraId="20AD9EBF" w14:textId="77777777" w:rsidR="007E217A" w:rsidRDefault="007E217A" w:rsidP="00B25656">
                            <w:pPr>
                              <w:jc w:val="center"/>
                            </w:pPr>
                          </w:p>
                          <w:p w14:paraId="3FAFC886" w14:textId="77777777" w:rsidR="007E217A" w:rsidRPr="00B25656" w:rsidRDefault="007E217A" w:rsidP="00B25656">
                            <w:pPr>
                              <w:jc w:val="center"/>
                              <w:rPr>
                                <w:b/>
                              </w:rPr>
                            </w:pPr>
                            <w:r w:rsidRPr="00B25656">
                              <w:rPr>
                                <w:b/>
                              </w:rPr>
                              <w:t>Essay Reader:</w:t>
                            </w:r>
                          </w:p>
                          <w:p w14:paraId="55AC8CED" w14:textId="5B972835" w:rsidR="007E217A" w:rsidRDefault="007E217A" w:rsidP="00B25656">
                            <w:pPr>
                              <w:jc w:val="center"/>
                            </w:pPr>
                            <w:r>
                              <w:t>Gary Fischer, MD</w:t>
                            </w:r>
                          </w:p>
                          <w:p w14:paraId="50EE61A1" w14:textId="532F2275" w:rsidR="007E217A" w:rsidRDefault="007E217A" w:rsidP="00B25656">
                            <w:pPr>
                              <w:jc w:val="center"/>
                            </w:pPr>
                            <w:r>
                              <w:t>Professor</w:t>
                            </w:r>
                          </w:p>
                          <w:p w14:paraId="487CFA4B" w14:textId="1E084786" w:rsidR="007E217A" w:rsidRDefault="007E217A" w:rsidP="00B25656">
                            <w:pPr>
                              <w:jc w:val="center"/>
                            </w:pPr>
                            <w:r>
                              <w:t>Division of General Internal Medicine</w:t>
                            </w:r>
                          </w:p>
                          <w:p w14:paraId="7D9AFA3E" w14:textId="4937712A" w:rsidR="007E217A" w:rsidRDefault="007E217A" w:rsidP="00B25656">
                            <w:pPr>
                              <w:jc w:val="center"/>
                            </w:pPr>
                            <w:r>
                              <w:t>School of Medicine</w:t>
                            </w:r>
                          </w:p>
                          <w:p w14:paraId="3D7F050D" w14:textId="77777777" w:rsidR="007E217A" w:rsidRDefault="007E217A" w:rsidP="00B25656">
                            <w:pPr>
                              <w:jc w:val="center"/>
                            </w:pPr>
                            <w:r>
                              <w:t>University of Pittsburgh</w:t>
                            </w:r>
                          </w:p>
                          <w:p w14:paraId="4CF1862F" w14:textId="77777777" w:rsidR="007E217A" w:rsidRDefault="007E217A" w:rsidP="00030D3B"/>
                          <w:p w14:paraId="68B59755" w14:textId="77777777" w:rsidR="007E217A" w:rsidRDefault="007E217A" w:rsidP="00030D3B"/>
                          <w:p w14:paraId="32AC1027" w14:textId="77777777" w:rsidR="007E217A" w:rsidRPr="00936D40" w:rsidRDefault="007E217A" w:rsidP="006B112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5E367" id="Text Box 26" o:spid="_x0000_s1027" type="#_x0000_t202" style="position:absolute;margin-left:79.5pt;margin-top:27pt;width:460.5pt;height:57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" stroked="f">
                <v:textbox>
                  <w:txbxContent>
                    <w:p w14:paraId="3F492067" w14:textId="77777777" w:rsidR="007E217A" w:rsidRDefault="007E217A" w:rsidP="006B1124">
                      <w:pPr>
                        <w:jc w:val="center"/>
                      </w:pPr>
                      <w:r>
                        <w:t>UNIVERSITY OF PITTSBURGH</w:t>
                      </w:r>
                    </w:p>
                    <w:p w14:paraId="736CE150" w14:textId="77777777" w:rsidR="007E217A" w:rsidRDefault="007E217A" w:rsidP="00536110">
                      <w:pPr>
                        <w:jc w:val="center"/>
                      </w:pPr>
                      <w:r>
                        <w:t>GRADUATE SCHOOL OF PUBLIC HEALTH</w:t>
                      </w:r>
                    </w:p>
                    <w:p w14:paraId="330CA85C" w14:textId="77777777" w:rsidR="007E217A" w:rsidRDefault="007E217A" w:rsidP="00536110">
                      <w:pPr>
                        <w:jc w:val="center"/>
                      </w:pPr>
                    </w:p>
                    <w:p w14:paraId="07A3934A" w14:textId="77777777" w:rsidR="007E217A" w:rsidRDefault="007E217A" w:rsidP="00536110">
                      <w:pPr>
                        <w:jc w:val="center"/>
                      </w:pPr>
                    </w:p>
                    <w:p w14:paraId="29562466" w14:textId="77777777" w:rsidR="007E217A" w:rsidRDefault="007E217A" w:rsidP="00536110">
                      <w:pPr>
                        <w:jc w:val="center"/>
                      </w:pPr>
                    </w:p>
                    <w:p w14:paraId="68BF1E77" w14:textId="77777777" w:rsidR="007E217A" w:rsidRDefault="007E217A" w:rsidP="00536110">
                      <w:pPr>
                        <w:jc w:val="center"/>
                      </w:pPr>
                    </w:p>
                    <w:p w14:paraId="0700AB07" w14:textId="77777777" w:rsidR="007E217A" w:rsidRDefault="007E217A" w:rsidP="00536110">
                      <w:pPr>
                        <w:jc w:val="center"/>
                      </w:pPr>
                    </w:p>
                    <w:p w14:paraId="3FADDF52" w14:textId="77777777" w:rsidR="007E217A" w:rsidRDefault="007E217A" w:rsidP="00536110">
                      <w:pPr>
                        <w:jc w:val="center"/>
                      </w:pPr>
                    </w:p>
                    <w:p w14:paraId="0C5D13F9" w14:textId="78C8604A" w:rsidR="007E217A" w:rsidRDefault="007E217A" w:rsidP="006A5780">
                      <w:pPr>
                        <w:jc w:val="center"/>
                      </w:pPr>
                      <w:r>
                        <w:t>This essay is submitted</w:t>
                      </w:r>
                    </w:p>
                    <w:p w14:paraId="3A22EA93" w14:textId="77777777" w:rsidR="007E217A" w:rsidRDefault="007E217A" w:rsidP="006A5780">
                      <w:pPr>
                        <w:jc w:val="center"/>
                      </w:pPr>
                    </w:p>
                    <w:p w14:paraId="69D4005C" w14:textId="6C3A554A" w:rsidR="007E217A" w:rsidRDefault="007E217A" w:rsidP="006B1124">
                      <w:pPr>
                        <w:jc w:val="center"/>
                      </w:pPr>
                      <w:r>
                        <w:t>by</w:t>
                      </w:r>
                    </w:p>
                    <w:p w14:paraId="6EF17DC7" w14:textId="77777777" w:rsidR="007E217A" w:rsidRDefault="007E217A" w:rsidP="006B1124">
                      <w:pPr>
                        <w:jc w:val="center"/>
                      </w:pPr>
                    </w:p>
                    <w:p w14:paraId="051EBF83" w14:textId="0D7C1CAF" w:rsidR="007E217A" w:rsidRDefault="007E217A" w:rsidP="006A5780">
                      <w:pPr>
                        <w:jc w:val="center"/>
                      </w:pPr>
                      <w:r>
                        <w:t>Monica Menon</w:t>
                      </w:r>
                    </w:p>
                    <w:p w14:paraId="07A5C242" w14:textId="77777777" w:rsidR="007E217A" w:rsidRDefault="007E217A" w:rsidP="006A5780">
                      <w:pPr>
                        <w:jc w:val="center"/>
                      </w:pPr>
                    </w:p>
                    <w:p w14:paraId="7D1A2442" w14:textId="77777777" w:rsidR="007E217A" w:rsidRDefault="007E217A" w:rsidP="006A5780">
                      <w:pPr>
                        <w:jc w:val="center"/>
                      </w:pPr>
                      <w:r>
                        <w:t>on</w:t>
                      </w:r>
                    </w:p>
                    <w:p w14:paraId="228BEE32" w14:textId="10D42682" w:rsidR="007E217A" w:rsidRDefault="007E217A" w:rsidP="006A5780">
                      <w:pPr>
                        <w:jc w:val="center"/>
                      </w:pPr>
                    </w:p>
                    <w:p w14:paraId="35D5FA28" w14:textId="10C902E5" w:rsidR="007E217A" w:rsidRDefault="007E217A" w:rsidP="006A5780">
                      <w:pPr>
                        <w:jc w:val="center"/>
                      </w:pPr>
                      <w:r>
                        <w:t>April</w:t>
                      </w:r>
                      <w:r w:rsidR="00CA37BA">
                        <w:t xml:space="preserve"> 24</w:t>
                      </w:r>
                      <w:r>
                        <w:t>, 2019</w:t>
                      </w:r>
                    </w:p>
                    <w:p w14:paraId="5200C70C" w14:textId="77777777" w:rsidR="007E217A" w:rsidRDefault="007E217A" w:rsidP="006A5780">
                      <w:pPr>
                        <w:jc w:val="center"/>
                      </w:pPr>
                    </w:p>
                    <w:p w14:paraId="33C3B5B5" w14:textId="0475495C" w:rsidR="007E217A" w:rsidRDefault="007E217A" w:rsidP="006A5780">
                      <w:pPr>
                        <w:jc w:val="center"/>
                      </w:pPr>
                      <w:r>
                        <w:t>and approved by</w:t>
                      </w:r>
                    </w:p>
                    <w:p w14:paraId="761EADC7" w14:textId="77777777" w:rsidR="007E217A" w:rsidRDefault="007E217A" w:rsidP="006A5780">
                      <w:pPr>
                        <w:jc w:val="center"/>
                      </w:pPr>
                    </w:p>
                    <w:p w14:paraId="11FDA102" w14:textId="4AA88248" w:rsidR="007E217A" w:rsidRPr="00B25656" w:rsidRDefault="007E217A" w:rsidP="00B25656">
                      <w:pPr>
                        <w:jc w:val="center"/>
                        <w:rPr>
                          <w:b/>
                        </w:rPr>
                      </w:pPr>
                      <w:r w:rsidRPr="00B25656">
                        <w:rPr>
                          <w:b/>
                        </w:rPr>
                        <w:t>Essay Advisor:</w:t>
                      </w:r>
                    </w:p>
                    <w:p w14:paraId="4A168AFD" w14:textId="19AB64C8" w:rsidR="007E217A" w:rsidRDefault="007E217A" w:rsidP="00B25656">
                      <w:pPr>
                        <w:jc w:val="center"/>
                      </w:pPr>
                      <w:r>
                        <w:t>Tina Hershey, JD, MPH</w:t>
                      </w:r>
                    </w:p>
                    <w:p w14:paraId="5F46084C" w14:textId="43EA3C64" w:rsidR="007E217A" w:rsidRDefault="007E217A" w:rsidP="00B25656">
                      <w:pPr>
                        <w:jc w:val="center"/>
                      </w:pPr>
                      <w:r>
                        <w:t>Professor</w:t>
                      </w:r>
                    </w:p>
                    <w:p w14:paraId="4C545A95" w14:textId="7F1A85F4" w:rsidR="007E217A" w:rsidRDefault="007E217A" w:rsidP="00B25656">
                      <w:pPr>
                        <w:jc w:val="center"/>
                      </w:pPr>
                      <w:r>
                        <w:t>Health Policy and Management</w:t>
                      </w:r>
                    </w:p>
                    <w:p w14:paraId="5B23F2EC" w14:textId="5E7251AE" w:rsidR="007E217A" w:rsidRDefault="007E217A" w:rsidP="00B25656">
                      <w:pPr>
                        <w:jc w:val="center"/>
                      </w:pPr>
                      <w:r>
                        <w:t>Graduate School of Public Health</w:t>
                      </w:r>
                    </w:p>
                    <w:p w14:paraId="0D2B3E0D" w14:textId="77777777" w:rsidR="007E217A" w:rsidRDefault="007E217A" w:rsidP="00B25656">
                      <w:pPr>
                        <w:jc w:val="center"/>
                      </w:pPr>
                      <w:r>
                        <w:t>University of Pittsburgh</w:t>
                      </w:r>
                    </w:p>
                    <w:p w14:paraId="4EF824EE" w14:textId="77777777" w:rsidR="007E217A" w:rsidRDefault="007E217A" w:rsidP="00B25656">
                      <w:pPr>
                        <w:jc w:val="center"/>
                      </w:pPr>
                    </w:p>
                    <w:p w14:paraId="20AD9EBF" w14:textId="77777777" w:rsidR="007E217A" w:rsidRDefault="007E217A" w:rsidP="00B25656">
                      <w:pPr>
                        <w:jc w:val="center"/>
                      </w:pPr>
                    </w:p>
                    <w:p w14:paraId="3FAFC886" w14:textId="77777777" w:rsidR="007E217A" w:rsidRPr="00B25656" w:rsidRDefault="007E217A" w:rsidP="00B25656">
                      <w:pPr>
                        <w:jc w:val="center"/>
                        <w:rPr>
                          <w:b/>
                        </w:rPr>
                      </w:pPr>
                      <w:r w:rsidRPr="00B25656">
                        <w:rPr>
                          <w:b/>
                        </w:rPr>
                        <w:t>Essay Reader:</w:t>
                      </w:r>
                    </w:p>
                    <w:p w14:paraId="55AC8CED" w14:textId="5B972835" w:rsidR="007E217A" w:rsidRDefault="007E217A" w:rsidP="00B25656">
                      <w:pPr>
                        <w:jc w:val="center"/>
                      </w:pPr>
                      <w:r>
                        <w:t>Gary Fischer, MD</w:t>
                      </w:r>
                    </w:p>
                    <w:p w14:paraId="50EE61A1" w14:textId="532F2275" w:rsidR="007E217A" w:rsidRDefault="007E217A" w:rsidP="00B25656">
                      <w:pPr>
                        <w:jc w:val="center"/>
                      </w:pPr>
                      <w:r>
                        <w:t>Professor</w:t>
                      </w:r>
                    </w:p>
                    <w:p w14:paraId="487CFA4B" w14:textId="1E084786" w:rsidR="007E217A" w:rsidRDefault="007E217A" w:rsidP="00B25656">
                      <w:pPr>
                        <w:jc w:val="center"/>
                      </w:pPr>
                      <w:r>
                        <w:t>Division of General Internal Medicine</w:t>
                      </w:r>
                    </w:p>
                    <w:p w14:paraId="7D9AFA3E" w14:textId="4937712A" w:rsidR="007E217A" w:rsidRDefault="007E217A" w:rsidP="00B25656">
                      <w:pPr>
                        <w:jc w:val="center"/>
                      </w:pPr>
                      <w:r>
                        <w:t>School of Medicine</w:t>
                      </w:r>
                    </w:p>
                    <w:p w14:paraId="3D7F050D" w14:textId="77777777" w:rsidR="007E217A" w:rsidRDefault="007E217A" w:rsidP="00B25656">
                      <w:pPr>
                        <w:jc w:val="center"/>
                      </w:pPr>
                      <w:r>
                        <w:t>University of Pittsburgh</w:t>
                      </w:r>
                    </w:p>
                    <w:p w14:paraId="4CF1862F" w14:textId="77777777" w:rsidR="007E217A" w:rsidRDefault="007E217A" w:rsidP="00030D3B"/>
                    <w:p w14:paraId="68B59755" w14:textId="77777777" w:rsidR="007E217A" w:rsidRDefault="007E217A" w:rsidP="00030D3B"/>
                    <w:p w14:paraId="32AC1027" w14:textId="77777777" w:rsidR="007E217A" w:rsidRPr="00936D40" w:rsidRDefault="007E217A" w:rsidP="006B1124">
                      <w:pPr>
                        <w:jc w:val="center"/>
                      </w:pPr>
                    </w:p>
                  </w:txbxContent>
                </v:textbox>
                <w10:wrap type="square" anchorx="page" anchory="margin"/>
              </v:shape>
            </w:pict>
          </mc:Fallback>
        </mc:AlternateContent>
      </w:r>
      <w:r w:rsidR="00834193">
        <w:br w:type="page"/>
      </w:r>
      <w:r>
        <w:rPr>
          <w:noProof/>
        </w:rPr>
        <w:lastRenderedPageBreak/>
        <mc:AlternateContent>
          <mc:Choice Requires="wps">
            <w:drawing>
              <wp:anchor distT="0" distB="0" distL="114300" distR="114300" simplePos="0" relativeHeight="251658240" behindDoc="0" locked="0" layoutInCell="1" allowOverlap="1" wp14:anchorId="308E97FB" wp14:editId="69693D6A">
                <wp:simplePos x="0" y="0"/>
                <wp:positionH relativeFrom="page">
                  <wp:posOffset>914400</wp:posOffset>
                </wp:positionH>
                <wp:positionV relativeFrom="page">
                  <wp:posOffset>4686300</wp:posOffset>
                </wp:positionV>
                <wp:extent cx="5943600" cy="1066800"/>
                <wp:effectExtent l="0" t="0" r="0" b="0"/>
                <wp:wrapSquare wrapText="bothSides"/>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F0881" w14:textId="2A9FBF13" w:rsidR="007E217A" w:rsidRDefault="007E217A" w:rsidP="006B1124">
                            <w:pPr>
                              <w:jc w:val="center"/>
                            </w:pPr>
                            <w:r>
                              <w:t>Copyright © by Monica Menon</w:t>
                            </w:r>
                          </w:p>
                          <w:p w14:paraId="4D721298" w14:textId="77777777" w:rsidR="007E217A" w:rsidRDefault="007E217A" w:rsidP="006B1124">
                            <w:pPr>
                              <w:jc w:val="center"/>
                            </w:pPr>
                          </w:p>
                          <w:p w14:paraId="19F63B1F" w14:textId="77777777" w:rsidR="007E217A" w:rsidRDefault="007E217A" w:rsidP="006B1124">
                            <w:pPr>
                              <w:jc w:val="center"/>
                            </w:pPr>
                            <w: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E97FB" id="Text Box 30" o:spid="_x0000_s1028" type="#_x0000_t202" style="position:absolute;margin-left:1in;margin-top:369pt;width:468pt;height:8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0QThgIAABg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" stroked="f">
                <v:textbox>
                  <w:txbxContent>
                    <w:p w14:paraId="73FF0881" w14:textId="2A9FBF13" w:rsidR="007E217A" w:rsidRDefault="007E217A" w:rsidP="006B1124">
                      <w:pPr>
                        <w:jc w:val="center"/>
                      </w:pPr>
                      <w:r>
                        <w:t>Copyright © by Monica Menon</w:t>
                      </w:r>
                    </w:p>
                    <w:p w14:paraId="4D721298" w14:textId="77777777" w:rsidR="007E217A" w:rsidRDefault="007E217A" w:rsidP="006B1124">
                      <w:pPr>
                        <w:jc w:val="center"/>
                      </w:pPr>
                    </w:p>
                    <w:p w14:paraId="19F63B1F" w14:textId="77777777" w:rsidR="007E217A" w:rsidRDefault="007E217A" w:rsidP="006B1124">
                      <w:pPr>
                        <w:jc w:val="center"/>
                      </w:pPr>
                      <w:r>
                        <w:t>2019</w:t>
                      </w:r>
                    </w:p>
                  </w:txbxContent>
                </v:textbox>
                <w10:wrap type="square" anchorx="page" anchory="page"/>
              </v:shape>
            </w:pict>
          </mc:Fallback>
        </mc:AlternateContent>
      </w:r>
      <w:r w:rsidR="002D01B1">
        <w:br w:type="page"/>
      </w:r>
    </w:p>
    <w:p w14:paraId="7605F054" w14:textId="0A20A0FF" w:rsidR="00B25656" w:rsidRDefault="00B25656" w:rsidP="007F763B">
      <w:pPr>
        <w:pStyle w:val="Noindent"/>
        <w:spacing w:line="240" w:lineRule="auto"/>
      </w:pPr>
      <w:r>
        <w:rPr>
          <w:noProof/>
        </w:rPr>
        <w:lastRenderedPageBreak/>
        <mc:AlternateContent>
          <mc:Choice Requires="wps">
            <w:drawing>
              <wp:anchor distT="0" distB="0" distL="114300" distR="114300" simplePos="0" relativeHeight="251659264" behindDoc="0" locked="0" layoutInCell="1" allowOverlap="1" wp14:anchorId="0566056C" wp14:editId="30489E98">
                <wp:simplePos x="0" y="0"/>
                <wp:positionH relativeFrom="column">
                  <wp:posOffset>-57150</wp:posOffset>
                </wp:positionH>
                <wp:positionV relativeFrom="margin">
                  <wp:posOffset>-114300</wp:posOffset>
                </wp:positionV>
                <wp:extent cx="5996940" cy="1447800"/>
                <wp:effectExtent l="0" t="0" r="0" b="0"/>
                <wp:wrapSquare wrapText="bothSides"/>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B2AF0" w14:textId="1EDBDE8F" w:rsidR="007E217A" w:rsidRDefault="007E217A" w:rsidP="00B25656">
                            <w:pPr>
                              <w:jc w:val="right"/>
                            </w:pPr>
                            <w:r>
                              <w:t>Tina Hershey, JD, MPH</w:t>
                            </w:r>
                          </w:p>
                          <w:p w14:paraId="713AF98C" w14:textId="77777777" w:rsidR="007E217A" w:rsidRPr="005F1BB6" w:rsidRDefault="007E217A" w:rsidP="005F1BB6">
                            <w:pPr>
                              <w:jc w:val="right"/>
                            </w:pPr>
                          </w:p>
                          <w:p w14:paraId="7E84712F" w14:textId="50E50FAF" w:rsidR="007E217A" w:rsidRDefault="007E217A" w:rsidP="006B1124">
                            <w:pPr>
                              <w:jc w:val="center"/>
                              <w:rPr>
                                <w:b/>
                              </w:rPr>
                            </w:pPr>
                            <w:r>
                              <w:rPr>
                                <w:b/>
                              </w:rPr>
                              <w:t>PATIENT CONTINUITY IN PRIMARY CARE (ALLEGHENY HEALTH NETWORK)</w:t>
                            </w:r>
                          </w:p>
                          <w:p w14:paraId="16413C6E" w14:textId="77777777" w:rsidR="007E217A" w:rsidRDefault="007E217A" w:rsidP="006B1124">
                            <w:pPr>
                              <w:jc w:val="center"/>
                              <w:rPr>
                                <w:b/>
                              </w:rPr>
                            </w:pPr>
                          </w:p>
                          <w:p w14:paraId="39F705B2" w14:textId="37C339A9" w:rsidR="007E217A" w:rsidRDefault="007E217A" w:rsidP="006B1124">
                            <w:pPr>
                              <w:jc w:val="center"/>
                            </w:pPr>
                            <w:r>
                              <w:t>Monica Menon, MHA</w:t>
                            </w:r>
                          </w:p>
                          <w:p w14:paraId="5787E874" w14:textId="77777777" w:rsidR="007E217A" w:rsidRDefault="007E217A" w:rsidP="006B1124">
                            <w:pPr>
                              <w:jc w:val="center"/>
                            </w:pPr>
                          </w:p>
                          <w:p w14:paraId="54A24D9D" w14:textId="77777777" w:rsidR="007E217A" w:rsidRDefault="007E217A" w:rsidP="006B1124">
                            <w:pPr>
                              <w:jc w:val="center"/>
                            </w:pPr>
                            <w:r>
                              <w:t>University of Pittsburgh, 2019</w:t>
                            </w:r>
                            <w:r>
                              <w:br w:type="pag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6056C" id="Text Box 33" o:spid="_x0000_s1029" type="#_x0000_t202" style="position:absolute;margin-left:-4.5pt;margin-top:-9pt;width:472.2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V5ugIAAMI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" filled="f" stroked="f">
                <v:textbox>
                  <w:txbxContent>
                    <w:p w14:paraId="34CB2AF0" w14:textId="1EDBDE8F" w:rsidR="007E217A" w:rsidRDefault="007E217A" w:rsidP="00B25656">
                      <w:pPr>
                        <w:jc w:val="right"/>
                      </w:pPr>
                      <w:r>
                        <w:t>Tina Hershey, JD, MPH</w:t>
                      </w:r>
                    </w:p>
                    <w:p w14:paraId="713AF98C" w14:textId="77777777" w:rsidR="007E217A" w:rsidRPr="005F1BB6" w:rsidRDefault="007E217A" w:rsidP="005F1BB6">
                      <w:pPr>
                        <w:jc w:val="right"/>
                      </w:pPr>
                    </w:p>
                    <w:p w14:paraId="7E84712F" w14:textId="50E50FAF" w:rsidR="007E217A" w:rsidRDefault="007E217A" w:rsidP="006B1124">
                      <w:pPr>
                        <w:jc w:val="center"/>
                        <w:rPr>
                          <w:b/>
                        </w:rPr>
                      </w:pPr>
                      <w:r>
                        <w:rPr>
                          <w:b/>
                        </w:rPr>
                        <w:t>PATIENT CONTINUITY IN PRIMARY CARE (ALLEGHENY HEALTH NETWORK)</w:t>
                      </w:r>
                    </w:p>
                    <w:p w14:paraId="16413C6E" w14:textId="77777777" w:rsidR="007E217A" w:rsidRDefault="007E217A" w:rsidP="006B1124">
                      <w:pPr>
                        <w:jc w:val="center"/>
                        <w:rPr>
                          <w:b/>
                        </w:rPr>
                      </w:pPr>
                    </w:p>
                    <w:p w14:paraId="39F705B2" w14:textId="37C339A9" w:rsidR="007E217A" w:rsidRDefault="007E217A" w:rsidP="006B1124">
                      <w:pPr>
                        <w:jc w:val="center"/>
                      </w:pPr>
                      <w:r>
                        <w:t>Monica Menon, MHA</w:t>
                      </w:r>
                    </w:p>
                    <w:p w14:paraId="5787E874" w14:textId="77777777" w:rsidR="007E217A" w:rsidRDefault="007E217A" w:rsidP="006B1124">
                      <w:pPr>
                        <w:jc w:val="center"/>
                      </w:pPr>
                    </w:p>
                    <w:p w14:paraId="54A24D9D" w14:textId="77777777" w:rsidR="007E217A" w:rsidRDefault="007E217A" w:rsidP="006B1124">
                      <w:pPr>
                        <w:jc w:val="center"/>
                      </w:pPr>
                      <w:r>
                        <w:t>University of Pittsburgh, 2019</w:t>
                      </w:r>
                      <w:r>
                        <w:br w:type="page"/>
                      </w:r>
                    </w:p>
                  </w:txbxContent>
                </v:textbox>
                <w10:wrap type="square" anchory="margin"/>
              </v:shape>
            </w:pict>
          </mc:Fallback>
        </mc:AlternateContent>
      </w:r>
    </w:p>
    <w:p w14:paraId="50F46503" w14:textId="0DAEE8AB" w:rsidR="007F763B" w:rsidRDefault="007F763B" w:rsidP="007F763B">
      <w:pPr>
        <w:pStyle w:val="Noindent"/>
        <w:spacing w:line="240" w:lineRule="auto"/>
        <w:rPr>
          <w:b/>
        </w:rPr>
      </w:pPr>
      <w:r w:rsidRPr="007F763B">
        <w:rPr>
          <w:b/>
        </w:rPr>
        <w:t>ABSTRACT</w:t>
      </w:r>
    </w:p>
    <w:p w14:paraId="37E2F9B5" w14:textId="77777777" w:rsidR="00475B58" w:rsidRPr="00475B58" w:rsidRDefault="00475B58" w:rsidP="00475B58"/>
    <w:p w14:paraId="4AD3F324" w14:textId="6E526EE0" w:rsidR="006B1124" w:rsidRDefault="00BB6DE2" w:rsidP="008A110F">
      <w:pPr>
        <w:pStyle w:val="Noindent"/>
        <w:rPr>
          <w:b/>
        </w:rPr>
      </w:pPr>
      <w:r w:rsidRPr="00BB6DE2">
        <w:rPr>
          <w:b/>
        </w:rPr>
        <w:t>Motivation:</w:t>
      </w:r>
      <w:r>
        <w:t xml:space="preserve"> </w:t>
      </w:r>
      <w:r w:rsidR="00A11A0D">
        <w:t xml:space="preserve">Patient continuity </w:t>
      </w:r>
      <w:r w:rsidR="007556D7">
        <w:t>in primary care has</w:t>
      </w:r>
      <w:r w:rsidR="00F0477A">
        <w:t xml:space="preserve"> a huge impact on public health by reducing</w:t>
      </w:r>
      <w:r w:rsidR="00271238">
        <w:t xml:space="preserve"> the separation of care</w:t>
      </w:r>
      <w:r w:rsidR="00F0477A">
        <w:t xml:space="preserve">, and making </w:t>
      </w:r>
      <w:r w:rsidR="00271238">
        <w:t xml:space="preserve">care unified. </w:t>
      </w:r>
      <w:r w:rsidR="00F0477A">
        <w:t>Patient</w:t>
      </w:r>
      <w:r w:rsidR="00271238">
        <w:t xml:space="preserve"> safety and quality of care </w:t>
      </w:r>
      <w:r w:rsidR="00F0477A">
        <w:t>are improved, which leads to the overall improvement of</w:t>
      </w:r>
      <w:r w:rsidR="00271238">
        <w:t xml:space="preserve"> public health as well. </w:t>
      </w:r>
    </w:p>
    <w:p w14:paraId="4FBF9576" w14:textId="70C1BA5B" w:rsidR="00BB6DE2" w:rsidRDefault="00BB6DE2" w:rsidP="00BB6DE2">
      <w:pPr>
        <w:spacing w:line="480" w:lineRule="auto"/>
      </w:pPr>
      <w:r w:rsidRPr="00BB6DE2">
        <w:rPr>
          <w:b/>
        </w:rPr>
        <w:t>Problem Statement:</w:t>
      </w:r>
      <w:r>
        <w:t xml:space="preserve"> Allegheny Health Network</w:t>
      </w:r>
      <w:r w:rsidR="00F0477A">
        <w:t xml:space="preserve"> (AHN)</w:t>
      </w:r>
      <w:r>
        <w:t xml:space="preserve"> is an advocate of patient continuity with the health care advantages including reduced costs, reduced hospitalization stays, increased satisfaction, and overall improve quality.  </w:t>
      </w:r>
      <w:r w:rsidR="00F0477A">
        <w:t>The AHN</w:t>
      </w:r>
      <w:r>
        <w:t xml:space="preserve"> primary care service line wanted to see if any of the factors that play a part in patient continuity affected the patients of </w:t>
      </w:r>
      <w:r w:rsidR="00C1253D">
        <w:t>AHN</w:t>
      </w:r>
      <w:r w:rsidR="00F0477A">
        <w:t xml:space="preserve"> when deciding which</w:t>
      </w:r>
      <w:r>
        <w:t xml:space="preserve"> provider to </w:t>
      </w:r>
      <w:r w:rsidR="00F0477A">
        <w:t>choose</w:t>
      </w:r>
      <w:r>
        <w:t xml:space="preserve">. </w:t>
      </w:r>
    </w:p>
    <w:p w14:paraId="03D5AB82" w14:textId="0610C3A5" w:rsidR="00BB6DE2" w:rsidRDefault="00BB6DE2" w:rsidP="00BB6DE2">
      <w:pPr>
        <w:spacing w:line="480" w:lineRule="auto"/>
      </w:pPr>
      <w:r w:rsidRPr="00BB6DE2">
        <w:rPr>
          <w:b/>
        </w:rPr>
        <w:t>Approach:</w:t>
      </w:r>
      <w:r w:rsidRPr="00BB6DE2">
        <w:t xml:space="preserve"> </w:t>
      </w:r>
      <w:r>
        <w:t xml:space="preserve">Data was analyzed by calculating care of continuity index scores for each provider. Then, data regarding </w:t>
      </w:r>
      <w:r w:rsidR="00F0477A">
        <w:t>certain</w:t>
      </w:r>
      <w:r>
        <w:t xml:space="preserve"> factors was extracted from various Tableau dashboards and spreadsheets. Graphs were then made comparing the care of continuity index scores with these factors trying to see if there was a trend that the research stated. </w:t>
      </w:r>
    </w:p>
    <w:p w14:paraId="14865A5E" w14:textId="75C50A3B" w:rsidR="00BB6DE2" w:rsidRDefault="00BB6DE2" w:rsidP="00BB6DE2">
      <w:pPr>
        <w:spacing w:line="480" w:lineRule="auto"/>
      </w:pPr>
      <w:r w:rsidRPr="00BB6DE2">
        <w:rPr>
          <w:b/>
        </w:rPr>
        <w:t>Results:</w:t>
      </w:r>
      <w:r w:rsidRPr="00BB6DE2">
        <w:t xml:space="preserve"> </w:t>
      </w:r>
      <w:r>
        <w:t>A</w:t>
      </w:r>
      <w:r w:rsidRPr="00BB6DE2">
        <w:t xml:space="preserve">verage age, </w:t>
      </w:r>
      <w:r w:rsidR="002C6580">
        <w:t xml:space="preserve">Highmark Medicare, Medicare, </w:t>
      </w:r>
      <w:r w:rsidRPr="00BB6DE2">
        <w:t>emergency department, and ease of scheduling appointment had a positive relationship</w:t>
      </w:r>
      <w:r w:rsidR="00F0477A">
        <w:t xml:space="preserve"> with care of continuity</w:t>
      </w:r>
      <w:r w:rsidRPr="00BB6DE2">
        <w:t>. Chronic conditions had a negative relationship</w:t>
      </w:r>
      <w:r w:rsidR="00F0477A">
        <w:t xml:space="preserve"> with care of continuity</w:t>
      </w:r>
      <w:r w:rsidRPr="00BB6DE2">
        <w:t xml:space="preserve">. </w:t>
      </w:r>
      <w:r w:rsidR="002C6580">
        <w:t>Gateway Medicare, Highmark Insurance, and UPMC Insurance,</w:t>
      </w:r>
      <w:r w:rsidRPr="00BB6DE2">
        <w:t xml:space="preserve"> and overall standard for patient experience had no relationship</w:t>
      </w:r>
      <w:r w:rsidR="00F0477A">
        <w:t xml:space="preserve"> with care of continuity</w:t>
      </w:r>
      <w:r w:rsidRPr="00BB6DE2">
        <w:t>. As CGCAPHS</w:t>
      </w:r>
      <w:r w:rsidR="00F0477A">
        <w:t xml:space="preserve"> </w:t>
      </w:r>
      <w:r w:rsidR="00F0477A" w:rsidRPr="00C811F7">
        <w:t xml:space="preserve">(Clinician and Group Consumer Assessment of Healthcare Providers and Systems) </w:t>
      </w:r>
      <w:r w:rsidRPr="00BB6DE2">
        <w:t>rank and rank of access decreased, there was increased patient continuity</w:t>
      </w:r>
      <w:r>
        <w:t>.</w:t>
      </w:r>
    </w:p>
    <w:p w14:paraId="613FDF52" w14:textId="3A07783F" w:rsidR="00BB6DE2" w:rsidRPr="00BB6DE2" w:rsidRDefault="00BB6DE2" w:rsidP="00BB6DE2">
      <w:pPr>
        <w:spacing w:line="480" w:lineRule="auto"/>
      </w:pPr>
      <w:r w:rsidRPr="00BB6DE2">
        <w:rPr>
          <w:b/>
        </w:rPr>
        <w:lastRenderedPageBreak/>
        <w:t>Conclusion:</w:t>
      </w:r>
      <w:r w:rsidRPr="00BB6DE2">
        <w:t xml:space="preserve"> </w:t>
      </w:r>
      <w:r w:rsidR="00C1253D">
        <w:t>AHN</w:t>
      </w:r>
      <w:r w:rsidRPr="00BB6DE2">
        <w:t xml:space="preserve"> </w:t>
      </w:r>
      <w:r w:rsidR="00F0477A">
        <w:t xml:space="preserve">should </w:t>
      </w:r>
      <w:r w:rsidRPr="00BB6DE2">
        <w:t>take steps to investigate why chronic conditions had a negative relationship</w:t>
      </w:r>
      <w:r w:rsidR="00F0477A">
        <w:t xml:space="preserve"> with care of continuity</w:t>
      </w:r>
      <w:r w:rsidR="00F0477A" w:rsidRPr="00BB6DE2">
        <w:t xml:space="preserve"> </w:t>
      </w:r>
      <w:r w:rsidRPr="00BB6DE2">
        <w:t>and why payer mix and overall standard had no relationship</w:t>
      </w:r>
      <w:r w:rsidR="00F0477A">
        <w:t xml:space="preserve"> with care of continuity</w:t>
      </w:r>
      <w:r w:rsidRPr="00BB6DE2">
        <w:t>.</w:t>
      </w:r>
      <w:r w:rsidR="00F0477A">
        <w:t xml:space="preserve"> This would</w:t>
      </w:r>
      <w:r w:rsidR="005C4CDF">
        <w:t xml:space="preserve"> explain to AHN reasons why these aspects are not </w:t>
      </w:r>
      <w:r w:rsidR="00475B58">
        <w:t>following what the research states. Diving into further analysis of these aspects would also allow AHN opportunity to improve upon these aspects.</w:t>
      </w:r>
    </w:p>
    <w:p w14:paraId="402377C2" w14:textId="77777777" w:rsidR="00AA2C6A" w:rsidRDefault="00AA2C6A" w:rsidP="00AA2C6A"/>
    <w:p w14:paraId="2BB6127D" w14:textId="77777777" w:rsidR="00AA2C6A" w:rsidRPr="00AA2C6A" w:rsidRDefault="00AA2C6A" w:rsidP="00AA2C6A"/>
    <w:p w14:paraId="579C71AF" w14:textId="77777777" w:rsidR="009A79DA" w:rsidRDefault="009A79DA" w:rsidP="009A79DA">
      <w:bookmarkStart w:id="1" w:name="_Toc106717784"/>
    </w:p>
    <w:p w14:paraId="6B943C68" w14:textId="77777777" w:rsidR="009A79DA" w:rsidRDefault="009A79DA" w:rsidP="009A79DA"/>
    <w:p w14:paraId="6996E22F" w14:textId="40C474D4" w:rsidR="009A79DA" w:rsidRDefault="009A79DA" w:rsidP="009A79DA">
      <w:pPr>
        <w:pStyle w:val="TableofContentsHeading"/>
        <w:outlineLvl w:val="9"/>
      </w:pPr>
      <w:r>
        <w:lastRenderedPageBreak/>
        <w:t>TABLE OF CONTENTS</w:t>
      </w:r>
    </w:p>
    <w:p w14:paraId="5E872093" w14:textId="7E50821E" w:rsidR="009A79DA" w:rsidRDefault="009A79DA" w:rsidP="009A79DA">
      <w:pPr>
        <w:pStyle w:val="TOC1"/>
        <w:tabs>
          <w:tab w:val="left" w:pos="1008"/>
          <w:tab w:val="right" w:leader="dot" w:pos="9350"/>
        </w:tabs>
        <w:spacing w:line="480" w:lineRule="auto"/>
        <w:rPr>
          <w:rFonts w:asciiTheme="minorHAnsi" w:eastAsiaTheme="minorEastAsia" w:hAnsiTheme="minorHAnsi" w:cstheme="minorBidi"/>
          <w:b w:val="0"/>
          <w:caps w:val="0"/>
          <w:noProof/>
          <w:sz w:val="22"/>
          <w:szCs w:val="22"/>
        </w:rPr>
      </w:pPr>
      <w:r>
        <w:rPr>
          <w:bCs/>
        </w:rPr>
        <w:fldChar w:fldCharType="begin"/>
      </w:r>
      <w:r>
        <w:rPr>
          <w:bCs/>
        </w:rPr>
        <w:instrText xml:space="preserve"> TOC \o "3-4" \h \z \t "Heading 1,1,Heading 2,2,App Section,2,Appendix,1,Heading,1,Heading No Tab,1" </w:instrText>
      </w:r>
      <w:r>
        <w:rPr>
          <w:bCs/>
        </w:rPr>
        <w:fldChar w:fldCharType="separate"/>
      </w:r>
      <w:hyperlink w:anchor="_Toc6908721" w:history="1">
        <w:r w:rsidRPr="006E0901">
          <w:rPr>
            <w:rStyle w:val="Hyperlink"/>
            <w:noProof/>
          </w:rPr>
          <w:t>1.0</w:t>
        </w:r>
        <w:r>
          <w:rPr>
            <w:rFonts w:asciiTheme="minorHAnsi" w:eastAsiaTheme="minorEastAsia" w:hAnsiTheme="minorHAnsi" w:cstheme="minorBidi"/>
            <w:b w:val="0"/>
            <w:caps w:val="0"/>
            <w:noProof/>
            <w:sz w:val="22"/>
            <w:szCs w:val="22"/>
          </w:rPr>
          <w:tab/>
        </w:r>
        <w:r w:rsidRPr="006E0901">
          <w:rPr>
            <w:rStyle w:val="Hyperlink"/>
            <w:noProof/>
          </w:rPr>
          <w:t>Introduction</w:t>
        </w:r>
        <w:r>
          <w:rPr>
            <w:noProof/>
            <w:webHidden/>
          </w:rPr>
          <w:tab/>
        </w:r>
        <w:r>
          <w:rPr>
            <w:noProof/>
            <w:webHidden/>
          </w:rPr>
          <w:fldChar w:fldCharType="begin"/>
        </w:r>
        <w:r>
          <w:rPr>
            <w:noProof/>
            <w:webHidden/>
          </w:rPr>
          <w:instrText xml:space="preserve"> PAGEREF _Toc6908721 \h </w:instrText>
        </w:r>
        <w:r>
          <w:rPr>
            <w:noProof/>
            <w:webHidden/>
          </w:rPr>
        </w:r>
        <w:r>
          <w:rPr>
            <w:noProof/>
            <w:webHidden/>
          </w:rPr>
          <w:fldChar w:fldCharType="separate"/>
        </w:r>
        <w:r w:rsidR="00244676">
          <w:rPr>
            <w:noProof/>
            <w:webHidden/>
          </w:rPr>
          <w:t>1</w:t>
        </w:r>
        <w:r>
          <w:rPr>
            <w:noProof/>
            <w:webHidden/>
          </w:rPr>
          <w:fldChar w:fldCharType="end"/>
        </w:r>
      </w:hyperlink>
    </w:p>
    <w:p w14:paraId="00F97F39" w14:textId="246A6CB6" w:rsidR="009A79DA" w:rsidRDefault="00FF57FF" w:rsidP="009A79DA">
      <w:pPr>
        <w:pStyle w:val="TOC2"/>
        <w:tabs>
          <w:tab w:val="left" w:pos="1512"/>
          <w:tab w:val="right" w:leader="dot" w:pos="9350"/>
        </w:tabs>
        <w:spacing w:line="480" w:lineRule="auto"/>
        <w:rPr>
          <w:rFonts w:asciiTheme="minorHAnsi" w:eastAsiaTheme="minorEastAsia" w:hAnsiTheme="minorHAnsi" w:cstheme="minorBidi"/>
          <w:b w:val="0"/>
          <w:caps w:val="0"/>
          <w:noProof/>
          <w:sz w:val="22"/>
          <w:szCs w:val="22"/>
        </w:rPr>
      </w:pPr>
      <w:hyperlink w:anchor="_Toc6908722" w:history="1">
        <w:r w:rsidR="009A79DA" w:rsidRPr="006E0901">
          <w:rPr>
            <w:rStyle w:val="Hyperlink"/>
            <w:noProof/>
          </w:rPr>
          <w:t>1.1</w:t>
        </w:r>
        <w:r w:rsidR="009A79DA">
          <w:rPr>
            <w:rFonts w:asciiTheme="minorHAnsi" w:eastAsiaTheme="minorEastAsia" w:hAnsiTheme="minorHAnsi" w:cstheme="minorBidi"/>
            <w:b w:val="0"/>
            <w:caps w:val="0"/>
            <w:noProof/>
            <w:sz w:val="22"/>
            <w:szCs w:val="22"/>
          </w:rPr>
          <w:tab/>
        </w:r>
        <w:r w:rsidR="009A79DA" w:rsidRPr="006E0901">
          <w:rPr>
            <w:rStyle w:val="Hyperlink"/>
            <w:noProof/>
          </w:rPr>
          <w:t>Patient Continuity</w:t>
        </w:r>
        <w:r w:rsidR="009A79DA">
          <w:rPr>
            <w:noProof/>
            <w:webHidden/>
          </w:rPr>
          <w:tab/>
        </w:r>
        <w:r w:rsidR="009A79DA">
          <w:rPr>
            <w:noProof/>
            <w:webHidden/>
          </w:rPr>
          <w:fldChar w:fldCharType="begin"/>
        </w:r>
        <w:r w:rsidR="009A79DA">
          <w:rPr>
            <w:noProof/>
            <w:webHidden/>
          </w:rPr>
          <w:instrText xml:space="preserve"> PAGEREF _Toc6908722 \h </w:instrText>
        </w:r>
        <w:r w:rsidR="009A79DA">
          <w:rPr>
            <w:noProof/>
            <w:webHidden/>
          </w:rPr>
        </w:r>
        <w:r w:rsidR="009A79DA">
          <w:rPr>
            <w:noProof/>
            <w:webHidden/>
          </w:rPr>
          <w:fldChar w:fldCharType="separate"/>
        </w:r>
        <w:r w:rsidR="00244676">
          <w:rPr>
            <w:noProof/>
            <w:webHidden/>
          </w:rPr>
          <w:t>2</w:t>
        </w:r>
        <w:r w:rsidR="009A79DA">
          <w:rPr>
            <w:noProof/>
            <w:webHidden/>
          </w:rPr>
          <w:fldChar w:fldCharType="end"/>
        </w:r>
      </w:hyperlink>
    </w:p>
    <w:p w14:paraId="7E925CAF" w14:textId="285F320F" w:rsidR="009A79DA" w:rsidRDefault="00FF57FF" w:rsidP="009A79DA">
      <w:pPr>
        <w:pStyle w:val="TOC2"/>
        <w:tabs>
          <w:tab w:val="left" w:pos="1512"/>
          <w:tab w:val="right" w:leader="dot" w:pos="9350"/>
        </w:tabs>
        <w:spacing w:line="480" w:lineRule="auto"/>
        <w:rPr>
          <w:rFonts w:asciiTheme="minorHAnsi" w:eastAsiaTheme="minorEastAsia" w:hAnsiTheme="minorHAnsi" w:cstheme="minorBidi"/>
          <w:b w:val="0"/>
          <w:caps w:val="0"/>
          <w:noProof/>
          <w:sz w:val="22"/>
          <w:szCs w:val="22"/>
        </w:rPr>
      </w:pPr>
      <w:hyperlink w:anchor="_Toc6908723" w:history="1">
        <w:r w:rsidR="009A79DA" w:rsidRPr="006E0901">
          <w:rPr>
            <w:rStyle w:val="Hyperlink"/>
            <w:noProof/>
          </w:rPr>
          <w:t>1.2</w:t>
        </w:r>
        <w:r w:rsidR="009A79DA">
          <w:rPr>
            <w:rFonts w:asciiTheme="minorHAnsi" w:eastAsiaTheme="minorEastAsia" w:hAnsiTheme="minorHAnsi" w:cstheme="minorBidi"/>
            <w:b w:val="0"/>
            <w:caps w:val="0"/>
            <w:noProof/>
            <w:sz w:val="22"/>
            <w:szCs w:val="22"/>
          </w:rPr>
          <w:tab/>
        </w:r>
        <w:r w:rsidR="009A79DA" w:rsidRPr="006E0901">
          <w:rPr>
            <w:rStyle w:val="Hyperlink"/>
            <w:noProof/>
          </w:rPr>
          <w:t>Care of Continuity Index</w:t>
        </w:r>
        <w:r w:rsidR="009A79DA">
          <w:rPr>
            <w:noProof/>
            <w:webHidden/>
          </w:rPr>
          <w:tab/>
        </w:r>
        <w:r w:rsidR="009A79DA">
          <w:rPr>
            <w:noProof/>
            <w:webHidden/>
          </w:rPr>
          <w:fldChar w:fldCharType="begin"/>
        </w:r>
        <w:r w:rsidR="009A79DA">
          <w:rPr>
            <w:noProof/>
            <w:webHidden/>
          </w:rPr>
          <w:instrText xml:space="preserve"> PAGEREF _Toc6908723 \h </w:instrText>
        </w:r>
        <w:r w:rsidR="009A79DA">
          <w:rPr>
            <w:noProof/>
            <w:webHidden/>
          </w:rPr>
        </w:r>
        <w:r w:rsidR="009A79DA">
          <w:rPr>
            <w:noProof/>
            <w:webHidden/>
          </w:rPr>
          <w:fldChar w:fldCharType="separate"/>
        </w:r>
        <w:r w:rsidR="00244676">
          <w:rPr>
            <w:noProof/>
            <w:webHidden/>
          </w:rPr>
          <w:t>3</w:t>
        </w:r>
        <w:r w:rsidR="009A79DA">
          <w:rPr>
            <w:noProof/>
            <w:webHidden/>
          </w:rPr>
          <w:fldChar w:fldCharType="end"/>
        </w:r>
      </w:hyperlink>
    </w:p>
    <w:p w14:paraId="4FFAA182" w14:textId="75628605" w:rsidR="009A79DA" w:rsidRDefault="00FF57FF" w:rsidP="009A79DA">
      <w:pPr>
        <w:pStyle w:val="TOC3"/>
        <w:tabs>
          <w:tab w:val="left" w:pos="1760"/>
          <w:tab w:val="right" w:leader="dot" w:pos="9350"/>
        </w:tabs>
        <w:spacing w:line="480" w:lineRule="auto"/>
        <w:rPr>
          <w:rFonts w:asciiTheme="minorHAnsi" w:eastAsiaTheme="minorEastAsia" w:hAnsiTheme="minorHAnsi" w:cstheme="minorBidi"/>
          <w:b w:val="0"/>
          <w:noProof/>
          <w:sz w:val="22"/>
          <w:szCs w:val="22"/>
        </w:rPr>
      </w:pPr>
      <w:hyperlink w:anchor="_Toc6908724" w:history="1">
        <w:r w:rsidR="009A79DA" w:rsidRPr="006E0901">
          <w:rPr>
            <w:rStyle w:val="Hyperlink"/>
            <w:noProof/>
          </w:rPr>
          <w:t>1.2.1</w:t>
        </w:r>
        <w:r w:rsidR="009A79DA">
          <w:rPr>
            <w:rFonts w:asciiTheme="minorHAnsi" w:eastAsiaTheme="minorEastAsia" w:hAnsiTheme="minorHAnsi" w:cstheme="minorBidi"/>
            <w:b w:val="0"/>
            <w:noProof/>
            <w:sz w:val="22"/>
            <w:szCs w:val="22"/>
          </w:rPr>
          <w:tab/>
        </w:r>
        <w:r w:rsidR="009A79DA" w:rsidRPr="006E0901">
          <w:rPr>
            <w:rStyle w:val="Hyperlink"/>
            <w:noProof/>
          </w:rPr>
          <w:t>Factors Affecting Patient Continuity</w:t>
        </w:r>
        <w:r w:rsidR="009A79DA">
          <w:rPr>
            <w:noProof/>
            <w:webHidden/>
          </w:rPr>
          <w:tab/>
        </w:r>
        <w:r w:rsidR="009A79DA">
          <w:rPr>
            <w:noProof/>
            <w:webHidden/>
          </w:rPr>
          <w:fldChar w:fldCharType="begin"/>
        </w:r>
        <w:r w:rsidR="009A79DA">
          <w:rPr>
            <w:noProof/>
            <w:webHidden/>
          </w:rPr>
          <w:instrText xml:space="preserve"> PAGEREF _Toc6908724 \h </w:instrText>
        </w:r>
        <w:r w:rsidR="009A79DA">
          <w:rPr>
            <w:noProof/>
            <w:webHidden/>
          </w:rPr>
        </w:r>
        <w:r w:rsidR="009A79DA">
          <w:rPr>
            <w:noProof/>
            <w:webHidden/>
          </w:rPr>
          <w:fldChar w:fldCharType="separate"/>
        </w:r>
        <w:r w:rsidR="00244676">
          <w:rPr>
            <w:noProof/>
            <w:webHidden/>
          </w:rPr>
          <w:t>4</w:t>
        </w:r>
        <w:r w:rsidR="009A79DA">
          <w:rPr>
            <w:noProof/>
            <w:webHidden/>
          </w:rPr>
          <w:fldChar w:fldCharType="end"/>
        </w:r>
      </w:hyperlink>
    </w:p>
    <w:p w14:paraId="5D12C7E0" w14:textId="5726B1FB" w:rsidR="009A79DA" w:rsidRDefault="00FF57FF" w:rsidP="009A79DA">
      <w:pPr>
        <w:pStyle w:val="TOC1"/>
        <w:tabs>
          <w:tab w:val="left" w:pos="1008"/>
          <w:tab w:val="right" w:leader="dot" w:pos="9350"/>
        </w:tabs>
        <w:spacing w:line="480" w:lineRule="auto"/>
        <w:rPr>
          <w:rFonts w:asciiTheme="minorHAnsi" w:eastAsiaTheme="minorEastAsia" w:hAnsiTheme="minorHAnsi" w:cstheme="minorBidi"/>
          <w:b w:val="0"/>
          <w:caps w:val="0"/>
          <w:noProof/>
          <w:sz w:val="22"/>
          <w:szCs w:val="22"/>
        </w:rPr>
      </w:pPr>
      <w:hyperlink w:anchor="_Toc6908725" w:history="1">
        <w:r w:rsidR="009A79DA" w:rsidRPr="006E0901">
          <w:rPr>
            <w:rStyle w:val="Hyperlink"/>
            <w:noProof/>
          </w:rPr>
          <w:t>2.0</w:t>
        </w:r>
        <w:r w:rsidR="009A79DA">
          <w:rPr>
            <w:rFonts w:asciiTheme="minorHAnsi" w:eastAsiaTheme="minorEastAsia" w:hAnsiTheme="minorHAnsi" w:cstheme="minorBidi"/>
            <w:b w:val="0"/>
            <w:caps w:val="0"/>
            <w:noProof/>
            <w:sz w:val="22"/>
            <w:szCs w:val="22"/>
          </w:rPr>
          <w:tab/>
        </w:r>
        <w:r w:rsidR="009A79DA" w:rsidRPr="006E0901">
          <w:rPr>
            <w:rStyle w:val="Hyperlink"/>
            <w:noProof/>
          </w:rPr>
          <w:t>Second chapter: Allegheny Health Network Primary Care</w:t>
        </w:r>
        <w:r w:rsidR="009A79DA">
          <w:rPr>
            <w:noProof/>
            <w:webHidden/>
          </w:rPr>
          <w:tab/>
        </w:r>
        <w:r w:rsidR="009A79DA">
          <w:rPr>
            <w:noProof/>
            <w:webHidden/>
          </w:rPr>
          <w:tab/>
        </w:r>
        <w:r w:rsidR="009A79DA">
          <w:rPr>
            <w:noProof/>
            <w:webHidden/>
          </w:rPr>
          <w:tab/>
        </w:r>
        <w:r w:rsidR="009A79DA">
          <w:rPr>
            <w:noProof/>
            <w:webHidden/>
          </w:rPr>
          <w:tab/>
        </w:r>
        <w:r w:rsidR="009A79DA">
          <w:rPr>
            <w:noProof/>
            <w:webHidden/>
          </w:rPr>
          <w:fldChar w:fldCharType="begin"/>
        </w:r>
        <w:r w:rsidR="009A79DA">
          <w:rPr>
            <w:noProof/>
            <w:webHidden/>
          </w:rPr>
          <w:instrText xml:space="preserve"> PAGEREF _Toc6908725 \h </w:instrText>
        </w:r>
        <w:r w:rsidR="009A79DA">
          <w:rPr>
            <w:noProof/>
            <w:webHidden/>
          </w:rPr>
        </w:r>
        <w:r w:rsidR="009A79DA">
          <w:rPr>
            <w:noProof/>
            <w:webHidden/>
          </w:rPr>
          <w:fldChar w:fldCharType="separate"/>
        </w:r>
        <w:r w:rsidR="00244676">
          <w:rPr>
            <w:noProof/>
            <w:webHidden/>
          </w:rPr>
          <w:t>7</w:t>
        </w:r>
        <w:r w:rsidR="009A79DA">
          <w:rPr>
            <w:noProof/>
            <w:webHidden/>
          </w:rPr>
          <w:fldChar w:fldCharType="end"/>
        </w:r>
      </w:hyperlink>
    </w:p>
    <w:p w14:paraId="348AB970" w14:textId="096DF116" w:rsidR="009A79DA" w:rsidRDefault="00FF57FF" w:rsidP="009A79DA">
      <w:pPr>
        <w:pStyle w:val="TOC2"/>
        <w:tabs>
          <w:tab w:val="left" w:pos="1512"/>
          <w:tab w:val="right" w:leader="dot" w:pos="9350"/>
        </w:tabs>
        <w:spacing w:line="480" w:lineRule="auto"/>
        <w:rPr>
          <w:rFonts w:asciiTheme="minorHAnsi" w:eastAsiaTheme="minorEastAsia" w:hAnsiTheme="minorHAnsi" w:cstheme="minorBidi"/>
          <w:b w:val="0"/>
          <w:caps w:val="0"/>
          <w:noProof/>
          <w:sz w:val="22"/>
          <w:szCs w:val="22"/>
        </w:rPr>
      </w:pPr>
      <w:hyperlink w:anchor="_Toc6908726" w:history="1">
        <w:r w:rsidR="009A79DA" w:rsidRPr="006E0901">
          <w:rPr>
            <w:rStyle w:val="Hyperlink"/>
            <w:noProof/>
          </w:rPr>
          <w:t>2.1</w:t>
        </w:r>
        <w:r w:rsidR="009A79DA">
          <w:rPr>
            <w:rFonts w:asciiTheme="minorHAnsi" w:eastAsiaTheme="minorEastAsia" w:hAnsiTheme="minorHAnsi" w:cstheme="minorBidi"/>
            <w:b w:val="0"/>
            <w:caps w:val="0"/>
            <w:noProof/>
            <w:sz w:val="22"/>
            <w:szCs w:val="22"/>
          </w:rPr>
          <w:tab/>
        </w:r>
        <w:r w:rsidR="009A79DA" w:rsidRPr="006E0901">
          <w:rPr>
            <w:rStyle w:val="Hyperlink"/>
            <w:noProof/>
          </w:rPr>
          <w:t>Methods</w:t>
        </w:r>
        <w:r w:rsidR="009A79DA">
          <w:rPr>
            <w:noProof/>
            <w:webHidden/>
          </w:rPr>
          <w:tab/>
        </w:r>
        <w:r w:rsidR="009A79DA">
          <w:rPr>
            <w:noProof/>
            <w:webHidden/>
          </w:rPr>
          <w:fldChar w:fldCharType="begin"/>
        </w:r>
        <w:r w:rsidR="009A79DA">
          <w:rPr>
            <w:noProof/>
            <w:webHidden/>
          </w:rPr>
          <w:instrText xml:space="preserve"> PAGEREF _Toc6908726 \h </w:instrText>
        </w:r>
        <w:r w:rsidR="009A79DA">
          <w:rPr>
            <w:noProof/>
            <w:webHidden/>
          </w:rPr>
        </w:r>
        <w:r w:rsidR="009A79DA">
          <w:rPr>
            <w:noProof/>
            <w:webHidden/>
          </w:rPr>
          <w:fldChar w:fldCharType="separate"/>
        </w:r>
        <w:r w:rsidR="00244676">
          <w:rPr>
            <w:noProof/>
            <w:webHidden/>
          </w:rPr>
          <w:t>7</w:t>
        </w:r>
        <w:r w:rsidR="009A79DA">
          <w:rPr>
            <w:noProof/>
            <w:webHidden/>
          </w:rPr>
          <w:fldChar w:fldCharType="end"/>
        </w:r>
      </w:hyperlink>
    </w:p>
    <w:p w14:paraId="48F8C817" w14:textId="2F9AB0AF" w:rsidR="009A79DA" w:rsidRDefault="00FF57FF" w:rsidP="009A79DA">
      <w:pPr>
        <w:pStyle w:val="TOC2"/>
        <w:tabs>
          <w:tab w:val="left" w:pos="1512"/>
          <w:tab w:val="right" w:leader="dot" w:pos="9350"/>
        </w:tabs>
        <w:spacing w:line="480" w:lineRule="auto"/>
        <w:rPr>
          <w:rFonts w:asciiTheme="minorHAnsi" w:eastAsiaTheme="minorEastAsia" w:hAnsiTheme="minorHAnsi" w:cstheme="minorBidi"/>
          <w:b w:val="0"/>
          <w:caps w:val="0"/>
          <w:noProof/>
          <w:sz w:val="22"/>
          <w:szCs w:val="22"/>
        </w:rPr>
      </w:pPr>
      <w:hyperlink w:anchor="_Toc6908727" w:history="1">
        <w:r w:rsidR="009A79DA" w:rsidRPr="006E0901">
          <w:rPr>
            <w:rStyle w:val="Hyperlink"/>
            <w:noProof/>
          </w:rPr>
          <w:t>2.2</w:t>
        </w:r>
        <w:r w:rsidR="009A79DA">
          <w:rPr>
            <w:rFonts w:asciiTheme="minorHAnsi" w:eastAsiaTheme="minorEastAsia" w:hAnsiTheme="minorHAnsi" w:cstheme="minorBidi"/>
            <w:b w:val="0"/>
            <w:caps w:val="0"/>
            <w:noProof/>
            <w:sz w:val="22"/>
            <w:szCs w:val="22"/>
          </w:rPr>
          <w:tab/>
        </w:r>
        <w:r w:rsidR="009A79DA" w:rsidRPr="006E0901">
          <w:rPr>
            <w:rStyle w:val="Hyperlink"/>
            <w:noProof/>
          </w:rPr>
          <w:t>Results</w:t>
        </w:r>
        <w:r w:rsidR="009A79DA">
          <w:rPr>
            <w:noProof/>
            <w:webHidden/>
          </w:rPr>
          <w:tab/>
        </w:r>
        <w:r w:rsidR="009A79DA">
          <w:rPr>
            <w:noProof/>
            <w:webHidden/>
          </w:rPr>
          <w:fldChar w:fldCharType="begin"/>
        </w:r>
        <w:r w:rsidR="009A79DA">
          <w:rPr>
            <w:noProof/>
            <w:webHidden/>
          </w:rPr>
          <w:instrText xml:space="preserve"> PAGEREF _Toc6908727 \h </w:instrText>
        </w:r>
        <w:r w:rsidR="009A79DA">
          <w:rPr>
            <w:noProof/>
            <w:webHidden/>
          </w:rPr>
        </w:r>
        <w:r w:rsidR="009A79DA">
          <w:rPr>
            <w:noProof/>
            <w:webHidden/>
          </w:rPr>
          <w:fldChar w:fldCharType="separate"/>
        </w:r>
        <w:r w:rsidR="00244676">
          <w:rPr>
            <w:noProof/>
            <w:webHidden/>
          </w:rPr>
          <w:t>9</w:t>
        </w:r>
        <w:r w:rsidR="009A79DA">
          <w:rPr>
            <w:noProof/>
            <w:webHidden/>
          </w:rPr>
          <w:fldChar w:fldCharType="end"/>
        </w:r>
      </w:hyperlink>
    </w:p>
    <w:p w14:paraId="0B21025C" w14:textId="297F0B71" w:rsidR="009A79DA" w:rsidRDefault="00FF57FF" w:rsidP="009A79DA">
      <w:pPr>
        <w:pStyle w:val="TOC3"/>
        <w:tabs>
          <w:tab w:val="left" w:pos="1760"/>
          <w:tab w:val="right" w:leader="dot" w:pos="9350"/>
        </w:tabs>
        <w:spacing w:line="480" w:lineRule="auto"/>
        <w:rPr>
          <w:rFonts w:asciiTheme="minorHAnsi" w:eastAsiaTheme="minorEastAsia" w:hAnsiTheme="minorHAnsi" w:cstheme="minorBidi"/>
          <w:b w:val="0"/>
          <w:noProof/>
          <w:sz w:val="22"/>
          <w:szCs w:val="22"/>
        </w:rPr>
      </w:pPr>
      <w:hyperlink w:anchor="_Toc6908728" w:history="1">
        <w:r w:rsidR="009A79DA" w:rsidRPr="006E0901">
          <w:rPr>
            <w:rStyle w:val="Hyperlink"/>
            <w:noProof/>
          </w:rPr>
          <w:t>2.2.1</w:t>
        </w:r>
        <w:r w:rsidR="009A79DA">
          <w:rPr>
            <w:rFonts w:asciiTheme="minorHAnsi" w:eastAsiaTheme="minorEastAsia" w:hAnsiTheme="minorHAnsi" w:cstheme="minorBidi"/>
            <w:b w:val="0"/>
            <w:noProof/>
            <w:sz w:val="22"/>
            <w:szCs w:val="22"/>
          </w:rPr>
          <w:tab/>
        </w:r>
        <w:r w:rsidR="009A79DA" w:rsidRPr="006E0901">
          <w:rPr>
            <w:rStyle w:val="Hyperlink"/>
            <w:noProof/>
          </w:rPr>
          <w:t>Care of Continuity Index</w:t>
        </w:r>
        <w:r w:rsidR="009A79DA">
          <w:rPr>
            <w:noProof/>
            <w:webHidden/>
          </w:rPr>
          <w:tab/>
        </w:r>
        <w:r w:rsidR="009A79DA">
          <w:rPr>
            <w:noProof/>
            <w:webHidden/>
          </w:rPr>
          <w:fldChar w:fldCharType="begin"/>
        </w:r>
        <w:r w:rsidR="009A79DA">
          <w:rPr>
            <w:noProof/>
            <w:webHidden/>
          </w:rPr>
          <w:instrText xml:space="preserve"> PAGEREF _Toc6908728 \h </w:instrText>
        </w:r>
        <w:r w:rsidR="009A79DA">
          <w:rPr>
            <w:noProof/>
            <w:webHidden/>
          </w:rPr>
        </w:r>
        <w:r w:rsidR="009A79DA">
          <w:rPr>
            <w:noProof/>
            <w:webHidden/>
          </w:rPr>
          <w:fldChar w:fldCharType="separate"/>
        </w:r>
        <w:r w:rsidR="00244676">
          <w:rPr>
            <w:noProof/>
            <w:webHidden/>
          </w:rPr>
          <w:t>9</w:t>
        </w:r>
        <w:r w:rsidR="009A79DA">
          <w:rPr>
            <w:noProof/>
            <w:webHidden/>
          </w:rPr>
          <w:fldChar w:fldCharType="end"/>
        </w:r>
      </w:hyperlink>
    </w:p>
    <w:p w14:paraId="0C643B66" w14:textId="70FA7C43" w:rsidR="009A79DA" w:rsidRDefault="00FF57FF" w:rsidP="009A79DA">
      <w:pPr>
        <w:pStyle w:val="TOC3"/>
        <w:tabs>
          <w:tab w:val="left" w:pos="1760"/>
          <w:tab w:val="right" w:leader="dot" w:pos="9350"/>
        </w:tabs>
        <w:spacing w:line="480" w:lineRule="auto"/>
        <w:rPr>
          <w:rFonts w:asciiTheme="minorHAnsi" w:eastAsiaTheme="minorEastAsia" w:hAnsiTheme="minorHAnsi" w:cstheme="minorBidi"/>
          <w:b w:val="0"/>
          <w:noProof/>
          <w:sz w:val="22"/>
          <w:szCs w:val="22"/>
        </w:rPr>
      </w:pPr>
      <w:hyperlink w:anchor="_Toc6908729" w:history="1">
        <w:r w:rsidR="009A79DA" w:rsidRPr="006E0901">
          <w:rPr>
            <w:rStyle w:val="Hyperlink"/>
            <w:noProof/>
          </w:rPr>
          <w:t>2.2.2</w:t>
        </w:r>
        <w:r w:rsidR="009A79DA">
          <w:rPr>
            <w:rFonts w:asciiTheme="minorHAnsi" w:eastAsiaTheme="minorEastAsia" w:hAnsiTheme="minorHAnsi" w:cstheme="minorBidi"/>
            <w:b w:val="0"/>
            <w:noProof/>
            <w:sz w:val="22"/>
            <w:szCs w:val="22"/>
          </w:rPr>
          <w:tab/>
        </w:r>
        <w:r w:rsidR="009A79DA" w:rsidRPr="006E0901">
          <w:rPr>
            <w:rStyle w:val="Hyperlink"/>
            <w:noProof/>
          </w:rPr>
          <w:t>Average Age</w:t>
        </w:r>
        <w:r w:rsidR="009A79DA">
          <w:rPr>
            <w:noProof/>
            <w:webHidden/>
          </w:rPr>
          <w:tab/>
        </w:r>
        <w:r w:rsidR="009A79DA">
          <w:rPr>
            <w:noProof/>
            <w:webHidden/>
          </w:rPr>
          <w:fldChar w:fldCharType="begin"/>
        </w:r>
        <w:r w:rsidR="009A79DA">
          <w:rPr>
            <w:noProof/>
            <w:webHidden/>
          </w:rPr>
          <w:instrText xml:space="preserve"> PAGEREF _Toc6908729 \h </w:instrText>
        </w:r>
        <w:r w:rsidR="009A79DA">
          <w:rPr>
            <w:noProof/>
            <w:webHidden/>
          </w:rPr>
        </w:r>
        <w:r w:rsidR="009A79DA">
          <w:rPr>
            <w:noProof/>
            <w:webHidden/>
          </w:rPr>
          <w:fldChar w:fldCharType="separate"/>
        </w:r>
        <w:r w:rsidR="00244676">
          <w:rPr>
            <w:noProof/>
            <w:webHidden/>
          </w:rPr>
          <w:t>11</w:t>
        </w:r>
        <w:r w:rsidR="009A79DA">
          <w:rPr>
            <w:noProof/>
            <w:webHidden/>
          </w:rPr>
          <w:fldChar w:fldCharType="end"/>
        </w:r>
      </w:hyperlink>
    </w:p>
    <w:p w14:paraId="7C475F77" w14:textId="03257067" w:rsidR="009A79DA" w:rsidRDefault="00FF57FF" w:rsidP="009A79DA">
      <w:pPr>
        <w:pStyle w:val="TOC3"/>
        <w:tabs>
          <w:tab w:val="left" w:pos="1760"/>
          <w:tab w:val="right" w:leader="dot" w:pos="9350"/>
        </w:tabs>
        <w:spacing w:line="480" w:lineRule="auto"/>
        <w:rPr>
          <w:rFonts w:asciiTheme="minorHAnsi" w:eastAsiaTheme="minorEastAsia" w:hAnsiTheme="minorHAnsi" w:cstheme="minorBidi"/>
          <w:b w:val="0"/>
          <w:noProof/>
          <w:sz w:val="22"/>
          <w:szCs w:val="22"/>
        </w:rPr>
      </w:pPr>
      <w:hyperlink w:anchor="_Toc6908730" w:history="1">
        <w:r w:rsidR="009A79DA" w:rsidRPr="006E0901">
          <w:rPr>
            <w:rStyle w:val="Hyperlink"/>
            <w:noProof/>
          </w:rPr>
          <w:t>2.2.3</w:t>
        </w:r>
        <w:r w:rsidR="009A79DA">
          <w:rPr>
            <w:rFonts w:asciiTheme="minorHAnsi" w:eastAsiaTheme="minorEastAsia" w:hAnsiTheme="minorHAnsi" w:cstheme="minorBidi"/>
            <w:b w:val="0"/>
            <w:noProof/>
            <w:sz w:val="22"/>
            <w:szCs w:val="22"/>
          </w:rPr>
          <w:tab/>
        </w:r>
        <w:r w:rsidR="009A79DA" w:rsidRPr="006E0901">
          <w:rPr>
            <w:rStyle w:val="Hyperlink"/>
            <w:noProof/>
          </w:rPr>
          <w:t>Chronic Condition</w:t>
        </w:r>
        <w:r w:rsidR="009A79DA">
          <w:rPr>
            <w:noProof/>
            <w:webHidden/>
          </w:rPr>
          <w:tab/>
        </w:r>
        <w:r w:rsidR="009A79DA">
          <w:rPr>
            <w:noProof/>
            <w:webHidden/>
          </w:rPr>
          <w:fldChar w:fldCharType="begin"/>
        </w:r>
        <w:r w:rsidR="009A79DA">
          <w:rPr>
            <w:noProof/>
            <w:webHidden/>
          </w:rPr>
          <w:instrText xml:space="preserve"> PAGEREF _Toc6908730 \h </w:instrText>
        </w:r>
        <w:r w:rsidR="009A79DA">
          <w:rPr>
            <w:noProof/>
            <w:webHidden/>
          </w:rPr>
        </w:r>
        <w:r w:rsidR="009A79DA">
          <w:rPr>
            <w:noProof/>
            <w:webHidden/>
          </w:rPr>
          <w:fldChar w:fldCharType="separate"/>
        </w:r>
        <w:r w:rsidR="00244676">
          <w:rPr>
            <w:noProof/>
            <w:webHidden/>
          </w:rPr>
          <w:t>11</w:t>
        </w:r>
        <w:r w:rsidR="009A79DA">
          <w:rPr>
            <w:noProof/>
            <w:webHidden/>
          </w:rPr>
          <w:fldChar w:fldCharType="end"/>
        </w:r>
      </w:hyperlink>
    </w:p>
    <w:p w14:paraId="592646E6" w14:textId="4F123B26" w:rsidR="009A79DA" w:rsidRDefault="00FF57FF" w:rsidP="009A79DA">
      <w:pPr>
        <w:pStyle w:val="TOC3"/>
        <w:tabs>
          <w:tab w:val="left" w:pos="1760"/>
          <w:tab w:val="right" w:leader="dot" w:pos="9350"/>
        </w:tabs>
        <w:spacing w:line="480" w:lineRule="auto"/>
        <w:rPr>
          <w:rFonts w:asciiTheme="minorHAnsi" w:eastAsiaTheme="minorEastAsia" w:hAnsiTheme="minorHAnsi" w:cstheme="minorBidi"/>
          <w:b w:val="0"/>
          <w:noProof/>
          <w:sz w:val="22"/>
          <w:szCs w:val="22"/>
        </w:rPr>
      </w:pPr>
      <w:hyperlink w:anchor="_Toc6908731" w:history="1">
        <w:r w:rsidR="009A79DA" w:rsidRPr="006E0901">
          <w:rPr>
            <w:rStyle w:val="Hyperlink"/>
            <w:noProof/>
          </w:rPr>
          <w:t>2.2.4</w:t>
        </w:r>
        <w:r w:rsidR="009A79DA">
          <w:rPr>
            <w:rFonts w:asciiTheme="minorHAnsi" w:eastAsiaTheme="minorEastAsia" w:hAnsiTheme="minorHAnsi" w:cstheme="minorBidi"/>
            <w:b w:val="0"/>
            <w:noProof/>
            <w:sz w:val="22"/>
            <w:szCs w:val="22"/>
          </w:rPr>
          <w:tab/>
        </w:r>
        <w:r w:rsidR="009A79DA" w:rsidRPr="006E0901">
          <w:rPr>
            <w:rStyle w:val="Hyperlink"/>
            <w:noProof/>
          </w:rPr>
          <w:t>Payer Mix</w:t>
        </w:r>
        <w:r w:rsidR="009A79DA">
          <w:rPr>
            <w:noProof/>
            <w:webHidden/>
          </w:rPr>
          <w:tab/>
        </w:r>
        <w:r w:rsidR="009A79DA">
          <w:rPr>
            <w:noProof/>
            <w:webHidden/>
          </w:rPr>
          <w:fldChar w:fldCharType="begin"/>
        </w:r>
        <w:r w:rsidR="009A79DA">
          <w:rPr>
            <w:noProof/>
            <w:webHidden/>
          </w:rPr>
          <w:instrText xml:space="preserve"> PAGEREF _Toc6908731 \h </w:instrText>
        </w:r>
        <w:r w:rsidR="009A79DA">
          <w:rPr>
            <w:noProof/>
            <w:webHidden/>
          </w:rPr>
        </w:r>
        <w:r w:rsidR="009A79DA">
          <w:rPr>
            <w:noProof/>
            <w:webHidden/>
          </w:rPr>
          <w:fldChar w:fldCharType="separate"/>
        </w:r>
        <w:r w:rsidR="00244676">
          <w:rPr>
            <w:noProof/>
            <w:webHidden/>
          </w:rPr>
          <w:t>13</w:t>
        </w:r>
        <w:r w:rsidR="009A79DA">
          <w:rPr>
            <w:noProof/>
            <w:webHidden/>
          </w:rPr>
          <w:fldChar w:fldCharType="end"/>
        </w:r>
      </w:hyperlink>
    </w:p>
    <w:p w14:paraId="2C7ACA56" w14:textId="40A5A626" w:rsidR="009A79DA" w:rsidRDefault="00FF57FF" w:rsidP="009A79DA">
      <w:pPr>
        <w:pStyle w:val="TOC3"/>
        <w:tabs>
          <w:tab w:val="left" w:pos="1760"/>
          <w:tab w:val="right" w:leader="dot" w:pos="9350"/>
        </w:tabs>
        <w:spacing w:line="480" w:lineRule="auto"/>
        <w:rPr>
          <w:rFonts w:asciiTheme="minorHAnsi" w:eastAsiaTheme="minorEastAsia" w:hAnsiTheme="minorHAnsi" w:cstheme="minorBidi"/>
          <w:b w:val="0"/>
          <w:noProof/>
          <w:sz w:val="22"/>
          <w:szCs w:val="22"/>
        </w:rPr>
      </w:pPr>
      <w:hyperlink w:anchor="_Toc6908732" w:history="1">
        <w:r w:rsidR="009A79DA" w:rsidRPr="006E0901">
          <w:rPr>
            <w:rStyle w:val="Hyperlink"/>
            <w:noProof/>
          </w:rPr>
          <w:t>2.2.5</w:t>
        </w:r>
        <w:r w:rsidR="009A79DA">
          <w:rPr>
            <w:rFonts w:asciiTheme="minorHAnsi" w:eastAsiaTheme="minorEastAsia" w:hAnsiTheme="minorHAnsi" w:cstheme="minorBidi"/>
            <w:b w:val="0"/>
            <w:noProof/>
            <w:sz w:val="22"/>
            <w:szCs w:val="22"/>
          </w:rPr>
          <w:tab/>
        </w:r>
        <w:r w:rsidR="009A79DA" w:rsidRPr="006E0901">
          <w:rPr>
            <w:rStyle w:val="Hyperlink"/>
            <w:noProof/>
          </w:rPr>
          <w:t>Emergency Department Visits</w:t>
        </w:r>
        <w:r w:rsidR="009A79DA">
          <w:rPr>
            <w:noProof/>
            <w:webHidden/>
          </w:rPr>
          <w:tab/>
        </w:r>
        <w:r w:rsidR="009A79DA">
          <w:rPr>
            <w:noProof/>
            <w:webHidden/>
          </w:rPr>
          <w:fldChar w:fldCharType="begin"/>
        </w:r>
        <w:r w:rsidR="009A79DA">
          <w:rPr>
            <w:noProof/>
            <w:webHidden/>
          </w:rPr>
          <w:instrText xml:space="preserve"> PAGEREF _Toc6908732 \h </w:instrText>
        </w:r>
        <w:r w:rsidR="009A79DA">
          <w:rPr>
            <w:noProof/>
            <w:webHidden/>
          </w:rPr>
        </w:r>
        <w:r w:rsidR="009A79DA">
          <w:rPr>
            <w:noProof/>
            <w:webHidden/>
          </w:rPr>
          <w:fldChar w:fldCharType="separate"/>
        </w:r>
        <w:r w:rsidR="00244676">
          <w:rPr>
            <w:noProof/>
            <w:webHidden/>
          </w:rPr>
          <w:t>17</w:t>
        </w:r>
        <w:r w:rsidR="009A79DA">
          <w:rPr>
            <w:noProof/>
            <w:webHidden/>
          </w:rPr>
          <w:fldChar w:fldCharType="end"/>
        </w:r>
      </w:hyperlink>
    </w:p>
    <w:p w14:paraId="7DB1047A" w14:textId="19945B71" w:rsidR="009A79DA" w:rsidRDefault="00FF57FF" w:rsidP="009A79DA">
      <w:pPr>
        <w:pStyle w:val="TOC3"/>
        <w:tabs>
          <w:tab w:val="left" w:pos="1760"/>
          <w:tab w:val="right" w:leader="dot" w:pos="9350"/>
        </w:tabs>
        <w:spacing w:line="480" w:lineRule="auto"/>
        <w:rPr>
          <w:rFonts w:asciiTheme="minorHAnsi" w:eastAsiaTheme="minorEastAsia" w:hAnsiTheme="minorHAnsi" w:cstheme="minorBidi"/>
          <w:b w:val="0"/>
          <w:noProof/>
          <w:sz w:val="22"/>
          <w:szCs w:val="22"/>
        </w:rPr>
      </w:pPr>
      <w:hyperlink w:anchor="_Toc6908733" w:history="1">
        <w:r w:rsidR="009A79DA" w:rsidRPr="006E0901">
          <w:rPr>
            <w:rStyle w:val="Hyperlink"/>
            <w:noProof/>
          </w:rPr>
          <w:t>2.2.6</w:t>
        </w:r>
        <w:r w:rsidR="009A79DA">
          <w:rPr>
            <w:rFonts w:asciiTheme="minorHAnsi" w:eastAsiaTheme="minorEastAsia" w:hAnsiTheme="minorHAnsi" w:cstheme="minorBidi"/>
            <w:b w:val="0"/>
            <w:noProof/>
            <w:sz w:val="22"/>
            <w:szCs w:val="22"/>
          </w:rPr>
          <w:tab/>
        </w:r>
        <w:r w:rsidR="009A79DA" w:rsidRPr="006E0901">
          <w:rPr>
            <w:rStyle w:val="Hyperlink"/>
            <w:noProof/>
          </w:rPr>
          <w:t>Patient Experience</w:t>
        </w:r>
        <w:r w:rsidR="009A79DA">
          <w:rPr>
            <w:noProof/>
            <w:webHidden/>
          </w:rPr>
          <w:tab/>
        </w:r>
        <w:r w:rsidR="009A79DA">
          <w:rPr>
            <w:noProof/>
            <w:webHidden/>
          </w:rPr>
          <w:fldChar w:fldCharType="begin"/>
        </w:r>
        <w:r w:rsidR="009A79DA">
          <w:rPr>
            <w:noProof/>
            <w:webHidden/>
          </w:rPr>
          <w:instrText xml:space="preserve"> PAGEREF _Toc6908733 \h </w:instrText>
        </w:r>
        <w:r w:rsidR="009A79DA">
          <w:rPr>
            <w:noProof/>
            <w:webHidden/>
          </w:rPr>
        </w:r>
        <w:r w:rsidR="009A79DA">
          <w:rPr>
            <w:noProof/>
            <w:webHidden/>
          </w:rPr>
          <w:fldChar w:fldCharType="separate"/>
        </w:r>
        <w:r w:rsidR="00244676">
          <w:rPr>
            <w:noProof/>
            <w:webHidden/>
          </w:rPr>
          <w:t>18</w:t>
        </w:r>
        <w:r w:rsidR="009A79DA">
          <w:rPr>
            <w:noProof/>
            <w:webHidden/>
          </w:rPr>
          <w:fldChar w:fldCharType="end"/>
        </w:r>
      </w:hyperlink>
    </w:p>
    <w:p w14:paraId="0B05C837" w14:textId="6094EBEF" w:rsidR="009A79DA" w:rsidRDefault="00FF57FF" w:rsidP="009A79DA">
      <w:pPr>
        <w:pStyle w:val="TOC3"/>
        <w:tabs>
          <w:tab w:val="left" w:pos="1760"/>
          <w:tab w:val="right" w:leader="dot" w:pos="9350"/>
        </w:tabs>
        <w:spacing w:line="480" w:lineRule="auto"/>
        <w:rPr>
          <w:rFonts w:asciiTheme="minorHAnsi" w:eastAsiaTheme="minorEastAsia" w:hAnsiTheme="minorHAnsi" w:cstheme="minorBidi"/>
          <w:b w:val="0"/>
          <w:noProof/>
          <w:sz w:val="22"/>
          <w:szCs w:val="22"/>
        </w:rPr>
      </w:pPr>
      <w:hyperlink w:anchor="_Toc6908734" w:history="1">
        <w:r w:rsidR="009A79DA" w:rsidRPr="006E0901">
          <w:rPr>
            <w:rStyle w:val="Hyperlink"/>
            <w:noProof/>
          </w:rPr>
          <w:t>2.2.7</w:t>
        </w:r>
        <w:r w:rsidR="009A79DA">
          <w:rPr>
            <w:rFonts w:asciiTheme="minorHAnsi" w:eastAsiaTheme="minorEastAsia" w:hAnsiTheme="minorHAnsi" w:cstheme="minorBidi"/>
            <w:b w:val="0"/>
            <w:noProof/>
            <w:sz w:val="22"/>
            <w:szCs w:val="22"/>
          </w:rPr>
          <w:tab/>
        </w:r>
        <w:r w:rsidR="009A79DA" w:rsidRPr="006E0901">
          <w:rPr>
            <w:rStyle w:val="Hyperlink"/>
            <w:noProof/>
          </w:rPr>
          <w:t>Ease of Scheduling Appointments</w:t>
        </w:r>
        <w:r w:rsidR="009A79DA">
          <w:rPr>
            <w:noProof/>
            <w:webHidden/>
          </w:rPr>
          <w:tab/>
        </w:r>
        <w:r w:rsidR="009A79DA">
          <w:rPr>
            <w:noProof/>
            <w:webHidden/>
          </w:rPr>
          <w:fldChar w:fldCharType="begin"/>
        </w:r>
        <w:r w:rsidR="009A79DA">
          <w:rPr>
            <w:noProof/>
            <w:webHidden/>
          </w:rPr>
          <w:instrText xml:space="preserve"> PAGEREF _Toc6908734 \h </w:instrText>
        </w:r>
        <w:r w:rsidR="009A79DA">
          <w:rPr>
            <w:noProof/>
            <w:webHidden/>
          </w:rPr>
        </w:r>
        <w:r w:rsidR="009A79DA">
          <w:rPr>
            <w:noProof/>
            <w:webHidden/>
          </w:rPr>
          <w:fldChar w:fldCharType="separate"/>
        </w:r>
        <w:r w:rsidR="00244676">
          <w:rPr>
            <w:noProof/>
            <w:webHidden/>
          </w:rPr>
          <w:t>20</w:t>
        </w:r>
        <w:r w:rsidR="009A79DA">
          <w:rPr>
            <w:noProof/>
            <w:webHidden/>
          </w:rPr>
          <w:fldChar w:fldCharType="end"/>
        </w:r>
      </w:hyperlink>
    </w:p>
    <w:p w14:paraId="77DE9E40" w14:textId="50421304" w:rsidR="009A79DA" w:rsidRDefault="00FF57FF" w:rsidP="009A79DA">
      <w:pPr>
        <w:pStyle w:val="TOC3"/>
        <w:tabs>
          <w:tab w:val="left" w:pos="1760"/>
          <w:tab w:val="right" w:leader="dot" w:pos="9350"/>
        </w:tabs>
        <w:spacing w:line="480" w:lineRule="auto"/>
        <w:rPr>
          <w:rFonts w:asciiTheme="minorHAnsi" w:eastAsiaTheme="minorEastAsia" w:hAnsiTheme="minorHAnsi" w:cstheme="minorBidi"/>
          <w:b w:val="0"/>
          <w:noProof/>
          <w:sz w:val="22"/>
          <w:szCs w:val="22"/>
        </w:rPr>
      </w:pPr>
      <w:hyperlink w:anchor="_Toc6908735" w:history="1">
        <w:r w:rsidR="009A79DA" w:rsidRPr="006E0901">
          <w:rPr>
            <w:rStyle w:val="Hyperlink"/>
            <w:noProof/>
          </w:rPr>
          <w:t>2.2.8</w:t>
        </w:r>
        <w:r w:rsidR="009A79DA">
          <w:rPr>
            <w:rFonts w:asciiTheme="minorHAnsi" w:eastAsiaTheme="minorEastAsia" w:hAnsiTheme="minorHAnsi" w:cstheme="minorBidi"/>
            <w:b w:val="0"/>
            <w:noProof/>
            <w:sz w:val="22"/>
            <w:szCs w:val="22"/>
          </w:rPr>
          <w:tab/>
        </w:r>
        <w:r w:rsidR="009A79DA" w:rsidRPr="006E0901">
          <w:rPr>
            <w:rStyle w:val="Hyperlink"/>
            <w:noProof/>
          </w:rPr>
          <w:t>Access</w:t>
        </w:r>
        <w:r w:rsidR="009A79DA">
          <w:rPr>
            <w:noProof/>
            <w:webHidden/>
          </w:rPr>
          <w:tab/>
        </w:r>
        <w:r w:rsidR="009A79DA">
          <w:rPr>
            <w:noProof/>
            <w:webHidden/>
          </w:rPr>
          <w:fldChar w:fldCharType="begin"/>
        </w:r>
        <w:r w:rsidR="009A79DA">
          <w:rPr>
            <w:noProof/>
            <w:webHidden/>
          </w:rPr>
          <w:instrText xml:space="preserve"> PAGEREF _Toc6908735 \h </w:instrText>
        </w:r>
        <w:r w:rsidR="009A79DA">
          <w:rPr>
            <w:noProof/>
            <w:webHidden/>
          </w:rPr>
        </w:r>
        <w:r w:rsidR="009A79DA">
          <w:rPr>
            <w:noProof/>
            <w:webHidden/>
          </w:rPr>
          <w:fldChar w:fldCharType="separate"/>
        </w:r>
        <w:r w:rsidR="00244676">
          <w:rPr>
            <w:noProof/>
            <w:webHidden/>
          </w:rPr>
          <w:t>21</w:t>
        </w:r>
        <w:r w:rsidR="009A79DA">
          <w:rPr>
            <w:noProof/>
            <w:webHidden/>
          </w:rPr>
          <w:fldChar w:fldCharType="end"/>
        </w:r>
      </w:hyperlink>
    </w:p>
    <w:p w14:paraId="3269E6E6" w14:textId="67BDF7DD" w:rsidR="009A79DA" w:rsidRDefault="00FF57FF" w:rsidP="009A79DA">
      <w:pPr>
        <w:pStyle w:val="TOC2"/>
        <w:tabs>
          <w:tab w:val="left" w:pos="1512"/>
          <w:tab w:val="right" w:leader="dot" w:pos="9350"/>
        </w:tabs>
        <w:spacing w:line="480" w:lineRule="auto"/>
        <w:rPr>
          <w:rFonts w:asciiTheme="minorHAnsi" w:eastAsiaTheme="minorEastAsia" w:hAnsiTheme="minorHAnsi" w:cstheme="minorBidi"/>
          <w:b w:val="0"/>
          <w:caps w:val="0"/>
          <w:noProof/>
          <w:sz w:val="22"/>
          <w:szCs w:val="22"/>
        </w:rPr>
      </w:pPr>
      <w:hyperlink w:anchor="_Toc6908736" w:history="1">
        <w:r w:rsidR="009A79DA" w:rsidRPr="006E0901">
          <w:rPr>
            <w:rStyle w:val="Hyperlink"/>
            <w:noProof/>
          </w:rPr>
          <w:t>2.3</w:t>
        </w:r>
        <w:r w:rsidR="009A79DA">
          <w:rPr>
            <w:rFonts w:asciiTheme="minorHAnsi" w:eastAsiaTheme="minorEastAsia" w:hAnsiTheme="minorHAnsi" w:cstheme="minorBidi"/>
            <w:b w:val="0"/>
            <w:caps w:val="0"/>
            <w:noProof/>
            <w:sz w:val="22"/>
            <w:szCs w:val="22"/>
          </w:rPr>
          <w:tab/>
        </w:r>
        <w:r w:rsidR="009A79DA" w:rsidRPr="006E0901">
          <w:rPr>
            <w:rStyle w:val="Hyperlink"/>
            <w:noProof/>
          </w:rPr>
          <w:t>Discussion</w:t>
        </w:r>
        <w:r w:rsidR="009A79DA">
          <w:rPr>
            <w:noProof/>
            <w:webHidden/>
          </w:rPr>
          <w:tab/>
        </w:r>
        <w:r w:rsidR="009A79DA">
          <w:rPr>
            <w:noProof/>
            <w:webHidden/>
          </w:rPr>
          <w:fldChar w:fldCharType="begin"/>
        </w:r>
        <w:r w:rsidR="009A79DA">
          <w:rPr>
            <w:noProof/>
            <w:webHidden/>
          </w:rPr>
          <w:instrText xml:space="preserve"> PAGEREF _Toc6908736 \h </w:instrText>
        </w:r>
        <w:r w:rsidR="009A79DA">
          <w:rPr>
            <w:noProof/>
            <w:webHidden/>
          </w:rPr>
        </w:r>
        <w:r w:rsidR="009A79DA">
          <w:rPr>
            <w:noProof/>
            <w:webHidden/>
          </w:rPr>
          <w:fldChar w:fldCharType="separate"/>
        </w:r>
        <w:r w:rsidR="00244676">
          <w:rPr>
            <w:noProof/>
            <w:webHidden/>
          </w:rPr>
          <w:t>22</w:t>
        </w:r>
        <w:r w:rsidR="009A79DA">
          <w:rPr>
            <w:noProof/>
            <w:webHidden/>
          </w:rPr>
          <w:fldChar w:fldCharType="end"/>
        </w:r>
      </w:hyperlink>
    </w:p>
    <w:p w14:paraId="23CBE3E4" w14:textId="4CC88542" w:rsidR="009A79DA" w:rsidRDefault="00FF57FF" w:rsidP="009A79DA">
      <w:pPr>
        <w:pStyle w:val="TOC1"/>
        <w:tabs>
          <w:tab w:val="left" w:pos="1008"/>
          <w:tab w:val="right" w:leader="dot" w:pos="9350"/>
        </w:tabs>
        <w:spacing w:line="480" w:lineRule="auto"/>
        <w:rPr>
          <w:rFonts w:asciiTheme="minorHAnsi" w:eastAsiaTheme="minorEastAsia" w:hAnsiTheme="minorHAnsi" w:cstheme="minorBidi"/>
          <w:b w:val="0"/>
          <w:caps w:val="0"/>
          <w:noProof/>
          <w:sz w:val="22"/>
          <w:szCs w:val="22"/>
        </w:rPr>
      </w:pPr>
      <w:hyperlink w:anchor="_Toc6908737" w:history="1">
        <w:r w:rsidR="009A79DA" w:rsidRPr="006E0901">
          <w:rPr>
            <w:rStyle w:val="Hyperlink"/>
            <w:noProof/>
          </w:rPr>
          <w:t>3.0</w:t>
        </w:r>
        <w:r w:rsidR="009A79DA">
          <w:rPr>
            <w:rFonts w:asciiTheme="minorHAnsi" w:eastAsiaTheme="minorEastAsia" w:hAnsiTheme="minorHAnsi" w:cstheme="minorBidi"/>
            <w:b w:val="0"/>
            <w:caps w:val="0"/>
            <w:noProof/>
            <w:sz w:val="22"/>
            <w:szCs w:val="22"/>
          </w:rPr>
          <w:tab/>
        </w:r>
        <w:r w:rsidR="009A79DA" w:rsidRPr="006E0901">
          <w:rPr>
            <w:rStyle w:val="Hyperlink"/>
            <w:noProof/>
          </w:rPr>
          <w:t>Conclusion</w:t>
        </w:r>
        <w:r w:rsidR="009A79DA">
          <w:rPr>
            <w:noProof/>
            <w:webHidden/>
          </w:rPr>
          <w:tab/>
        </w:r>
        <w:r w:rsidR="009A79DA">
          <w:rPr>
            <w:noProof/>
            <w:webHidden/>
          </w:rPr>
          <w:fldChar w:fldCharType="begin"/>
        </w:r>
        <w:r w:rsidR="009A79DA">
          <w:rPr>
            <w:noProof/>
            <w:webHidden/>
          </w:rPr>
          <w:instrText xml:space="preserve"> PAGEREF _Toc6908737 \h </w:instrText>
        </w:r>
        <w:r w:rsidR="009A79DA">
          <w:rPr>
            <w:noProof/>
            <w:webHidden/>
          </w:rPr>
        </w:r>
        <w:r w:rsidR="009A79DA">
          <w:rPr>
            <w:noProof/>
            <w:webHidden/>
          </w:rPr>
          <w:fldChar w:fldCharType="separate"/>
        </w:r>
        <w:r w:rsidR="00244676">
          <w:rPr>
            <w:noProof/>
            <w:webHidden/>
          </w:rPr>
          <w:t>26</w:t>
        </w:r>
        <w:r w:rsidR="009A79DA">
          <w:rPr>
            <w:noProof/>
            <w:webHidden/>
          </w:rPr>
          <w:fldChar w:fldCharType="end"/>
        </w:r>
      </w:hyperlink>
    </w:p>
    <w:p w14:paraId="5FF26F9A" w14:textId="6254ABA1" w:rsidR="009A79DA" w:rsidRDefault="00FF57FF" w:rsidP="009A79DA">
      <w:pPr>
        <w:pStyle w:val="TOC1"/>
        <w:tabs>
          <w:tab w:val="right" w:leader="dot" w:pos="9350"/>
        </w:tabs>
        <w:spacing w:line="480" w:lineRule="auto"/>
        <w:rPr>
          <w:rFonts w:asciiTheme="minorHAnsi" w:eastAsiaTheme="minorEastAsia" w:hAnsiTheme="minorHAnsi" w:cstheme="minorBidi"/>
          <w:b w:val="0"/>
          <w:caps w:val="0"/>
          <w:noProof/>
          <w:sz w:val="22"/>
          <w:szCs w:val="22"/>
        </w:rPr>
      </w:pPr>
      <w:hyperlink w:anchor="_Toc6908738" w:history="1">
        <w:r w:rsidR="009A79DA" w:rsidRPr="006E0901">
          <w:rPr>
            <w:rStyle w:val="Hyperlink"/>
            <w:noProof/>
          </w:rPr>
          <w:t>APPENDIX STAFF WORKING TOGETHER</w:t>
        </w:r>
        <w:r w:rsidR="009A79DA">
          <w:rPr>
            <w:noProof/>
            <w:webHidden/>
          </w:rPr>
          <w:tab/>
        </w:r>
        <w:r w:rsidR="009A79DA">
          <w:rPr>
            <w:noProof/>
            <w:webHidden/>
          </w:rPr>
          <w:fldChar w:fldCharType="begin"/>
        </w:r>
        <w:r w:rsidR="009A79DA">
          <w:rPr>
            <w:noProof/>
            <w:webHidden/>
          </w:rPr>
          <w:instrText xml:space="preserve"> PAGEREF _Toc6908738 \h </w:instrText>
        </w:r>
        <w:r w:rsidR="009A79DA">
          <w:rPr>
            <w:noProof/>
            <w:webHidden/>
          </w:rPr>
        </w:r>
        <w:r w:rsidR="009A79DA">
          <w:rPr>
            <w:noProof/>
            <w:webHidden/>
          </w:rPr>
          <w:fldChar w:fldCharType="separate"/>
        </w:r>
        <w:r w:rsidR="00244676">
          <w:rPr>
            <w:noProof/>
            <w:webHidden/>
          </w:rPr>
          <w:t>28</w:t>
        </w:r>
        <w:r w:rsidR="009A79DA">
          <w:rPr>
            <w:noProof/>
            <w:webHidden/>
          </w:rPr>
          <w:fldChar w:fldCharType="end"/>
        </w:r>
      </w:hyperlink>
    </w:p>
    <w:p w14:paraId="72B0559D" w14:textId="4296A395" w:rsidR="009A79DA" w:rsidRDefault="00FF57FF" w:rsidP="009A79DA">
      <w:pPr>
        <w:pStyle w:val="TOC1"/>
        <w:tabs>
          <w:tab w:val="right" w:leader="dot" w:pos="9350"/>
        </w:tabs>
        <w:spacing w:line="480" w:lineRule="auto"/>
        <w:rPr>
          <w:rFonts w:asciiTheme="minorHAnsi" w:eastAsiaTheme="minorEastAsia" w:hAnsiTheme="minorHAnsi" w:cstheme="minorBidi"/>
          <w:b w:val="0"/>
          <w:caps w:val="0"/>
          <w:noProof/>
          <w:sz w:val="22"/>
          <w:szCs w:val="22"/>
        </w:rPr>
      </w:pPr>
      <w:hyperlink w:anchor="_Toc6908739" w:history="1">
        <w:r w:rsidR="009A79DA" w:rsidRPr="006E0901">
          <w:rPr>
            <w:rStyle w:val="Hyperlink"/>
            <w:noProof/>
          </w:rPr>
          <w:t>bibliography</w:t>
        </w:r>
        <w:r w:rsidR="009A79DA">
          <w:rPr>
            <w:noProof/>
            <w:webHidden/>
          </w:rPr>
          <w:tab/>
        </w:r>
        <w:r w:rsidR="009A79DA">
          <w:rPr>
            <w:noProof/>
            <w:webHidden/>
          </w:rPr>
          <w:fldChar w:fldCharType="begin"/>
        </w:r>
        <w:r w:rsidR="009A79DA">
          <w:rPr>
            <w:noProof/>
            <w:webHidden/>
          </w:rPr>
          <w:instrText xml:space="preserve"> PAGEREF _Toc6908739 \h </w:instrText>
        </w:r>
        <w:r w:rsidR="009A79DA">
          <w:rPr>
            <w:noProof/>
            <w:webHidden/>
          </w:rPr>
        </w:r>
        <w:r w:rsidR="009A79DA">
          <w:rPr>
            <w:noProof/>
            <w:webHidden/>
          </w:rPr>
          <w:fldChar w:fldCharType="separate"/>
        </w:r>
        <w:r w:rsidR="00244676">
          <w:rPr>
            <w:noProof/>
            <w:webHidden/>
          </w:rPr>
          <w:t>29</w:t>
        </w:r>
        <w:r w:rsidR="009A79DA">
          <w:rPr>
            <w:noProof/>
            <w:webHidden/>
          </w:rPr>
          <w:fldChar w:fldCharType="end"/>
        </w:r>
      </w:hyperlink>
    </w:p>
    <w:p w14:paraId="6BA1BA31" w14:textId="70BF9751" w:rsidR="00C04270" w:rsidRPr="00B25656" w:rsidRDefault="009A79DA" w:rsidP="007E217A">
      <w:r>
        <w:fldChar w:fldCharType="end"/>
      </w:r>
      <w:bookmarkEnd w:id="1"/>
    </w:p>
    <w:p w14:paraId="51793636" w14:textId="77777777" w:rsidR="006B7AEA" w:rsidRDefault="006B7AEA" w:rsidP="006B7AEA">
      <w:pPr>
        <w:pStyle w:val="Preliminary"/>
        <w:outlineLvl w:val="9"/>
      </w:pPr>
      <w:r>
        <w:lastRenderedPageBreak/>
        <w:t>List of Figures</w:t>
      </w:r>
    </w:p>
    <w:p w14:paraId="475721F4" w14:textId="5F1D98C3" w:rsidR="00BD0013" w:rsidRDefault="006B7AEA">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6908933" w:history="1">
        <w:r w:rsidR="00BD0013" w:rsidRPr="00942F27">
          <w:rPr>
            <w:rStyle w:val="Hyperlink"/>
            <w:noProof/>
          </w:rPr>
          <w:t>Figure 1 Care of Continuity Index Results Graphed for Each Provider Practices</w:t>
        </w:r>
        <w:r w:rsidR="00BD0013">
          <w:rPr>
            <w:noProof/>
            <w:webHidden/>
          </w:rPr>
          <w:tab/>
        </w:r>
        <w:r w:rsidR="00BD0013">
          <w:rPr>
            <w:noProof/>
            <w:webHidden/>
          </w:rPr>
          <w:fldChar w:fldCharType="begin"/>
        </w:r>
        <w:r w:rsidR="00BD0013">
          <w:rPr>
            <w:noProof/>
            <w:webHidden/>
          </w:rPr>
          <w:instrText xml:space="preserve"> PAGEREF _Toc6908933 \h </w:instrText>
        </w:r>
        <w:r w:rsidR="00BD0013">
          <w:rPr>
            <w:noProof/>
            <w:webHidden/>
          </w:rPr>
        </w:r>
        <w:r w:rsidR="00BD0013">
          <w:rPr>
            <w:noProof/>
            <w:webHidden/>
          </w:rPr>
          <w:fldChar w:fldCharType="separate"/>
        </w:r>
        <w:r w:rsidR="00CD6CE2">
          <w:rPr>
            <w:noProof/>
            <w:webHidden/>
          </w:rPr>
          <w:t>10</w:t>
        </w:r>
        <w:r w:rsidR="00BD0013">
          <w:rPr>
            <w:noProof/>
            <w:webHidden/>
          </w:rPr>
          <w:fldChar w:fldCharType="end"/>
        </w:r>
      </w:hyperlink>
    </w:p>
    <w:p w14:paraId="74BE6D3F" w14:textId="7A9DEBC4" w:rsidR="00BD0013" w:rsidRDefault="00FF57FF">
      <w:pPr>
        <w:pStyle w:val="TableofFigures"/>
        <w:tabs>
          <w:tab w:val="right" w:leader="dot" w:pos="9350"/>
        </w:tabs>
        <w:rPr>
          <w:rFonts w:asciiTheme="minorHAnsi" w:eastAsiaTheme="minorEastAsia" w:hAnsiTheme="minorHAnsi" w:cstheme="minorBidi"/>
          <w:noProof/>
          <w:sz w:val="22"/>
          <w:szCs w:val="22"/>
        </w:rPr>
      </w:pPr>
      <w:hyperlink w:anchor="_Toc6908934" w:history="1">
        <w:r w:rsidR="00BD0013" w:rsidRPr="00942F27">
          <w:rPr>
            <w:rStyle w:val="Hyperlink"/>
            <w:noProof/>
          </w:rPr>
          <w:t>Figure 2 Age Compared Continuity Index for Each Provider Practice</w:t>
        </w:r>
        <w:r w:rsidR="00BD0013">
          <w:rPr>
            <w:noProof/>
            <w:webHidden/>
          </w:rPr>
          <w:tab/>
        </w:r>
        <w:r w:rsidR="00BD0013">
          <w:rPr>
            <w:noProof/>
            <w:webHidden/>
          </w:rPr>
          <w:fldChar w:fldCharType="begin"/>
        </w:r>
        <w:r w:rsidR="00BD0013">
          <w:rPr>
            <w:noProof/>
            <w:webHidden/>
          </w:rPr>
          <w:instrText xml:space="preserve"> PAGEREF _Toc6908934 \h </w:instrText>
        </w:r>
        <w:r w:rsidR="00BD0013">
          <w:rPr>
            <w:noProof/>
            <w:webHidden/>
          </w:rPr>
        </w:r>
        <w:r w:rsidR="00BD0013">
          <w:rPr>
            <w:noProof/>
            <w:webHidden/>
          </w:rPr>
          <w:fldChar w:fldCharType="separate"/>
        </w:r>
        <w:r w:rsidR="00CD6CE2">
          <w:rPr>
            <w:noProof/>
            <w:webHidden/>
          </w:rPr>
          <w:t>11</w:t>
        </w:r>
        <w:r w:rsidR="00BD0013">
          <w:rPr>
            <w:noProof/>
            <w:webHidden/>
          </w:rPr>
          <w:fldChar w:fldCharType="end"/>
        </w:r>
      </w:hyperlink>
    </w:p>
    <w:p w14:paraId="40AA9C45" w14:textId="4282BF8D" w:rsidR="008B51ED" w:rsidRDefault="006B7AEA" w:rsidP="00CD6CE2">
      <w:pPr>
        <w:spacing w:line="480" w:lineRule="auto"/>
      </w:pPr>
      <w:r>
        <w:fldChar w:fldCharType="end"/>
      </w:r>
      <w:r w:rsidR="00CD6CE2" w:rsidRPr="00CD6CE2">
        <w:t>Figure 3 Chronic Conditions Compared with Continuity Index for Each Provider Practice</w:t>
      </w:r>
      <w:r w:rsidR="00CD6CE2">
        <w:t>……12</w:t>
      </w:r>
    </w:p>
    <w:p w14:paraId="399E4CC5" w14:textId="1445A07A" w:rsidR="00CA37BA" w:rsidRPr="00CA37BA" w:rsidRDefault="00CA37BA" w:rsidP="00CA37BA">
      <w:pPr>
        <w:tabs>
          <w:tab w:val="left" w:pos="1220"/>
        </w:tabs>
        <w:spacing w:line="480" w:lineRule="auto"/>
      </w:pPr>
      <w:r>
        <w:t xml:space="preserve">Figure 4 </w:t>
      </w:r>
      <w:r w:rsidRPr="00CA37BA">
        <w:t>Highmark Medicare and Care of Continuity Index Graphed</w:t>
      </w:r>
      <w:r>
        <w:t>………………………….</w:t>
      </w:r>
      <w:r w:rsidRPr="00CA37BA">
        <w:t>13</w:t>
      </w:r>
    </w:p>
    <w:p w14:paraId="13373400" w14:textId="101B5543" w:rsidR="00CA37BA" w:rsidRPr="00CA37BA" w:rsidRDefault="00CA37BA" w:rsidP="00CA37BA">
      <w:pPr>
        <w:tabs>
          <w:tab w:val="left" w:pos="3060"/>
        </w:tabs>
        <w:spacing w:line="480" w:lineRule="auto"/>
      </w:pPr>
      <w:r>
        <w:t xml:space="preserve">Figure 5 </w:t>
      </w:r>
      <w:r w:rsidRPr="00CA37BA">
        <w:t>Gateway Medicare and Care of Continuity Index Graphed</w:t>
      </w:r>
      <w:r>
        <w:t>…………………………...</w:t>
      </w:r>
      <w:r w:rsidRPr="00CA37BA">
        <w:t>14</w:t>
      </w:r>
    </w:p>
    <w:p w14:paraId="47D29574" w14:textId="64136DC7" w:rsidR="00CA37BA" w:rsidRPr="00CA37BA" w:rsidRDefault="00CA37BA" w:rsidP="00CA37BA">
      <w:pPr>
        <w:tabs>
          <w:tab w:val="left" w:pos="3060"/>
        </w:tabs>
        <w:spacing w:line="480" w:lineRule="auto"/>
      </w:pPr>
      <w:r>
        <w:t xml:space="preserve">Figure 6 </w:t>
      </w:r>
      <w:r w:rsidRPr="00CA37BA">
        <w:t>Medicare and Care of Continuity Index Graphed</w:t>
      </w:r>
      <w:proofErr w:type="gramStart"/>
      <w:r>
        <w:t>……………………………………</w:t>
      </w:r>
      <w:proofErr w:type="gramEnd"/>
      <w:r>
        <w:t>..</w:t>
      </w:r>
      <w:r w:rsidRPr="00CA37BA">
        <w:t>14</w:t>
      </w:r>
    </w:p>
    <w:p w14:paraId="74BC587B" w14:textId="315742A3" w:rsidR="00CA37BA" w:rsidRPr="00CA37BA" w:rsidRDefault="00CA37BA" w:rsidP="00CA37BA">
      <w:pPr>
        <w:tabs>
          <w:tab w:val="left" w:pos="3060"/>
        </w:tabs>
        <w:spacing w:line="480" w:lineRule="auto"/>
      </w:pPr>
      <w:r>
        <w:t xml:space="preserve">Figure 7 </w:t>
      </w:r>
      <w:r w:rsidRPr="00CA37BA">
        <w:t>Highmark and Care of Continuity Index Graphed</w:t>
      </w:r>
      <w:r>
        <w:t>…………………………………….</w:t>
      </w:r>
      <w:r w:rsidRPr="00CA37BA">
        <w:t>15</w:t>
      </w:r>
    </w:p>
    <w:p w14:paraId="789B629D" w14:textId="0D17DDF9" w:rsidR="00CA37BA" w:rsidRPr="00CA37BA" w:rsidRDefault="00CA37BA" w:rsidP="00CA37BA">
      <w:pPr>
        <w:spacing w:line="480" w:lineRule="auto"/>
      </w:pPr>
      <w:r>
        <w:t xml:space="preserve">Figure 8 </w:t>
      </w:r>
      <w:r w:rsidRPr="00CA37BA">
        <w:t>UPMC and Care of Continuity Index Graphed</w:t>
      </w:r>
      <w:proofErr w:type="gramStart"/>
      <w:r>
        <w:t>………………………………………</w:t>
      </w:r>
      <w:proofErr w:type="gramEnd"/>
      <w:r>
        <w:t>..</w:t>
      </w:r>
      <w:r w:rsidRPr="00CA37BA">
        <w:t>16</w:t>
      </w:r>
    </w:p>
    <w:p w14:paraId="7C230BA8" w14:textId="2DFA6D95" w:rsidR="00CA37BA" w:rsidRPr="00CA37BA" w:rsidRDefault="00CA37BA" w:rsidP="00CA37BA">
      <w:pPr>
        <w:spacing w:line="480" w:lineRule="auto"/>
      </w:pPr>
      <w:r>
        <w:t xml:space="preserve">Figure 9 </w:t>
      </w:r>
      <w:r w:rsidRPr="00CA37BA">
        <w:t>Emergency Room Rates Compared with the Care of Continuity Indexes for each Provider Practice</w:t>
      </w:r>
      <w:r>
        <w:t>………………………………………………………………………………...</w:t>
      </w:r>
      <w:r w:rsidRPr="00CA37BA">
        <w:t xml:space="preserve"> 17</w:t>
      </w:r>
    </w:p>
    <w:p w14:paraId="2E8A9928" w14:textId="4E776B65" w:rsidR="00CA37BA" w:rsidRPr="00CA37BA" w:rsidRDefault="00CA37BA" w:rsidP="00CA37BA">
      <w:pPr>
        <w:spacing w:line="480" w:lineRule="auto"/>
      </w:pPr>
      <w:r>
        <w:t xml:space="preserve">Figure 10 </w:t>
      </w:r>
      <w:r w:rsidRPr="00CA37BA">
        <w:t>Overall Standard Compared with the Care of Continuity Indexes for each Provider Practice</w:t>
      </w:r>
      <w:r>
        <w:t>…………………………………………………………………………………………...</w:t>
      </w:r>
      <w:r w:rsidRPr="00CA37BA">
        <w:t>18</w:t>
      </w:r>
    </w:p>
    <w:p w14:paraId="16226C53" w14:textId="7DC88E86" w:rsidR="00CA37BA" w:rsidRPr="00CA37BA" w:rsidRDefault="00CA37BA" w:rsidP="00CA37BA">
      <w:pPr>
        <w:spacing w:line="480" w:lineRule="auto"/>
      </w:pPr>
      <w:r>
        <w:t xml:space="preserve">Figure 11 </w:t>
      </w:r>
      <w:r w:rsidRPr="00CA37BA">
        <w:t>CGCAPHS Rank Compared with the Care of Continuity Indexes for each Provider Practice</w:t>
      </w:r>
      <w:r>
        <w:t>…………………………………………………………………………………………...</w:t>
      </w:r>
      <w:r w:rsidRPr="00CA37BA">
        <w:t>19</w:t>
      </w:r>
    </w:p>
    <w:p w14:paraId="41A268FF" w14:textId="2AFA4918" w:rsidR="00CA37BA" w:rsidRPr="00CA37BA" w:rsidRDefault="00CA37BA" w:rsidP="00CA37BA">
      <w:pPr>
        <w:spacing w:line="480" w:lineRule="auto"/>
      </w:pPr>
      <w:r w:rsidRPr="00CA37BA">
        <w:t>F</w:t>
      </w:r>
      <w:r>
        <w:t xml:space="preserve">igure 12 </w:t>
      </w:r>
      <w:r w:rsidRPr="00CA37BA">
        <w:t>Ease of Scheduling Appointments Compared with the Care of Continuity Indexes for each Provider Practice</w:t>
      </w:r>
      <w:r>
        <w:t>……………………………………………………………………………</w:t>
      </w:r>
      <w:r w:rsidRPr="00CA37BA">
        <w:t>20</w:t>
      </w:r>
    </w:p>
    <w:p w14:paraId="0EA2C4FF" w14:textId="376F2DB5" w:rsidR="00CA37BA" w:rsidRPr="00CA37BA" w:rsidRDefault="00CA37BA" w:rsidP="00CA37BA">
      <w:pPr>
        <w:pStyle w:val="Noindent"/>
      </w:pPr>
      <w:r w:rsidRPr="00CA37BA">
        <w:t>Figure 13. Rank of Access Compared with the Care of Continuity Indexes for each Provider Practice</w:t>
      </w:r>
      <w:r>
        <w:t>……………………………………………………………………………………….......</w:t>
      </w:r>
      <w:r w:rsidRPr="00CA37BA">
        <w:t>21</w:t>
      </w:r>
    </w:p>
    <w:p w14:paraId="4965E97B" w14:textId="5627427F" w:rsidR="00CD6CE2" w:rsidRDefault="00CD6CE2" w:rsidP="00CA37BA">
      <w:pPr>
        <w:spacing w:line="480" w:lineRule="auto"/>
      </w:pPr>
    </w:p>
    <w:p w14:paraId="39F6FB7A" w14:textId="77777777" w:rsidR="00AA2C6A" w:rsidRPr="00517559" w:rsidRDefault="00AA2C6A" w:rsidP="00AA2C6A"/>
    <w:p w14:paraId="531A43C9" w14:textId="77777777" w:rsidR="00AA2C6A" w:rsidRDefault="00AA2C6A" w:rsidP="00AA2C6A"/>
    <w:p w14:paraId="31A74AB1" w14:textId="77777777" w:rsidR="00AA2C6A" w:rsidRPr="00AA2C6A" w:rsidRDefault="00AA2C6A" w:rsidP="00AA2C6A">
      <w:pPr>
        <w:sectPr w:rsidR="00AA2C6A" w:rsidRPr="00AA2C6A" w:rsidSect="00367476">
          <w:footerReference w:type="default" r:id="rId8"/>
          <w:pgSz w:w="12240" w:h="15840"/>
          <w:pgMar w:top="1440" w:right="1440" w:bottom="1440" w:left="1440" w:header="720" w:footer="720" w:gutter="0"/>
          <w:pgNumType w:fmt="lowerRoman" w:start="1"/>
          <w:cols w:space="720"/>
          <w:titlePg/>
          <w:docGrid w:linePitch="360"/>
        </w:sectPr>
      </w:pPr>
    </w:p>
    <w:p w14:paraId="79E92584" w14:textId="3C402E55" w:rsidR="006B1124" w:rsidRPr="009A79DA" w:rsidRDefault="006B1124" w:rsidP="009A79DA">
      <w:pPr>
        <w:pStyle w:val="Heading1"/>
      </w:pPr>
      <w:bookmarkStart w:id="2" w:name="_Toc106513527"/>
      <w:bookmarkStart w:id="3" w:name="_Toc106717785"/>
      <w:bookmarkStart w:id="4" w:name="_Toc114179894"/>
      <w:bookmarkStart w:id="5" w:name="_Toc6908721"/>
      <w:r w:rsidRPr="009A79DA">
        <w:lastRenderedPageBreak/>
        <w:t>Introduction</w:t>
      </w:r>
      <w:bookmarkEnd w:id="2"/>
      <w:bookmarkEnd w:id="3"/>
      <w:bookmarkEnd w:id="4"/>
      <w:bookmarkEnd w:id="5"/>
    </w:p>
    <w:p w14:paraId="2F516E1F" w14:textId="77777777" w:rsidR="00883EAE" w:rsidRDefault="00883EAE" w:rsidP="00883EAE">
      <w:pPr>
        <w:pStyle w:val="Noindent"/>
        <w:ind w:firstLine="720"/>
      </w:pPr>
      <w:r>
        <w:t>Primary Care is the health promotion, disease prevention, health maintenance, counseling, patient education, diagnosis, and treatment of acute and chronic illnesses in various health settings (</w:t>
      </w:r>
      <w:r w:rsidRPr="00007AB1">
        <w:t>American Academy of Family Physicians</w:t>
      </w:r>
      <w:r>
        <w:t xml:space="preserve">, 2017). </w:t>
      </w:r>
      <w:proofErr w:type="gramStart"/>
      <w:r>
        <w:t>It is the care that is the first contact for patients with undiagnosed health symptoms and concerns (</w:t>
      </w:r>
      <w:r w:rsidRPr="00007AB1">
        <w:t>American Academy of Family Physicians</w:t>
      </w:r>
      <w:r>
        <w:t>, 2017).</w:t>
      </w:r>
      <w:proofErr w:type="gramEnd"/>
      <w:r>
        <w:t xml:space="preserve"> Primary care includes family medicine, internal medicine, pediatrics, general obstetrics and gynecology, gerontology, behavioral health, and community health (Primary Care Progress, 2019). After this contact with primary care occurs, patients see specialties (</w:t>
      </w:r>
      <w:r w:rsidRPr="00007AB1">
        <w:t>American Academy of Family Physicians</w:t>
      </w:r>
      <w:r>
        <w:t xml:space="preserve">, 2017). </w:t>
      </w:r>
    </w:p>
    <w:p w14:paraId="43980CE8" w14:textId="60F7D45B" w:rsidR="00060FFB" w:rsidRDefault="00FB026C" w:rsidP="00F742D5">
      <w:pPr>
        <w:pStyle w:val="Noindent"/>
        <w:ind w:firstLine="720"/>
      </w:pPr>
      <w:r>
        <w:t>Primary c</w:t>
      </w:r>
      <w:r w:rsidR="005F50FE">
        <w:t>are allows for patient advocacy</w:t>
      </w:r>
      <w:r>
        <w:t xml:space="preserve"> </w:t>
      </w:r>
      <w:r w:rsidR="005F50FE">
        <w:t xml:space="preserve">and </w:t>
      </w:r>
      <w:r>
        <w:t>cost effectiveness care</w:t>
      </w:r>
      <w:r w:rsidR="00142AD9">
        <w:t xml:space="preserve"> (</w:t>
      </w:r>
      <w:r w:rsidR="00007AB1" w:rsidRPr="00007AB1">
        <w:t>American Academy of Family Physicians</w:t>
      </w:r>
      <w:r w:rsidR="00007AB1">
        <w:t>, 2017</w:t>
      </w:r>
      <w:r w:rsidR="00142AD9">
        <w:t>)</w:t>
      </w:r>
      <w:r>
        <w:t>.</w:t>
      </w:r>
      <w:r w:rsidR="00F20F14">
        <w:t xml:space="preserve"> Primary care physicians and practices meet patient </w:t>
      </w:r>
      <w:r w:rsidR="00DC206F">
        <w:t xml:space="preserve">needs to take care </w:t>
      </w:r>
      <w:r w:rsidR="005F50FE">
        <w:t xml:space="preserve">of </w:t>
      </w:r>
      <w:r w:rsidR="00746872">
        <w:t>numerous</w:t>
      </w:r>
      <w:r w:rsidR="00DC206F">
        <w:t xml:space="preserve"> symptoms and concerns</w:t>
      </w:r>
      <w:r w:rsidR="00142AD9">
        <w:t xml:space="preserve"> (</w:t>
      </w:r>
      <w:r w:rsidR="00007AB1" w:rsidRPr="00007AB1">
        <w:t>American Academy of Family Physicians</w:t>
      </w:r>
      <w:r w:rsidR="00007AB1">
        <w:t>, 2017</w:t>
      </w:r>
      <w:r w:rsidR="00142AD9">
        <w:t>)</w:t>
      </w:r>
      <w:r w:rsidR="00DC206F">
        <w:t>.</w:t>
      </w:r>
      <w:r w:rsidR="002749A8">
        <w:t xml:space="preserve"> The care provided include chronic, preventive, and acute in inpatient and outpatient health facilities</w:t>
      </w:r>
      <w:r w:rsidR="00142AD9">
        <w:t xml:space="preserve"> (</w:t>
      </w:r>
      <w:r w:rsidR="00007AB1" w:rsidRPr="00007AB1">
        <w:t>American Academy of Family Physicians</w:t>
      </w:r>
      <w:r w:rsidR="00007AB1">
        <w:t>, 2017</w:t>
      </w:r>
      <w:r w:rsidR="00142AD9">
        <w:t>)</w:t>
      </w:r>
      <w:r w:rsidR="002749A8">
        <w:t>.</w:t>
      </w:r>
    </w:p>
    <w:p w14:paraId="3B33F8D9" w14:textId="7EF9EF53" w:rsidR="00A11E7E" w:rsidRDefault="00A11E7E" w:rsidP="00C811F7">
      <w:pPr>
        <w:spacing w:line="480" w:lineRule="auto"/>
        <w:ind w:firstLine="720"/>
      </w:pPr>
      <w:r>
        <w:t>Many patients</w:t>
      </w:r>
      <w:r w:rsidR="001728D2">
        <w:t>,</w:t>
      </w:r>
      <w:r>
        <w:t xml:space="preserve"> after they find a primary care physician they connect with</w:t>
      </w:r>
      <w:r w:rsidR="00F92ED3">
        <w:t>,</w:t>
      </w:r>
      <w:r>
        <w:t xml:space="preserve"> try to stay with tha</w:t>
      </w:r>
      <w:r w:rsidR="00932A91">
        <w:t>t physician for years to come (Penn Medicine, 2014</w:t>
      </w:r>
      <w:r>
        <w:t>). With this relationship, the physician can establish a p</w:t>
      </w:r>
      <w:r w:rsidR="00932A91">
        <w:t>athway to achieve good health (Penn Medicine, 2014</w:t>
      </w:r>
      <w:r>
        <w:t>). This is do</w:t>
      </w:r>
      <w:r w:rsidR="001728D2">
        <w:t xml:space="preserve">ne by identifying risk factors as well as </w:t>
      </w:r>
      <w:r>
        <w:t>coordinating</w:t>
      </w:r>
      <w:r w:rsidR="00F92ED3">
        <w:t>,</w:t>
      </w:r>
      <w:r>
        <w:t xml:space="preserve"> and managing chronic disease care for </w:t>
      </w:r>
      <w:r w:rsidR="00932A91">
        <w:t>better quality of life (Penn Medicine, 2014</w:t>
      </w:r>
      <w:r w:rsidR="00F742D5">
        <w:t xml:space="preserve">). This lets the </w:t>
      </w:r>
      <w:r w:rsidR="001728D2">
        <w:t>primary care physician</w:t>
      </w:r>
      <w:r w:rsidR="00F742D5">
        <w:t xml:space="preserve"> manage all aspects of health</w:t>
      </w:r>
      <w:r w:rsidR="001728D2">
        <w:t>care</w:t>
      </w:r>
      <w:r w:rsidR="00F742D5">
        <w:t xml:space="preserve"> for better</w:t>
      </w:r>
      <w:r w:rsidR="00932A91">
        <w:t xml:space="preserve"> total health (Penn Medicine, 2014</w:t>
      </w:r>
      <w:r w:rsidR="00F742D5">
        <w:t xml:space="preserve">). </w:t>
      </w:r>
    </w:p>
    <w:p w14:paraId="18E8B13F" w14:textId="5085FB59" w:rsidR="007B3E01" w:rsidRPr="00A11E7E" w:rsidRDefault="00492453" w:rsidP="001728D2">
      <w:pPr>
        <w:spacing w:line="480" w:lineRule="auto"/>
        <w:ind w:firstLine="720"/>
      </w:pPr>
      <w:r>
        <w:lastRenderedPageBreak/>
        <w:t xml:space="preserve">Primary care has important public health </w:t>
      </w:r>
      <w:r w:rsidR="001728D2">
        <w:t>implications</w:t>
      </w:r>
      <w:r>
        <w:t xml:space="preserve"> as well. Primary care can catch serious problems in the beginning that can avoid harsh consequ</w:t>
      </w:r>
      <w:r w:rsidR="00A57267">
        <w:t>ences such as premature death (Primary Care Progress, 2019</w:t>
      </w:r>
      <w:r>
        <w:t>).</w:t>
      </w:r>
      <w:r w:rsidR="005F1A5F">
        <w:t xml:space="preserve"> There are a</w:t>
      </w:r>
      <w:r w:rsidR="001728D2">
        <w:t>lso many ways it lowers costs (Primary Care Progress, 2019</w:t>
      </w:r>
      <w:r w:rsidR="005F1A5F">
        <w:t>). People with a primary care provide</w:t>
      </w:r>
      <w:r w:rsidR="00F92ED3">
        <w:t>r</w:t>
      </w:r>
      <w:r w:rsidR="005F1A5F">
        <w:t xml:space="preserve"> save 33% </w:t>
      </w:r>
      <w:r w:rsidR="001728D2">
        <w:t xml:space="preserve">more dollars </w:t>
      </w:r>
      <w:r w:rsidR="005F1A5F">
        <w:t>than pe</w:t>
      </w:r>
      <w:r w:rsidR="00A57267">
        <w:t>ople who only see specialists (Primary Care Progress, 2019</w:t>
      </w:r>
      <w:r w:rsidR="001728D2">
        <w:t>). Primary care</w:t>
      </w:r>
      <w:r w:rsidR="005F1A5F">
        <w:t xml:space="preserve"> also decreases the times peo</w:t>
      </w:r>
      <w:r w:rsidR="00A57267">
        <w:t>ple end up in emergency rooms (Primary Care Progress, 2019</w:t>
      </w:r>
      <w:r w:rsidR="005F1A5F">
        <w:t xml:space="preserve">). </w:t>
      </w:r>
      <w:r w:rsidR="001728D2">
        <w:t>Utilizing primary care providers to catch</w:t>
      </w:r>
      <w:r w:rsidR="005F1A5F">
        <w:t xml:space="preserve"> medical concerns and issues early would save the US $67 billion every year</w:t>
      </w:r>
      <w:r w:rsidR="00A57267">
        <w:t xml:space="preserve"> (Primary Care Progress, 2019</w:t>
      </w:r>
      <w:r w:rsidR="005F1A5F">
        <w:t>).</w:t>
      </w:r>
    </w:p>
    <w:p w14:paraId="31E46DC4" w14:textId="77777777" w:rsidR="00B917F0" w:rsidRPr="009A79DA" w:rsidRDefault="00757D3A" w:rsidP="009A79DA">
      <w:pPr>
        <w:pStyle w:val="Heading2"/>
      </w:pPr>
      <w:bookmarkStart w:id="6" w:name="_Toc6908722"/>
      <w:r w:rsidRPr="009A79DA">
        <w:t>Patient Continuity</w:t>
      </w:r>
      <w:bookmarkEnd w:id="6"/>
    </w:p>
    <w:p w14:paraId="2353D4AB" w14:textId="55915E20" w:rsidR="009920D8" w:rsidRDefault="009920D8" w:rsidP="00D31066">
      <w:pPr>
        <w:pStyle w:val="Noindent"/>
        <w:ind w:firstLine="720"/>
      </w:pPr>
      <w:r>
        <w:t xml:space="preserve">In </w:t>
      </w:r>
      <w:r w:rsidR="00D31066">
        <w:t>primary care, patient continuity is an established relationship between a primary care physician and patient that lasts beyond a few times of care</w:t>
      </w:r>
      <w:r w:rsidR="0001581E">
        <w:t xml:space="preserve"> for specific medical reasons (Haggerty et al, 2003</w:t>
      </w:r>
      <w:r w:rsidR="00D31066">
        <w:t xml:space="preserve">). </w:t>
      </w:r>
      <w:r w:rsidR="00FA5CE0">
        <w:t>Within patient continuity, there are two concepts that are</w:t>
      </w:r>
      <w:r w:rsidR="001728D2">
        <w:t xml:space="preserve"> crucial:</w:t>
      </w:r>
      <w:r w:rsidR="00745567">
        <w:t xml:space="preserve"> care for an individual patient and care delivered over time (</w:t>
      </w:r>
      <w:r w:rsidR="009F2CD4">
        <w:t>Haggerty et al, 2003</w:t>
      </w:r>
      <w:r w:rsidR="00745567">
        <w:t xml:space="preserve">). </w:t>
      </w:r>
      <w:r w:rsidR="000A4FDE">
        <w:t>Without these two aspects, ther</w:t>
      </w:r>
      <w:r w:rsidR="001728D2">
        <w:t xml:space="preserve">e cannot be patient continuity as these two </w:t>
      </w:r>
      <w:r w:rsidR="000A4FDE">
        <w:t>aspects measure how a patient is taken care of during an extended time period.</w:t>
      </w:r>
    </w:p>
    <w:p w14:paraId="62125D24" w14:textId="7AE27C48" w:rsidR="00016216" w:rsidRDefault="00016216" w:rsidP="00C811F7">
      <w:pPr>
        <w:spacing w:line="480" w:lineRule="auto"/>
        <w:ind w:firstLine="720"/>
      </w:pPr>
      <w:r>
        <w:t>Within overall patient continuity, there are three types of continuity (</w:t>
      </w:r>
      <w:r w:rsidR="009F2CD4">
        <w:t>Haggerty et al, 2003</w:t>
      </w:r>
      <w:r>
        <w:t>). These are informational, management, and relational (</w:t>
      </w:r>
      <w:r w:rsidR="009F2CD4">
        <w:t>Haggerty et al, 2003</w:t>
      </w:r>
      <w:r>
        <w:t>). Informational continuity is the basis that information is the link of the connection of one provider to each medical event of a patient (</w:t>
      </w:r>
      <w:r w:rsidR="009F2CD4">
        <w:t>Haggerty et al, 2003</w:t>
      </w:r>
      <w:r>
        <w:t>). Information is medical and person focused (</w:t>
      </w:r>
      <w:r w:rsidR="009F2CD4">
        <w:t>Haggerty et al, 2003</w:t>
      </w:r>
      <w:r>
        <w:t>). While all medical information is mostly documented, patient’s preferences and values are also cr</w:t>
      </w:r>
      <w:r w:rsidR="001728D2">
        <w:t xml:space="preserve">ucial for a patient’s wellbeing </w:t>
      </w:r>
      <w:r>
        <w:t>(</w:t>
      </w:r>
      <w:r w:rsidR="009F2CD4">
        <w:t>Haggerty et al, 2003</w:t>
      </w:r>
      <w:r>
        <w:t xml:space="preserve">). </w:t>
      </w:r>
      <w:r w:rsidR="00815FBB">
        <w:lastRenderedPageBreak/>
        <w:t xml:space="preserve">Management continuity is </w:t>
      </w:r>
      <w:r w:rsidR="005D0097">
        <w:t>when services are delivered to a patient in</w:t>
      </w:r>
      <w:r w:rsidR="001728D2">
        <w:t xml:space="preserve"> an appropriate and timely way, which </w:t>
      </w:r>
      <w:r w:rsidR="005D0097">
        <w:t>gives patients and providers the sense that they know the patient will be taken care of (</w:t>
      </w:r>
      <w:r w:rsidR="009F2CD4">
        <w:t>Haggerty et al, 2003</w:t>
      </w:r>
      <w:r w:rsidR="005D0097">
        <w:t>). Regular meetings between the patient and provider are established so care is delivered when needed and changes c</w:t>
      </w:r>
      <w:r w:rsidR="001728D2">
        <w:t xml:space="preserve">an be adapted to when necessary </w:t>
      </w:r>
      <w:r w:rsidR="005D0097">
        <w:t>(</w:t>
      </w:r>
      <w:r w:rsidR="009F2CD4">
        <w:t>Haggerty et al, 2003</w:t>
      </w:r>
      <w:r w:rsidR="005D0097">
        <w:t>). Lastly, relational continuity connects current care to future care (</w:t>
      </w:r>
      <w:r w:rsidR="009F2CD4">
        <w:t>Haggerty et al, 2003</w:t>
      </w:r>
      <w:r w:rsidR="005D0097">
        <w:t>). It is the notion that there will be care in the f</w:t>
      </w:r>
      <w:r w:rsidR="00296237">
        <w:t>uture and it will be consist</w:t>
      </w:r>
      <w:r w:rsidR="0038566D">
        <w:t>ent</w:t>
      </w:r>
      <w:r w:rsidR="005D0097">
        <w:t xml:space="preserve"> (</w:t>
      </w:r>
      <w:r w:rsidR="009F2CD4">
        <w:t>Haggerty et al, 2003</w:t>
      </w:r>
      <w:r w:rsidR="005D0097">
        <w:t>).</w:t>
      </w:r>
    </w:p>
    <w:p w14:paraId="1968E4EA" w14:textId="77777777" w:rsidR="00B917F0" w:rsidRPr="009A79DA" w:rsidRDefault="00757D3A" w:rsidP="009A79DA">
      <w:pPr>
        <w:pStyle w:val="Heading2"/>
      </w:pPr>
      <w:bookmarkStart w:id="7" w:name="_Toc6908723"/>
      <w:r w:rsidRPr="009A79DA">
        <w:t>Care of Continuity Index</w:t>
      </w:r>
      <w:bookmarkEnd w:id="7"/>
    </w:p>
    <w:p w14:paraId="6822A8AA" w14:textId="0341EB3F" w:rsidR="00B917F0" w:rsidRDefault="00442B93" w:rsidP="008303E0">
      <w:pPr>
        <w:pStyle w:val="Noindent"/>
        <w:ind w:firstLine="720"/>
      </w:pPr>
      <w:r>
        <w:t xml:space="preserve">Continuity of care is when the physician led care team </w:t>
      </w:r>
      <w:r w:rsidR="005374B7">
        <w:t>has ongoing care management towards high</w:t>
      </w:r>
      <w:r w:rsidR="0038566D">
        <w:t xml:space="preserve"> quality and</w:t>
      </w:r>
      <w:r w:rsidR="000A3DFF">
        <w:t xml:space="preserve"> cost effective care (</w:t>
      </w:r>
      <w:r w:rsidR="000A3DFF" w:rsidRPr="000A3DFF">
        <w:rPr>
          <w:color w:val="333333"/>
          <w:shd w:val="clear" w:color="auto" w:fill="FFFFFF"/>
        </w:rPr>
        <w:t>American Academy of Family Physicians</w:t>
      </w:r>
      <w:r w:rsidR="000A3DFF">
        <w:rPr>
          <w:color w:val="333333"/>
          <w:shd w:val="clear" w:color="auto" w:fill="FFFFFF"/>
        </w:rPr>
        <w:t>, 2017</w:t>
      </w:r>
      <w:r w:rsidR="005374B7">
        <w:t xml:space="preserve">). </w:t>
      </w:r>
      <w:r w:rsidR="002D18F1">
        <w:t>Co</w:t>
      </w:r>
      <w:r w:rsidR="00AE34CC">
        <w:t>ntinuity of care creates a long-</w:t>
      </w:r>
      <w:r w:rsidR="002D18F1">
        <w:t>term pat</w:t>
      </w:r>
      <w:r w:rsidR="00AE34CC">
        <w:t>ient physician partnership where</w:t>
      </w:r>
      <w:r w:rsidR="002D18F1">
        <w:t xml:space="preserve"> the physician knows a long span of the patient’s history and can </w:t>
      </w:r>
      <w:r w:rsidR="00AE34CC">
        <w:t>introduce new decisions with this</w:t>
      </w:r>
      <w:r w:rsidR="00B8538A">
        <w:t xml:space="preserve"> background information (</w:t>
      </w:r>
      <w:r w:rsidR="000A3DFF" w:rsidRPr="000A3DFF">
        <w:rPr>
          <w:color w:val="333333"/>
          <w:shd w:val="clear" w:color="auto" w:fill="FFFFFF"/>
        </w:rPr>
        <w:t>American Academy of Family Physicians</w:t>
      </w:r>
      <w:r w:rsidR="000A3DFF">
        <w:rPr>
          <w:color w:val="333333"/>
          <w:shd w:val="clear" w:color="auto" w:fill="FFFFFF"/>
        </w:rPr>
        <w:t>, 2017</w:t>
      </w:r>
      <w:r w:rsidR="00B8538A">
        <w:t>).</w:t>
      </w:r>
    </w:p>
    <w:p w14:paraId="14AD82CA" w14:textId="3E3F27A0" w:rsidR="00B50CF5" w:rsidRDefault="00B50CF5" w:rsidP="00C811F7">
      <w:pPr>
        <w:spacing w:line="480" w:lineRule="auto"/>
        <w:ind w:firstLine="720"/>
      </w:pPr>
      <w:r>
        <w:t xml:space="preserve">Currently, there are new models of </w:t>
      </w:r>
      <w:r w:rsidR="0023652C">
        <w:t>patient care such as bundled payment, accountable care organizations, and</w:t>
      </w:r>
      <w:r w:rsidR="00E71013">
        <w:t xml:space="preserve"> p</w:t>
      </w:r>
      <w:r w:rsidR="00AE34CC">
        <w:t xml:space="preserve">atient centered medical homes, all designed </w:t>
      </w:r>
      <w:r w:rsidR="00E3277F">
        <w:t>to reduce costs and increase quality with improved care coordination (</w:t>
      </w:r>
      <w:r w:rsidR="003645B9">
        <w:t>Hussey et all, 2016</w:t>
      </w:r>
      <w:r w:rsidR="00E3277F">
        <w:t>).</w:t>
      </w:r>
      <w:r w:rsidR="009E3E98">
        <w:t xml:space="preserve"> Continuity has proven to </w:t>
      </w:r>
      <w:r w:rsidR="0076015B">
        <w:t xml:space="preserve">decrease </w:t>
      </w:r>
      <w:r w:rsidR="00774BE0">
        <w:t>costs, rates of hospitalization,</w:t>
      </w:r>
      <w:r w:rsidR="003645B9">
        <w:t xml:space="preserve"> and increase satisfaction (Hussey et all, 2016).</w:t>
      </w:r>
    </w:p>
    <w:p w14:paraId="5F7F2A9D" w14:textId="17620029" w:rsidR="00F52DC7" w:rsidRPr="00B50CF5" w:rsidRDefault="00F52DC7" w:rsidP="00C811F7">
      <w:pPr>
        <w:spacing w:line="480" w:lineRule="auto"/>
        <w:ind w:firstLine="720"/>
      </w:pPr>
      <w:r>
        <w:t xml:space="preserve">The care of continuity index </w:t>
      </w:r>
      <w:r w:rsidR="00C528C7">
        <w:t>is calculated with how many times a patient</w:t>
      </w:r>
      <w:r w:rsidR="00CA2C49">
        <w:t xml:space="preserve"> visits the same provider over a period of time (</w:t>
      </w:r>
      <w:r w:rsidR="003645B9">
        <w:t>Hussey et all, 2016</w:t>
      </w:r>
      <w:r w:rsidR="00CA2C49">
        <w:t>).</w:t>
      </w:r>
      <w:r w:rsidR="00F432D6">
        <w:t xml:space="preserve"> </w:t>
      </w:r>
      <w:r w:rsidR="00E87B11">
        <w:t>This index includes two aspects</w:t>
      </w:r>
      <w:r w:rsidR="0013186E">
        <w:t xml:space="preserve"> (</w:t>
      </w:r>
      <w:r w:rsidR="0037127F">
        <w:t>University of Manitoba, 2015</w:t>
      </w:r>
      <w:r w:rsidR="0013186E">
        <w:t xml:space="preserve">). The first </w:t>
      </w:r>
      <w:r w:rsidR="00CF58D4">
        <w:t>is the aspect that the patient needs care and the second is that the care is ongoing over a time period (</w:t>
      </w:r>
      <w:r w:rsidR="0037127F">
        <w:t>University of Manitoba, 2015</w:t>
      </w:r>
      <w:r w:rsidR="00CF58D4">
        <w:t xml:space="preserve">). </w:t>
      </w:r>
      <w:r w:rsidR="00F432D6">
        <w:t xml:space="preserve">The </w:t>
      </w:r>
      <w:r w:rsidR="00E87B11">
        <w:t>index ranges</w:t>
      </w:r>
      <w:r w:rsidR="00676C63">
        <w:t xml:space="preserve"> from zero to one (American Academy of Family Physicians, 2014</w:t>
      </w:r>
      <w:r w:rsidR="00F432D6">
        <w:t xml:space="preserve">). Zero is a patient sees a different </w:t>
      </w:r>
      <w:r w:rsidR="00F432D6">
        <w:lastRenderedPageBreak/>
        <w:t>provider for each visit and one is the patient sees the same provider for all visits (</w:t>
      </w:r>
      <w:r w:rsidR="00676C63">
        <w:t>American Academy of Family Physicians, 2014</w:t>
      </w:r>
      <w:r w:rsidR="00F432D6">
        <w:t>). A 0.1 increase</w:t>
      </w:r>
      <w:r w:rsidR="00E87B11">
        <w:t xml:space="preserve"> in the care of continuity index</w:t>
      </w:r>
      <w:r w:rsidR="00F432D6">
        <w:t xml:space="preserve"> was shown to have 4.7% decreased costs for congestive heart failure, 6.3% decreased costs for chronic obstructive pulmonary disease, and 5.1% decreased costs for diabetes mellitus (</w:t>
      </w:r>
      <w:r w:rsidR="00676C63">
        <w:t>American Academy of Family Physicians, 2014</w:t>
      </w:r>
      <w:r w:rsidR="00F432D6">
        <w:t>).</w:t>
      </w:r>
      <w:r w:rsidR="00F751D6">
        <w:t xml:space="preserve"> In dollar amounts per patient, that is a $64 decrease for chronic obstructive pulmonary disease, $66 decrease for congestive heart failure</w:t>
      </w:r>
      <w:r w:rsidR="004D75DD">
        <w:t>, and $52</w:t>
      </w:r>
      <w:r w:rsidR="00F751D6">
        <w:t xml:space="preserve"> decrease for</w:t>
      </w:r>
      <w:r w:rsidR="004D75DD">
        <w:t xml:space="preserve"> diabetes mellitus</w:t>
      </w:r>
      <w:r w:rsidR="00676C63">
        <w:t xml:space="preserve"> (American Academy of Family Physicians, 2014)</w:t>
      </w:r>
      <w:r w:rsidR="004D75DD">
        <w:t xml:space="preserve">. </w:t>
      </w:r>
    </w:p>
    <w:p w14:paraId="2C92C1D2" w14:textId="77777777" w:rsidR="00B917F0" w:rsidRPr="009A79DA" w:rsidRDefault="00757D3A" w:rsidP="009A79DA">
      <w:pPr>
        <w:pStyle w:val="Heading3"/>
      </w:pPr>
      <w:bookmarkStart w:id="8" w:name="_Toc6908724"/>
      <w:r w:rsidRPr="009A79DA">
        <w:t>Factors Affecting Patient Continuity</w:t>
      </w:r>
      <w:bookmarkEnd w:id="8"/>
    </w:p>
    <w:p w14:paraId="152267A3" w14:textId="17FE36EA" w:rsidR="00597FE6" w:rsidRDefault="0010602A" w:rsidP="007434D8">
      <w:pPr>
        <w:pStyle w:val="Noindent"/>
        <w:ind w:firstLine="720"/>
      </w:pPr>
      <w:r>
        <w:t>There are many factors</w:t>
      </w:r>
      <w:r w:rsidR="000E570F">
        <w:t xml:space="preserve"> that affect patient continuity. These include demographic factors, patient and healthcare professional factors, patient healthcare professional relationship, inter</w:t>
      </w:r>
      <w:r w:rsidR="00422FA0">
        <w:t xml:space="preserve">-professional </w:t>
      </w:r>
      <w:r w:rsidR="000E570F">
        <w:t>fact</w:t>
      </w:r>
      <w:r w:rsidR="00422FA0">
        <w:t>ors, role of receptionist</w:t>
      </w:r>
      <w:r w:rsidR="0065519A">
        <w:t>s, and organizational factors (</w:t>
      </w:r>
      <w:proofErr w:type="spellStart"/>
      <w:r w:rsidR="0065519A">
        <w:t>Alazri</w:t>
      </w:r>
      <w:proofErr w:type="spellEnd"/>
      <w:r w:rsidR="0065519A">
        <w:t xml:space="preserve"> et al, 2007</w:t>
      </w:r>
      <w:r w:rsidR="00422FA0">
        <w:t>).</w:t>
      </w:r>
      <w:r w:rsidR="00805650">
        <w:t xml:space="preserve"> Within demographic factors in the US, it was shown that most patients stayed with the same provider if they could travel or access the provider (</w:t>
      </w:r>
      <w:proofErr w:type="spellStart"/>
      <w:r w:rsidR="0065519A">
        <w:t>Alazri</w:t>
      </w:r>
      <w:proofErr w:type="spellEnd"/>
      <w:r w:rsidR="0065519A">
        <w:t xml:space="preserve"> et al, 2007</w:t>
      </w:r>
      <w:r w:rsidR="00805650">
        <w:t xml:space="preserve">). This shows </w:t>
      </w:r>
      <w:r w:rsidR="00E87B11">
        <w:t xml:space="preserve">the importance of patient access, which </w:t>
      </w:r>
      <w:r w:rsidR="00805650">
        <w:t>can include not just being able to travel to the provider</w:t>
      </w:r>
      <w:r w:rsidR="00E87B11">
        <w:t>,</w:t>
      </w:r>
      <w:r w:rsidR="00805650">
        <w:t xml:space="preserve"> but being able to schedule appointments to see the provider. Without </w:t>
      </w:r>
      <w:r w:rsidR="00E87B11">
        <w:t xml:space="preserve">the ability to schedule </w:t>
      </w:r>
      <w:r w:rsidR="00805650">
        <w:t>appointments, patients would have a huge obstacle in accessing the same provider.</w:t>
      </w:r>
    </w:p>
    <w:p w14:paraId="63EEA397" w14:textId="64BAE6F0" w:rsidR="00805650" w:rsidRDefault="00805650" w:rsidP="00C811F7">
      <w:pPr>
        <w:spacing w:line="480" w:lineRule="auto"/>
        <w:ind w:firstLine="720"/>
      </w:pPr>
      <w:r>
        <w:t xml:space="preserve">Next, patient and healthcare professional factors </w:t>
      </w:r>
      <w:r w:rsidR="0052426D">
        <w:t>play a part with reasoning why patients are seeing a provider (</w:t>
      </w:r>
      <w:proofErr w:type="spellStart"/>
      <w:r w:rsidR="0065519A">
        <w:t>Alazri</w:t>
      </w:r>
      <w:proofErr w:type="spellEnd"/>
      <w:r w:rsidR="0065519A">
        <w:t xml:space="preserve"> et al, 2007</w:t>
      </w:r>
      <w:r w:rsidR="0052426D">
        <w:t xml:space="preserve">). For example, a patient might be more inclined to switch providers if a different provider has a </w:t>
      </w:r>
      <w:r w:rsidR="00880A5E">
        <w:t>specialty</w:t>
      </w:r>
      <w:r w:rsidR="0052426D">
        <w:t xml:space="preserve"> </w:t>
      </w:r>
      <w:r w:rsidR="00D60B5B">
        <w:t>which the patient’s condition needs</w:t>
      </w:r>
      <w:r w:rsidR="00880A5E">
        <w:t xml:space="preserve">. Also, another </w:t>
      </w:r>
      <w:r w:rsidR="00D60B5B">
        <w:t>factor</w:t>
      </w:r>
      <w:r w:rsidR="00880A5E">
        <w:t xml:space="preserve"> is severity. Patients who have more severe conditions such as cancer, psychological problems, and family problems were more inclined to stay with</w:t>
      </w:r>
      <w:r w:rsidR="00953A07">
        <w:t xml:space="preserve"> the same provider than </w:t>
      </w:r>
      <w:r w:rsidR="00880A5E">
        <w:t>patients who are seeing a provider for issues such as a cold, rash, and broken bone</w:t>
      </w:r>
      <w:r w:rsidR="00953A07">
        <w:t>s</w:t>
      </w:r>
      <w:r w:rsidR="00880A5E">
        <w:t xml:space="preserve"> (</w:t>
      </w:r>
      <w:proofErr w:type="spellStart"/>
      <w:r w:rsidR="0065519A">
        <w:t>Alazri</w:t>
      </w:r>
      <w:proofErr w:type="spellEnd"/>
      <w:r w:rsidR="0065519A">
        <w:t xml:space="preserve"> </w:t>
      </w:r>
      <w:r w:rsidR="0065519A">
        <w:lastRenderedPageBreak/>
        <w:t>et al, 2007</w:t>
      </w:r>
      <w:r w:rsidR="00880A5E">
        <w:t xml:space="preserve">). </w:t>
      </w:r>
      <w:r w:rsidR="008D5FE0">
        <w:t xml:space="preserve">A last </w:t>
      </w:r>
      <w:r w:rsidR="00953A07">
        <w:t>factor</w:t>
      </w:r>
      <w:r w:rsidR="008D5FE0">
        <w:t xml:space="preserve"> is the amount of time the provider practices (</w:t>
      </w:r>
      <w:proofErr w:type="spellStart"/>
      <w:r w:rsidR="0065519A">
        <w:t>Alazri</w:t>
      </w:r>
      <w:proofErr w:type="spellEnd"/>
      <w:r w:rsidR="0065519A">
        <w:t xml:space="preserve"> et al, 2007</w:t>
      </w:r>
      <w:r w:rsidR="00953A07">
        <w:t>). It was shown f</w:t>
      </w:r>
      <w:r w:rsidR="008D5FE0">
        <w:t>ull time provider</w:t>
      </w:r>
      <w:r w:rsidR="00953A07">
        <w:t>s have</w:t>
      </w:r>
      <w:r w:rsidR="008D5FE0">
        <w:t xml:space="preserve"> patients of higher continuity than part time providers (</w:t>
      </w:r>
      <w:proofErr w:type="spellStart"/>
      <w:r w:rsidR="0065519A">
        <w:t>Alazri</w:t>
      </w:r>
      <w:proofErr w:type="spellEnd"/>
      <w:r w:rsidR="0065519A">
        <w:t xml:space="preserve"> et al, 2007</w:t>
      </w:r>
      <w:r w:rsidR="008D5FE0">
        <w:t xml:space="preserve">). </w:t>
      </w:r>
      <w:r w:rsidR="007B67AE">
        <w:t xml:space="preserve"> This includes if a provider takes on management and teaching which would decrease the provider’s availability to see patients and if the provider will only see patients on certain days</w:t>
      </w:r>
      <w:r w:rsidR="00AD3CC7">
        <w:t xml:space="preserve"> </w:t>
      </w:r>
      <w:r w:rsidR="007B67AE">
        <w:t>(</w:t>
      </w:r>
      <w:proofErr w:type="spellStart"/>
      <w:r w:rsidR="0065519A">
        <w:t>Alazri</w:t>
      </w:r>
      <w:proofErr w:type="spellEnd"/>
      <w:r w:rsidR="0065519A">
        <w:t xml:space="preserve"> et al, 2007</w:t>
      </w:r>
      <w:r w:rsidR="007B67AE">
        <w:t xml:space="preserve">). </w:t>
      </w:r>
      <w:r w:rsidR="00AD3CC7">
        <w:t xml:space="preserve"> With this </w:t>
      </w:r>
      <w:r w:rsidR="00953A07">
        <w:t>factor</w:t>
      </w:r>
      <w:r w:rsidR="00AD3CC7">
        <w:t xml:space="preserve"> and how high primary care physicians are regarding continuity now, providers are trying to introduce team continuity (</w:t>
      </w:r>
      <w:proofErr w:type="spellStart"/>
      <w:r w:rsidR="0065519A">
        <w:t>Alazri</w:t>
      </w:r>
      <w:proofErr w:type="spellEnd"/>
      <w:r w:rsidR="0065519A">
        <w:t xml:space="preserve"> et al, 2007</w:t>
      </w:r>
      <w:r w:rsidR="00AD3CC7">
        <w:t>). With team continuity, a patient can be seen by various providers within the same practice as long as the</w:t>
      </w:r>
      <w:r w:rsidR="00953A07">
        <w:t>se</w:t>
      </w:r>
      <w:r w:rsidR="00AD3CC7">
        <w:t xml:space="preserve"> providers are in good communication (</w:t>
      </w:r>
      <w:proofErr w:type="spellStart"/>
      <w:r w:rsidR="0065519A">
        <w:t>Alazri</w:t>
      </w:r>
      <w:proofErr w:type="spellEnd"/>
      <w:r w:rsidR="0065519A">
        <w:t xml:space="preserve"> et al, 2007</w:t>
      </w:r>
      <w:r w:rsidR="00AD3CC7">
        <w:t>).</w:t>
      </w:r>
    </w:p>
    <w:p w14:paraId="5506CDB7" w14:textId="3B856191" w:rsidR="00204A9F" w:rsidRDefault="00204A9F" w:rsidP="00C811F7">
      <w:pPr>
        <w:spacing w:line="480" w:lineRule="auto"/>
        <w:ind w:firstLine="720"/>
      </w:pPr>
      <w:r>
        <w:t xml:space="preserve">Next, </w:t>
      </w:r>
      <w:r w:rsidR="00953A07">
        <w:t xml:space="preserve">the </w:t>
      </w:r>
      <w:r>
        <w:t xml:space="preserve">patient healthcare professional relationship is a crucial aspect in patient continuity. </w:t>
      </w:r>
      <w:r w:rsidR="00DC10D8">
        <w:t>Patients who have trust</w:t>
      </w:r>
      <w:r w:rsidR="00953A07">
        <w:t xml:space="preserve"> in their provider were</w:t>
      </w:r>
      <w:r w:rsidR="00DC10D8">
        <w:t xml:space="preserve"> shown to have higher continuity than patients with lack of trust</w:t>
      </w:r>
      <w:r w:rsidR="00231389">
        <w:t xml:space="preserve"> (</w:t>
      </w:r>
      <w:proofErr w:type="spellStart"/>
      <w:r w:rsidR="0065519A">
        <w:t>Alazri</w:t>
      </w:r>
      <w:proofErr w:type="spellEnd"/>
      <w:r w:rsidR="0065519A">
        <w:t xml:space="preserve"> et al, 2007</w:t>
      </w:r>
      <w:r w:rsidR="00231389">
        <w:t>). Lack of trust can lead to disagreements between p</w:t>
      </w:r>
      <w:r w:rsidR="00953A07">
        <w:t>atients and providers that may</w:t>
      </w:r>
      <w:r w:rsidR="00231389">
        <w:t xml:space="preserve"> account for why patients are switching providers (</w:t>
      </w:r>
      <w:proofErr w:type="spellStart"/>
      <w:r w:rsidR="0065519A">
        <w:t>Alazri</w:t>
      </w:r>
      <w:proofErr w:type="spellEnd"/>
      <w:r w:rsidR="0065519A">
        <w:t xml:space="preserve"> et al, 2007</w:t>
      </w:r>
      <w:r w:rsidR="00231389">
        <w:t>). Also, increased patient satisfaction and experience has been correlated with high patient continuity (</w:t>
      </w:r>
      <w:proofErr w:type="spellStart"/>
      <w:r w:rsidR="0065519A">
        <w:t>Alazri</w:t>
      </w:r>
      <w:proofErr w:type="spellEnd"/>
      <w:r w:rsidR="0065519A">
        <w:t xml:space="preserve"> et al, 2007</w:t>
      </w:r>
      <w:r w:rsidR="00231389">
        <w:t>). When patients are happy with their provider, they are more likely to stay and not switch.</w:t>
      </w:r>
    </w:p>
    <w:p w14:paraId="010EDAF9" w14:textId="7C131F13" w:rsidR="001E6EAA" w:rsidRDefault="001E6EAA" w:rsidP="003260C4">
      <w:pPr>
        <w:spacing w:line="480" w:lineRule="auto"/>
        <w:ind w:firstLine="720"/>
      </w:pPr>
      <w:r>
        <w:t xml:space="preserve">Another aspect that affects patient continuity is inter-professional factors. </w:t>
      </w:r>
      <w:r w:rsidR="00950C32">
        <w:t>One of these factors is care coordination among providers</w:t>
      </w:r>
      <w:r w:rsidR="0065519A">
        <w:t xml:space="preserve"> (</w:t>
      </w:r>
      <w:proofErr w:type="spellStart"/>
      <w:r w:rsidR="0065519A">
        <w:t>Alazri</w:t>
      </w:r>
      <w:proofErr w:type="spellEnd"/>
      <w:r w:rsidR="0065519A">
        <w:t xml:space="preserve"> et al, 2007)</w:t>
      </w:r>
      <w:r w:rsidR="00950C32">
        <w:t xml:space="preserve">. </w:t>
      </w:r>
      <w:r w:rsidR="004C4E35">
        <w:t xml:space="preserve">Care coordination between providers and services is vital </w:t>
      </w:r>
      <w:r w:rsidR="002D3D0D">
        <w:t>for continuity</w:t>
      </w:r>
      <w:r w:rsidR="0065519A">
        <w:t xml:space="preserve"> (</w:t>
      </w:r>
      <w:proofErr w:type="spellStart"/>
      <w:r w:rsidR="0065519A">
        <w:t>Alazri</w:t>
      </w:r>
      <w:proofErr w:type="spellEnd"/>
      <w:r w:rsidR="0065519A">
        <w:t xml:space="preserve"> et al, 2007)</w:t>
      </w:r>
      <w:r w:rsidR="002D3D0D">
        <w:t>. Without care coordination, it disrupts communication which in return disrupts continuity</w:t>
      </w:r>
      <w:r w:rsidR="0065519A">
        <w:t xml:space="preserve"> (</w:t>
      </w:r>
      <w:proofErr w:type="spellStart"/>
      <w:r w:rsidR="0065519A">
        <w:t>Alazri</w:t>
      </w:r>
      <w:proofErr w:type="spellEnd"/>
      <w:r w:rsidR="0065519A">
        <w:t xml:space="preserve"> et al, 2007)</w:t>
      </w:r>
      <w:r w:rsidR="002D3D0D">
        <w:t>.</w:t>
      </w:r>
    </w:p>
    <w:p w14:paraId="31F32EBE" w14:textId="01653334" w:rsidR="00DF3872" w:rsidRDefault="00DF3872" w:rsidP="00C811F7">
      <w:pPr>
        <w:spacing w:line="480" w:lineRule="auto"/>
        <w:ind w:firstLine="720"/>
      </w:pPr>
      <w:r>
        <w:t>Next, the role of receptionists is crucial to patient continuity.</w:t>
      </w:r>
      <w:r w:rsidR="00112C00">
        <w:t xml:space="preserve"> </w:t>
      </w:r>
      <w:r w:rsidR="003D7E18">
        <w:t>As organizations grow, accessibility to providers decrease</w:t>
      </w:r>
      <w:r w:rsidR="0065519A">
        <w:t xml:space="preserve"> (</w:t>
      </w:r>
      <w:proofErr w:type="spellStart"/>
      <w:r w:rsidR="0065519A">
        <w:t>Alazri</w:t>
      </w:r>
      <w:proofErr w:type="spellEnd"/>
      <w:r w:rsidR="0065519A">
        <w:t xml:space="preserve"> et al, 2007)</w:t>
      </w:r>
      <w:r w:rsidR="003D7E18">
        <w:t>. When receptionists are well trained and make it easier</w:t>
      </w:r>
      <w:r>
        <w:t xml:space="preserve"> </w:t>
      </w:r>
      <w:r w:rsidR="003D7E18">
        <w:t>to see providers, continuity increases</w:t>
      </w:r>
      <w:r w:rsidR="0065519A">
        <w:t xml:space="preserve"> (</w:t>
      </w:r>
      <w:proofErr w:type="spellStart"/>
      <w:r w:rsidR="0065519A">
        <w:t>Alazri</w:t>
      </w:r>
      <w:proofErr w:type="spellEnd"/>
      <w:r w:rsidR="0065519A">
        <w:t xml:space="preserve"> et al, 2007)</w:t>
      </w:r>
      <w:r w:rsidR="003D7E18">
        <w:t>.</w:t>
      </w:r>
    </w:p>
    <w:p w14:paraId="5954EFE9" w14:textId="697D1897" w:rsidR="00F814C0" w:rsidRPr="00805650" w:rsidRDefault="00F814C0" w:rsidP="00C811F7">
      <w:pPr>
        <w:spacing w:line="480" w:lineRule="auto"/>
        <w:ind w:firstLine="720"/>
      </w:pPr>
      <w:r>
        <w:lastRenderedPageBreak/>
        <w:t xml:space="preserve">Lastly, organizational factors </w:t>
      </w:r>
      <w:r w:rsidR="002770D7">
        <w:t>are</w:t>
      </w:r>
      <w:r>
        <w:t xml:space="preserve"> also a crucial aspect in patient continuity. An example of an organizational factor that especially affects continuity in the US is insurance</w:t>
      </w:r>
      <w:r w:rsidR="0065519A">
        <w:t xml:space="preserve"> (</w:t>
      </w:r>
      <w:proofErr w:type="spellStart"/>
      <w:r w:rsidR="0065519A">
        <w:t>Alazri</w:t>
      </w:r>
      <w:proofErr w:type="spellEnd"/>
      <w:r w:rsidR="0065519A">
        <w:t xml:space="preserve"> et al, 2007)</w:t>
      </w:r>
      <w:r>
        <w:t>.</w:t>
      </w:r>
      <w:r w:rsidR="00123052">
        <w:t xml:space="preserve"> Without insurance, </w:t>
      </w:r>
      <w:r w:rsidR="00CD4994">
        <w:t xml:space="preserve">there is limited access to providers. Insurance can also specify which providers </w:t>
      </w:r>
      <w:r w:rsidR="004E61ED">
        <w:t>can be accessed</w:t>
      </w:r>
      <w:r w:rsidR="0065519A">
        <w:rPr>
          <w:vertAlign w:val="superscript"/>
        </w:rPr>
        <w:t xml:space="preserve"> </w:t>
      </w:r>
      <w:r w:rsidR="0065519A">
        <w:t>(</w:t>
      </w:r>
      <w:proofErr w:type="spellStart"/>
      <w:r w:rsidR="0065519A">
        <w:t>Alazri</w:t>
      </w:r>
      <w:proofErr w:type="spellEnd"/>
      <w:r w:rsidR="0065519A">
        <w:t xml:space="preserve"> et al, 2007)</w:t>
      </w:r>
      <w:r w:rsidR="004E61ED">
        <w:t>.</w:t>
      </w:r>
      <w:r w:rsidR="00DA36E6">
        <w:t xml:space="preserve"> Insurance also reduces costs in healthcare</w:t>
      </w:r>
      <w:r w:rsidR="0065519A">
        <w:t xml:space="preserve"> (</w:t>
      </w:r>
      <w:proofErr w:type="spellStart"/>
      <w:r w:rsidR="0065519A">
        <w:t>Alazri</w:t>
      </w:r>
      <w:proofErr w:type="spellEnd"/>
      <w:r w:rsidR="0065519A">
        <w:t xml:space="preserve"> et al, 2007)</w:t>
      </w:r>
      <w:r w:rsidR="00DA36E6">
        <w:t>.</w:t>
      </w:r>
    </w:p>
    <w:p w14:paraId="2A84AE87" w14:textId="77777777" w:rsidR="00B917F0" w:rsidRPr="009A79DA" w:rsidRDefault="00B917F0" w:rsidP="009A79DA">
      <w:pPr>
        <w:pStyle w:val="Heading1"/>
      </w:pPr>
      <w:bookmarkStart w:id="9" w:name="_Toc106513532"/>
      <w:bookmarkStart w:id="10" w:name="_Toc106717790"/>
      <w:bookmarkStart w:id="11" w:name="_Toc114179899"/>
      <w:bookmarkStart w:id="12" w:name="_Toc6908725"/>
      <w:r w:rsidRPr="009A79DA">
        <w:lastRenderedPageBreak/>
        <w:t>Second chapter</w:t>
      </w:r>
      <w:bookmarkEnd w:id="9"/>
      <w:bookmarkEnd w:id="10"/>
      <w:bookmarkEnd w:id="11"/>
      <w:r w:rsidR="00081539" w:rsidRPr="009A79DA">
        <w:t>: Allegheny Health Network Primary Care</w:t>
      </w:r>
      <w:bookmarkEnd w:id="12"/>
      <w:r w:rsidR="00081539" w:rsidRPr="009A79DA">
        <w:t xml:space="preserve"> </w:t>
      </w:r>
    </w:p>
    <w:p w14:paraId="02DFAA8D" w14:textId="0726FD6A" w:rsidR="002706BA" w:rsidRPr="002706BA" w:rsidRDefault="00B21CB8" w:rsidP="0053035A">
      <w:pPr>
        <w:spacing w:line="480" w:lineRule="auto"/>
        <w:ind w:firstLine="720"/>
      </w:pPr>
      <w:r>
        <w:t xml:space="preserve">Allegheny </w:t>
      </w:r>
      <w:r w:rsidR="00A314D1">
        <w:t>Health Network</w:t>
      </w:r>
      <w:r w:rsidR="000A1DC7">
        <w:t xml:space="preserve"> (AHN)</w:t>
      </w:r>
      <w:r w:rsidR="00A314D1">
        <w:t xml:space="preserve"> </w:t>
      </w:r>
      <w:r w:rsidR="000F4543">
        <w:t xml:space="preserve">is one of the major health systems in </w:t>
      </w:r>
      <w:r w:rsidR="00961C76">
        <w:t>Western</w:t>
      </w:r>
      <w:r w:rsidR="000F4543">
        <w:t xml:space="preserve"> Pennsylvania. </w:t>
      </w:r>
      <w:r w:rsidR="00961C76">
        <w:t>AHN</w:t>
      </w:r>
      <w:r w:rsidR="00D61C0E">
        <w:t xml:space="preserve"> is an advocate of patient continuity with </w:t>
      </w:r>
      <w:r w:rsidR="00961C76">
        <w:t>research indicating</w:t>
      </w:r>
      <w:r w:rsidR="008F20EF">
        <w:t xml:space="preserve"> health care advantages </w:t>
      </w:r>
      <w:r w:rsidR="00961C76">
        <w:t>such as</w:t>
      </w:r>
      <w:r w:rsidR="008F20EF">
        <w:t xml:space="preserve"> reduced costs, reduce</w:t>
      </w:r>
      <w:r w:rsidR="00554EE3">
        <w:t>d</w:t>
      </w:r>
      <w:r w:rsidR="008F20EF">
        <w:t xml:space="preserve"> hospitalization stays, increase</w:t>
      </w:r>
      <w:r w:rsidR="00554EE3">
        <w:t>d</w:t>
      </w:r>
      <w:r w:rsidR="008F20EF">
        <w:t xml:space="preserve"> satisfaction, and overall improve quality. </w:t>
      </w:r>
      <w:r w:rsidR="00B02D72">
        <w:t xml:space="preserve"> </w:t>
      </w:r>
      <w:r w:rsidR="00961C76">
        <w:t>The AHN primary care</w:t>
      </w:r>
      <w:r w:rsidR="00D61C0E">
        <w:t xml:space="preserve"> service line wanted to see if any of the</w:t>
      </w:r>
      <w:r w:rsidR="008F20EF">
        <w:t xml:space="preserve"> factors that play a part in patient continuity</w:t>
      </w:r>
      <w:r w:rsidR="00D61C0E">
        <w:t xml:space="preserve"> affected the patients of Allegheny Health Network when </w:t>
      </w:r>
      <w:r w:rsidR="00961C76">
        <w:t>choosing providers</w:t>
      </w:r>
      <w:r w:rsidR="00D61C0E">
        <w:t>.</w:t>
      </w:r>
      <w:r w:rsidR="00DD6447">
        <w:t xml:space="preserve"> </w:t>
      </w:r>
    </w:p>
    <w:p w14:paraId="599E9C51" w14:textId="77777777" w:rsidR="00B917F0" w:rsidRPr="009A79DA" w:rsidRDefault="00DD6447" w:rsidP="009A79DA">
      <w:pPr>
        <w:pStyle w:val="Heading2"/>
      </w:pPr>
      <w:bookmarkStart w:id="13" w:name="_Toc6908726"/>
      <w:r w:rsidRPr="009A79DA">
        <w:t>Methods</w:t>
      </w:r>
      <w:bookmarkEnd w:id="13"/>
    </w:p>
    <w:p w14:paraId="34DFB901" w14:textId="7DC82937" w:rsidR="00761CB4" w:rsidRPr="00C811F7" w:rsidRDefault="00FF2862" w:rsidP="00761CB4">
      <w:pPr>
        <w:pStyle w:val="ListParagraph"/>
        <w:spacing w:line="480" w:lineRule="auto"/>
        <w:ind w:left="0" w:firstLine="720"/>
        <w:rPr>
          <w:rFonts w:ascii="Times New Roman" w:hAnsi="Times New Roman"/>
        </w:rPr>
      </w:pPr>
      <w:r>
        <w:rPr>
          <w:rFonts w:ascii="Times New Roman" w:hAnsi="Times New Roman"/>
        </w:rPr>
        <w:t>While there are</w:t>
      </w:r>
      <w:r w:rsidR="00761CB4" w:rsidRPr="00C811F7">
        <w:rPr>
          <w:rFonts w:ascii="Times New Roman" w:hAnsi="Times New Roman"/>
        </w:rPr>
        <w:t xml:space="preserve"> various aspects that affect patient continuity, </w:t>
      </w:r>
      <w:r w:rsidR="005D5FEE" w:rsidRPr="00C811F7">
        <w:rPr>
          <w:rFonts w:ascii="Times New Roman" w:hAnsi="Times New Roman"/>
        </w:rPr>
        <w:t>the f</w:t>
      </w:r>
      <w:r w:rsidR="0072531B" w:rsidRPr="00C811F7">
        <w:rPr>
          <w:rFonts w:ascii="Times New Roman" w:hAnsi="Times New Roman"/>
        </w:rPr>
        <w:t>actors that were evaluated</w:t>
      </w:r>
      <w:r>
        <w:rPr>
          <w:rFonts w:ascii="Times New Roman" w:hAnsi="Times New Roman"/>
        </w:rPr>
        <w:t xml:space="preserve"> in this study</w:t>
      </w:r>
      <w:r w:rsidR="0072531B" w:rsidRPr="00C811F7">
        <w:rPr>
          <w:rFonts w:ascii="Times New Roman" w:hAnsi="Times New Roman"/>
        </w:rPr>
        <w:t xml:space="preserve"> were </w:t>
      </w:r>
      <w:r w:rsidR="00761CB4" w:rsidRPr="00C811F7">
        <w:rPr>
          <w:rFonts w:ascii="Times New Roman" w:hAnsi="Times New Roman"/>
        </w:rPr>
        <w:t xml:space="preserve">average age, chronic conditions, payer mix, </w:t>
      </w:r>
      <w:r w:rsidR="006C3A00" w:rsidRPr="00C811F7">
        <w:rPr>
          <w:rFonts w:ascii="Times New Roman" w:hAnsi="Times New Roman"/>
        </w:rPr>
        <w:t xml:space="preserve">emergency department visits, </w:t>
      </w:r>
      <w:r w:rsidR="00761CB4" w:rsidRPr="00C811F7">
        <w:rPr>
          <w:rFonts w:ascii="Times New Roman" w:hAnsi="Times New Roman"/>
        </w:rPr>
        <w:t>patient experience, ease of scheduling appointments, and patient access.</w:t>
      </w:r>
      <w:r w:rsidR="0072531B" w:rsidRPr="00C811F7">
        <w:rPr>
          <w:rFonts w:ascii="Times New Roman" w:hAnsi="Times New Roman"/>
        </w:rPr>
        <w:t xml:space="preserve"> Before the factors were evaluated, care of continuity indexes </w:t>
      </w:r>
      <w:r w:rsidR="002770D7" w:rsidRPr="00C811F7">
        <w:rPr>
          <w:rFonts w:ascii="Times New Roman" w:hAnsi="Times New Roman"/>
        </w:rPr>
        <w:t>was</w:t>
      </w:r>
      <w:r w:rsidR="0072531B" w:rsidRPr="00C811F7">
        <w:rPr>
          <w:rFonts w:ascii="Times New Roman" w:hAnsi="Times New Roman"/>
        </w:rPr>
        <w:t xml:space="preserve"> </w:t>
      </w:r>
      <w:r>
        <w:rPr>
          <w:rFonts w:ascii="Times New Roman" w:hAnsi="Times New Roman"/>
        </w:rPr>
        <w:t>calculated. A T</w:t>
      </w:r>
      <w:r w:rsidR="00E44FFA" w:rsidRPr="00C811F7">
        <w:rPr>
          <w:rFonts w:ascii="Times New Roman" w:hAnsi="Times New Roman"/>
        </w:rPr>
        <w:t>ableau dashboard of locations of each provider was util</w:t>
      </w:r>
      <w:r w:rsidR="00061095" w:rsidRPr="00C811F7">
        <w:rPr>
          <w:rFonts w:ascii="Times New Roman" w:hAnsi="Times New Roman"/>
        </w:rPr>
        <w:t xml:space="preserve">ized. Within this dashboard, there was a scroll box for each provider. For each provider, it listed the </w:t>
      </w:r>
      <w:r w:rsidR="002770D7" w:rsidRPr="00C811F7">
        <w:rPr>
          <w:rFonts w:ascii="Times New Roman" w:hAnsi="Times New Roman"/>
        </w:rPr>
        <w:t>number</w:t>
      </w:r>
      <w:r w:rsidR="00061095" w:rsidRPr="00C811F7">
        <w:rPr>
          <w:rFonts w:ascii="Times New Roman" w:hAnsi="Times New Roman"/>
        </w:rPr>
        <w:t xml:space="preserve"> of </w:t>
      </w:r>
      <w:r w:rsidR="00C632E5" w:rsidRPr="00C811F7">
        <w:rPr>
          <w:rFonts w:ascii="Times New Roman" w:hAnsi="Times New Roman"/>
        </w:rPr>
        <w:t>visits to that provider</w:t>
      </w:r>
      <w:r w:rsidR="00061095" w:rsidRPr="00C811F7">
        <w:rPr>
          <w:rFonts w:ascii="Times New Roman" w:hAnsi="Times New Roman"/>
        </w:rPr>
        <w:t xml:space="preserve">. It also listed the </w:t>
      </w:r>
      <w:r w:rsidR="00C632E5" w:rsidRPr="00C811F7">
        <w:rPr>
          <w:rFonts w:ascii="Times New Roman" w:hAnsi="Times New Roman"/>
        </w:rPr>
        <w:t xml:space="preserve">total </w:t>
      </w:r>
      <w:r w:rsidR="002770D7" w:rsidRPr="00C811F7">
        <w:rPr>
          <w:rFonts w:ascii="Times New Roman" w:hAnsi="Times New Roman"/>
        </w:rPr>
        <w:t>number</w:t>
      </w:r>
      <w:r w:rsidR="00C632E5" w:rsidRPr="00C811F7">
        <w:rPr>
          <w:rFonts w:ascii="Times New Roman" w:hAnsi="Times New Roman"/>
        </w:rPr>
        <w:t xml:space="preserve"> of visits for all of those patients of all providers</w:t>
      </w:r>
      <w:r w:rsidR="00061095" w:rsidRPr="00C811F7">
        <w:rPr>
          <w:rFonts w:ascii="Times New Roman" w:hAnsi="Times New Roman"/>
        </w:rPr>
        <w:t>. Each care of c</w:t>
      </w:r>
      <w:r w:rsidR="00D65C5D" w:rsidRPr="00C811F7">
        <w:rPr>
          <w:rFonts w:ascii="Times New Roman" w:hAnsi="Times New Roman"/>
        </w:rPr>
        <w:t xml:space="preserve">ontinuity index for each provider </w:t>
      </w:r>
      <w:r w:rsidR="00061095" w:rsidRPr="00C811F7">
        <w:rPr>
          <w:rFonts w:ascii="Times New Roman" w:hAnsi="Times New Roman"/>
        </w:rPr>
        <w:t xml:space="preserve">was calculated by </w:t>
      </w:r>
      <w:r w:rsidR="00C632E5" w:rsidRPr="00C811F7">
        <w:rPr>
          <w:rFonts w:ascii="Times New Roman" w:hAnsi="Times New Roman"/>
        </w:rPr>
        <w:t xml:space="preserve">adding the total </w:t>
      </w:r>
      <w:r w:rsidR="002770D7" w:rsidRPr="00C811F7">
        <w:rPr>
          <w:rFonts w:ascii="Times New Roman" w:hAnsi="Times New Roman"/>
        </w:rPr>
        <w:t>number</w:t>
      </w:r>
      <w:r w:rsidR="00C632E5" w:rsidRPr="00C811F7">
        <w:rPr>
          <w:rFonts w:ascii="Times New Roman" w:hAnsi="Times New Roman"/>
        </w:rPr>
        <w:t xml:space="preserve"> of visits to the provider by all the </w:t>
      </w:r>
      <w:r>
        <w:rPr>
          <w:rFonts w:ascii="Times New Roman" w:hAnsi="Times New Roman"/>
        </w:rPr>
        <w:t xml:space="preserve">AHN primary care </w:t>
      </w:r>
      <w:r w:rsidR="00C632E5" w:rsidRPr="00C811F7">
        <w:rPr>
          <w:rFonts w:ascii="Times New Roman" w:hAnsi="Times New Roman"/>
        </w:rPr>
        <w:t xml:space="preserve">patients then that amount was </w:t>
      </w:r>
      <w:r>
        <w:rPr>
          <w:rFonts w:ascii="Times New Roman" w:hAnsi="Times New Roman"/>
        </w:rPr>
        <w:t xml:space="preserve">then </w:t>
      </w:r>
      <w:r w:rsidR="00C632E5" w:rsidRPr="00C811F7">
        <w:rPr>
          <w:rFonts w:ascii="Times New Roman" w:hAnsi="Times New Roman"/>
        </w:rPr>
        <w:t xml:space="preserve">divided by the total </w:t>
      </w:r>
      <w:r w:rsidR="002770D7" w:rsidRPr="00C811F7">
        <w:rPr>
          <w:rFonts w:ascii="Times New Roman" w:hAnsi="Times New Roman"/>
        </w:rPr>
        <w:t>number</w:t>
      </w:r>
      <w:r w:rsidR="00C632E5" w:rsidRPr="00C811F7">
        <w:rPr>
          <w:rFonts w:ascii="Times New Roman" w:hAnsi="Times New Roman"/>
        </w:rPr>
        <w:t xml:space="preserve"> of visits for all of those patients of all providers. This was done for all Allegheny Health Network Primary Care Providers.</w:t>
      </w:r>
      <w:r w:rsidR="00CF23E3" w:rsidRPr="00C811F7">
        <w:rPr>
          <w:rFonts w:ascii="Times New Roman" w:hAnsi="Times New Roman"/>
        </w:rPr>
        <w:t xml:space="preserve"> </w:t>
      </w:r>
    </w:p>
    <w:p w14:paraId="05C92339" w14:textId="0B679757" w:rsidR="00F57862" w:rsidRPr="00C811F7" w:rsidRDefault="006C3A00" w:rsidP="00761CB4">
      <w:pPr>
        <w:pStyle w:val="ListParagraph"/>
        <w:spacing w:line="480" w:lineRule="auto"/>
        <w:ind w:left="0" w:firstLine="720"/>
        <w:rPr>
          <w:rFonts w:ascii="Times New Roman" w:hAnsi="Times New Roman"/>
        </w:rPr>
      </w:pPr>
      <w:r w:rsidRPr="00C811F7">
        <w:rPr>
          <w:rFonts w:ascii="Times New Roman" w:hAnsi="Times New Roman"/>
        </w:rPr>
        <w:t xml:space="preserve">Most of </w:t>
      </w:r>
      <w:r w:rsidR="00097966" w:rsidRPr="00C811F7">
        <w:rPr>
          <w:rFonts w:ascii="Times New Roman" w:hAnsi="Times New Roman"/>
        </w:rPr>
        <w:t xml:space="preserve">the factors were </w:t>
      </w:r>
      <w:r w:rsidR="002F24D0" w:rsidRPr="00C811F7">
        <w:rPr>
          <w:rFonts w:ascii="Times New Roman" w:hAnsi="Times New Roman"/>
        </w:rPr>
        <w:t>evaluated</w:t>
      </w:r>
      <w:r w:rsidR="004E3721">
        <w:rPr>
          <w:rFonts w:ascii="Times New Roman" w:hAnsi="Times New Roman"/>
        </w:rPr>
        <w:t xml:space="preserve"> also using various T</w:t>
      </w:r>
      <w:r w:rsidR="00097966" w:rsidRPr="00C811F7">
        <w:rPr>
          <w:rFonts w:ascii="Times New Roman" w:hAnsi="Times New Roman"/>
        </w:rPr>
        <w:t>ableau dashboards</w:t>
      </w:r>
      <w:r w:rsidR="002F24D0" w:rsidRPr="00C811F7">
        <w:rPr>
          <w:rFonts w:ascii="Times New Roman" w:hAnsi="Times New Roman"/>
        </w:rPr>
        <w:t>.</w:t>
      </w:r>
      <w:r w:rsidR="00C01173" w:rsidRPr="00C811F7">
        <w:rPr>
          <w:rFonts w:ascii="Times New Roman" w:hAnsi="Times New Roman"/>
        </w:rPr>
        <w:t xml:space="preserve"> For</w:t>
      </w:r>
      <w:r w:rsidR="006B5AD1">
        <w:rPr>
          <w:rFonts w:ascii="Times New Roman" w:hAnsi="Times New Roman"/>
        </w:rPr>
        <w:t xml:space="preserve"> average age, each provider </w:t>
      </w:r>
      <w:r w:rsidR="00C01173" w:rsidRPr="00C811F7">
        <w:rPr>
          <w:rFonts w:ascii="Times New Roman" w:hAnsi="Times New Roman"/>
        </w:rPr>
        <w:t xml:space="preserve">listed the average age of their patients. A scatter plot was created comparing </w:t>
      </w:r>
      <w:r w:rsidR="000D0D90">
        <w:rPr>
          <w:rFonts w:ascii="Times New Roman" w:hAnsi="Times New Roman"/>
        </w:rPr>
        <w:lastRenderedPageBreak/>
        <w:t xml:space="preserve">the average age of </w:t>
      </w:r>
      <w:r w:rsidR="00C01173" w:rsidRPr="00C811F7">
        <w:rPr>
          <w:rFonts w:ascii="Times New Roman" w:hAnsi="Times New Roman"/>
        </w:rPr>
        <w:t xml:space="preserve">patients versus the care of continuity index for the provider for all of the </w:t>
      </w:r>
      <w:r w:rsidR="000D0D90">
        <w:rPr>
          <w:rFonts w:ascii="Times New Roman" w:hAnsi="Times New Roman"/>
        </w:rPr>
        <w:t>AHN</w:t>
      </w:r>
      <w:r w:rsidR="00C01173" w:rsidRPr="00C811F7">
        <w:rPr>
          <w:rFonts w:ascii="Times New Roman" w:hAnsi="Times New Roman"/>
        </w:rPr>
        <w:t xml:space="preserve"> Primary Care Providers.</w:t>
      </w:r>
      <w:r w:rsidR="00FB763C" w:rsidRPr="00C811F7">
        <w:rPr>
          <w:rFonts w:ascii="Times New Roman" w:hAnsi="Times New Roman"/>
        </w:rPr>
        <w:t xml:space="preserve"> </w:t>
      </w:r>
    </w:p>
    <w:p w14:paraId="1058FC9B" w14:textId="5F74CF6A" w:rsidR="00097966" w:rsidRPr="00C811F7" w:rsidRDefault="00FB763C" w:rsidP="00761CB4">
      <w:pPr>
        <w:pStyle w:val="ListParagraph"/>
        <w:spacing w:line="480" w:lineRule="auto"/>
        <w:ind w:left="0" w:firstLine="720"/>
        <w:rPr>
          <w:rFonts w:ascii="Times New Roman" w:hAnsi="Times New Roman"/>
        </w:rPr>
      </w:pPr>
      <w:r w:rsidRPr="00C811F7">
        <w:rPr>
          <w:rFonts w:ascii="Times New Roman" w:hAnsi="Times New Roman"/>
        </w:rPr>
        <w:t xml:space="preserve">For chronic conditions, </w:t>
      </w:r>
      <w:r w:rsidR="000D0D90">
        <w:rPr>
          <w:rFonts w:ascii="Times New Roman" w:hAnsi="Times New Roman"/>
        </w:rPr>
        <w:t>there was a T</w:t>
      </w:r>
      <w:r w:rsidR="006C3A00" w:rsidRPr="00C811F7">
        <w:rPr>
          <w:rFonts w:ascii="Times New Roman" w:hAnsi="Times New Roman"/>
        </w:rPr>
        <w:t xml:space="preserve">ableau dashboard for </w:t>
      </w:r>
      <w:r w:rsidRPr="00C811F7">
        <w:rPr>
          <w:rFonts w:ascii="Times New Roman" w:hAnsi="Times New Roman"/>
        </w:rPr>
        <w:t>each provider</w:t>
      </w:r>
      <w:r w:rsidR="000D0D90">
        <w:rPr>
          <w:rFonts w:ascii="Times New Roman" w:hAnsi="Times New Roman"/>
        </w:rPr>
        <w:t xml:space="preserve"> that included</w:t>
      </w:r>
      <w:r w:rsidRPr="00C811F7">
        <w:rPr>
          <w:rFonts w:ascii="Times New Roman" w:hAnsi="Times New Roman"/>
        </w:rPr>
        <w:t xml:space="preserve"> the </w:t>
      </w:r>
      <w:r w:rsidR="000D0D90">
        <w:rPr>
          <w:rFonts w:ascii="Times New Roman" w:hAnsi="Times New Roman"/>
        </w:rPr>
        <w:t xml:space="preserve">number </w:t>
      </w:r>
      <w:r w:rsidRPr="00C811F7">
        <w:rPr>
          <w:rFonts w:ascii="Times New Roman" w:hAnsi="Times New Roman"/>
        </w:rPr>
        <w:t>of chronic conditions</w:t>
      </w:r>
      <w:r w:rsidR="000D0D90">
        <w:rPr>
          <w:rFonts w:ascii="Times New Roman" w:hAnsi="Times New Roman"/>
        </w:rPr>
        <w:t xml:space="preserve"> of</w:t>
      </w:r>
      <w:r w:rsidRPr="00C811F7">
        <w:rPr>
          <w:rFonts w:ascii="Times New Roman" w:hAnsi="Times New Roman"/>
        </w:rPr>
        <w:t xml:space="preserve"> </w:t>
      </w:r>
      <w:r w:rsidR="000D0D90">
        <w:rPr>
          <w:rFonts w:ascii="Times New Roman" w:hAnsi="Times New Roman"/>
        </w:rPr>
        <w:t>their patients</w:t>
      </w:r>
      <w:r w:rsidR="00F57862" w:rsidRPr="00C811F7">
        <w:rPr>
          <w:rFonts w:ascii="Times New Roman" w:hAnsi="Times New Roman"/>
        </w:rPr>
        <w:t>. A scatter plot was created comparing the amount of chronic conditions a provider’s patients had versus the care of continuity index for the provider.</w:t>
      </w:r>
      <w:r w:rsidR="008113A7">
        <w:rPr>
          <w:rFonts w:ascii="Times New Roman" w:hAnsi="Times New Roman"/>
        </w:rPr>
        <w:t xml:space="preserve"> Every provider was shown on the scatter plot.</w:t>
      </w:r>
    </w:p>
    <w:p w14:paraId="40DF70F1" w14:textId="4367B043" w:rsidR="00F57862" w:rsidRPr="00C811F7" w:rsidRDefault="00FA79F4" w:rsidP="00761CB4">
      <w:pPr>
        <w:pStyle w:val="ListParagraph"/>
        <w:spacing w:line="480" w:lineRule="auto"/>
        <w:ind w:left="0" w:firstLine="720"/>
        <w:rPr>
          <w:rFonts w:ascii="Times New Roman" w:hAnsi="Times New Roman"/>
        </w:rPr>
      </w:pPr>
      <w:r w:rsidRPr="00C811F7">
        <w:rPr>
          <w:rFonts w:ascii="Times New Roman" w:hAnsi="Times New Roman"/>
        </w:rPr>
        <w:t xml:space="preserve">For payer mix, since there were multiple various mixes, the payers that were </w:t>
      </w:r>
      <w:r w:rsidR="008113A7">
        <w:rPr>
          <w:rFonts w:ascii="Times New Roman" w:hAnsi="Times New Roman"/>
        </w:rPr>
        <w:t xml:space="preserve">included </w:t>
      </w:r>
      <w:r w:rsidRPr="00C811F7">
        <w:rPr>
          <w:rFonts w:ascii="Times New Roman" w:hAnsi="Times New Roman"/>
        </w:rPr>
        <w:t xml:space="preserve">were Highmark Medicare, Gateway Medicare, </w:t>
      </w:r>
      <w:r w:rsidR="00D62682">
        <w:rPr>
          <w:rFonts w:ascii="Times New Roman" w:hAnsi="Times New Roman"/>
        </w:rPr>
        <w:t>Medicare</w:t>
      </w:r>
      <w:r w:rsidRPr="00C811F7">
        <w:rPr>
          <w:rFonts w:ascii="Times New Roman" w:hAnsi="Times New Roman"/>
        </w:rPr>
        <w:t xml:space="preserve">, Highmark, </w:t>
      </w:r>
      <w:r w:rsidR="00D62682">
        <w:rPr>
          <w:rFonts w:ascii="Times New Roman" w:hAnsi="Times New Roman"/>
        </w:rPr>
        <w:t xml:space="preserve">and </w:t>
      </w:r>
      <w:r w:rsidRPr="00C811F7">
        <w:rPr>
          <w:rFonts w:ascii="Times New Roman" w:hAnsi="Times New Roman"/>
        </w:rPr>
        <w:t xml:space="preserve">UPMC. </w:t>
      </w:r>
      <w:r w:rsidR="009110C3" w:rsidRPr="00C811F7">
        <w:rPr>
          <w:rFonts w:ascii="Times New Roman" w:hAnsi="Times New Roman"/>
        </w:rPr>
        <w:t xml:space="preserve"> There was a </w:t>
      </w:r>
      <w:r w:rsidR="007E75C1">
        <w:rPr>
          <w:rFonts w:ascii="Times New Roman" w:hAnsi="Times New Roman"/>
        </w:rPr>
        <w:t xml:space="preserve">Tableau dashboard for each provider that included </w:t>
      </w:r>
      <w:r w:rsidR="00CE468B" w:rsidRPr="00C811F7">
        <w:rPr>
          <w:rFonts w:ascii="Times New Roman" w:hAnsi="Times New Roman"/>
        </w:rPr>
        <w:t xml:space="preserve">a </w:t>
      </w:r>
      <w:r w:rsidR="009110C3" w:rsidRPr="00C811F7">
        <w:rPr>
          <w:rFonts w:ascii="Times New Roman" w:hAnsi="Times New Roman"/>
        </w:rPr>
        <w:t xml:space="preserve">pie chart </w:t>
      </w:r>
      <w:r w:rsidR="00CE468B" w:rsidRPr="00C811F7">
        <w:rPr>
          <w:rFonts w:ascii="Times New Roman" w:hAnsi="Times New Roman"/>
        </w:rPr>
        <w:t xml:space="preserve">with percentages of payers of all patients. A scatter plot was created comparing the </w:t>
      </w:r>
      <w:r w:rsidR="00BA3CD2" w:rsidRPr="00C811F7">
        <w:rPr>
          <w:rFonts w:ascii="Times New Roman" w:hAnsi="Times New Roman"/>
        </w:rPr>
        <w:t>specific payer focused on versus the care</w:t>
      </w:r>
      <w:r w:rsidR="007E75C1">
        <w:rPr>
          <w:rFonts w:ascii="Times New Roman" w:hAnsi="Times New Roman"/>
        </w:rPr>
        <w:t xml:space="preserve"> of continuity for the provider. </w:t>
      </w:r>
      <w:bookmarkStart w:id="14" w:name="OLE_LINK5"/>
      <w:r w:rsidR="007E75C1">
        <w:rPr>
          <w:rFonts w:ascii="Times New Roman" w:hAnsi="Times New Roman"/>
        </w:rPr>
        <w:t>Every provider was shown on the scatter plot.</w:t>
      </w:r>
      <w:bookmarkEnd w:id="14"/>
    </w:p>
    <w:p w14:paraId="56FCB4F3" w14:textId="1F3C7398" w:rsidR="006C3A00" w:rsidRPr="00C811F7" w:rsidRDefault="006C3A00" w:rsidP="00761CB4">
      <w:pPr>
        <w:pStyle w:val="ListParagraph"/>
        <w:spacing w:line="480" w:lineRule="auto"/>
        <w:ind w:left="0" w:firstLine="720"/>
        <w:rPr>
          <w:rFonts w:ascii="Times New Roman" w:hAnsi="Times New Roman"/>
        </w:rPr>
      </w:pPr>
      <w:r w:rsidRPr="00C811F7">
        <w:rPr>
          <w:rFonts w:ascii="Times New Roman" w:hAnsi="Times New Roman"/>
        </w:rPr>
        <w:t>For emergency department visits, a Medicare Stars program spreadsheet was used. This spreadsheet had the commercial emergency department rate and the Medicare Advantage emergency department rate for each provider. A scatter plot was created comparing these two rates with the care of</w:t>
      </w:r>
      <w:r w:rsidR="007E75C1">
        <w:rPr>
          <w:rFonts w:ascii="Times New Roman" w:hAnsi="Times New Roman"/>
        </w:rPr>
        <w:t xml:space="preserve"> continuity.</w:t>
      </w:r>
      <w:r w:rsidR="007E75C1" w:rsidRPr="007E75C1">
        <w:rPr>
          <w:rFonts w:ascii="Times New Roman" w:hAnsi="Times New Roman"/>
        </w:rPr>
        <w:t xml:space="preserve"> </w:t>
      </w:r>
      <w:r w:rsidR="007E75C1">
        <w:rPr>
          <w:rFonts w:ascii="Times New Roman" w:hAnsi="Times New Roman"/>
        </w:rPr>
        <w:t>Every provider was shown on the scatter plot.</w:t>
      </w:r>
    </w:p>
    <w:p w14:paraId="37B6C198" w14:textId="6D2B5A0B" w:rsidR="00761CB4" w:rsidRDefault="00653215" w:rsidP="00183666">
      <w:pPr>
        <w:pStyle w:val="Noindent"/>
        <w:ind w:firstLine="720"/>
      </w:pPr>
      <w:r w:rsidRPr="00C811F7">
        <w:t xml:space="preserve">For patient experience, a spreadsheet was utilized comprising of results from different patient experience surveys such as Press </w:t>
      </w:r>
      <w:proofErr w:type="spellStart"/>
      <w:r w:rsidRPr="00C811F7">
        <w:t>Ganey</w:t>
      </w:r>
      <w:proofErr w:type="spellEnd"/>
      <w:r w:rsidRPr="00C811F7">
        <w:t>.</w:t>
      </w:r>
      <w:r w:rsidR="00121367" w:rsidRPr="00C811F7">
        <w:t xml:space="preserve"> </w:t>
      </w:r>
      <w:r w:rsidR="00965F7E" w:rsidRPr="00C811F7">
        <w:t>Two analyses</w:t>
      </w:r>
      <w:r w:rsidR="00183666" w:rsidRPr="00C811F7">
        <w:t xml:space="preserve"> were completed for patient experience, one for the overall standard </w:t>
      </w:r>
      <w:r w:rsidR="007E75C1">
        <w:t xml:space="preserve">for patient experience </w:t>
      </w:r>
      <w:r w:rsidR="00183666" w:rsidRPr="00C811F7">
        <w:t xml:space="preserve">and one for CGCAPHS (Clinician and Group Consumer Assessment of Healthcare Providers and Systems) score. </w:t>
      </w:r>
      <w:r w:rsidR="00BB4C28" w:rsidRPr="00C811F7">
        <w:t>For the overall standard</w:t>
      </w:r>
      <w:r w:rsidR="00965F7E" w:rsidRPr="00C811F7">
        <w:t xml:space="preserve">, the spreadsheet listed each provider’s rank for their overall standard. A scatter plot was created comparing the rank for each provider with the care of continuity for the provider for all of the providers. For CGCAPHS score, </w:t>
      </w:r>
      <w:r w:rsidR="00C811F7" w:rsidRPr="00C811F7">
        <w:t xml:space="preserve">the spreadsheet listed each provider’s rank. A scatter plot </w:t>
      </w:r>
      <w:r w:rsidR="00C811F7" w:rsidRPr="00C811F7">
        <w:lastRenderedPageBreak/>
        <w:t>was created comparing the rank for each provider with the care of continuity for the provider for all of the providers.</w:t>
      </w:r>
    </w:p>
    <w:p w14:paraId="792DAC99" w14:textId="797DFA2B" w:rsidR="00410379" w:rsidRDefault="00410379" w:rsidP="00410379">
      <w:pPr>
        <w:spacing w:line="480" w:lineRule="auto"/>
      </w:pPr>
      <w:r>
        <w:tab/>
        <w:t>For ease</w:t>
      </w:r>
      <w:r w:rsidR="007E75C1">
        <w:t xml:space="preserve"> of scheduling appointments, a T</w:t>
      </w:r>
      <w:r>
        <w:t xml:space="preserve">ableau dashboard was utilized that included a rank of the ease of scheduling appointments for each provider. A scatterplot was created </w:t>
      </w:r>
      <w:r w:rsidR="000B5F81">
        <w:t xml:space="preserve">comparing the rank with the </w:t>
      </w:r>
      <w:r w:rsidR="000B5F81" w:rsidRPr="00C811F7">
        <w:t>care of continuity for the provider for all of the providers</w:t>
      </w:r>
      <w:r w:rsidR="000B5F81">
        <w:t>.</w:t>
      </w:r>
    </w:p>
    <w:p w14:paraId="68435540" w14:textId="3FCB63FC" w:rsidR="00F866C6" w:rsidRDefault="007E75C1" w:rsidP="00F866C6">
      <w:pPr>
        <w:spacing w:line="480" w:lineRule="auto"/>
      </w:pPr>
      <w:r>
        <w:tab/>
        <w:t>Lastly for patient access, a T</w:t>
      </w:r>
      <w:r w:rsidR="00874E1F">
        <w:t>ableau dashboard was utilized that included</w:t>
      </w:r>
      <w:r w:rsidR="00F866C6">
        <w:t xml:space="preserve"> a rank of patient access for each provider. A scatterplot was created comparing the rank with the </w:t>
      </w:r>
      <w:r w:rsidR="00F866C6" w:rsidRPr="00C811F7">
        <w:t>care of continuity for the provider for all of the providers</w:t>
      </w:r>
      <w:r w:rsidR="00F866C6">
        <w:t>.</w:t>
      </w:r>
    </w:p>
    <w:p w14:paraId="468C2CEF" w14:textId="782DBABC" w:rsidR="007A7B08" w:rsidRPr="00450319" w:rsidRDefault="007A7B08" w:rsidP="00F866C6">
      <w:pPr>
        <w:spacing w:line="480" w:lineRule="auto"/>
      </w:pPr>
      <w:r>
        <w:tab/>
        <w:t>After</w:t>
      </w:r>
      <w:r w:rsidR="00450319">
        <w:t xml:space="preserve"> the scatterplots were created, r</w:t>
      </w:r>
      <w:r w:rsidR="00450319" w:rsidRPr="00450319">
        <w:rPr>
          <w:vertAlign w:val="superscript"/>
        </w:rPr>
        <w:t>2</w:t>
      </w:r>
      <w:r w:rsidR="00450319">
        <w:rPr>
          <w:vertAlign w:val="superscript"/>
        </w:rPr>
        <w:t xml:space="preserve"> </w:t>
      </w:r>
      <w:r w:rsidR="00450319">
        <w:t>and the slope were calculated using excel functions. The excel function for r</w:t>
      </w:r>
      <w:r w:rsidR="00450319" w:rsidRPr="00450319">
        <w:rPr>
          <w:vertAlign w:val="superscript"/>
        </w:rPr>
        <w:t>2</w:t>
      </w:r>
      <w:r w:rsidR="00450319">
        <w:rPr>
          <w:vertAlign w:val="superscript"/>
        </w:rPr>
        <w:t xml:space="preserve"> </w:t>
      </w:r>
      <w:r w:rsidR="00450319">
        <w:t xml:space="preserve">was </w:t>
      </w:r>
      <w:proofErr w:type="gramStart"/>
      <w:r w:rsidR="00450319">
        <w:t>=(</w:t>
      </w:r>
      <w:proofErr w:type="spellStart"/>
      <w:proofErr w:type="gramEnd"/>
      <w:r w:rsidR="00450319">
        <w:t>correl</w:t>
      </w:r>
      <w:proofErr w:type="spellEnd"/>
      <w:r w:rsidR="00450319">
        <w:t>(column of x values, column of y values))</w:t>
      </w:r>
      <w:r w:rsidR="00450319" w:rsidRPr="00450319">
        <w:rPr>
          <w:vertAlign w:val="superscript"/>
        </w:rPr>
        <w:t>2</w:t>
      </w:r>
      <w:r w:rsidR="00450319">
        <w:t>. The excel function for the slope was =</w:t>
      </w:r>
      <w:proofErr w:type="gramStart"/>
      <w:r w:rsidR="00450319">
        <w:t>slope(</w:t>
      </w:r>
      <w:proofErr w:type="gramEnd"/>
      <w:r w:rsidR="00450319">
        <w:t>column of y values, column of x values).</w:t>
      </w:r>
    </w:p>
    <w:p w14:paraId="4A788A85" w14:textId="1BE63B41" w:rsidR="00B917F0" w:rsidRPr="009A79DA" w:rsidRDefault="00C01173" w:rsidP="009A79DA">
      <w:pPr>
        <w:pStyle w:val="Heading2"/>
      </w:pPr>
      <w:bookmarkStart w:id="15" w:name="_Toc6908727"/>
      <w:r w:rsidRPr="009A79DA">
        <w:t>Results</w:t>
      </w:r>
      <w:bookmarkEnd w:id="15"/>
    </w:p>
    <w:p w14:paraId="0D66E6DD" w14:textId="56124B54" w:rsidR="00E35361" w:rsidRPr="009A79DA" w:rsidRDefault="00A51555" w:rsidP="009A79DA">
      <w:pPr>
        <w:pStyle w:val="Heading3"/>
      </w:pPr>
      <w:bookmarkStart w:id="16" w:name="_Toc6908728"/>
      <w:r w:rsidRPr="009A79DA">
        <w:t>Care of Continuity Index</w:t>
      </w:r>
      <w:bookmarkEnd w:id="16"/>
      <w:r w:rsidRPr="009A79DA">
        <w:br/>
      </w:r>
    </w:p>
    <w:p w14:paraId="4846CF8C" w14:textId="77777777" w:rsidR="00CB44E5" w:rsidRDefault="00CB44E5" w:rsidP="00CB44E5">
      <w:pPr>
        <w:pStyle w:val="Noindent"/>
        <w:sectPr w:rsidR="00CB44E5" w:rsidSect="006B1124">
          <w:footerReference w:type="default" r:id="rId9"/>
          <w:pgSz w:w="12240" w:h="15840"/>
          <w:pgMar w:top="1440" w:right="1440" w:bottom="1440" w:left="1440" w:header="720" w:footer="720" w:gutter="0"/>
          <w:pgNumType w:start="1"/>
          <w:cols w:space="720"/>
          <w:docGrid w:linePitch="360"/>
        </w:sectPr>
      </w:pPr>
    </w:p>
    <w:p w14:paraId="1B86CEEA" w14:textId="37545173" w:rsidR="00CB44E5" w:rsidRDefault="00CB44E5" w:rsidP="00CB44E5">
      <w:pPr>
        <w:ind w:left="90" w:hanging="90"/>
      </w:pPr>
      <w:r w:rsidRPr="009100AA">
        <w:rPr>
          <w:noProof/>
        </w:rPr>
        <w:lastRenderedPageBreak/>
        <w:drawing>
          <wp:anchor distT="0" distB="0" distL="114300" distR="114300" simplePos="0" relativeHeight="251667456" behindDoc="0" locked="0" layoutInCell="1" allowOverlap="1" wp14:anchorId="38C5876A" wp14:editId="267D0AA9">
            <wp:simplePos x="0" y="0"/>
            <wp:positionH relativeFrom="column">
              <wp:posOffset>428625</wp:posOffset>
            </wp:positionH>
            <wp:positionV relativeFrom="paragraph">
              <wp:posOffset>0</wp:posOffset>
            </wp:positionV>
            <wp:extent cx="7543800" cy="5715000"/>
            <wp:effectExtent l="0" t="0" r="0" b="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459C6E52" w14:textId="09C3E322" w:rsidR="00CB44E5" w:rsidRDefault="00CB44E5" w:rsidP="00CB44E5"/>
    <w:p w14:paraId="3AED44B3" w14:textId="4F7DB154" w:rsidR="00CB44E5" w:rsidRDefault="00CB44E5" w:rsidP="00CB44E5"/>
    <w:p w14:paraId="2408D363" w14:textId="61C9312C" w:rsidR="00CB44E5" w:rsidRDefault="00CB44E5" w:rsidP="00CB44E5"/>
    <w:p w14:paraId="7E70554C" w14:textId="6684AC10" w:rsidR="00CB44E5" w:rsidRDefault="00CB44E5" w:rsidP="00CB44E5"/>
    <w:p w14:paraId="0AC9C206" w14:textId="149B81F1" w:rsidR="00CB44E5" w:rsidRDefault="00CB44E5" w:rsidP="00CB44E5"/>
    <w:p w14:paraId="2CD4AEB4" w14:textId="240876F6" w:rsidR="00CB44E5" w:rsidRDefault="00CB44E5" w:rsidP="00CB44E5"/>
    <w:p w14:paraId="73C882D9" w14:textId="627A4407" w:rsidR="00CB44E5" w:rsidRDefault="00CB44E5" w:rsidP="00CB44E5"/>
    <w:p w14:paraId="07909AAF" w14:textId="0BFB90BB" w:rsidR="00CB44E5" w:rsidRDefault="00CB44E5" w:rsidP="00CB44E5"/>
    <w:p w14:paraId="4CEC037D" w14:textId="29642B64" w:rsidR="00CB44E5" w:rsidRDefault="00CB44E5" w:rsidP="00CB44E5"/>
    <w:p w14:paraId="02E15A7F" w14:textId="747F7A22" w:rsidR="00CB44E5" w:rsidRDefault="00CB44E5" w:rsidP="00CB44E5"/>
    <w:p w14:paraId="597D6B01" w14:textId="63C03C88" w:rsidR="00CB44E5" w:rsidRDefault="00CB44E5" w:rsidP="00CB44E5"/>
    <w:p w14:paraId="60DF157B" w14:textId="38AF72A8" w:rsidR="00CB44E5" w:rsidRDefault="00CB44E5" w:rsidP="00CB44E5"/>
    <w:p w14:paraId="3DCE700C" w14:textId="0C55F035" w:rsidR="00CB44E5" w:rsidRDefault="00CB44E5" w:rsidP="00CB44E5"/>
    <w:p w14:paraId="57ECDA20" w14:textId="242BBE37" w:rsidR="00CB44E5" w:rsidRDefault="00CB44E5" w:rsidP="00CB44E5"/>
    <w:p w14:paraId="3D2D14FB" w14:textId="0C7635C7" w:rsidR="00CB44E5" w:rsidRDefault="00CB44E5" w:rsidP="00CB44E5"/>
    <w:p w14:paraId="2DF9C965" w14:textId="515D4F81" w:rsidR="00CB44E5" w:rsidRDefault="00CB44E5" w:rsidP="00CB44E5"/>
    <w:p w14:paraId="03BFFBDB" w14:textId="57608BBD" w:rsidR="00CB44E5" w:rsidRDefault="00CB44E5" w:rsidP="00CB44E5"/>
    <w:p w14:paraId="2DDDB46B" w14:textId="5ADB1EC0" w:rsidR="00CB44E5" w:rsidRDefault="00CB44E5" w:rsidP="00CB44E5"/>
    <w:p w14:paraId="23378212" w14:textId="4FEEAD10" w:rsidR="00CB44E5" w:rsidRDefault="00CB44E5" w:rsidP="00CB44E5"/>
    <w:p w14:paraId="1272137C" w14:textId="480CAC66" w:rsidR="00CB44E5" w:rsidRDefault="00CB44E5" w:rsidP="00CB44E5"/>
    <w:p w14:paraId="293E8EF0" w14:textId="26BFC13B" w:rsidR="00CB44E5" w:rsidRDefault="00CB44E5" w:rsidP="00CB44E5"/>
    <w:p w14:paraId="2564C775" w14:textId="3333CD77" w:rsidR="00CB44E5" w:rsidRDefault="00CB44E5" w:rsidP="00CB44E5"/>
    <w:p w14:paraId="655E1DE1" w14:textId="5A511C61" w:rsidR="00CB44E5" w:rsidRDefault="00CB44E5" w:rsidP="00CB44E5"/>
    <w:p w14:paraId="74BAA1A8" w14:textId="34B458B6" w:rsidR="00CB44E5" w:rsidRDefault="00CB44E5" w:rsidP="00CB44E5"/>
    <w:p w14:paraId="05BBFDE3" w14:textId="7D4AEA01" w:rsidR="00CB44E5" w:rsidRDefault="00CB44E5" w:rsidP="00CB44E5"/>
    <w:p w14:paraId="3E0031DB" w14:textId="7A637C6D" w:rsidR="00CB44E5" w:rsidRDefault="00CB44E5" w:rsidP="00CB44E5"/>
    <w:p w14:paraId="6825FC02" w14:textId="7F959C8A" w:rsidR="00CB44E5" w:rsidRDefault="00CB44E5" w:rsidP="00CB44E5"/>
    <w:p w14:paraId="52201D53" w14:textId="77777777" w:rsidR="00CB44E5" w:rsidRDefault="00CB44E5" w:rsidP="00CB44E5"/>
    <w:p w14:paraId="707A8DB3" w14:textId="140550F9" w:rsidR="00CB44E5" w:rsidRDefault="00CB44E5" w:rsidP="00CB44E5"/>
    <w:p w14:paraId="2B0026F7" w14:textId="43587F13" w:rsidR="00CB44E5" w:rsidRDefault="00CB44E5" w:rsidP="00CB44E5"/>
    <w:p w14:paraId="12695B1D" w14:textId="4DDDDABF" w:rsidR="00CB44E5" w:rsidRDefault="00CB44E5" w:rsidP="00CB44E5"/>
    <w:p w14:paraId="531DB916" w14:textId="1B6D0740" w:rsidR="00FC302C" w:rsidRDefault="00FC302C" w:rsidP="00CB44E5"/>
    <w:p w14:paraId="40BBEE3A" w14:textId="1FDBA729" w:rsidR="006B7AEA" w:rsidRDefault="006B7AEA" w:rsidP="006B7AEA">
      <w:pPr>
        <w:pStyle w:val="Caption"/>
        <w:jc w:val="center"/>
      </w:pPr>
      <w:bookmarkStart w:id="17" w:name="_Toc6908933"/>
      <w:r>
        <w:t xml:space="preserve">Figure </w:t>
      </w:r>
      <w:fldSimple w:instr=" SEQ Figure \* ARABIC ">
        <w:r w:rsidR="001A37C2">
          <w:rPr>
            <w:noProof/>
          </w:rPr>
          <w:t>1</w:t>
        </w:r>
      </w:fldSimple>
      <w:r>
        <w:t xml:space="preserve"> Care of Continuity Index Results Graphed for Each Provider Practices</w:t>
      </w:r>
      <w:bookmarkEnd w:id="17"/>
    </w:p>
    <w:p w14:paraId="05C69C8E" w14:textId="77777777" w:rsidR="006B7AEA" w:rsidRPr="006B7AEA" w:rsidRDefault="006B7AEA" w:rsidP="006B7AEA"/>
    <w:p w14:paraId="5FD55E23" w14:textId="77DAC641" w:rsidR="00CB44E5" w:rsidRDefault="00FC302C" w:rsidP="00FC302C">
      <w:r w:rsidRPr="007E058A">
        <w:rPr>
          <w:sz w:val="22"/>
          <w:szCs w:val="22"/>
        </w:rPr>
        <w:t>This graph shows the care of continuity indexes calculated for each provider practice. There is a wide range of continuity indexes across the AHN primary care practices</w:t>
      </w:r>
      <w:r>
        <w:t>.</w:t>
      </w:r>
    </w:p>
    <w:p w14:paraId="38B7C67F" w14:textId="77777777" w:rsidR="00CB44E5" w:rsidRPr="00CB44E5" w:rsidRDefault="00CB44E5" w:rsidP="00CB44E5">
      <w:pPr>
        <w:sectPr w:rsidR="00CB44E5" w:rsidRPr="00CB44E5" w:rsidSect="00FC302C">
          <w:pgSz w:w="15840" w:h="12240" w:orient="landscape"/>
          <w:pgMar w:top="864" w:right="1440" w:bottom="1152" w:left="1440" w:header="720" w:footer="720" w:gutter="0"/>
          <w:cols w:space="720"/>
          <w:docGrid w:linePitch="360"/>
        </w:sectPr>
      </w:pPr>
    </w:p>
    <w:p w14:paraId="6EEA8D1E" w14:textId="63BE70C8" w:rsidR="00E35361" w:rsidRPr="009A79DA" w:rsidRDefault="00037AD0" w:rsidP="009A79DA">
      <w:pPr>
        <w:pStyle w:val="Heading3"/>
      </w:pPr>
      <w:bookmarkStart w:id="18" w:name="_Toc114179903"/>
      <w:bookmarkStart w:id="19" w:name="_Toc6908729"/>
      <w:bookmarkStart w:id="20" w:name="_Toc106513536"/>
      <w:bookmarkStart w:id="21" w:name="_Toc106717794"/>
      <w:bookmarkEnd w:id="18"/>
      <w:r w:rsidRPr="009A79DA">
        <w:lastRenderedPageBreak/>
        <w:t>Average Age</w:t>
      </w:r>
      <w:bookmarkEnd w:id="19"/>
    </w:p>
    <w:p w14:paraId="2BA53ED3" w14:textId="35511857" w:rsidR="003618C1" w:rsidRDefault="00037AD0" w:rsidP="001013B0">
      <w:pPr>
        <w:pStyle w:val="AppendixTitle"/>
        <w:spacing w:after="240"/>
        <w:ind w:left="-450"/>
      </w:pPr>
      <w:r w:rsidRPr="001013B0">
        <w:rPr>
          <w:noProof/>
          <w:sz w:val="22"/>
          <w:szCs w:val="22"/>
        </w:rPr>
        <w:drawing>
          <wp:inline distT="0" distB="0" distL="0" distR="0" wp14:anchorId="0286F361" wp14:editId="2A62FC75">
            <wp:extent cx="6337935" cy="5349240"/>
            <wp:effectExtent l="0" t="0" r="5715" b="381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End w:id="20"/>
      <w:bookmarkEnd w:id="21"/>
      <w:r w:rsidR="003618C1" w:rsidRPr="003618C1">
        <w:t>r</w:t>
      </w:r>
      <w:r w:rsidR="003618C1" w:rsidRPr="003618C1">
        <w:rPr>
          <w:vertAlign w:val="superscript"/>
        </w:rPr>
        <w:t>2</w:t>
      </w:r>
      <w:r w:rsidR="003618C1">
        <w:t>=0.146; slope=0.013</w:t>
      </w:r>
    </w:p>
    <w:p w14:paraId="031F9528" w14:textId="3C7EC3AB" w:rsidR="001A37C2" w:rsidRPr="001A37C2" w:rsidRDefault="001A37C2" w:rsidP="001A37C2">
      <w:pPr>
        <w:pStyle w:val="Caption"/>
        <w:jc w:val="center"/>
      </w:pPr>
      <w:bookmarkStart w:id="22" w:name="_Toc6908934"/>
      <w:r>
        <w:t xml:space="preserve">Figure </w:t>
      </w:r>
      <w:fldSimple w:instr=" SEQ Figure \* ARABIC ">
        <w:r>
          <w:rPr>
            <w:noProof/>
          </w:rPr>
          <w:t>2</w:t>
        </w:r>
      </w:fldSimple>
      <w:r>
        <w:t xml:space="preserve"> Age Compared Continuity Index for Each Provider Practice</w:t>
      </w:r>
      <w:bookmarkEnd w:id="22"/>
    </w:p>
    <w:p w14:paraId="6395851E" w14:textId="77777777" w:rsidR="007A1358" w:rsidRPr="007A1358" w:rsidRDefault="007A1358" w:rsidP="007A1358"/>
    <w:p w14:paraId="30D5A933" w14:textId="18AB5225" w:rsidR="006D7465" w:rsidRDefault="006D7465" w:rsidP="001013B0">
      <w:r w:rsidRPr="001013B0">
        <w:rPr>
          <w:sz w:val="22"/>
          <w:szCs w:val="22"/>
        </w:rPr>
        <w:t>This graph shows average age for each provider practice compared with the care of continuity index.</w:t>
      </w:r>
      <w:r w:rsidR="007A1358" w:rsidRPr="001013B0">
        <w:rPr>
          <w:sz w:val="22"/>
          <w:szCs w:val="22"/>
        </w:rPr>
        <w:t xml:space="preserve"> R</w:t>
      </w:r>
      <w:r w:rsidR="007A1358" w:rsidRPr="001013B0">
        <w:rPr>
          <w:sz w:val="22"/>
          <w:szCs w:val="22"/>
          <w:vertAlign w:val="superscript"/>
        </w:rPr>
        <w:t>2</w:t>
      </w:r>
      <w:r w:rsidRPr="001013B0">
        <w:rPr>
          <w:sz w:val="22"/>
          <w:szCs w:val="22"/>
        </w:rPr>
        <w:t xml:space="preserve"> </w:t>
      </w:r>
      <w:r w:rsidR="007A1358" w:rsidRPr="001013B0">
        <w:rPr>
          <w:sz w:val="22"/>
          <w:szCs w:val="22"/>
        </w:rPr>
        <w:t xml:space="preserve">calculated to be 0.146 and the slope calculated to be 0.013. </w:t>
      </w:r>
      <w:r w:rsidRPr="001013B0">
        <w:rPr>
          <w:sz w:val="22"/>
          <w:szCs w:val="22"/>
        </w:rPr>
        <w:t>There is a relationship that</w:t>
      </w:r>
      <w:r w:rsidR="00D92AFE" w:rsidRPr="001013B0">
        <w:rPr>
          <w:sz w:val="22"/>
          <w:szCs w:val="22"/>
        </w:rPr>
        <w:t>,</w:t>
      </w:r>
      <w:r w:rsidRPr="001013B0">
        <w:rPr>
          <w:sz w:val="22"/>
          <w:szCs w:val="22"/>
        </w:rPr>
        <w:t xml:space="preserve"> as the average age increases, so does </w:t>
      </w:r>
      <w:r w:rsidR="00D92AFE" w:rsidRPr="001013B0">
        <w:rPr>
          <w:sz w:val="22"/>
          <w:szCs w:val="22"/>
        </w:rPr>
        <w:t xml:space="preserve">patient </w:t>
      </w:r>
      <w:r w:rsidRPr="001013B0">
        <w:rPr>
          <w:sz w:val="22"/>
          <w:szCs w:val="22"/>
        </w:rPr>
        <w:t>continuity</w:t>
      </w:r>
      <w:r>
        <w:t>.</w:t>
      </w:r>
    </w:p>
    <w:p w14:paraId="209AA7A5" w14:textId="41B9CCAE" w:rsidR="00C859DF" w:rsidRDefault="00C859DF" w:rsidP="00C859DF">
      <w:pPr>
        <w:spacing w:line="480" w:lineRule="auto"/>
      </w:pPr>
    </w:p>
    <w:p w14:paraId="19FEF5F7" w14:textId="52C23C73" w:rsidR="00E43386" w:rsidRDefault="00E43386" w:rsidP="009A79DA">
      <w:pPr>
        <w:pStyle w:val="Heading3"/>
        <w:sectPr w:rsidR="00E43386" w:rsidSect="00FC302C">
          <w:pgSz w:w="12240" w:h="15840"/>
          <w:pgMar w:top="1440" w:right="1440" w:bottom="1440" w:left="1440" w:header="720" w:footer="720" w:gutter="0"/>
          <w:cols w:space="720"/>
          <w:docGrid w:linePitch="360"/>
        </w:sectPr>
      </w:pPr>
      <w:bookmarkStart w:id="23" w:name="_Toc6908730"/>
      <w:r>
        <w:t>Chronic Condition</w:t>
      </w:r>
      <w:bookmarkEnd w:id="23"/>
    </w:p>
    <w:p w14:paraId="7A9EA077" w14:textId="09BE5C08" w:rsidR="00D64BE3" w:rsidRPr="006D7465" w:rsidRDefault="00E43386" w:rsidP="00D64BE3">
      <w:pPr>
        <w:pStyle w:val="Noindent"/>
        <w:rPr>
          <w:b/>
        </w:rPr>
      </w:pPr>
      <w:r w:rsidRPr="00D64BE3">
        <w:rPr>
          <w:noProof/>
        </w:rPr>
        <w:lastRenderedPageBreak/>
        <w:drawing>
          <wp:anchor distT="0" distB="0" distL="114300" distR="114300" simplePos="0" relativeHeight="251661312" behindDoc="0" locked="0" layoutInCell="1" allowOverlap="1" wp14:anchorId="39F1A894" wp14:editId="20A79B7E">
            <wp:simplePos x="0" y="0"/>
            <wp:positionH relativeFrom="column">
              <wp:posOffset>361950</wp:posOffset>
            </wp:positionH>
            <wp:positionV relativeFrom="paragraph">
              <wp:posOffset>190500</wp:posOffset>
            </wp:positionV>
            <wp:extent cx="7138035" cy="4803140"/>
            <wp:effectExtent l="0" t="0" r="5715" b="16510"/>
            <wp:wrapTight wrapText="bothSides">
              <wp:wrapPolygon edited="0">
                <wp:start x="0" y="0"/>
                <wp:lineTo x="0" y="21589"/>
                <wp:lineTo x="21560" y="21589"/>
                <wp:lineTo x="21560" y="0"/>
                <wp:lineTo x="0" y="0"/>
              </wp:wrapPolygon>
            </wp:wrapTight>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34ABFD9C" w14:textId="38D2CAE4" w:rsidR="00E43386" w:rsidRDefault="00E43386" w:rsidP="004B425D">
      <w:pPr>
        <w:jc w:val="center"/>
        <w:rPr>
          <w:b/>
        </w:rPr>
      </w:pPr>
    </w:p>
    <w:p w14:paraId="7348B11E" w14:textId="452B4956" w:rsidR="00E43386" w:rsidRDefault="00E43386" w:rsidP="004B425D">
      <w:pPr>
        <w:jc w:val="center"/>
        <w:rPr>
          <w:b/>
        </w:rPr>
      </w:pPr>
    </w:p>
    <w:p w14:paraId="34659F59" w14:textId="77777777" w:rsidR="00E43386" w:rsidRDefault="00E43386" w:rsidP="004B425D">
      <w:pPr>
        <w:jc w:val="center"/>
        <w:rPr>
          <w:b/>
        </w:rPr>
      </w:pPr>
    </w:p>
    <w:p w14:paraId="336B56D2" w14:textId="77777777" w:rsidR="00E43386" w:rsidRDefault="00E43386" w:rsidP="004B425D">
      <w:pPr>
        <w:jc w:val="center"/>
        <w:rPr>
          <w:b/>
        </w:rPr>
      </w:pPr>
    </w:p>
    <w:p w14:paraId="6AD8DAB6" w14:textId="77777777" w:rsidR="00E43386" w:rsidRDefault="00E43386" w:rsidP="004B425D">
      <w:pPr>
        <w:jc w:val="center"/>
        <w:rPr>
          <w:b/>
        </w:rPr>
      </w:pPr>
    </w:p>
    <w:p w14:paraId="3FBAD357" w14:textId="77777777" w:rsidR="00E43386" w:rsidRDefault="00E43386" w:rsidP="004B425D">
      <w:pPr>
        <w:jc w:val="center"/>
        <w:rPr>
          <w:b/>
        </w:rPr>
      </w:pPr>
    </w:p>
    <w:p w14:paraId="6556AD71" w14:textId="77777777" w:rsidR="00E43386" w:rsidRDefault="00E43386" w:rsidP="004B425D">
      <w:pPr>
        <w:jc w:val="center"/>
        <w:rPr>
          <w:b/>
        </w:rPr>
      </w:pPr>
    </w:p>
    <w:p w14:paraId="776ED6FA" w14:textId="77777777" w:rsidR="00E43386" w:rsidRDefault="00E43386" w:rsidP="004B425D">
      <w:pPr>
        <w:jc w:val="center"/>
        <w:rPr>
          <w:b/>
        </w:rPr>
      </w:pPr>
    </w:p>
    <w:p w14:paraId="089709F4" w14:textId="77777777" w:rsidR="00E43386" w:rsidRDefault="00E43386" w:rsidP="004B425D">
      <w:pPr>
        <w:jc w:val="center"/>
        <w:rPr>
          <w:b/>
        </w:rPr>
      </w:pPr>
    </w:p>
    <w:p w14:paraId="07CAFC9D" w14:textId="77777777" w:rsidR="00E43386" w:rsidRDefault="00E43386" w:rsidP="004B425D">
      <w:pPr>
        <w:jc w:val="center"/>
        <w:rPr>
          <w:b/>
        </w:rPr>
      </w:pPr>
    </w:p>
    <w:p w14:paraId="3FD62253" w14:textId="77777777" w:rsidR="00E43386" w:rsidRDefault="00E43386" w:rsidP="004B425D">
      <w:pPr>
        <w:jc w:val="center"/>
        <w:rPr>
          <w:b/>
        </w:rPr>
      </w:pPr>
    </w:p>
    <w:p w14:paraId="7D9A1DBB" w14:textId="77777777" w:rsidR="00E43386" w:rsidRDefault="00E43386" w:rsidP="004B425D">
      <w:pPr>
        <w:jc w:val="center"/>
        <w:rPr>
          <w:b/>
        </w:rPr>
      </w:pPr>
    </w:p>
    <w:p w14:paraId="465AAF24" w14:textId="77777777" w:rsidR="00E43386" w:rsidRDefault="00E43386" w:rsidP="004B425D">
      <w:pPr>
        <w:jc w:val="center"/>
        <w:rPr>
          <w:b/>
        </w:rPr>
      </w:pPr>
    </w:p>
    <w:p w14:paraId="75C5D4E2" w14:textId="77777777" w:rsidR="00E43386" w:rsidRDefault="00E43386" w:rsidP="004B425D">
      <w:pPr>
        <w:jc w:val="center"/>
        <w:rPr>
          <w:b/>
        </w:rPr>
      </w:pPr>
    </w:p>
    <w:p w14:paraId="50F3061A" w14:textId="77777777" w:rsidR="00E43386" w:rsidRDefault="00E43386" w:rsidP="004B425D">
      <w:pPr>
        <w:jc w:val="center"/>
        <w:rPr>
          <w:b/>
        </w:rPr>
      </w:pPr>
    </w:p>
    <w:p w14:paraId="0D7E84DD" w14:textId="77777777" w:rsidR="00E43386" w:rsidRDefault="00E43386" w:rsidP="004B425D">
      <w:pPr>
        <w:jc w:val="center"/>
        <w:rPr>
          <w:b/>
        </w:rPr>
      </w:pPr>
    </w:p>
    <w:p w14:paraId="5F6E7DD4" w14:textId="77777777" w:rsidR="00E43386" w:rsidRDefault="00E43386" w:rsidP="004B425D">
      <w:pPr>
        <w:jc w:val="center"/>
        <w:rPr>
          <w:b/>
        </w:rPr>
      </w:pPr>
    </w:p>
    <w:p w14:paraId="1B384138" w14:textId="77777777" w:rsidR="00E43386" w:rsidRDefault="00E43386" w:rsidP="004B425D">
      <w:pPr>
        <w:jc w:val="center"/>
        <w:rPr>
          <w:b/>
        </w:rPr>
      </w:pPr>
    </w:p>
    <w:p w14:paraId="50A741F4" w14:textId="77777777" w:rsidR="00E43386" w:rsidRDefault="00E43386" w:rsidP="004B425D">
      <w:pPr>
        <w:jc w:val="center"/>
        <w:rPr>
          <w:b/>
        </w:rPr>
      </w:pPr>
    </w:p>
    <w:p w14:paraId="0541223D" w14:textId="77777777" w:rsidR="00E43386" w:rsidRDefault="00E43386" w:rsidP="004B425D">
      <w:pPr>
        <w:jc w:val="center"/>
        <w:rPr>
          <w:b/>
        </w:rPr>
      </w:pPr>
    </w:p>
    <w:p w14:paraId="3D6F2555" w14:textId="77777777" w:rsidR="00E43386" w:rsidRDefault="00E43386" w:rsidP="004B425D">
      <w:pPr>
        <w:jc w:val="center"/>
        <w:rPr>
          <w:b/>
        </w:rPr>
      </w:pPr>
    </w:p>
    <w:p w14:paraId="1DA31C5A" w14:textId="77777777" w:rsidR="00E43386" w:rsidRDefault="00E43386" w:rsidP="004B425D">
      <w:pPr>
        <w:jc w:val="center"/>
        <w:rPr>
          <w:b/>
        </w:rPr>
      </w:pPr>
    </w:p>
    <w:p w14:paraId="34DB80B4" w14:textId="77777777" w:rsidR="00E43386" w:rsidRDefault="00E43386" w:rsidP="004B425D">
      <w:pPr>
        <w:jc w:val="center"/>
        <w:rPr>
          <w:b/>
        </w:rPr>
      </w:pPr>
    </w:p>
    <w:p w14:paraId="6946A1BC" w14:textId="77777777" w:rsidR="00E43386" w:rsidRDefault="00E43386" w:rsidP="004B425D">
      <w:pPr>
        <w:jc w:val="center"/>
        <w:rPr>
          <w:b/>
        </w:rPr>
      </w:pPr>
    </w:p>
    <w:p w14:paraId="1BF3245F" w14:textId="77777777" w:rsidR="00E43386" w:rsidRDefault="00E43386" w:rsidP="004B425D">
      <w:pPr>
        <w:jc w:val="center"/>
        <w:rPr>
          <w:b/>
        </w:rPr>
      </w:pPr>
    </w:p>
    <w:p w14:paraId="1EDEAA18" w14:textId="77777777" w:rsidR="00E43386" w:rsidRDefault="00E43386" w:rsidP="004B425D">
      <w:pPr>
        <w:jc w:val="center"/>
        <w:rPr>
          <w:b/>
        </w:rPr>
      </w:pPr>
    </w:p>
    <w:p w14:paraId="61B60490" w14:textId="77777777" w:rsidR="00E43386" w:rsidRDefault="00E43386" w:rsidP="004B425D">
      <w:pPr>
        <w:jc w:val="center"/>
        <w:rPr>
          <w:b/>
        </w:rPr>
      </w:pPr>
    </w:p>
    <w:p w14:paraId="2D948616" w14:textId="58EFCA8E" w:rsidR="004B425D" w:rsidRDefault="004B425D" w:rsidP="004B425D">
      <w:pPr>
        <w:jc w:val="center"/>
        <w:rPr>
          <w:b/>
        </w:rPr>
      </w:pPr>
      <w:r w:rsidRPr="004B425D">
        <w:rPr>
          <w:b/>
        </w:rPr>
        <w:t>R</w:t>
      </w:r>
      <w:r w:rsidRPr="004B425D">
        <w:rPr>
          <w:b/>
          <w:vertAlign w:val="superscript"/>
        </w:rPr>
        <w:t>2</w:t>
      </w:r>
      <w:r w:rsidRPr="004B425D">
        <w:rPr>
          <w:b/>
        </w:rPr>
        <w:t>=</w:t>
      </w:r>
      <w:r>
        <w:rPr>
          <w:b/>
        </w:rPr>
        <w:t>0.103; SLOPE</w:t>
      </w:r>
      <w:r w:rsidRPr="004B425D">
        <w:rPr>
          <w:b/>
        </w:rPr>
        <w:t>=-1.67</w:t>
      </w:r>
    </w:p>
    <w:p w14:paraId="327EE566" w14:textId="35E8BF27" w:rsidR="00D64BE3" w:rsidRPr="00C71A4A" w:rsidRDefault="00D64BE3" w:rsidP="00E43386">
      <w:pPr>
        <w:jc w:val="center"/>
        <w:rPr>
          <w:sz w:val="22"/>
          <w:szCs w:val="22"/>
        </w:rPr>
      </w:pPr>
      <w:r w:rsidRPr="00C71A4A">
        <w:rPr>
          <w:sz w:val="22"/>
          <w:szCs w:val="22"/>
        </w:rPr>
        <w:t xml:space="preserve">Figure 3. Chronic Conditions </w:t>
      </w:r>
      <w:r w:rsidR="006D7465" w:rsidRPr="00C71A4A">
        <w:rPr>
          <w:sz w:val="22"/>
          <w:szCs w:val="22"/>
        </w:rPr>
        <w:t>Compared with</w:t>
      </w:r>
      <w:r w:rsidRPr="00C71A4A">
        <w:rPr>
          <w:sz w:val="22"/>
          <w:szCs w:val="22"/>
        </w:rPr>
        <w:t xml:space="preserve"> Continuity </w:t>
      </w:r>
      <w:r w:rsidR="006D7465" w:rsidRPr="00C71A4A">
        <w:rPr>
          <w:sz w:val="22"/>
          <w:szCs w:val="22"/>
        </w:rPr>
        <w:t xml:space="preserve">Index </w:t>
      </w:r>
      <w:r w:rsidRPr="00C71A4A">
        <w:rPr>
          <w:sz w:val="22"/>
          <w:szCs w:val="22"/>
        </w:rPr>
        <w:t>for Each Provider Practice</w:t>
      </w:r>
    </w:p>
    <w:p w14:paraId="37953467" w14:textId="57DC99DE" w:rsidR="006D7465" w:rsidRDefault="006D7465" w:rsidP="00D64BE3"/>
    <w:p w14:paraId="5FF067AC" w14:textId="77777777" w:rsidR="00E43386" w:rsidRDefault="006D7465" w:rsidP="00C71A4A">
      <w:pPr>
        <w:sectPr w:rsidR="00E43386" w:rsidSect="00E43386">
          <w:pgSz w:w="15840" w:h="12240" w:orient="landscape"/>
          <w:pgMar w:top="1440" w:right="1440" w:bottom="1440" w:left="1440" w:header="720" w:footer="720" w:gutter="0"/>
          <w:cols w:space="720"/>
          <w:docGrid w:linePitch="360"/>
        </w:sectPr>
      </w:pPr>
      <w:bookmarkStart w:id="24" w:name="OLE_LINK2"/>
      <w:r w:rsidRPr="00C71A4A">
        <w:rPr>
          <w:sz w:val="22"/>
          <w:szCs w:val="22"/>
        </w:rPr>
        <w:t xml:space="preserve">This graph shows the number of chronic conditions for each provider practice compared with the care of continuity index. </w:t>
      </w:r>
      <w:r w:rsidR="004B425D" w:rsidRPr="00C71A4A">
        <w:rPr>
          <w:sz w:val="22"/>
          <w:szCs w:val="22"/>
        </w:rPr>
        <w:t>R</w:t>
      </w:r>
      <w:r w:rsidR="004B425D" w:rsidRPr="00C71A4A">
        <w:rPr>
          <w:sz w:val="22"/>
          <w:szCs w:val="22"/>
          <w:vertAlign w:val="superscript"/>
        </w:rPr>
        <w:t>2</w:t>
      </w:r>
      <w:r w:rsidR="004B425D" w:rsidRPr="00C71A4A">
        <w:rPr>
          <w:sz w:val="22"/>
          <w:szCs w:val="22"/>
        </w:rPr>
        <w:t xml:space="preserve"> was calculated to be 0.103. The slope was calculated to be -1.67. </w:t>
      </w:r>
      <w:r w:rsidRPr="00C71A4A">
        <w:rPr>
          <w:sz w:val="22"/>
          <w:szCs w:val="22"/>
        </w:rPr>
        <w:t>There is a relationship that</w:t>
      </w:r>
      <w:r w:rsidR="00D92AFE" w:rsidRPr="00C71A4A">
        <w:rPr>
          <w:sz w:val="22"/>
          <w:szCs w:val="22"/>
        </w:rPr>
        <w:t>,</w:t>
      </w:r>
      <w:r w:rsidRPr="00C71A4A">
        <w:rPr>
          <w:sz w:val="22"/>
          <w:szCs w:val="22"/>
        </w:rPr>
        <w:t xml:space="preserve"> as</w:t>
      </w:r>
      <w:r w:rsidR="00D92AFE" w:rsidRPr="00C71A4A">
        <w:rPr>
          <w:sz w:val="22"/>
          <w:szCs w:val="22"/>
        </w:rPr>
        <w:t xml:space="preserve"> the number of</w:t>
      </w:r>
      <w:r w:rsidRPr="00C71A4A">
        <w:rPr>
          <w:sz w:val="22"/>
          <w:szCs w:val="22"/>
        </w:rPr>
        <w:t xml:space="preserve"> chronic conditions</w:t>
      </w:r>
      <w:r w:rsidR="001865E4" w:rsidRPr="00C71A4A">
        <w:rPr>
          <w:sz w:val="22"/>
          <w:szCs w:val="22"/>
        </w:rPr>
        <w:t xml:space="preserve"> decrease, </w:t>
      </w:r>
      <w:r w:rsidR="00D92AFE" w:rsidRPr="00C71A4A">
        <w:rPr>
          <w:sz w:val="22"/>
          <w:szCs w:val="22"/>
        </w:rPr>
        <w:t xml:space="preserve">patient </w:t>
      </w:r>
      <w:r w:rsidR="001865E4" w:rsidRPr="00C71A4A">
        <w:rPr>
          <w:sz w:val="22"/>
          <w:szCs w:val="22"/>
        </w:rPr>
        <w:t>continuity increases</w:t>
      </w:r>
      <w:r w:rsidR="00406683">
        <w:t>.</w:t>
      </w:r>
    </w:p>
    <w:p w14:paraId="7721C63D" w14:textId="57BF894F" w:rsidR="0024215D" w:rsidRPr="009A79DA" w:rsidRDefault="0024215D" w:rsidP="009A79DA">
      <w:pPr>
        <w:pStyle w:val="Heading3"/>
        <w:numPr>
          <w:ilvl w:val="2"/>
          <w:numId w:val="47"/>
        </w:numPr>
      </w:pPr>
      <w:bookmarkStart w:id="25" w:name="_Toc6908731"/>
      <w:bookmarkEnd w:id="24"/>
      <w:r w:rsidRPr="009A79DA">
        <w:lastRenderedPageBreak/>
        <w:t>Payer Mix</w:t>
      </w:r>
      <w:bookmarkEnd w:id="25"/>
    </w:p>
    <w:p w14:paraId="6C61806D" w14:textId="6F018F1F" w:rsidR="0024215D" w:rsidRDefault="00373FC4" w:rsidP="00D64BE3">
      <w:r>
        <w:rPr>
          <w:noProof/>
        </w:rPr>
        <w:drawing>
          <wp:inline distT="0" distB="0" distL="0" distR="0" wp14:anchorId="677DFA8E" wp14:editId="01CA5439">
            <wp:extent cx="5423535" cy="3241040"/>
            <wp:effectExtent l="0" t="0" r="12065" b="1016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DDEAF23" w14:textId="7354B47E" w:rsidR="00591FC6" w:rsidRDefault="00EA10FE" w:rsidP="00591FC6">
      <w:pPr>
        <w:tabs>
          <w:tab w:val="left" w:pos="1220"/>
        </w:tabs>
        <w:jc w:val="center"/>
        <w:rPr>
          <w:b/>
        </w:rPr>
      </w:pPr>
      <w:r w:rsidRPr="00591FC6">
        <w:rPr>
          <w:b/>
        </w:rPr>
        <w:t>R</w:t>
      </w:r>
      <w:r w:rsidRPr="00591FC6">
        <w:rPr>
          <w:b/>
          <w:vertAlign w:val="superscript"/>
        </w:rPr>
        <w:t>2</w:t>
      </w:r>
      <w:r w:rsidRPr="00591FC6">
        <w:rPr>
          <w:b/>
        </w:rPr>
        <w:t>=</w:t>
      </w:r>
      <w:r w:rsidR="00E505C2" w:rsidRPr="00591FC6">
        <w:rPr>
          <w:b/>
        </w:rPr>
        <w:t>0.114; SLOPE=</w:t>
      </w:r>
      <w:r w:rsidR="00591FC6" w:rsidRPr="00591FC6">
        <w:rPr>
          <w:b/>
        </w:rPr>
        <w:t>1.614</w:t>
      </w:r>
    </w:p>
    <w:p w14:paraId="139D3F63" w14:textId="77777777" w:rsidR="00684BE9" w:rsidRPr="00591FC6" w:rsidRDefault="00684BE9" w:rsidP="00591FC6">
      <w:pPr>
        <w:tabs>
          <w:tab w:val="left" w:pos="1220"/>
        </w:tabs>
        <w:jc w:val="center"/>
        <w:rPr>
          <w:b/>
        </w:rPr>
      </w:pPr>
    </w:p>
    <w:p w14:paraId="79CCEBE9" w14:textId="02F183D9" w:rsidR="00406683" w:rsidRPr="00E43386" w:rsidRDefault="0024215D" w:rsidP="00E43386">
      <w:pPr>
        <w:tabs>
          <w:tab w:val="left" w:pos="1220"/>
        </w:tabs>
        <w:jc w:val="center"/>
        <w:rPr>
          <w:sz w:val="22"/>
          <w:szCs w:val="22"/>
        </w:rPr>
      </w:pPr>
      <w:r w:rsidRPr="00E43386">
        <w:rPr>
          <w:sz w:val="22"/>
          <w:szCs w:val="22"/>
        </w:rPr>
        <w:t>Figure 4. Highmark Medicare and Care of Continuity Index Graphed</w:t>
      </w:r>
    </w:p>
    <w:p w14:paraId="59B78FF0" w14:textId="77777777" w:rsidR="00406683" w:rsidRPr="00E43386" w:rsidRDefault="00406683" w:rsidP="0024215D">
      <w:pPr>
        <w:tabs>
          <w:tab w:val="left" w:pos="1220"/>
        </w:tabs>
        <w:rPr>
          <w:sz w:val="22"/>
          <w:szCs w:val="22"/>
        </w:rPr>
      </w:pPr>
    </w:p>
    <w:p w14:paraId="7219D748" w14:textId="0866DB52" w:rsidR="00406683" w:rsidRDefault="00406683" w:rsidP="00684BE9">
      <w:pPr>
        <w:tabs>
          <w:tab w:val="left" w:pos="1220"/>
        </w:tabs>
        <w:ind w:left="180"/>
      </w:pPr>
      <w:bookmarkStart w:id="26" w:name="OLE_LINK1"/>
      <w:r w:rsidRPr="00E43386">
        <w:rPr>
          <w:sz w:val="22"/>
          <w:szCs w:val="22"/>
        </w:rPr>
        <w:t xml:space="preserve">This figure graphs the percentage of patients that are enrolled in Highmark Medicare with the care of continuity index as a percentage. </w:t>
      </w:r>
      <w:r w:rsidR="00591FC6" w:rsidRPr="00E43386">
        <w:rPr>
          <w:sz w:val="22"/>
          <w:szCs w:val="22"/>
        </w:rPr>
        <w:t>R</w:t>
      </w:r>
      <w:r w:rsidR="00591FC6" w:rsidRPr="00E43386">
        <w:rPr>
          <w:sz w:val="22"/>
          <w:szCs w:val="22"/>
          <w:vertAlign w:val="superscript"/>
        </w:rPr>
        <w:t>2</w:t>
      </w:r>
      <w:r w:rsidR="00591FC6" w:rsidRPr="00E43386">
        <w:rPr>
          <w:sz w:val="22"/>
          <w:szCs w:val="22"/>
        </w:rPr>
        <w:t xml:space="preserve"> was calculated to be 0.114. The slope was calculated to be 1.614. </w:t>
      </w:r>
      <w:r w:rsidR="00373FC4" w:rsidRPr="00E43386">
        <w:rPr>
          <w:sz w:val="22"/>
          <w:szCs w:val="22"/>
        </w:rPr>
        <w:t xml:space="preserve">There is a positive relationship </w:t>
      </w:r>
      <w:r w:rsidRPr="00E43386">
        <w:rPr>
          <w:sz w:val="22"/>
          <w:szCs w:val="22"/>
        </w:rPr>
        <w:t>seen with this graph.</w:t>
      </w:r>
    </w:p>
    <w:bookmarkEnd w:id="26"/>
    <w:p w14:paraId="20E9BF45" w14:textId="77777777" w:rsidR="0024215D" w:rsidRDefault="0024215D" w:rsidP="00C859DF">
      <w:pPr>
        <w:tabs>
          <w:tab w:val="left" w:pos="1220"/>
        </w:tabs>
        <w:spacing w:line="480" w:lineRule="auto"/>
      </w:pPr>
    </w:p>
    <w:p w14:paraId="4A7D4889" w14:textId="33160DFC" w:rsidR="0024215D" w:rsidRDefault="007B046F" w:rsidP="0024215D">
      <w:pPr>
        <w:tabs>
          <w:tab w:val="left" w:pos="1220"/>
        </w:tabs>
      </w:pPr>
      <w:r>
        <w:rPr>
          <w:noProof/>
        </w:rPr>
        <w:lastRenderedPageBreak/>
        <w:drawing>
          <wp:inline distT="0" distB="0" distL="0" distR="0" wp14:anchorId="646B44FA" wp14:editId="3B600035">
            <wp:extent cx="5537835" cy="3088640"/>
            <wp:effectExtent l="0" t="0" r="24765" b="1016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4D8306C" w14:textId="547B846F" w:rsidR="00015F74" w:rsidRPr="00591FC6" w:rsidRDefault="00015F74" w:rsidP="00015F74">
      <w:pPr>
        <w:tabs>
          <w:tab w:val="left" w:pos="1220"/>
        </w:tabs>
        <w:jc w:val="center"/>
        <w:rPr>
          <w:b/>
        </w:rPr>
      </w:pPr>
      <w:r w:rsidRPr="00591FC6">
        <w:rPr>
          <w:b/>
        </w:rPr>
        <w:t>R</w:t>
      </w:r>
      <w:r w:rsidRPr="00591FC6">
        <w:rPr>
          <w:b/>
          <w:vertAlign w:val="superscript"/>
        </w:rPr>
        <w:t>2</w:t>
      </w:r>
      <w:r w:rsidRPr="00591FC6">
        <w:rPr>
          <w:b/>
        </w:rPr>
        <w:t>=</w:t>
      </w:r>
      <w:r w:rsidR="00DE16FB">
        <w:rPr>
          <w:b/>
        </w:rPr>
        <w:t>0.010</w:t>
      </w:r>
      <w:r w:rsidRPr="00591FC6">
        <w:rPr>
          <w:b/>
        </w:rPr>
        <w:t>; SLOPE=</w:t>
      </w:r>
      <w:r w:rsidR="00DE16FB">
        <w:rPr>
          <w:b/>
        </w:rPr>
        <w:t>-1.425</w:t>
      </w:r>
    </w:p>
    <w:p w14:paraId="38701214" w14:textId="458478EA" w:rsidR="0024215D" w:rsidRPr="006760BF" w:rsidRDefault="0024215D" w:rsidP="006760BF">
      <w:pPr>
        <w:tabs>
          <w:tab w:val="left" w:pos="3060"/>
        </w:tabs>
        <w:jc w:val="center"/>
        <w:rPr>
          <w:sz w:val="22"/>
          <w:szCs w:val="22"/>
        </w:rPr>
      </w:pPr>
      <w:r w:rsidRPr="006760BF">
        <w:rPr>
          <w:sz w:val="22"/>
          <w:szCs w:val="22"/>
        </w:rPr>
        <w:t>Figure 5. Gateway Medicare and Care of Continuity Index Graphed</w:t>
      </w:r>
    </w:p>
    <w:p w14:paraId="7AFACD33" w14:textId="77777777" w:rsidR="00406683" w:rsidRPr="006760BF" w:rsidRDefault="00406683" w:rsidP="006760BF">
      <w:pPr>
        <w:tabs>
          <w:tab w:val="left" w:pos="3060"/>
        </w:tabs>
        <w:rPr>
          <w:sz w:val="22"/>
          <w:szCs w:val="22"/>
        </w:rPr>
      </w:pPr>
    </w:p>
    <w:p w14:paraId="029F1438" w14:textId="21946766" w:rsidR="00406683" w:rsidRPr="006760BF" w:rsidRDefault="00406683" w:rsidP="006760BF">
      <w:pPr>
        <w:tabs>
          <w:tab w:val="left" w:pos="3060"/>
        </w:tabs>
        <w:rPr>
          <w:sz w:val="22"/>
          <w:szCs w:val="22"/>
        </w:rPr>
      </w:pPr>
      <w:r w:rsidRPr="006760BF">
        <w:rPr>
          <w:sz w:val="22"/>
          <w:szCs w:val="22"/>
        </w:rPr>
        <w:t xml:space="preserve">This figure graphs the percentage of patients that are enrolled in Gateway Medicare with the care of continuity index as a percentage. </w:t>
      </w:r>
      <w:r w:rsidR="00DE16FB" w:rsidRPr="006760BF">
        <w:rPr>
          <w:sz w:val="22"/>
          <w:szCs w:val="22"/>
        </w:rPr>
        <w:t>R</w:t>
      </w:r>
      <w:r w:rsidR="00DE16FB" w:rsidRPr="006760BF">
        <w:rPr>
          <w:sz w:val="22"/>
          <w:szCs w:val="22"/>
          <w:vertAlign w:val="superscript"/>
        </w:rPr>
        <w:t>2</w:t>
      </w:r>
      <w:r w:rsidR="00DE16FB" w:rsidRPr="006760BF">
        <w:rPr>
          <w:sz w:val="22"/>
          <w:szCs w:val="22"/>
        </w:rPr>
        <w:t xml:space="preserve"> was calculated to be 0.010. The slope was calculated to be -1.425. </w:t>
      </w:r>
      <w:r w:rsidRPr="006760BF">
        <w:rPr>
          <w:sz w:val="22"/>
          <w:szCs w:val="22"/>
        </w:rPr>
        <w:t>No relationship is seen with this graph.</w:t>
      </w:r>
    </w:p>
    <w:p w14:paraId="4A40EF8D" w14:textId="77777777" w:rsidR="00357182" w:rsidRDefault="00357182" w:rsidP="0024215D">
      <w:pPr>
        <w:tabs>
          <w:tab w:val="left" w:pos="3060"/>
        </w:tabs>
      </w:pPr>
    </w:p>
    <w:p w14:paraId="27B1C98F" w14:textId="37240CBC" w:rsidR="00F51AB7" w:rsidRDefault="005E7886" w:rsidP="0024215D">
      <w:pPr>
        <w:tabs>
          <w:tab w:val="left" w:pos="3060"/>
        </w:tabs>
      </w:pPr>
      <w:r>
        <w:rPr>
          <w:noProof/>
        </w:rPr>
        <w:drawing>
          <wp:inline distT="0" distB="0" distL="0" distR="0" wp14:anchorId="00481A9E" wp14:editId="7E5A23D5">
            <wp:extent cx="5943600" cy="28448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5E368E7" w14:textId="01268F64" w:rsidR="008F7687" w:rsidRPr="00591FC6" w:rsidRDefault="008F7687" w:rsidP="008F7687">
      <w:pPr>
        <w:tabs>
          <w:tab w:val="left" w:pos="1220"/>
        </w:tabs>
        <w:jc w:val="center"/>
        <w:rPr>
          <w:b/>
        </w:rPr>
      </w:pPr>
      <w:r w:rsidRPr="00591FC6">
        <w:rPr>
          <w:b/>
        </w:rPr>
        <w:t>R</w:t>
      </w:r>
      <w:r w:rsidRPr="00591FC6">
        <w:rPr>
          <w:b/>
          <w:vertAlign w:val="superscript"/>
        </w:rPr>
        <w:t>2</w:t>
      </w:r>
      <w:r w:rsidRPr="00591FC6">
        <w:rPr>
          <w:b/>
        </w:rPr>
        <w:t>=</w:t>
      </w:r>
      <w:r>
        <w:rPr>
          <w:b/>
        </w:rPr>
        <w:t>0.040</w:t>
      </w:r>
      <w:r w:rsidRPr="00591FC6">
        <w:rPr>
          <w:b/>
        </w:rPr>
        <w:t>; SLOPE=</w:t>
      </w:r>
      <w:r>
        <w:rPr>
          <w:b/>
        </w:rPr>
        <w:t>1.177</w:t>
      </w:r>
    </w:p>
    <w:p w14:paraId="57D40A8F" w14:textId="44463EF4" w:rsidR="00D62682" w:rsidRPr="006760BF" w:rsidRDefault="00D62682" w:rsidP="006760BF">
      <w:pPr>
        <w:tabs>
          <w:tab w:val="left" w:pos="3060"/>
        </w:tabs>
        <w:jc w:val="center"/>
        <w:rPr>
          <w:sz w:val="22"/>
          <w:szCs w:val="22"/>
        </w:rPr>
      </w:pPr>
      <w:r w:rsidRPr="006760BF">
        <w:rPr>
          <w:sz w:val="22"/>
          <w:szCs w:val="22"/>
        </w:rPr>
        <w:t>Figure 6. Medicare and Care of Continuity Index Graphed</w:t>
      </w:r>
    </w:p>
    <w:p w14:paraId="1B37BC79" w14:textId="77777777" w:rsidR="00D62682" w:rsidRPr="006760BF" w:rsidRDefault="00D62682" w:rsidP="006760BF">
      <w:pPr>
        <w:tabs>
          <w:tab w:val="left" w:pos="3060"/>
        </w:tabs>
        <w:jc w:val="center"/>
        <w:rPr>
          <w:sz w:val="22"/>
          <w:szCs w:val="22"/>
        </w:rPr>
      </w:pPr>
    </w:p>
    <w:p w14:paraId="55E9FE0A" w14:textId="3F57AE7E" w:rsidR="00D62682" w:rsidRDefault="00D62682" w:rsidP="006760BF">
      <w:pPr>
        <w:tabs>
          <w:tab w:val="left" w:pos="3060"/>
        </w:tabs>
      </w:pPr>
      <w:r w:rsidRPr="006760BF">
        <w:rPr>
          <w:sz w:val="22"/>
          <w:szCs w:val="22"/>
        </w:rPr>
        <w:t xml:space="preserve">This figure graphs the percentage of patients that are enrolled in Medicare with the care of continuity index as a percentage. </w:t>
      </w:r>
      <w:r w:rsidR="008F7687" w:rsidRPr="006760BF">
        <w:rPr>
          <w:sz w:val="22"/>
          <w:szCs w:val="22"/>
        </w:rPr>
        <w:t>R</w:t>
      </w:r>
      <w:r w:rsidR="008F7687" w:rsidRPr="006760BF">
        <w:rPr>
          <w:sz w:val="22"/>
          <w:szCs w:val="22"/>
          <w:vertAlign w:val="superscript"/>
        </w:rPr>
        <w:t xml:space="preserve">2 </w:t>
      </w:r>
      <w:r w:rsidR="008F7687" w:rsidRPr="006760BF">
        <w:rPr>
          <w:sz w:val="22"/>
          <w:szCs w:val="22"/>
        </w:rPr>
        <w:t xml:space="preserve">was calculated to be 0.040. The slope was calculated to be 1.177. </w:t>
      </w:r>
      <w:r w:rsidR="005E7886" w:rsidRPr="006760BF">
        <w:rPr>
          <w:sz w:val="22"/>
          <w:szCs w:val="22"/>
        </w:rPr>
        <w:t>There is a positive relationship until it reaches the 0.12 percentage of patients with Medicare.</w:t>
      </w:r>
    </w:p>
    <w:p w14:paraId="4B9B0AA8" w14:textId="77777777" w:rsidR="00D62682" w:rsidRDefault="00D62682" w:rsidP="0024215D">
      <w:pPr>
        <w:tabs>
          <w:tab w:val="left" w:pos="3060"/>
        </w:tabs>
      </w:pPr>
    </w:p>
    <w:p w14:paraId="67A327C1" w14:textId="5A2ABBBC" w:rsidR="006343C7" w:rsidRDefault="00C63608" w:rsidP="0024215D">
      <w:pPr>
        <w:tabs>
          <w:tab w:val="left" w:pos="3060"/>
        </w:tabs>
      </w:pPr>
      <w:r>
        <w:rPr>
          <w:noProof/>
        </w:rPr>
        <w:drawing>
          <wp:inline distT="0" distB="0" distL="0" distR="0" wp14:anchorId="655FE136" wp14:editId="31A4AA8F">
            <wp:extent cx="5943600" cy="3738880"/>
            <wp:effectExtent l="0" t="0" r="0" b="2032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DCBCAAD" w14:textId="2CFD7A36" w:rsidR="00ED0ADF" w:rsidRPr="00591FC6" w:rsidRDefault="00ED0ADF" w:rsidP="00ED0ADF">
      <w:pPr>
        <w:tabs>
          <w:tab w:val="left" w:pos="1220"/>
        </w:tabs>
        <w:jc w:val="center"/>
        <w:rPr>
          <w:b/>
        </w:rPr>
      </w:pPr>
      <w:r w:rsidRPr="00591FC6">
        <w:rPr>
          <w:b/>
        </w:rPr>
        <w:t>R</w:t>
      </w:r>
      <w:r w:rsidRPr="00591FC6">
        <w:rPr>
          <w:b/>
          <w:vertAlign w:val="superscript"/>
        </w:rPr>
        <w:t>2</w:t>
      </w:r>
      <w:r w:rsidRPr="00591FC6">
        <w:rPr>
          <w:b/>
        </w:rPr>
        <w:t>=</w:t>
      </w:r>
      <w:r>
        <w:rPr>
          <w:b/>
        </w:rPr>
        <w:t>0.089</w:t>
      </w:r>
      <w:r w:rsidRPr="00591FC6">
        <w:rPr>
          <w:b/>
        </w:rPr>
        <w:t>; SLOPE=</w:t>
      </w:r>
      <w:r>
        <w:rPr>
          <w:b/>
        </w:rPr>
        <w:t>-0.452</w:t>
      </w:r>
    </w:p>
    <w:p w14:paraId="15F4BAB5" w14:textId="7787A92E" w:rsidR="00D62682" w:rsidRPr="006760BF" w:rsidRDefault="006343C7" w:rsidP="006760BF">
      <w:pPr>
        <w:tabs>
          <w:tab w:val="left" w:pos="3060"/>
        </w:tabs>
        <w:jc w:val="center"/>
        <w:rPr>
          <w:sz w:val="22"/>
          <w:szCs w:val="22"/>
        </w:rPr>
      </w:pPr>
      <w:r w:rsidRPr="006760BF">
        <w:rPr>
          <w:sz w:val="22"/>
          <w:szCs w:val="22"/>
        </w:rPr>
        <w:t>Figure 7. Highmark and Care of Continuity Index Graphed</w:t>
      </w:r>
    </w:p>
    <w:p w14:paraId="5EBE51D6" w14:textId="77777777" w:rsidR="00C859DF" w:rsidRPr="006760BF" w:rsidRDefault="00C859DF" w:rsidP="006760BF">
      <w:pPr>
        <w:tabs>
          <w:tab w:val="left" w:pos="3060"/>
        </w:tabs>
        <w:rPr>
          <w:sz w:val="22"/>
          <w:szCs w:val="22"/>
        </w:rPr>
      </w:pPr>
    </w:p>
    <w:p w14:paraId="6132DE51" w14:textId="599A21A3" w:rsidR="006343C7" w:rsidRDefault="006343C7" w:rsidP="006760BF">
      <w:pPr>
        <w:tabs>
          <w:tab w:val="left" w:pos="3060"/>
        </w:tabs>
      </w:pPr>
      <w:r w:rsidRPr="006760BF">
        <w:rPr>
          <w:sz w:val="22"/>
          <w:szCs w:val="22"/>
        </w:rPr>
        <w:t xml:space="preserve">This figure graphs the percentage of patients that are enrolled with Highmark Insurance with the care of continuity index as a percentage. </w:t>
      </w:r>
      <w:r w:rsidR="0061340A" w:rsidRPr="006760BF">
        <w:rPr>
          <w:sz w:val="22"/>
          <w:szCs w:val="22"/>
        </w:rPr>
        <w:t>R</w:t>
      </w:r>
      <w:r w:rsidR="0061340A" w:rsidRPr="006760BF">
        <w:rPr>
          <w:sz w:val="22"/>
          <w:szCs w:val="22"/>
          <w:vertAlign w:val="superscript"/>
        </w:rPr>
        <w:t>2</w:t>
      </w:r>
      <w:r w:rsidR="0061340A" w:rsidRPr="006760BF">
        <w:rPr>
          <w:sz w:val="22"/>
          <w:szCs w:val="22"/>
        </w:rPr>
        <w:t xml:space="preserve"> was calculated to be 0.089. The slope was calculated to be -0.452. </w:t>
      </w:r>
      <w:r w:rsidRPr="006760BF">
        <w:rPr>
          <w:sz w:val="22"/>
          <w:szCs w:val="22"/>
        </w:rPr>
        <w:t>No relationship is seen with this graph</w:t>
      </w:r>
      <w:r>
        <w:t>.</w:t>
      </w:r>
    </w:p>
    <w:p w14:paraId="2D29D542" w14:textId="77777777" w:rsidR="006343C7" w:rsidRDefault="006343C7" w:rsidP="0024215D">
      <w:pPr>
        <w:tabs>
          <w:tab w:val="left" w:pos="3060"/>
        </w:tabs>
      </w:pPr>
    </w:p>
    <w:p w14:paraId="11155D76" w14:textId="7ED47A12" w:rsidR="006343C7" w:rsidRDefault="00CD1C57" w:rsidP="0024215D">
      <w:pPr>
        <w:tabs>
          <w:tab w:val="left" w:pos="3060"/>
        </w:tabs>
      </w:pPr>
      <w:r>
        <w:rPr>
          <w:noProof/>
        </w:rPr>
        <w:lastRenderedPageBreak/>
        <w:drawing>
          <wp:inline distT="0" distB="0" distL="0" distR="0" wp14:anchorId="646E31DF" wp14:editId="21FB448E">
            <wp:extent cx="5943600" cy="3660140"/>
            <wp:effectExtent l="0" t="0" r="0" b="2286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F0EFF6A" w14:textId="3BB4CE1B" w:rsidR="00F31C6E" w:rsidRPr="00591FC6" w:rsidRDefault="00F31C6E" w:rsidP="00F31C6E">
      <w:pPr>
        <w:tabs>
          <w:tab w:val="left" w:pos="1220"/>
        </w:tabs>
        <w:jc w:val="center"/>
        <w:rPr>
          <w:b/>
        </w:rPr>
      </w:pPr>
      <w:r w:rsidRPr="00591FC6">
        <w:rPr>
          <w:b/>
        </w:rPr>
        <w:t>R</w:t>
      </w:r>
      <w:r w:rsidRPr="00591FC6">
        <w:rPr>
          <w:b/>
          <w:vertAlign w:val="superscript"/>
        </w:rPr>
        <w:t>2</w:t>
      </w:r>
      <w:r w:rsidRPr="00591FC6">
        <w:rPr>
          <w:b/>
        </w:rPr>
        <w:t>=</w:t>
      </w:r>
      <w:r w:rsidR="00DA5E83">
        <w:rPr>
          <w:b/>
        </w:rPr>
        <w:t>0.001</w:t>
      </w:r>
      <w:r w:rsidRPr="00591FC6">
        <w:rPr>
          <w:b/>
        </w:rPr>
        <w:t>; SLOPE=</w:t>
      </w:r>
      <w:r w:rsidR="00DA5E83">
        <w:rPr>
          <w:b/>
        </w:rPr>
        <w:t>-0.18</w:t>
      </w:r>
    </w:p>
    <w:p w14:paraId="533D8E4D" w14:textId="37A5AFB6" w:rsidR="006343C7" w:rsidRPr="00E51850" w:rsidRDefault="006343C7" w:rsidP="00E51850">
      <w:pPr>
        <w:tabs>
          <w:tab w:val="left" w:pos="3060"/>
        </w:tabs>
        <w:jc w:val="center"/>
        <w:rPr>
          <w:sz w:val="22"/>
          <w:szCs w:val="22"/>
        </w:rPr>
      </w:pPr>
      <w:r w:rsidRPr="00E51850">
        <w:rPr>
          <w:sz w:val="22"/>
          <w:szCs w:val="22"/>
        </w:rPr>
        <w:t>Figure 8. UPMC and C</w:t>
      </w:r>
      <w:r w:rsidR="00E20EA6">
        <w:rPr>
          <w:sz w:val="22"/>
          <w:szCs w:val="22"/>
        </w:rPr>
        <w:t>are of Continuity Index Graphed</w:t>
      </w:r>
    </w:p>
    <w:p w14:paraId="136A1F86" w14:textId="77777777" w:rsidR="006343C7" w:rsidRPr="00E51850" w:rsidRDefault="006343C7" w:rsidP="00E51850">
      <w:pPr>
        <w:tabs>
          <w:tab w:val="left" w:pos="3060"/>
        </w:tabs>
        <w:rPr>
          <w:sz w:val="22"/>
          <w:szCs w:val="22"/>
        </w:rPr>
      </w:pPr>
    </w:p>
    <w:p w14:paraId="0AAD3D0B" w14:textId="2253C145" w:rsidR="006343C7" w:rsidRDefault="006343C7" w:rsidP="00E51850">
      <w:pPr>
        <w:tabs>
          <w:tab w:val="left" w:pos="3060"/>
        </w:tabs>
      </w:pPr>
      <w:r w:rsidRPr="00E51850">
        <w:rPr>
          <w:sz w:val="22"/>
          <w:szCs w:val="22"/>
        </w:rPr>
        <w:t>This figure graphs the percentage of patients enrolled with UPMC Insurance with the care of continuity index as a percentage.</w:t>
      </w:r>
      <w:r w:rsidR="00DA5E83" w:rsidRPr="00E51850">
        <w:rPr>
          <w:sz w:val="22"/>
          <w:szCs w:val="22"/>
        </w:rPr>
        <w:t xml:space="preserve"> R</w:t>
      </w:r>
      <w:r w:rsidR="00DA5E83" w:rsidRPr="00E51850">
        <w:rPr>
          <w:sz w:val="22"/>
          <w:szCs w:val="22"/>
          <w:vertAlign w:val="superscript"/>
        </w:rPr>
        <w:t>2</w:t>
      </w:r>
      <w:r w:rsidR="00DA5E83" w:rsidRPr="00E51850">
        <w:rPr>
          <w:sz w:val="22"/>
          <w:szCs w:val="22"/>
        </w:rPr>
        <w:t xml:space="preserve"> was calculated to be 0.001. The slope was calculated to be -0.18. </w:t>
      </w:r>
      <w:r w:rsidRPr="00E51850">
        <w:rPr>
          <w:sz w:val="22"/>
          <w:szCs w:val="22"/>
        </w:rPr>
        <w:t xml:space="preserve"> No relationship is seen with this gr</w:t>
      </w:r>
      <w:r>
        <w:t>aph.</w:t>
      </w:r>
    </w:p>
    <w:p w14:paraId="03D93453" w14:textId="77777777" w:rsidR="00407F22" w:rsidRDefault="00407F22" w:rsidP="00C859DF">
      <w:pPr>
        <w:tabs>
          <w:tab w:val="left" w:pos="3060"/>
        </w:tabs>
        <w:spacing w:line="480" w:lineRule="auto"/>
      </w:pPr>
    </w:p>
    <w:p w14:paraId="3EB907EE" w14:textId="6C10FD8D" w:rsidR="009B26C9" w:rsidRDefault="00407F22" w:rsidP="009A79DA">
      <w:pPr>
        <w:pStyle w:val="Heading3"/>
      </w:pPr>
      <w:bookmarkStart w:id="27" w:name="_Toc6908732"/>
      <w:r w:rsidRPr="009B26C9">
        <w:rPr>
          <w:noProof/>
        </w:rPr>
        <w:lastRenderedPageBreak/>
        <w:drawing>
          <wp:anchor distT="0" distB="0" distL="114300" distR="114300" simplePos="0" relativeHeight="251662336" behindDoc="0" locked="0" layoutInCell="1" allowOverlap="1" wp14:anchorId="71312AE4" wp14:editId="3BAE0696">
            <wp:simplePos x="0" y="0"/>
            <wp:positionH relativeFrom="column">
              <wp:posOffset>-62865</wp:posOffset>
            </wp:positionH>
            <wp:positionV relativeFrom="paragraph">
              <wp:posOffset>574040</wp:posOffset>
            </wp:positionV>
            <wp:extent cx="6109335" cy="6174740"/>
            <wp:effectExtent l="0" t="0" r="12065" b="22860"/>
            <wp:wrapTight wrapText="bothSides">
              <wp:wrapPolygon edited="0">
                <wp:start x="0" y="0"/>
                <wp:lineTo x="0" y="21591"/>
                <wp:lineTo x="21553" y="21591"/>
                <wp:lineTo x="21553" y="0"/>
                <wp:lineTo x="0" y="0"/>
              </wp:wrapPolygon>
            </wp:wrapTight>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9B26C9" w:rsidRPr="009B26C9">
        <w:t>Emergency Department Visits</w:t>
      </w:r>
      <w:bookmarkEnd w:id="27"/>
    </w:p>
    <w:p w14:paraId="7333ACF3" w14:textId="18933F28" w:rsidR="002C1854" w:rsidRDefault="002C1854" w:rsidP="002C1854">
      <w:pPr>
        <w:tabs>
          <w:tab w:val="left" w:pos="1220"/>
        </w:tabs>
        <w:jc w:val="center"/>
        <w:rPr>
          <w:b/>
        </w:rPr>
      </w:pPr>
      <w:r>
        <w:rPr>
          <w:b/>
        </w:rPr>
        <w:t xml:space="preserve">Commercial ER Rate: </w:t>
      </w:r>
      <w:r w:rsidRPr="00591FC6">
        <w:rPr>
          <w:b/>
        </w:rPr>
        <w:t>R</w:t>
      </w:r>
      <w:r w:rsidRPr="00591FC6">
        <w:rPr>
          <w:b/>
          <w:vertAlign w:val="superscript"/>
        </w:rPr>
        <w:t>2</w:t>
      </w:r>
      <w:r w:rsidRPr="00591FC6">
        <w:rPr>
          <w:b/>
        </w:rPr>
        <w:t>=</w:t>
      </w:r>
      <w:r>
        <w:rPr>
          <w:b/>
        </w:rPr>
        <w:t>0.004</w:t>
      </w:r>
      <w:r w:rsidRPr="00591FC6">
        <w:rPr>
          <w:b/>
        </w:rPr>
        <w:t>; SLOPE=</w:t>
      </w:r>
      <w:r>
        <w:rPr>
          <w:b/>
        </w:rPr>
        <w:t>-22.128</w:t>
      </w:r>
    </w:p>
    <w:p w14:paraId="3351CD93" w14:textId="039631CE" w:rsidR="002C1854" w:rsidRPr="00591FC6" w:rsidRDefault="002C1854" w:rsidP="002C1854">
      <w:pPr>
        <w:tabs>
          <w:tab w:val="left" w:pos="1220"/>
        </w:tabs>
        <w:jc w:val="center"/>
        <w:rPr>
          <w:b/>
        </w:rPr>
      </w:pPr>
      <w:r>
        <w:rPr>
          <w:b/>
        </w:rPr>
        <w:t>Medicare Advantage ER Rate:</w:t>
      </w:r>
      <w:r w:rsidRPr="002C1854">
        <w:rPr>
          <w:b/>
        </w:rPr>
        <w:t xml:space="preserve"> </w:t>
      </w:r>
      <w:r w:rsidRPr="00591FC6">
        <w:rPr>
          <w:b/>
        </w:rPr>
        <w:t>R</w:t>
      </w:r>
      <w:r w:rsidRPr="00591FC6">
        <w:rPr>
          <w:b/>
          <w:vertAlign w:val="superscript"/>
        </w:rPr>
        <w:t>2</w:t>
      </w:r>
      <w:r w:rsidRPr="00591FC6">
        <w:rPr>
          <w:b/>
        </w:rPr>
        <w:t>=</w:t>
      </w:r>
      <w:r w:rsidR="000D4A57">
        <w:rPr>
          <w:b/>
        </w:rPr>
        <w:t>0.054</w:t>
      </w:r>
      <w:r w:rsidRPr="00591FC6">
        <w:rPr>
          <w:b/>
        </w:rPr>
        <w:t>; SLOPE=</w:t>
      </w:r>
      <w:r w:rsidR="000D4A57">
        <w:rPr>
          <w:b/>
        </w:rPr>
        <w:t>115.28</w:t>
      </w:r>
    </w:p>
    <w:p w14:paraId="63EA9A66" w14:textId="3A323616" w:rsidR="002C1854" w:rsidRPr="00591FC6" w:rsidRDefault="002C1854" w:rsidP="002C1854">
      <w:pPr>
        <w:tabs>
          <w:tab w:val="left" w:pos="1220"/>
        </w:tabs>
        <w:jc w:val="center"/>
        <w:rPr>
          <w:b/>
        </w:rPr>
      </w:pPr>
    </w:p>
    <w:p w14:paraId="353B93C7" w14:textId="5724FE79" w:rsidR="006F14E2" w:rsidRPr="00A5083B" w:rsidRDefault="009B26C9" w:rsidP="00A5083B">
      <w:pPr>
        <w:jc w:val="center"/>
        <w:rPr>
          <w:sz w:val="22"/>
          <w:szCs w:val="22"/>
        </w:rPr>
      </w:pPr>
      <w:r w:rsidRPr="00A5083B">
        <w:rPr>
          <w:sz w:val="22"/>
          <w:szCs w:val="22"/>
        </w:rPr>
        <w:t xml:space="preserve">Figure 9. </w:t>
      </w:r>
      <w:bookmarkStart w:id="28" w:name="OLE_LINK3"/>
      <w:r w:rsidR="006F14E2" w:rsidRPr="00A5083B">
        <w:rPr>
          <w:sz w:val="22"/>
          <w:szCs w:val="22"/>
        </w:rPr>
        <w:t>Emergency Room</w:t>
      </w:r>
      <w:r w:rsidRPr="00A5083B">
        <w:rPr>
          <w:sz w:val="22"/>
          <w:szCs w:val="22"/>
        </w:rPr>
        <w:t xml:space="preserve"> Rates Compared with the </w:t>
      </w:r>
      <w:r w:rsidR="006F14E2" w:rsidRPr="00A5083B">
        <w:rPr>
          <w:sz w:val="22"/>
          <w:szCs w:val="22"/>
        </w:rPr>
        <w:t xml:space="preserve">Care of </w:t>
      </w:r>
      <w:r w:rsidRPr="00A5083B">
        <w:rPr>
          <w:sz w:val="22"/>
          <w:szCs w:val="22"/>
        </w:rPr>
        <w:t>Continuity Inde</w:t>
      </w:r>
      <w:r w:rsidR="006F14E2" w:rsidRPr="00A5083B">
        <w:rPr>
          <w:sz w:val="22"/>
          <w:szCs w:val="22"/>
        </w:rPr>
        <w:t>xes for each Provider Practice</w:t>
      </w:r>
      <w:bookmarkEnd w:id="28"/>
    </w:p>
    <w:p w14:paraId="4392EF15" w14:textId="77777777" w:rsidR="006F14E2" w:rsidRPr="00A5083B" w:rsidRDefault="006F14E2" w:rsidP="00A5083B">
      <w:pPr>
        <w:rPr>
          <w:sz w:val="22"/>
          <w:szCs w:val="22"/>
        </w:rPr>
      </w:pPr>
    </w:p>
    <w:p w14:paraId="5C0E1C47" w14:textId="3E8095C1" w:rsidR="00985C02" w:rsidRDefault="006F14E2" w:rsidP="00A5083B">
      <w:pPr>
        <w:rPr>
          <w:sz w:val="22"/>
          <w:szCs w:val="22"/>
        </w:rPr>
      </w:pPr>
      <w:r w:rsidRPr="00A5083B">
        <w:rPr>
          <w:sz w:val="22"/>
          <w:szCs w:val="22"/>
        </w:rPr>
        <w:t>This figure graphs the Commercial Emergency Room Rate and Medicare Advantage Emergency Room rate for each provider practice compared with care of continuity indexes.</w:t>
      </w:r>
      <w:r w:rsidR="00916C67" w:rsidRPr="00A5083B">
        <w:rPr>
          <w:sz w:val="22"/>
          <w:szCs w:val="22"/>
        </w:rPr>
        <w:t xml:space="preserve"> For commercial ER rate, the R2 </w:t>
      </w:r>
      <w:r w:rsidR="00916C67" w:rsidRPr="00A5083B">
        <w:rPr>
          <w:sz w:val="22"/>
          <w:szCs w:val="22"/>
        </w:rPr>
        <w:lastRenderedPageBreak/>
        <w:t>calculated was 0.004 and the slope calculated was -22.128. For Medicare Advantage ER rate, the R</w:t>
      </w:r>
      <w:r w:rsidR="00916C67" w:rsidRPr="00A5083B">
        <w:rPr>
          <w:sz w:val="22"/>
          <w:szCs w:val="22"/>
          <w:vertAlign w:val="superscript"/>
        </w:rPr>
        <w:t>2</w:t>
      </w:r>
      <w:r w:rsidR="00916C67" w:rsidRPr="00A5083B">
        <w:rPr>
          <w:sz w:val="22"/>
          <w:szCs w:val="22"/>
        </w:rPr>
        <w:t xml:space="preserve"> calculated was 0.0054, and the slope calculated was 115.28.</w:t>
      </w:r>
      <w:r w:rsidRPr="00A5083B">
        <w:rPr>
          <w:sz w:val="22"/>
          <w:szCs w:val="22"/>
        </w:rPr>
        <w:t xml:space="preserve"> For Commercial Emergency Room Rate, there is a relationship that as commercial emergency room rate increases, so does patient continuity. For Medicare Advantage Emergency Room Rate, there is a relationship that</w:t>
      </w:r>
      <w:r w:rsidR="00C75667" w:rsidRPr="00A5083B">
        <w:rPr>
          <w:sz w:val="22"/>
          <w:szCs w:val="22"/>
        </w:rPr>
        <w:t>,</w:t>
      </w:r>
      <w:r w:rsidRPr="00A5083B">
        <w:rPr>
          <w:sz w:val="22"/>
          <w:szCs w:val="22"/>
        </w:rPr>
        <w:t xml:space="preserve"> as</w:t>
      </w:r>
      <w:r>
        <w:t xml:space="preserve"> </w:t>
      </w:r>
      <w:r w:rsidRPr="00A5083B">
        <w:rPr>
          <w:sz w:val="22"/>
          <w:szCs w:val="22"/>
        </w:rPr>
        <w:t>Medicare Advantage Emergency Room Rate increases, so does patient continuity.</w:t>
      </w:r>
    </w:p>
    <w:p w14:paraId="65FDED2B" w14:textId="0CE7DFE5" w:rsidR="00A5083B" w:rsidRDefault="00A5083B" w:rsidP="00A5083B">
      <w:pPr>
        <w:rPr>
          <w:sz w:val="22"/>
          <w:szCs w:val="22"/>
        </w:rPr>
      </w:pPr>
    </w:p>
    <w:p w14:paraId="36850F29" w14:textId="77777777" w:rsidR="00A5083B" w:rsidRPr="00A5083B" w:rsidRDefault="00A5083B" w:rsidP="00A5083B">
      <w:pPr>
        <w:rPr>
          <w:sz w:val="22"/>
          <w:szCs w:val="22"/>
        </w:rPr>
      </w:pPr>
    </w:p>
    <w:p w14:paraId="31727D6B" w14:textId="4F0009E3" w:rsidR="009B26C9" w:rsidRPr="00441644" w:rsidRDefault="00862F52" w:rsidP="009A79DA">
      <w:pPr>
        <w:pStyle w:val="Heading3"/>
      </w:pPr>
      <w:bookmarkStart w:id="29" w:name="_Toc6908733"/>
      <w:r w:rsidRPr="00441644">
        <w:t>Patient Experience</w:t>
      </w:r>
      <w:bookmarkEnd w:id="29"/>
    </w:p>
    <w:p w14:paraId="0BA05E53" w14:textId="2B71D4BD" w:rsidR="00985C02" w:rsidRDefault="00916C67" w:rsidP="009B26C9">
      <w:r w:rsidRPr="00441644">
        <w:rPr>
          <w:b/>
          <w:noProof/>
        </w:rPr>
        <w:drawing>
          <wp:anchor distT="0" distB="0" distL="114300" distR="114300" simplePos="0" relativeHeight="251663360" behindDoc="0" locked="0" layoutInCell="1" allowOverlap="1" wp14:anchorId="2943DA87" wp14:editId="659D85E6">
            <wp:simplePos x="0" y="0"/>
            <wp:positionH relativeFrom="column">
              <wp:posOffset>-61595</wp:posOffset>
            </wp:positionH>
            <wp:positionV relativeFrom="paragraph">
              <wp:posOffset>53340</wp:posOffset>
            </wp:positionV>
            <wp:extent cx="6057900" cy="3975100"/>
            <wp:effectExtent l="0" t="0" r="12700" b="12700"/>
            <wp:wrapTight wrapText="bothSides">
              <wp:wrapPolygon edited="0">
                <wp:start x="0" y="0"/>
                <wp:lineTo x="0" y="21531"/>
                <wp:lineTo x="21555" y="21531"/>
                <wp:lineTo x="21555" y="0"/>
                <wp:lineTo x="0" y="0"/>
              </wp:wrapPolygon>
            </wp:wrapTight>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14:paraId="485838D0" w14:textId="7DB4ACF3" w:rsidR="001C221F" w:rsidRPr="00591FC6" w:rsidRDefault="001C221F" w:rsidP="001C221F">
      <w:pPr>
        <w:tabs>
          <w:tab w:val="left" w:pos="1220"/>
        </w:tabs>
        <w:jc w:val="center"/>
        <w:rPr>
          <w:b/>
        </w:rPr>
      </w:pPr>
      <w:r w:rsidRPr="00591FC6">
        <w:rPr>
          <w:b/>
        </w:rPr>
        <w:t>R</w:t>
      </w:r>
      <w:r w:rsidRPr="00591FC6">
        <w:rPr>
          <w:b/>
          <w:vertAlign w:val="superscript"/>
        </w:rPr>
        <w:t>2</w:t>
      </w:r>
      <w:r w:rsidRPr="00591FC6">
        <w:rPr>
          <w:b/>
        </w:rPr>
        <w:t>=</w:t>
      </w:r>
      <w:r>
        <w:rPr>
          <w:b/>
        </w:rPr>
        <w:t>0.006</w:t>
      </w:r>
      <w:r w:rsidRPr="00591FC6">
        <w:rPr>
          <w:b/>
        </w:rPr>
        <w:t>; SLOPE=</w:t>
      </w:r>
      <w:r>
        <w:rPr>
          <w:b/>
        </w:rPr>
        <w:t>-12.485</w:t>
      </w:r>
    </w:p>
    <w:p w14:paraId="777DDB04" w14:textId="1B30E99E" w:rsidR="00862F52" w:rsidRPr="00A5083B" w:rsidRDefault="002A22A2" w:rsidP="00A5083B">
      <w:pPr>
        <w:rPr>
          <w:sz w:val="22"/>
          <w:szCs w:val="22"/>
        </w:rPr>
      </w:pPr>
      <w:r w:rsidRPr="00A5083B">
        <w:rPr>
          <w:sz w:val="22"/>
          <w:szCs w:val="22"/>
        </w:rPr>
        <w:t>Figure 10. Overall Standard Compared with the Care of Continuity Indexes for each Provider Practice</w:t>
      </w:r>
    </w:p>
    <w:p w14:paraId="05491A09" w14:textId="559CA140" w:rsidR="00985C02" w:rsidRPr="00A5083B" w:rsidRDefault="00985C02" w:rsidP="00A5083B">
      <w:pPr>
        <w:rPr>
          <w:sz w:val="22"/>
          <w:szCs w:val="22"/>
        </w:rPr>
      </w:pPr>
      <w:bookmarkStart w:id="30" w:name="OLE_LINK4"/>
    </w:p>
    <w:p w14:paraId="523948B5" w14:textId="175BE07D" w:rsidR="002A22A2" w:rsidRPr="00A5083B" w:rsidRDefault="002A22A2" w:rsidP="00A5083B">
      <w:pPr>
        <w:rPr>
          <w:sz w:val="22"/>
          <w:szCs w:val="22"/>
        </w:rPr>
      </w:pPr>
      <w:r w:rsidRPr="00A5083B">
        <w:rPr>
          <w:sz w:val="22"/>
          <w:szCs w:val="22"/>
        </w:rPr>
        <w:t>This figure graphs the overall patient experience standard compared with care of continuity indexes for each provider practice</w:t>
      </w:r>
      <w:r w:rsidR="00556515" w:rsidRPr="00A5083B">
        <w:rPr>
          <w:sz w:val="22"/>
          <w:szCs w:val="22"/>
        </w:rPr>
        <w:t xml:space="preserve">. </w:t>
      </w:r>
      <w:r w:rsidR="001C221F" w:rsidRPr="00A5083B">
        <w:rPr>
          <w:sz w:val="22"/>
          <w:szCs w:val="22"/>
        </w:rPr>
        <w:t xml:space="preserve">R2 was calculated to be 0.006. The slope was calculated to be -12.485. </w:t>
      </w:r>
      <w:r w:rsidR="00556515" w:rsidRPr="00A5083B">
        <w:rPr>
          <w:sz w:val="22"/>
          <w:szCs w:val="22"/>
        </w:rPr>
        <w:t xml:space="preserve">There is </w:t>
      </w:r>
      <w:r w:rsidR="00804540" w:rsidRPr="00A5083B">
        <w:rPr>
          <w:sz w:val="22"/>
          <w:szCs w:val="22"/>
        </w:rPr>
        <w:t xml:space="preserve">no </w:t>
      </w:r>
      <w:r w:rsidR="00556515" w:rsidRPr="00A5083B">
        <w:rPr>
          <w:sz w:val="22"/>
          <w:szCs w:val="22"/>
        </w:rPr>
        <w:t>relationship shown.</w:t>
      </w:r>
      <w:bookmarkEnd w:id="30"/>
    </w:p>
    <w:p w14:paraId="3B541858" w14:textId="70EC103E" w:rsidR="008B7D4D" w:rsidRPr="00591FC6" w:rsidRDefault="00F962AC" w:rsidP="00A5083B">
      <w:pPr>
        <w:jc w:val="center"/>
        <w:rPr>
          <w:b/>
        </w:rPr>
      </w:pPr>
      <w:r w:rsidRPr="00556515">
        <w:rPr>
          <w:noProof/>
        </w:rPr>
        <w:lastRenderedPageBreak/>
        <w:drawing>
          <wp:anchor distT="0" distB="0" distL="114300" distR="114300" simplePos="0" relativeHeight="251664384" behindDoc="0" locked="0" layoutInCell="1" allowOverlap="1" wp14:anchorId="589F4E4E" wp14:editId="2883725D">
            <wp:simplePos x="0" y="0"/>
            <wp:positionH relativeFrom="column">
              <wp:posOffset>-405765</wp:posOffset>
            </wp:positionH>
            <wp:positionV relativeFrom="paragraph">
              <wp:posOffset>2540</wp:posOffset>
            </wp:positionV>
            <wp:extent cx="6972300" cy="5946140"/>
            <wp:effectExtent l="0" t="0" r="12700" b="22860"/>
            <wp:wrapTight wrapText="bothSides">
              <wp:wrapPolygon edited="0">
                <wp:start x="0" y="0"/>
                <wp:lineTo x="0" y="21591"/>
                <wp:lineTo x="21561" y="21591"/>
                <wp:lineTo x="21561" y="0"/>
                <wp:lineTo x="0" y="0"/>
              </wp:wrapPolygon>
            </wp:wrapTight>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8B7D4D" w:rsidRPr="00591FC6">
        <w:rPr>
          <w:b/>
        </w:rPr>
        <w:t>R</w:t>
      </w:r>
      <w:r w:rsidR="008B7D4D" w:rsidRPr="00591FC6">
        <w:rPr>
          <w:b/>
          <w:vertAlign w:val="superscript"/>
        </w:rPr>
        <w:t>2</w:t>
      </w:r>
      <w:r w:rsidR="008B7D4D" w:rsidRPr="00591FC6">
        <w:rPr>
          <w:b/>
        </w:rPr>
        <w:t>=</w:t>
      </w:r>
      <w:r w:rsidR="008B7D4D">
        <w:rPr>
          <w:b/>
        </w:rPr>
        <w:t>0.018</w:t>
      </w:r>
      <w:r w:rsidR="008B7D4D" w:rsidRPr="00591FC6">
        <w:rPr>
          <w:b/>
        </w:rPr>
        <w:t>; SLOPE=</w:t>
      </w:r>
      <w:r w:rsidR="008B7D4D">
        <w:rPr>
          <w:b/>
        </w:rPr>
        <w:t>-18.635</w:t>
      </w:r>
    </w:p>
    <w:p w14:paraId="4EF1F436" w14:textId="02E80693" w:rsidR="002B5039" w:rsidRPr="00A5083B" w:rsidRDefault="00556515" w:rsidP="00A5083B">
      <w:pPr>
        <w:rPr>
          <w:sz w:val="22"/>
          <w:szCs w:val="22"/>
        </w:rPr>
      </w:pPr>
      <w:r w:rsidRPr="00A5083B">
        <w:rPr>
          <w:sz w:val="22"/>
          <w:szCs w:val="22"/>
        </w:rPr>
        <w:t xml:space="preserve">Figure 11. </w:t>
      </w:r>
      <w:r w:rsidR="00804540" w:rsidRPr="00A5083B">
        <w:rPr>
          <w:sz w:val="22"/>
          <w:szCs w:val="22"/>
        </w:rPr>
        <w:t>CGCAPHS Rank Compared with the Care of Continuity Indexes for each Provider</w:t>
      </w:r>
      <w:r w:rsidR="00E20EA6">
        <w:rPr>
          <w:sz w:val="22"/>
          <w:szCs w:val="22"/>
        </w:rPr>
        <w:t xml:space="preserve"> Practice</w:t>
      </w:r>
      <w:r w:rsidR="00804540" w:rsidRPr="00A5083B">
        <w:rPr>
          <w:sz w:val="22"/>
          <w:szCs w:val="22"/>
        </w:rPr>
        <w:t xml:space="preserve"> </w:t>
      </w:r>
    </w:p>
    <w:p w14:paraId="3737B431" w14:textId="77777777" w:rsidR="002B5039" w:rsidRPr="00A5083B" w:rsidRDefault="002B5039" w:rsidP="00A5083B">
      <w:pPr>
        <w:rPr>
          <w:sz w:val="22"/>
          <w:szCs w:val="22"/>
        </w:rPr>
      </w:pPr>
    </w:p>
    <w:p w14:paraId="246CF13D" w14:textId="79C631F2" w:rsidR="00874913" w:rsidRPr="00A5083B" w:rsidRDefault="00804540" w:rsidP="00A5083B">
      <w:pPr>
        <w:rPr>
          <w:sz w:val="22"/>
          <w:szCs w:val="22"/>
        </w:rPr>
      </w:pPr>
      <w:r w:rsidRPr="00A5083B">
        <w:rPr>
          <w:sz w:val="22"/>
          <w:szCs w:val="22"/>
        </w:rPr>
        <w:t xml:space="preserve">This figure graphs CGCAPHS Rank compared with care of continuity indexes for each provider practice. </w:t>
      </w:r>
      <w:r w:rsidR="005F5008" w:rsidRPr="00A5083B">
        <w:rPr>
          <w:sz w:val="22"/>
          <w:szCs w:val="22"/>
        </w:rPr>
        <w:t>R</w:t>
      </w:r>
      <w:r w:rsidR="005F5008" w:rsidRPr="00A5083B">
        <w:rPr>
          <w:sz w:val="22"/>
          <w:szCs w:val="22"/>
          <w:vertAlign w:val="superscript"/>
        </w:rPr>
        <w:t>2</w:t>
      </w:r>
      <w:r w:rsidR="005F5008" w:rsidRPr="00A5083B">
        <w:rPr>
          <w:sz w:val="22"/>
          <w:szCs w:val="22"/>
        </w:rPr>
        <w:t xml:space="preserve"> was calculated to be 0.019. Slope was calculated to be -18.635. </w:t>
      </w:r>
      <w:r w:rsidRPr="00A5083B">
        <w:rPr>
          <w:sz w:val="22"/>
          <w:szCs w:val="22"/>
        </w:rPr>
        <w:t xml:space="preserve">There is </w:t>
      </w:r>
      <w:r w:rsidR="00321BBE" w:rsidRPr="00A5083B">
        <w:rPr>
          <w:sz w:val="22"/>
          <w:szCs w:val="22"/>
        </w:rPr>
        <w:t xml:space="preserve">a minor </w:t>
      </w:r>
      <w:r w:rsidR="00874913" w:rsidRPr="00A5083B">
        <w:rPr>
          <w:sz w:val="22"/>
          <w:szCs w:val="22"/>
        </w:rPr>
        <w:t>relationship</w:t>
      </w:r>
      <w:r w:rsidR="00321BBE" w:rsidRPr="00A5083B">
        <w:rPr>
          <w:sz w:val="22"/>
          <w:szCs w:val="22"/>
        </w:rPr>
        <w:t xml:space="preserve">. It </w:t>
      </w:r>
      <w:r w:rsidR="00874913" w:rsidRPr="00A5083B">
        <w:rPr>
          <w:sz w:val="22"/>
          <w:szCs w:val="22"/>
        </w:rPr>
        <w:t xml:space="preserve">shows that as </w:t>
      </w:r>
      <w:r w:rsidR="00321BBE" w:rsidRPr="00A5083B">
        <w:rPr>
          <w:sz w:val="22"/>
          <w:szCs w:val="22"/>
        </w:rPr>
        <w:t>CGCAPHS rank</w:t>
      </w:r>
      <w:r w:rsidR="00874913" w:rsidRPr="00A5083B">
        <w:rPr>
          <w:sz w:val="22"/>
          <w:szCs w:val="22"/>
        </w:rPr>
        <w:t xml:space="preserve"> de</w:t>
      </w:r>
      <w:r w:rsidR="00321BBE" w:rsidRPr="00A5083B">
        <w:rPr>
          <w:sz w:val="22"/>
          <w:szCs w:val="22"/>
        </w:rPr>
        <w:t>creases, which means better patient experience</w:t>
      </w:r>
      <w:r w:rsidR="00E713E8" w:rsidRPr="00A5083B">
        <w:rPr>
          <w:sz w:val="22"/>
          <w:szCs w:val="22"/>
        </w:rPr>
        <w:t>,</w:t>
      </w:r>
      <w:r w:rsidR="00874913" w:rsidRPr="00A5083B">
        <w:rPr>
          <w:sz w:val="22"/>
          <w:szCs w:val="22"/>
        </w:rPr>
        <w:t xml:space="preserve"> patient continuity increases.</w:t>
      </w:r>
    </w:p>
    <w:p w14:paraId="567CC389" w14:textId="036C2CCC" w:rsidR="009B26C9" w:rsidRDefault="009B26C9" w:rsidP="00F962AC">
      <w:pPr>
        <w:spacing w:line="480" w:lineRule="auto"/>
      </w:pPr>
    </w:p>
    <w:p w14:paraId="5A24B4F1" w14:textId="0229A45B" w:rsidR="006023AD" w:rsidRDefault="006023AD" w:rsidP="009B26C9"/>
    <w:p w14:paraId="4D3E6D39" w14:textId="3F9F7358" w:rsidR="006023AD" w:rsidRPr="009A79DA" w:rsidRDefault="00321BBE" w:rsidP="009A79DA">
      <w:pPr>
        <w:pStyle w:val="Heading3"/>
        <w:numPr>
          <w:ilvl w:val="2"/>
          <w:numId w:val="48"/>
        </w:numPr>
      </w:pPr>
      <w:bookmarkStart w:id="31" w:name="_Toc6908734"/>
      <w:r w:rsidRPr="009A79DA">
        <w:rPr>
          <w:noProof/>
        </w:rPr>
        <w:lastRenderedPageBreak/>
        <w:drawing>
          <wp:anchor distT="0" distB="0" distL="114300" distR="114300" simplePos="0" relativeHeight="251665408" behindDoc="0" locked="0" layoutInCell="1" allowOverlap="1" wp14:anchorId="346025C3" wp14:editId="2A80FEC6">
            <wp:simplePos x="0" y="0"/>
            <wp:positionH relativeFrom="column">
              <wp:posOffset>-633730</wp:posOffset>
            </wp:positionH>
            <wp:positionV relativeFrom="paragraph">
              <wp:posOffset>822325</wp:posOffset>
            </wp:positionV>
            <wp:extent cx="6972935" cy="4460240"/>
            <wp:effectExtent l="0" t="0" r="12065" b="10160"/>
            <wp:wrapTight wrapText="bothSides">
              <wp:wrapPolygon edited="0">
                <wp:start x="0" y="0"/>
                <wp:lineTo x="0" y="21526"/>
                <wp:lineTo x="21559" y="21526"/>
                <wp:lineTo x="21559" y="0"/>
                <wp:lineTo x="0" y="0"/>
              </wp:wrapPolygon>
            </wp:wrapTight>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6023AD" w:rsidRPr="009A79DA">
        <w:t>Ease of Scheduling Appointments</w:t>
      </w:r>
      <w:bookmarkEnd w:id="31"/>
    </w:p>
    <w:p w14:paraId="2E55945E" w14:textId="77777777" w:rsidR="006023AD" w:rsidRPr="009B26C9" w:rsidRDefault="006023AD" w:rsidP="009B26C9"/>
    <w:p w14:paraId="437716A9" w14:textId="0CF6EBC7" w:rsidR="005F5008" w:rsidRPr="00591FC6" w:rsidRDefault="005F5008" w:rsidP="005F5008">
      <w:pPr>
        <w:tabs>
          <w:tab w:val="left" w:pos="1220"/>
        </w:tabs>
        <w:jc w:val="center"/>
        <w:rPr>
          <w:b/>
        </w:rPr>
      </w:pPr>
      <w:r w:rsidRPr="00591FC6">
        <w:rPr>
          <w:b/>
        </w:rPr>
        <w:t>R</w:t>
      </w:r>
      <w:r w:rsidRPr="00591FC6">
        <w:rPr>
          <w:b/>
          <w:vertAlign w:val="superscript"/>
        </w:rPr>
        <w:t>2</w:t>
      </w:r>
      <w:r w:rsidRPr="00591FC6">
        <w:rPr>
          <w:b/>
        </w:rPr>
        <w:t>=</w:t>
      </w:r>
      <w:r>
        <w:rPr>
          <w:b/>
        </w:rPr>
        <w:t>0.036</w:t>
      </w:r>
      <w:r w:rsidRPr="00591FC6">
        <w:rPr>
          <w:b/>
        </w:rPr>
        <w:t>; SLOPE=</w:t>
      </w:r>
      <w:r>
        <w:rPr>
          <w:b/>
        </w:rPr>
        <w:t>25.282</w:t>
      </w:r>
    </w:p>
    <w:p w14:paraId="57C12029" w14:textId="345B4540" w:rsidR="006B418D" w:rsidRPr="009C4D9C" w:rsidRDefault="002B5039" w:rsidP="009C4D9C">
      <w:pPr>
        <w:jc w:val="center"/>
        <w:rPr>
          <w:sz w:val="22"/>
          <w:szCs w:val="22"/>
        </w:rPr>
      </w:pPr>
      <w:r w:rsidRPr="009C4D9C">
        <w:rPr>
          <w:sz w:val="22"/>
          <w:szCs w:val="22"/>
        </w:rPr>
        <w:t>F</w:t>
      </w:r>
      <w:r w:rsidR="00321BBE" w:rsidRPr="009C4D9C">
        <w:rPr>
          <w:sz w:val="22"/>
          <w:szCs w:val="22"/>
        </w:rPr>
        <w:t xml:space="preserve">igure 12. </w:t>
      </w:r>
      <w:r w:rsidR="006B418D" w:rsidRPr="009C4D9C">
        <w:rPr>
          <w:sz w:val="22"/>
          <w:szCs w:val="22"/>
        </w:rPr>
        <w:t>Ease of Scheduling Appointments Compared with the Care of Continuity Ind</w:t>
      </w:r>
      <w:r w:rsidR="00E20EA6">
        <w:rPr>
          <w:sz w:val="22"/>
          <w:szCs w:val="22"/>
        </w:rPr>
        <w:t>exes for each Provider Practice</w:t>
      </w:r>
    </w:p>
    <w:p w14:paraId="4B6FA0D2" w14:textId="77777777" w:rsidR="006B418D" w:rsidRPr="009C4D9C" w:rsidRDefault="006B418D" w:rsidP="009C4D9C">
      <w:pPr>
        <w:rPr>
          <w:sz w:val="22"/>
          <w:szCs w:val="22"/>
        </w:rPr>
      </w:pPr>
    </w:p>
    <w:p w14:paraId="14797893" w14:textId="77BFE417" w:rsidR="006B418D" w:rsidRPr="009C4D9C" w:rsidRDefault="00321BBE" w:rsidP="009C4D9C">
      <w:pPr>
        <w:rPr>
          <w:sz w:val="22"/>
          <w:szCs w:val="22"/>
        </w:rPr>
      </w:pPr>
      <w:r w:rsidRPr="009C4D9C">
        <w:rPr>
          <w:sz w:val="22"/>
          <w:szCs w:val="22"/>
        </w:rPr>
        <w:t xml:space="preserve">This figure graphs the </w:t>
      </w:r>
      <w:r w:rsidR="006B418D" w:rsidRPr="009C4D9C">
        <w:rPr>
          <w:sz w:val="22"/>
          <w:szCs w:val="22"/>
        </w:rPr>
        <w:t xml:space="preserve">ease of scheduling appointments with care of continuity indexes for each provider practice. </w:t>
      </w:r>
      <w:r w:rsidR="005F5008" w:rsidRPr="009C4D9C">
        <w:rPr>
          <w:sz w:val="22"/>
          <w:szCs w:val="22"/>
        </w:rPr>
        <w:t>R</w:t>
      </w:r>
      <w:r w:rsidR="005F5008" w:rsidRPr="009C4D9C">
        <w:rPr>
          <w:sz w:val="22"/>
          <w:szCs w:val="22"/>
          <w:vertAlign w:val="superscript"/>
        </w:rPr>
        <w:t>2</w:t>
      </w:r>
      <w:r w:rsidR="005F5008" w:rsidRPr="009C4D9C">
        <w:rPr>
          <w:sz w:val="22"/>
          <w:szCs w:val="22"/>
        </w:rPr>
        <w:t xml:space="preserve"> was calculated to be 0.036. The slope was calculated to be 25.282. </w:t>
      </w:r>
      <w:r w:rsidR="006B418D" w:rsidRPr="009C4D9C">
        <w:rPr>
          <w:sz w:val="22"/>
          <w:szCs w:val="22"/>
        </w:rPr>
        <w:t xml:space="preserve">There is </w:t>
      </w:r>
      <w:r w:rsidRPr="009C4D9C">
        <w:rPr>
          <w:sz w:val="22"/>
          <w:szCs w:val="22"/>
        </w:rPr>
        <w:t>a positive relationship. As the ease of scheduling appointments increase, so does patient continuity.</w:t>
      </w:r>
    </w:p>
    <w:p w14:paraId="48878AC0" w14:textId="77777777" w:rsidR="006B418D" w:rsidRDefault="006B418D" w:rsidP="006B418D"/>
    <w:p w14:paraId="12E2D081" w14:textId="14BF8669" w:rsidR="006B418D" w:rsidRPr="009A79DA" w:rsidRDefault="006B418D" w:rsidP="009A79DA">
      <w:pPr>
        <w:pStyle w:val="Heading3"/>
      </w:pPr>
      <w:bookmarkStart w:id="32" w:name="_Toc6908735"/>
      <w:r w:rsidRPr="009A79DA">
        <w:lastRenderedPageBreak/>
        <w:t>Access</w:t>
      </w:r>
      <w:bookmarkEnd w:id="32"/>
    </w:p>
    <w:p w14:paraId="5C719ADB" w14:textId="05DDD737" w:rsidR="00F4699F" w:rsidRPr="00F4699F" w:rsidRDefault="00F4699F" w:rsidP="00F4699F">
      <w:pPr>
        <w:pStyle w:val="Noindent"/>
      </w:pPr>
      <w:r w:rsidRPr="00F4699F">
        <w:rPr>
          <w:noProof/>
        </w:rPr>
        <w:drawing>
          <wp:inline distT="0" distB="0" distL="0" distR="0" wp14:anchorId="2A95FF0C" wp14:editId="209D616E">
            <wp:extent cx="5766435" cy="4660900"/>
            <wp:effectExtent l="0" t="0" r="24765" b="1270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7288120" w14:textId="12CC1FE2" w:rsidR="00844937" w:rsidRPr="00591FC6" w:rsidRDefault="00844937" w:rsidP="00844937">
      <w:pPr>
        <w:tabs>
          <w:tab w:val="left" w:pos="1220"/>
        </w:tabs>
        <w:jc w:val="center"/>
        <w:rPr>
          <w:b/>
        </w:rPr>
      </w:pPr>
      <w:r w:rsidRPr="00591FC6">
        <w:rPr>
          <w:b/>
        </w:rPr>
        <w:t>R</w:t>
      </w:r>
      <w:r w:rsidRPr="00591FC6">
        <w:rPr>
          <w:b/>
          <w:vertAlign w:val="superscript"/>
        </w:rPr>
        <w:t>2</w:t>
      </w:r>
      <w:r w:rsidRPr="00591FC6">
        <w:rPr>
          <w:b/>
        </w:rPr>
        <w:t>=</w:t>
      </w:r>
      <w:r w:rsidR="00D30295">
        <w:rPr>
          <w:b/>
        </w:rPr>
        <w:t>0.</w:t>
      </w:r>
      <w:r w:rsidR="007D6DA8">
        <w:rPr>
          <w:b/>
        </w:rPr>
        <w:t>039</w:t>
      </w:r>
      <w:r w:rsidRPr="00591FC6">
        <w:rPr>
          <w:b/>
        </w:rPr>
        <w:t>; SLOPE=</w:t>
      </w:r>
      <w:r w:rsidR="007D6DA8">
        <w:rPr>
          <w:b/>
        </w:rPr>
        <w:t>-5.975</w:t>
      </w:r>
    </w:p>
    <w:p w14:paraId="43A31B79" w14:textId="5A3963D3" w:rsidR="00F4699F" w:rsidRPr="00EB7F19" w:rsidRDefault="00F4699F" w:rsidP="00EB7F19">
      <w:pPr>
        <w:pStyle w:val="Noindent"/>
        <w:spacing w:line="240" w:lineRule="auto"/>
        <w:rPr>
          <w:sz w:val="22"/>
          <w:szCs w:val="22"/>
        </w:rPr>
      </w:pPr>
      <w:r w:rsidRPr="00EB7F19">
        <w:rPr>
          <w:sz w:val="22"/>
          <w:szCs w:val="22"/>
        </w:rPr>
        <w:t>Figure 13. Rank of Access Compared with the Care of Continuity Ind</w:t>
      </w:r>
      <w:r w:rsidR="00E20EA6">
        <w:rPr>
          <w:sz w:val="22"/>
          <w:szCs w:val="22"/>
        </w:rPr>
        <w:t>exes for each Provider Practice</w:t>
      </w:r>
    </w:p>
    <w:p w14:paraId="19E931EE" w14:textId="77777777" w:rsidR="00F4699F" w:rsidRPr="00EB7F19" w:rsidRDefault="00F4699F" w:rsidP="00EB7F19">
      <w:pPr>
        <w:rPr>
          <w:sz w:val="22"/>
          <w:szCs w:val="22"/>
        </w:rPr>
      </w:pPr>
    </w:p>
    <w:p w14:paraId="222D33A1" w14:textId="3BEFCAD6" w:rsidR="00F4699F" w:rsidRDefault="00F4699F" w:rsidP="00EB7F19">
      <w:r w:rsidRPr="00EB7F19">
        <w:rPr>
          <w:sz w:val="22"/>
          <w:szCs w:val="22"/>
        </w:rPr>
        <w:t>This figure graphs the ranks of access compared with</w:t>
      </w:r>
      <w:r w:rsidR="00D51CED" w:rsidRPr="00EB7F19">
        <w:rPr>
          <w:sz w:val="22"/>
          <w:szCs w:val="22"/>
        </w:rPr>
        <w:t xml:space="preserve"> care of continuity indexes for each provider practice. </w:t>
      </w:r>
      <w:r w:rsidR="007D6DA8" w:rsidRPr="00EB7F19">
        <w:rPr>
          <w:sz w:val="22"/>
          <w:szCs w:val="22"/>
        </w:rPr>
        <w:t>R</w:t>
      </w:r>
      <w:r w:rsidR="007D6DA8" w:rsidRPr="00EB7F19">
        <w:rPr>
          <w:sz w:val="22"/>
          <w:szCs w:val="22"/>
          <w:vertAlign w:val="superscript"/>
        </w:rPr>
        <w:t>2</w:t>
      </w:r>
      <w:r w:rsidR="007D6DA8" w:rsidRPr="00EB7F19">
        <w:rPr>
          <w:sz w:val="22"/>
          <w:szCs w:val="22"/>
        </w:rPr>
        <w:t xml:space="preserve"> was calculated to be 0.039. The slope was calculated to be -5.975. </w:t>
      </w:r>
      <w:r w:rsidR="00D51CED" w:rsidRPr="00EB7F19">
        <w:rPr>
          <w:sz w:val="22"/>
          <w:szCs w:val="22"/>
        </w:rPr>
        <w:t>The relationship shows that as rank of access decreases, which means it is more access</w:t>
      </w:r>
      <w:r w:rsidR="005D2A25" w:rsidRPr="00EB7F19">
        <w:rPr>
          <w:sz w:val="22"/>
          <w:szCs w:val="22"/>
        </w:rPr>
        <w:t xml:space="preserve">ible to reach the provider, </w:t>
      </w:r>
      <w:r w:rsidR="00D51CED" w:rsidRPr="00EB7F19">
        <w:rPr>
          <w:sz w:val="22"/>
          <w:szCs w:val="22"/>
        </w:rPr>
        <w:t>patient continuity increases.</w:t>
      </w:r>
    </w:p>
    <w:p w14:paraId="42644D30" w14:textId="77777777" w:rsidR="00D51CED" w:rsidRDefault="00D51CED" w:rsidP="00F4699F"/>
    <w:p w14:paraId="1CF210DE" w14:textId="09D22695" w:rsidR="00D51CED" w:rsidRPr="009A79DA" w:rsidRDefault="00842042" w:rsidP="009A79DA">
      <w:pPr>
        <w:pStyle w:val="Heading2"/>
      </w:pPr>
      <w:bookmarkStart w:id="33" w:name="_Toc6908736"/>
      <w:r w:rsidRPr="009A79DA">
        <w:lastRenderedPageBreak/>
        <w:t>Discussion</w:t>
      </w:r>
      <w:bookmarkEnd w:id="33"/>
    </w:p>
    <w:p w14:paraId="6C29D444" w14:textId="200860AF" w:rsidR="007D4BB9" w:rsidRDefault="005D2A25" w:rsidP="00CB12DE">
      <w:pPr>
        <w:spacing w:line="480" w:lineRule="auto"/>
        <w:ind w:firstLine="720"/>
      </w:pPr>
      <w:r>
        <w:t>Results indicate</w:t>
      </w:r>
      <w:r w:rsidR="008A68E7">
        <w:t xml:space="preserve">, </w:t>
      </w:r>
      <w:r w:rsidR="00D2566F">
        <w:t>figure one</w:t>
      </w:r>
      <w:r w:rsidR="000A7C8B">
        <w:t xml:space="preserve"> showed the wide </w:t>
      </w:r>
      <w:r w:rsidR="000614FF">
        <w:t xml:space="preserve">range of </w:t>
      </w:r>
      <w:r w:rsidR="007D4BB9">
        <w:t>p</w:t>
      </w:r>
      <w:r w:rsidR="00D2566F">
        <w:t xml:space="preserve">atient continuity providers ranging </w:t>
      </w:r>
      <w:r w:rsidR="007D4BB9">
        <w:t xml:space="preserve">from 0.325 to 0.998. 0.325 is on the low end of patient continuity whereas 0.998 is on the high end of patient continuity. With these index scores, a multitude of factors </w:t>
      </w:r>
      <w:r w:rsidR="00CB12DE">
        <w:t xml:space="preserve">that affect patient continuity </w:t>
      </w:r>
      <w:r w:rsidR="007D4BB9">
        <w:t>were compared. These factors include</w:t>
      </w:r>
      <w:r w:rsidR="00CB12DE">
        <w:t xml:space="preserve"> </w:t>
      </w:r>
      <w:r w:rsidR="007D4BB9" w:rsidRPr="00002D13">
        <w:t>Average Age</w:t>
      </w:r>
      <w:r w:rsidR="00CB12DE">
        <w:t xml:space="preserve">, </w:t>
      </w:r>
      <w:r w:rsidR="007D4BB9" w:rsidRPr="00002D13">
        <w:t>Chronic Conditions</w:t>
      </w:r>
      <w:r w:rsidR="00CB12DE">
        <w:t xml:space="preserve">, </w:t>
      </w:r>
      <w:r w:rsidR="007D4BB9" w:rsidRPr="00002D13">
        <w:t>Payer Mix</w:t>
      </w:r>
      <w:r w:rsidR="00CB12DE">
        <w:t xml:space="preserve">, </w:t>
      </w:r>
      <w:r w:rsidR="007D4BB9">
        <w:t>Emergency Department</w:t>
      </w:r>
      <w:r w:rsidR="00CB12DE">
        <w:t xml:space="preserve">, </w:t>
      </w:r>
      <w:r w:rsidR="007D4BB9" w:rsidRPr="00002D13">
        <w:t>Patient Experience</w:t>
      </w:r>
      <w:r w:rsidR="00CB12DE">
        <w:t xml:space="preserve">, </w:t>
      </w:r>
      <w:r w:rsidR="007D4BB9" w:rsidRPr="00002D13">
        <w:t>Ease of Scheduling Appointments</w:t>
      </w:r>
      <w:r w:rsidR="00CB12DE">
        <w:t xml:space="preserve">, and </w:t>
      </w:r>
      <w:r w:rsidR="007D4BB9" w:rsidRPr="00002D13">
        <w:t>Access</w:t>
      </w:r>
      <w:r w:rsidR="00CB12DE">
        <w:t>.</w:t>
      </w:r>
    </w:p>
    <w:p w14:paraId="368AFB18" w14:textId="0C0E958E" w:rsidR="00CB12DE" w:rsidRDefault="00D2566F" w:rsidP="00CB12DE">
      <w:pPr>
        <w:spacing w:line="480" w:lineRule="auto"/>
        <w:ind w:firstLine="720"/>
      </w:pPr>
      <w:r>
        <w:t>Figure two</w:t>
      </w:r>
      <w:r w:rsidR="00CB12DE">
        <w:t xml:space="preserve"> showed the</w:t>
      </w:r>
      <w:r>
        <w:t>re was a positive relationship: a</w:t>
      </w:r>
      <w:r w:rsidR="00A51B37">
        <w:t xml:space="preserve">s average age increased, patient continuity also increased. </w:t>
      </w:r>
      <w:r w:rsidR="00836989">
        <w:t xml:space="preserve"> </w:t>
      </w:r>
      <w:r w:rsidR="008C0AD7">
        <w:t>R</w:t>
      </w:r>
      <w:r w:rsidR="008C0AD7" w:rsidRPr="007A1358">
        <w:rPr>
          <w:vertAlign w:val="superscript"/>
        </w:rPr>
        <w:t>2</w:t>
      </w:r>
      <w:r w:rsidR="008C0AD7">
        <w:t xml:space="preserve"> calculated to be 0.146 and the slope calculated to be 0.013. This means 14.6% of the variation of the care of continuity index can be explained by average age. </w:t>
      </w:r>
      <w:r w:rsidR="002B4334">
        <w:t>The impact average age has is 0.013</w:t>
      </w:r>
      <w:proofErr w:type="gramStart"/>
      <w:r w:rsidR="002B4334">
        <w:t>.</w:t>
      </w:r>
      <w:r w:rsidR="00284164">
        <w:t>.</w:t>
      </w:r>
      <w:proofErr w:type="gramEnd"/>
      <w:r w:rsidR="00284164">
        <w:t xml:space="preserve"> </w:t>
      </w:r>
      <w:r w:rsidR="00836989">
        <w:t xml:space="preserve">This supports the research </w:t>
      </w:r>
      <w:r>
        <w:t xml:space="preserve">literature </w:t>
      </w:r>
      <w:r w:rsidR="00836989">
        <w:t>that as age increases so does patient continuity</w:t>
      </w:r>
      <w:r>
        <w:t xml:space="preserve"> (</w:t>
      </w:r>
      <w:proofErr w:type="spellStart"/>
      <w:r>
        <w:t>Alazri</w:t>
      </w:r>
      <w:proofErr w:type="spellEnd"/>
      <w:r>
        <w:t xml:space="preserve"> et al, 2007)</w:t>
      </w:r>
      <w:r w:rsidR="00836989">
        <w:t>.</w:t>
      </w:r>
    </w:p>
    <w:p w14:paraId="1F1E615A" w14:textId="2094321C" w:rsidR="007E0D3D" w:rsidRDefault="007E0D3D" w:rsidP="00CB12DE">
      <w:pPr>
        <w:spacing w:line="480" w:lineRule="auto"/>
        <w:ind w:firstLine="720"/>
      </w:pPr>
      <w:r>
        <w:t xml:space="preserve">Next, </w:t>
      </w:r>
      <w:r w:rsidR="00D2566F">
        <w:t>figure three</w:t>
      </w:r>
      <w:r w:rsidR="00E92F51">
        <w:t xml:space="preserve"> showed there </w:t>
      </w:r>
      <w:r w:rsidR="00D2566F">
        <w:t>was a negative relationship between chronic conditions and patient continuity</w:t>
      </w:r>
      <w:r w:rsidR="00E92F51">
        <w:t>.</w:t>
      </w:r>
      <w:r w:rsidR="002B4334" w:rsidRPr="002B4334">
        <w:t xml:space="preserve"> </w:t>
      </w:r>
      <w:r w:rsidR="002B4334">
        <w:t>R</w:t>
      </w:r>
      <w:r w:rsidR="002B4334" w:rsidRPr="004B425D">
        <w:rPr>
          <w:vertAlign w:val="superscript"/>
        </w:rPr>
        <w:t>2</w:t>
      </w:r>
      <w:r w:rsidR="002B4334">
        <w:t xml:space="preserve"> was calculated to be 0.103. The slope was calculated to be -1.67. This means 10.3% of the variation of the care of continuity index can be explained by chronic conditions. The impact chronic conditions has</w:t>
      </w:r>
      <w:r w:rsidR="00E92F51">
        <w:t xml:space="preserve"> </w:t>
      </w:r>
      <w:r w:rsidR="002B4334">
        <w:t xml:space="preserve">is -1.67. </w:t>
      </w:r>
      <w:r w:rsidR="00E92F51">
        <w:t xml:space="preserve">This is very surprising because </w:t>
      </w:r>
      <w:r w:rsidR="00D2566F">
        <w:t>the literature</w:t>
      </w:r>
      <w:r w:rsidR="00E92F51">
        <w:t xml:space="preserve"> supports </w:t>
      </w:r>
      <w:r w:rsidR="00D2566F">
        <w:t>the opposite:</w:t>
      </w:r>
      <w:r w:rsidR="00E92F51">
        <w:t xml:space="preserve"> as chronic conditions increase, patient continuity should increase as well</w:t>
      </w:r>
      <w:r w:rsidR="00D2566F">
        <w:t xml:space="preserve"> (</w:t>
      </w:r>
      <w:proofErr w:type="spellStart"/>
      <w:r w:rsidR="00D2566F">
        <w:t>Alazri</w:t>
      </w:r>
      <w:proofErr w:type="spellEnd"/>
      <w:r w:rsidR="00D2566F">
        <w:t xml:space="preserve"> et al, 2007)</w:t>
      </w:r>
      <w:r w:rsidR="00E92F51">
        <w:t xml:space="preserve">. </w:t>
      </w:r>
      <w:r w:rsidR="00D2566F">
        <w:t>This intriguing result is an area in which AHN should further</w:t>
      </w:r>
      <w:r w:rsidR="002B7F16">
        <w:t xml:space="preserve"> examine to determine</w:t>
      </w:r>
      <w:r w:rsidR="00E92F51">
        <w:t xml:space="preserve"> </w:t>
      </w:r>
      <w:r w:rsidR="00F67A9B">
        <w:t>why patient continuity is decreasing when chronic conditions are increasing.</w:t>
      </w:r>
    </w:p>
    <w:p w14:paraId="693DDEDB" w14:textId="7CB121F7" w:rsidR="005D68C8" w:rsidRDefault="00847550" w:rsidP="00CB12DE">
      <w:pPr>
        <w:spacing w:line="480" w:lineRule="auto"/>
        <w:ind w:firstLine="720"/>
      </w:pPr>
      <w:r>
        <w:t xml:space="preserve">Also, payer mix was </w:t>
      </w:r>
      <w:r w:rsidR="00CF47B5">
        <w:t>analyzed</w:t>
      </w:r>
      <w:r>
        <w:t xml:space="preserve">. The payers that were focused on were </w:t>
      </w:r>
      <w:r w:rsidRPr="00C811F7">
        <w:t xml:space="preserve">Highmark Medicare, Gateway Medicare, </w:t>
      </w:r>
      <w:r>
        <w:t>Medicare</w:t>
      </w:r>
      <w:r w:rsidRPr="00C811F7">
        <w:t xml:space="preserve">, Highmark, </w:t>
      </w:r>
      <w:r>
        <w:t xml:space="preserve">and </w:t>
      </w:r>
      <w:r w:rsidRPr="00C811F7">
        <w:t>UPMC</w:t>
      </w:r>
      <w:r>
        <w:t>. All of these</w:t>
      </w:r>
      <w:r w:rsidR="00CF47B5">
        <w:t xml:space="preserve"> except for </w:t>
      </w:r>
      <w:r w:rsidR="0090214D">
        <w:t>figure four and figure six</w:t>
      </w:r>
      <w:r>
        <w:t xml:space="preserve"> showed there were no relationships with patient continuity.</w:t>
      </w:r>
      <w:r w:rsidR="00CF47B5">
        <w:t xml:space="preserve"> </w:t>
      </w:r>
      <w:r w:rsidR="0090214D">
        <w:t>Figure four</w:t>
      </w:r>
      <w:r w:rsidR="00CF47B5">
        <w:t xml:space="preserve"> had a </w:t>
      </w:r>
      <w:r w:rsidR="00CF47B5">
        <w:lastRenderedPageBreak/>
        <w:t xml:space="preserve">positive relationship with the care of continuity index. </w:t>
      </w:r>
      <w:r w:rsidR="009B0791">
        <w:t>R</w:t>
      </w:r>
      <w:r w:rsidR="009B0791" w:rsidRPr="00591FC6">
        <w:rPr>
          <w:vertAlign w:val="superscript"/>
        </w:rPr>
        <w:t>2</w:t>
      </w:r>
      <w:r w:rsidR="009B0791">
        <w:t xml:space="preserve"> was calculated to be 0.114. The slope was calculated to be 1.614. This means 11.4% of the variation of the care of continuity index can be explained by Highmark Medicare. The impact Highmark Medicare has is 0.114. </w:t>
      </w:r>
      <w:r w:rsidR="0090214D">
        <w:t>Figure six</w:t>
      </w:r>
      <w:r w:rsidR="00CF47B5">
        <w:t xml:space="preserve"> had a positive relationship with the care of continuity index until the 0.12 percentage point for Medicare patients.</w:t>
      </w:r>
      <w:r w:rsidR="00254828">
        <w:t xml:space="preserve"> </w:t>
      </w:r>
      <w:r w:rsidR="009B0791">
        <w:t>R</w:t>
      </w:r>
      <w:r w:rsidR="009B0791" w:rsidRPr="008F7687">
        <w:rPr>
          <w:vertAlign w:val="superscript"/>
        </w:rPr>
        <w:t xml:space="preserve">2 </w:t>
      </w:r>
      <w:r w:rsidR="009B0791">
        <w:t xml:space="preserve">was calculated to be 0.040. The slope was calculated to be 1.177. This means that 4% of the variation of the care of continuity index can be explained by Medicare. The impact Medicare has is 1.177. </w:t>
      </w:r>
      <w:r w:rsidR="0090214D">
        <w:t xml:space="preserve">Figure five, figure seven, and figure eight </w:t>
      </w:r>
      <w:r w:rsidR="00254828">
        <w:t xml:space="preserve">did not have a trend </w:t>
      </w:r>
      <w:r w:rsidR="009B0791">
        <w:t>with</w:t>
      </w:r>
      <w:r>
        <w:t xml:space="preserve"> </w:t>
      </w:r>
      <w:r w:rsidR="009B0791">
        <w:t>spurts up and down</w:t>
      </w:r>
      <w:r>
        <w:t>.</w:t>
      </w:r>
      <w:r w:rsidR="009B0791">
        <w:t xml:space="preserve"> Figure five had a</w:t>
      </w:r>
      <w:r>
        <w:t xml:space="preserve"> </w:t>
      </w:r>
      <w:r w:rsidR="009B0791">
        <w:t>R</w:t>
      </w:r>
      <w:r w:rsidR="009B0791" w:rsidRPr="00DE16FB">
        <w:rPr>
          <w:vertAlign w:val="superscript"/>
        </w:rPr>
        <w:t>2</w:t>
      </w:r>
      <w:r w:rsidR="009B0791">
        <w:t xml:space="preserve"> calculated to be 0.010. and a slope calculated to be -1.425. This means 1% of the variation of the care of continuity index can be explained by Gateway Medicare. The impact Gateway Medicare as is -1.425.</w:t>
      </w:r>
      <w:r w:rsidR="00A45A96">
        <w:t xml:space="preserve"> </w:t>
      </w:r>
      <w:r>
        <w:t>There were two signif</w:t>
      </w:r>
      <w:r w:rsidR="0088740E">
        <w:t xml:space="preserve">icant observations. </w:t>
      </w:r>
      <w:r w:rsidR="00A45A96">
        <w:t>Figure seven had a R</w:t>
      </w:r>
      <w:r w:rsidR="00A45A96" w:rsidRPr="0061340A">
        <w:rPr>
          <w:vertAlign w:val="superscript"/>
        </w:rPr>
        <w:t>2</w:t>
      </w:r>
      <w:r w:rsidR="00A45A96">
        <w:t xml:space="preserve"> calculated to be 0.089 and a slope calculated to be -0.452. This means 8.9%</w:t>
      </w:r>
      <w:r w:rsidR="00082580">
        <w:t xml:space="preserve"> of the variation of the care of continuity index can be explained by Highmark Insurance. The impact Highmark Insurance has is -0.452. </w:t>
      </w:r>
      <w:r w:rsidR="00B14C9A">
        <w:t>Figure eight had a R</w:t>
      </w:r>
      <w:r w:rsidR="00B14C9A" w:rsidRPr="00DA5E83">
        <w:rPr>
          <w:vertAlign w:val="superscript"/>
        </w:rPr>
        <w:t>2</w:t>
      </w:r>
      <w:r w:rsidR="00B14C9A">
        <w:t xml:space="preserve"> calculated to be 0.001 and slope was calculated to be -0.18. This means 0.1% of the variation of the care of continuity index can be explained by UPMC Insurance. The impact UPMC Insurance has is -0.18. </w:t>
      </w:r>
      <w:r w:rsidR="00C2017A">
        <w:t xml:space="preserve">The impact chronic conditions has is -1.67. </w:t>
      </w:r>
      <w:r w:rsidR="0088740E">
        <w:t xml:space="preserve">Out </w:t>
      </w:r>
      <w:r w:rsidR="00822326">
        <w:t>of the</w:t>
      </w:r>
      <w:r>
        <w:t xml:space="preserve"> payers, more patients were enrolled in Highmark. This is not surprising because </w:t>
      </w:r>
      <w:r w:rsidR="0088740E">
        <w:t xml:space="preserve">Allegheny Health Network is owned by Highmark, which means there are more cost benefits for patients if they have Highmark insurance. </w:t>
      </w:r>
      <w:r w:rsidR="005D68C8">
        <w:t>Surprisingly, however there were</w:t>
      </w:r>
      <w:r w:rsidR="0088740E">
        <w:t xml:space="preserve"> a significant </w:t>
      </w:r>
      <w:r w:rsidR="00822326">
        <w:t>number</w:t>
      </w:r>
      <w:r w:rsidR="005D68C8">
        <w:t xml:space="preserve"> of patients with</w:t>
      </w:r>
      <w:r w:rsidR="0088740E">
        <w:t xml:space="preserve"> UPMC insurance. </w:t>
      </w:r>
      <w:r w:rsidR="005D68C8">
        <w:t>As</w:t>
      </w:r>
      <w:r w:rsidR="0088740E">
        <w:t xml:space="preserve"> UPMC is Allegheny Health Network/Highmark’s main competitor and patients may be paying more for healthcare rather than switching to Highmark.</w:t>
      </w:r>
      <w:r w:rsidR="002F74DE">
        <w:t xml:space="preserve"> </w:t>
      </w:r>
    </w:p>
    <w:p w14:paraId="2A3CFE5D" w14:textId="206DF375" w:rsidR="00BC2305" w:rsidRDefault="002F74DE" w:rsidP="00CB12DE">
      <w:pPr>
        <w:spacing w:line="480" w:lineRule="auto"/>
        <w:ind w:firstLine="720"/>
      </w:pPr>
      <w:r>
        <w:t>The payer mix data did not support research</w:t>
      </w:r>
      <w:r w:rsidR="005D68C8">
        <w:t xml:space="preserve"> literature</w:t>
      </w:r>
      <w:r>
        <w:t xml:space="preserve">. </w:t>
      </w:r>
      <w:r w:rsidR="005D68C8">
        <w:t>Literature</w:t>
      </w:r>
      <w:r>
        <w:t xml:space="preserve"> supports that with certain insurances, patient continuity should increase</w:t>
      </w:r>
      <w:r w:rsidR="005D68C8">
        <w:t xml:space="preserve"> (</w:t>
      </w:r>
      <w:proofErr w:type="spellStart"/>
      <w:r w:rsidR="005D68C8">
        <w:t>Alazri</w:t>
      </w:r>
      <w:proofErr w:type="spellEnd"/>
      <w:r w:rsidR="005D68C8">
        <w:t xml:space="preserve"> et al, 2007)</w:t>
      </w:r>
      <w:r>
        <w:t xml:space="preserve">. This is another aspect </w:t>
      </w:r>
      <w:r>
        <w:lastRenderedPageBreak/>
        <w:t>that Allegheny Health Network should further look into. There may be reasoning into different plans for why there is no trend for patient continuity.</w:t>
      </w:r>
    </w:p>
    <w:p w14:paraId="66380DE6" w14:textId="10A0DD6F" w:rsidR="003F6156" w:rsidRDefault="003F6156" w:rsidP="00CB12DE">
      <w:pPr>
        <w:spacing w:line="480" w:lineRule="auto"/>
        <w:ind w:firstLine="720"/>
      </w:pPr>
      <w:r>
        <w:t xml:space="preserve">Next, </w:t>
      </w:r>
      <w:r w:rsidR="005D68C8">
        <w:t>figure nine</w:t>
      </w:r>
      <w:r w:rsidR="00441644">
        <w:t xml:space="preserve"> showed there was a positive relationship. There were two categories of emergency department visits, commercial emergency room visits and Medicare Advantage emergency room visits. For both categories</w:t>
      </w:r>
      <w:r w:rsidR="005D68C8">
        <w:t>,</w:t>
      </w:r>
      <w:r w:rsidR="00441644">
        <w:t xml:space="preserve"> as the </w:t>
      </w:r>
      <w:r w:rsidR="00822326">
        <w:t>number</w:t>
      </w:r>
      <w:r w:rsidR="005D68C8">
        <w:t xml:space="preserve"> of visits increased,</w:t>
      </w:r>
      <w:r w:rsidR="00441644">
        <w:t xml:space="preserve"> patien</w:t>
      </w:r>
      <w:r w:rsidR="005D68C8">
        <w:t xml:space="preserve">t continuity increased as well, with </w:t>
      </w:r>
      <w:r w:rsidR="00441644">
        <w:t>comm</w:t>
      </w:r>
      <w:r w:rsidR="005D68C8">
        <w:t>ercial emergency room visits having</w:t>
      </w:r>
      <w:r w:rsidR="00441644">
        <w:t xml:space="preserve"> a stronger relationship than Medicare Advantage emergency room visits. </w:t>
      </w:r>
      <w:r w:rsidR="00AA4EA9">
        <w:t>For commercial ER rate, the R</w:t>
      </w:r>
      <w:r w:rsidR="00AA4EA9" w:rsidRPr="00C2017A">
        <w:rPr>
          <w:vertAlign w:val="superscript"/>
        </w:rPr>
        <w:t xml:space="preserve">2 </w:t>
      </w:r>
      <w:r w:rsidR="00AA4EA9">
        <w:t xml:space="preserve">calculated was 0.004 and the slope calculated was -22.128. </w:t>
      </w:r>
      <w:r w:rsidR="00C2017A">
        <w:t xml:space="preserve">This means 0.4% of the variation of the care of continuity index can be explained by commercial ER rate. The impact commercial ER has is -22.128. </w:t>
      </w:r>
      <w:r w:rsidR="00AA4EA9">
        <w:t>For Medicare Advantage ER rate, the R</w:t>
      </w:r>
      <w:r w:rsidR="00AA4EA9" w:rsidRPr="00916C67">
        <w:rPr>
          <w:vertAlign w:val="superscript"/>
        </w:rPr>
        <w:t>2</w:t>
      </w:r>
      <w:r w:rsidR="00AA4EA9">
        <w:t xml:space="preserve"> calculated was 0.0054, and the slope calculated was 115.28. </w:t>
      </w:r>
      <w:r w:rsidR="00C2017A">
        <w:t xml:space="preserve">This means 0.54% of the variation of the care of continuity index can be explained by </w:t>
      </w:r>
      <w:r w:rsidR="00CC6734">
        <w:t xml:space="preserve">Medicare Advantage ER rate. The impact Medicare Advantage ER has is 115.28. </w:t>
      </w:r>
      <w:r w:rsidR="00441644">
        <w:t>This does not support the research</w:t>
      </w:r>
      <w:r w:rsidR="005D68C8">
        <w:t xml:space="preserve"> literature</w:t>
      </w:r>
      <w:r w:rsidR="00441644">
        <w:t xml:space="preserve"> either. As patient continuity increases, emergency room visits should decrease</w:t>
      </w:r>
      <w:r w:rsidR="005D68C8">
        <w:t xml:space="preserve"> (</w:t>
      </w:r>
      <w:proofErr w:type="spellStart"/>
      <w:r w:rsidR="005D68C8">
        <w:t>Alazri</w:t>
      </w:r>
      <w:proofErr w:type="spellEnd"/>
      <w:r w:rsidR="005D68C8">
        <w:t xml:space="preserve"> et al, 2007)</w:t>
      </w:r>
      <w:r w:rsidR="00441644">
        <w:t xml:space="preserve">. </w:t>
      </w:r>
    </w:p>
    <w:p w14:paraId="5E54C4FA" w14:textId="1E3132AD" w:rsidR="00A221A2" w:rsidRDefault="00E745D4" w:rsidP="00A221A2">
      <w:pPr>
        <w:spacing w:line="480" w:lineRule="auto"/>
        <w:ind w:firstLine="720"/>
      </w:pPr>
      <w:r>
        <w:t xml:space="preserve">Also, </w:t>
      </w:r>
      <w:r w:rsidR="00B91C99">
        <w:t xml:space="preserve">patient experience is vital to patient continuity. Patient experience was analyzed with </w:t>
      </w:r>
      <w:r w:rsidR="00F40AF6">
        <w:t>overall standard</w:t>
      </w:r>
      <w:r w:rsidR="005D68C8">
        <w:t xml:space="preserve"> of patient experience</w:t>
      </w:r>
      <w:r w:rsidR="00F40AF6">
        <w:t xml:space="preserve"> and CGCAPHS. </w:t>
      </w:r>
      <w:r w:rsidR="00C1098A">
        <w:t>As demonstrated in figure ten</w:t>
      </w:r>
      <w:r w:rsidR="00A221A2">
        <w:t>, there was no relationship wi</w:t>
      </w:r>
      <w:r w:rsidR="00C1098A">
        <w:t>th patient continuity.</w:t>
      </w:r>
      <w:r w:rsidR="00F63623" w:rsidRPr="00F63623">
        <w:t xml:space="preserve"> </w:t>
      </w:r>
      <w:r w:rsidR="00F63623">
        <w:t>R</w:t>
      </w:r>
      <w:r w:rsidR="00F63623" w:rsidRPr="00F63623">
        <w:rPr>
          <w:vertAlign w:val="superscript"/>
        </w:rPr>
        <w:t xml:space="preserve">2 </w:t>
      </w:r>
      <w:r w:rsidR="00F63623">
        <w:t xml:space="preserve">was calculated to be 0.006. The slope was calculated to be -12.485. This means 0.6% of the variation of care of continuity index is due to the overall standard of patient experience. The overall standard of patient experience has an impact of -12.485. </w:t>
      </w:r>
      <w:r w:rsidR="00C1098A">
        <w:t xml:space="preserve">However figure eleven </w:t>
      </w:r>
      <w:r w:rsidR="00A221A2">
        <w:t>showed</w:t>
      </w:r>
      <w:r w:rsidR="00C1098A">
        <w:t xml:space="preserve"> that</w:t>
      </w:r>
      <w:r w:rsidR="00A221A2">
        <w:t xml:space="preserve"> as rank decreased, which means better patient experience, the patient continuity increased.</w:t>
      </w:r>
      <w:r w:rsidR="009522E5">
        <w:t xml:space="preserve"> </w:t>
      </w:r>
      <w:r w:rsidR="00F63623">
        <w:t>R</w:t>
      </w:r>
      <w:r w:rsidR="00F63623" w:rsidRPr="005F5008">
        <w:rPr>
          <w:vertAlign w:val="superscript"/>
        </w:rPr>
        <w:t>2</w:t>
      </w:r>
      <w:r w:rsidR="00F63623">
        <w:t xml:space="preserve"> was calculated to be 0.019. Slope was calculated to be -18.635. This means 1.9% of the variation of the care of continuity index was due to CGCAPHS. The impact CGCAPHS has is -18.635. </w:t>
      </w:r>
      <w:r w:rsidR="009522E5">
        <w:t xml:space="preserve">The CGCAPHS data supported the </w:t>
      </w:r>
      <w:r w:rsidR="009522E5">
        <w:lastRenderedPageBreak/>
        <w:t>research whereas, the overall standard did not support the research. The research</w:t>
      </w:r>
      <w:r w:rsidR="00C1098A">
        <w:t xml:space="preserve"> literature</w:t>
      </w:r>
      <w:r w:rsidR="009522E5">
        <w:t xml:space="preserve"> states that as patient experience improves so does patient continuity</w:t>
      </w:r>
      <w:r w:rsidR="00C1098A">
        <w:t xml:space="preserve"> (</w:t>
      </w:r>
      <w:proofErr w:type="spellStart"/>
      <w:r w:rsidR="00C1098A">
        <w:t>Alazri</w:t>
      </w:r>
      <w:proofErr w:type="spellEnd"/>
      <w:r w:rsidR="00C1098A">
        <w:t xml:space="preserve"> et al, 2007</w:t>
      </w:r>
      <w:r w:rsidR="00F63623">
        <w:t>)</w:t>
      </w:r>
      <w:r w:rsidR="009522E5">
        <w:t xml:space="preserve">. To improve the overall standard, Allegheny Health Network could </w:t>
      </w:r>
      <w:r w:rsidR="00C1098A">
        <w:t>do further analysis to see what aspects of the overall standard to improve upon</w:t>
      </w:r>
      <w:r w:rsidR="009522E5">
        <w:t>.</w:t>
      </w:r>
    </w:p>
    <w:p w14:paraId="23E5A8AA" w14:textId="04C491EB" w:rsidR="00F07718" w:rsidRDefault="00F07718" w:rsidP="00A221A2">
      <w:pPr>
        <w:spacing w:line="480" w:lineRule="auto"/>
        <w:ind w:firstLine="720"/>
      </w:pPr>
      <w:r>
        <w:t xml:space="preserve">Next, </w:t>
      </w:r>
      <w:r w:rsidR="00C1098A">
        <w:t>figure twelve</w:t>
      </w:r>
      <w:r>
        <w:t xml:space="preserve"> showed there </w:t>
      </w:r>
      <w:r w:rsidR="00CF26A0">
        <w:t xml:space="preserve">was a positive relationship between </w:t>
      </w:r>
      <w:r>
        <w:t>the ease of schedulin</w:t>
      </w:r>
      <w:r w:rsidR="00CF26A0">
        <w:t>g appointments and</w:t>
      </w:r>
      <w:r>
        <w:t xml:space="preserve"> patient continuity. </w:t>
      </w:r>
      <w:r w:rsidR="00931E4A">
        <w:t>R</w:t>
      </w:r>
      <w:r w:rsidR="00931E4A" w:rsidRPr="00537D7A">
        <w:rPr>
          <w:vertAlign w:val="superscript"/>
        </w:rPr>
        <w:t>2</w:t>
      </w:r>
      <w:r w:rsidR="00931E4A">
        <w:t xml:space="preserve"> was calculated to be 0.036. The slope was calculated to be 25.282. This means 3.6% of the variation of the care of continuity index was due to the ease of scheduling appointments. The impact ease of scheduling appointments has is 25.282. </w:t>
      </w:r>
      <w:r>
        <w:t xml:space="preserve">This supports the research </w:t>
      </w:r>
      <w:r w:rsidR="00CF26A0">
        <w:t xml:space="preserve">literature </w:t>
      </w:r>
      <w:r>
        <w:t xml:space="preserve">that </w:t>
      </w:r>
      <w:r w:rsidR="00EE0EE2">
        <w:t>as it becomes easier to schedule patients for appointments, patient continuity increases as well</w:t>
      </w:r>
      <w:r w:rsidR="00CF26A0">
        <w:t xml:space="preserve"> (</w:t>
      </w:r>
      <w:proofErr w:type="spellStart"/>
      <w:r w:rsidR="00CF26A0">
        <w:t>Alazri</w:t>
      </w:r>
      <w:proofErr w:type="spellEnd"/>
      <w:r w:rsidR="00CF26A0">
        <w:t xml:space="preserve"> et al, 2007)</w:t>
      </w:r>
      <w:r w:rsidR="00EE0EE2">
        <w:t>.</w:t>
      </w:r>
    </w:p>
    <w:p w14:paraId="12C5B7D0" w14:textId="3803C58F" w:rsidR="0001290F" w:rsidRDefault="00EE0EE2" w:rsidP="0001290F">
      <w:pPr>
        <w:spacing w:line="480" w:lineRule="auto"/>
        <w:ind w:firstLine="720"/>
      </w:pPr>
      <w:r>
        <w:t xml:space="preserve">Lastly, </w:t>
      </w:r>
      <w:r w:rsidR="00CF26A0">
        <w:t>figure thirteen</w:t>
      </w:r>
      <w:r w:rsidR="0001290F">
        <w:t xml:space="preserve"> showed that as rank decreased, which means </w:t>
      </w:r>
      <w:r w:rsidR="00CF26A0">
        <w:t xml:space="preserve">better access to providers, </w:t>
      </w:r>
      <w:r w:rsidR="0001290F">
        <w:t xml:space="preserve">patient continuity increased. </w:t>
      </w:r>
      <w:r w:rsidR="00922356">
        <w:t>R</w:t>
      </w:r>
      <w:r w:rsidR="00922356" w:rsidRPr="00922356">
        <w:rPr>
          <w:vertAlign w:val="superscript"/>
        </w:rPr>
        <w:t>2</w:t>
      </w:r>
      <w:r w:rsidR="00922356">
        <w:t xml:space="preserve"> was calculated to be 0.039. The slope was calculated to be -5.975. This means that 3.9% of the variation of the care of continuity index is due to access. The impact access has is -5.975. </w:t>
      </w:r>
      <w:r w:rsidR="0001290F">
        <w:t>This supports the research</w:t>
      </w:r>
      <w:r w:rsidR="00CF26A0">
        <w:t xml:space="preserve"> literature</w:t>
      </w:r>
      <w:r w:rsidR="0001290F">
        <w:t xml:space="preserve"> that states as patient access improves so does patient continuity</w:t>
      </w:r>
      <w:r w:rsidR="00CF26A0">
        <w:t xml:space="preserve"> (</w:t>
      </w:r>
      <w:proofErr w:type="spellStart"/>
      <w:r w:rsidR="00CF26A0">
        <w:t>Alazri</w:t>
      </w:r>
      <w:proofErr w:type="spellEnd"/>
      <w:r w:rsidR="00CF26A0">
        <w:t xml:space="preserve"> et al, 2007)</w:t>
      </w:r>
      <w:r w:rsidR="0001290F">
        <w:t>.</w:t>
      </w:r>
    </w:p>
    <w:p w14:paraId="3DA369F5" w14:textId="77777777" w:rsidR="0001290F" w:rsidRDefault="0001290F" w:rsidP="0001290F">
      <w:pPr>
        <w:spacing w:line="480" w:lineRule="auto"/>
      </w:pPr>
    </w:p>
    <w:p w14:paraId="4124B34C" w14:textId="5ADAE1EC" w:rsidR="0001290F" w:rsidRPr="009A79DA" w:rsidRDefault="0001290F" w:rsidP="009A79DA">
      <w:pPr>
        <w:pStyle w:val="Heading1"/>
      </w:pPr>
      <w:bookmarkStart w:id="34" w:name="_Toc6908737"/>
      <w:r w:rsidRPr="009A79DA">
        <w:lastRenderedPageBreak/>
        <w:t>Conclusion</w:t>
      </w:r>
      <w:bookmarkEnd w:id="34"/>
    </w:p>
    <w:p w14:paraId="7EADB0B7" w14:textId="44C975B6" w:rsidR="001A5608" w:rsidRDefault="00BE2B3E" w:rsidP="001A5608">
      <w:pPr>
        <w:spacing w:line="480" w:lineRule="auto"/>
        <w:ind w:firstLine="720"/>
      </w:pPr>
      <w:r>
        <w:t xml:space="preserve">In conclusion, </w:t>
      </w:r>
      <w:r w:rsidR="001A5608">
        <w:t>Primary Care is the health promotion, disease prevention, health maintenance, counseling, patient education, diagnosis, and treatment of acute and chronic illnesse</w:t>
      </w:r>
      <w:r w:rsidR="00E97BB7">
        <w:t>s in various health settings. Primary care</w:t>
      </w:r>
      <w:r w:rsidR="001A5608">
        <w:t xml:space="preserve"> is important because it is the care that is the first</w:t>
      </w:r>
      <w:r w:rsidR="00E97BB7">
        <w:t xml:space="preserve"> point of</w:t>
      </w:r>
      <w:r w:rsidR="001A5608">
        <w:t xml:space="preserve"> contact of care for patients with undiagnosed health symptoms and concerns.</w:t>
      </w:r>
    </w:p>
    <w:p w14:paraId="37FF358A" w14:textId="4D40FF06" w:rsidR="0001290F" w:rsidRDefault="001A5608" w:rsidP="001A5608">
      <w:pPr>
        <w:spacing w:line="480" w:lineRule="auto"/>
        <w:ind w:firstLine="720"/>
      </w:pPr>
      <w:r>
        <w:t>P</w:t>
      </w:r>
      <w:r w:rsidR="00BE2B3E">
        <w:t xml:space="preserve">atient continuity </w:t>
      </w:r>
      <w:r w:rsidR="00492F18">
        <w:t>is a vital component of primary care.</w:t>
      </w:r>
      <w:r>
        <w:t xml:space="preserve"> Patient continuity can decrease costs, rates of hospitalization, increase satisfaction, and overall improve the quality of care. Continuity of care is when the physician led care team has ongoing care management towards high quality, cost effective care. Co</w:t>
      </w:r>
      <w:r w:rsidR="00E97BB7">
        <w:t>ntinuity of care creates a long-</w:t>
      </w:r>
      <w:r>
        <w:t>term patient physician partnership which the physician knows a long span of the patient’s history and can introduce new decisions with the background information</w:t>
      </w:r>
      <w:r w:rsidR="00737C37">
        <w:t xml:space="preserve">. The care of continuity index is calculated </w:t>
      </w:r>
      <w:r w:rsidR="00E97BB7">
        <w:t>by looking at how</w:t>
      </w:r>
      <w:r w:rsidR="00737C37">
        <w:t xml:space="preserve"> many times a patient visits the same provider over a period of time</w:t>
      </w:r>
      <w:r w:rsidR="00323D3E">
        <w:t>. There are many factors that affect patient continuity. These include demographic factors, patient and healthcare professional factors, patient healthcare professional relationship, inter-professional factors, role of receptionists, and organizational factors.</w:t>
      </w:r>
    </w:p>
    <w:p w14:paraId="7CC1143F" w14:textId="37544063" w:rsidR="00B24C47" w:rsidRDefault="00B24C47" w:rsidP="001A5608">
      <w:pPr>
        <w:spacing w:line="480" w:lineRule="auto"/>
        <w:ind w:firstLine="720"/>
      </w:pPr>
      <w:r>
        <w:t xml:space="preserve">Allegheny Health Network is one of the major health systems in </w:t>
      </w:r>
      <w:r w:rsidR="00E97BB7">
        <w:t>Western</w:t>
      </w:r>
      <w:r>
        <w:t xml:space="preserve"> Pennsylvania. </w:t>
      </w:r>
      <w:r w:rsidR="00E97BB7">
        <w:t>The primary care</w:t>
      </w:r>
      <w:r>
        <w:t xml:space="preserve"> service line wanted to see if any of the factors</w:t>
      </w:r>
      <w:r w:rsidR="00E97BB7">
        <w:t xml:space="preserve"> based upon research</w:t>
      </w:r>
      <w:r>
        <w:t xml:space="preserve"> </w:t>
      </w:r>
      <w:r w:rsidR="00E97BB7">
        <w:t>played</w:t>
      </w:r>
      <w:r w:rsidR="00F2175A">
        <w:t xml:space="preserve"> a part for </w:t>
      </w:r>
      <w:r>
        <w:t>patient</w:t>
      </w:r>
      <w:r w:rsidR="00F2175A">
        <w:t>s</w:t>
      </w:r>
      <w:r>
        <w:t xml:space="preserve"> when deciding </w:t>
      </w:r>
      <w:r w:rsidR="00F2175A">
        <w:t>which provider to see</w:t>
      </w:r>
      <w:r>
        <w:t>.</w:t>
      </w:r>
    </w:p>
    <w:p w14:paraId="48C660A8" w14:textId="29ACFB03" w:rsidR="00E6320D" w:rsidRDefault="00E6320D" w:rsidP="001A5608">
      <w:pPr>
        <w:spacing w:line="480" w:lineRule="auto"/>
        <w:ind w:firstLine="720"/>
      </w:pPr>
      <w:r w:rsidRPr="00C811F7">
        <w:t>With all the various aspects that affect patient continuity, the factors that were evaluated were average age, chronic conditions, payer mix, emergency department visits, patient experience, ease of scheduling appointments, and patient access.</w:t>
      </w:r>
      <w:r>
        <w:t xml:space="preserve"> Data was analyzed by calculating care of continuity index scores for each provider. Then, data regarding the various </w:t>
      </w:r>
      <w:r>
        <w:lastRenderedPageBreak/>
        <w:t xml:space="preserve">factors was extracted from various Tableau dashboards and </w:t>
      </w:r>
      <w:r w:rsidR="00565891">
        <w:t xml:space="preserve">spreadsheets. Graphs were then made comparing the care of continuity index scores with these factors trying to see if there was a trend that the research stated. </w:t>
      </w:r>
    </w:p>
    <w:p w14:paraId="54931582" w14:textId="0FC7E93E" w:rsidR="00565891" w:rsidRDefault="00565891" w:rsidP="001A5608">
      <w:pPr>
        <w:spacing w:line="480" w:lineRule="auto"/>
        <w:ind w:firstLine="720"/>
      </w:pPr>
      <w:r>
        <w:t xml:space="preserve">As a result, average age, </w:t>
      </w:r>
      <w:r w:rsidR="00FF3946">
        <w:t xml:space="preserve">Highmark Medicare, Medicare, </w:t>
      </w:r>
      <w:r>
        <w:t xml:space="preserve">emergency department, and ease of scheduling appointment had a positive relationship. Chronic conditions had a negative relationship. </w:t>
      </w:r>
      <w:r w:rsidR="00FF3946">
        <w:t>Gateway Medicare, Highmark Insurance, UPMC Insurance,</w:t>
      </w:r>
      <w:r>
        <w:t xml:space="preserve"> and overall standard for patient experience had no relationship. As CGCAPHS rank and rank of access</w:t>
      </w:r>
      <w:r w:rsidR="00695C09">
        <w:t xml:space="preserve"> decreased</w:t>
      </w:r>
      <w:r>
        <w:t>, which means</w:t>
      </w:r>
      <w:r w:rsidR="00D042F6">
        <w:t xml:space="preserve"> stronger scores</w:t>
      </w:r>
      <w:r>
        <w:t>, there was increased patient continuity.</w:t>
      </w:r>
    </w:p>
    <w:p w14:paraId="7E69D5F6" w14:textId="035B3357" w:rsidR="00D042F6" w:rsidRDefault="00D042F6" w:rsidP="001A5608">
      <w:pPr>
        <w:spacing w:line="480" w:lineRule="auto"/>
        <w:ind w:firstLine="720"/>
      </w:pPr>
      <w:r>
        <w:t>Moving forward, Allegheny Health Network can take steps to investigate why chronic conditions had a negative relationship and why payer mix and overall standard had no relationship. E</w:t>
      </w:r>
      <w:r w:rsidR="00F2175A">
        <w:t>valuating these aspects can determine</w:t>
      </w:r>
      <w:r>
        <w:t xml:space="preserve"> the underlying reasons </w:t>
      </w:r>
      <w:r w:rsidR="00F2175A">
        <w:t xml:space="preserve">behind </w:t>
      </w:r>
      <w:r>
        <w:t xml:space="preserve">what is inhibiting </w:t>
      </w:r>
      <w:r w:rsidR="00695C09">
        <w:t xml:space="preserve">patient continuity. This will also </w:t>
      </w:r>
      <w:r w:rsidR="00B26381">
        <w:t>lead improvement in</w:t>
      </w:r>
      <w:r w:rsidR="00695C09">
        <w:t xml:space="preserve"> the quality of healthcare </w:t>
      </w:r>
      <w:r w:rsidR="00B26381">
        <w:t>for AHN</w:t>
      </w:r>
      <w:r w:rsidR="00695C09">
        <w:t>.</w:t>
      </w:r>
    </w:p>
    <w:p w14:paraId="2782119D" w14:textId="19BA45CA" w:rsidR="00B24C47" w:rsidRDefault="00B24C47" w:rsidP="001A5608">
      <w:pPr>
        <w:spacing w:line="480" w:lineRule="auto"/>
        <w:ind w:firstLine="720"/>
      </w:pPr>
    </w:p>
    <w:p w14:paraId="76CF02E5" w14:textId="77777777" w:rsidR="00F67A9B" w:rsidRPr="00002D13" w:rsidRDefault="00F67A9B" w:rsidP="00CB12DE">
      <w:pPr>
        <w:spacing w:line="480" w:lineRule="auto"/>
        <w:ind w:firstLine="720"/>
      </w:pPr>
    </w:p>
    <w:p w14:paraId="371D5C68" w14:textId="0A42D4DE" w:rsidR="00262CCC" w:rsidRPr="00262CCC" w:rsidRDefault="00262CCC" w:rsidP="000A7C8B">
      <w:pPr>
        <w:pStyle w:val="Noindent"/>
        <w:ind w:firstLine="720"/>
      </w:pPr>
    </w:p>
    <w:p w14:paraId="6258F594" w14:textId="77777777" w:rsidR="00842042" w:rsidRPr="00842042" w:rsidRDefault="00842042" w:rsidP="00842042">
      <w:pPr>
        <w:pStyle w:val="Noindent"/>
      </w:pPr>
    </w:p>
    <w:p w14:paraId="2D98890C" w14:textId="77777777" w:rsidR="00842042" w:rsidRPr="00D51CED" w:rsidRDefault="00842042" w:rsidP="00F4699F">
      <w:pPr>
        <w:rPr>
          <w:b/>
        </w:rPr>
      </w:pPr>
    </w:p>
    <w:p w14:paraId="2E3057AD" w14:textId="77777777" w:rsidR="006B418D" w:rsidRDefault="006B418D" w:rsidP="006B418D"/>
    <w:p w14:paraId="6C7C7FFF" w14:textId="70826D02" w:rsidR="009B26C9" w:rsidRPr="009B26C9" w:rsidRDefault="009B26C9" w:rsidP="009B26C9"/>
    <w:p w14:paraId="6BD346F1" w14:textId="18728BEA" w:rsidR="009B26C9" w:rsidRPr="009B26C9" w:rsidRDefault="009B26C9" w:rsidP="009B26C9"/>
    <w:p w14:paraId="20D71FC8" w14:textId="77777777" w:rsidR="009B26C9" w:rsidRPr="009B26C9" w:rsidRDefault="009B26C9" w:rsidP="009B26C9"/>
    <w:p w14:paraId="0BE49184" w14:textId="77777777" w:rsidR="009B26C9" w:rsidRPr="009B26C9" w:rsidRDefault="009B26C9" w:rsidP="009B26C9"/>
    <w:p w14:paraId="0F27392F" w14:textId="77777777" w:rsidR="009B26C9" w:rsidRPr="009B26C9" w:rsidRDefault="009B26C9" w:rsidP="009B26C9"/>
    <w:p w14:paraId="436DE25B" w14:textId="77777777" w:rsidR="009B26C9" w:rsidRPr="009B26C9" w:rsidRDefault="009B26C9" w:rsidP="009B26C9"/>
    <w:p w14:paraId="13DAAA43" w14:textId="77777777" w:rsidR="009B26C9" w:rsidRPr="009B26C9" w:rsidRDefault="009B26C9" w:rsidP="009B26C9"/>
    <w:p w14:paraId="2E410B83" w14:textId="77777777" w:rsidR="009B26C9" w:rsidRPr="009B26C9" w:rsidRDefault="009B26C9" w:rsidP="009B26C9"/>
    <w:p w14:paraId="41E9CDC6" w14:textId="77777777" w:rsidR="009B26C9" w:rsidRPr="009B26C9" w:rsidRDefault="009B26C9" w:rsidP="009B26C9"/>
    <w:p w14:paraId="1A04A434" w14:textId="405B58B7" w:rsidR="00037AD0" w:rsidRPr="00E73075" w:rsidRDefault="00037AD0" w:rsidP="00E73075">
      <w:pPr>
        <w:tabs>
          <w:tab w:val="left" w:pos="7800"/>
        </w:tabs>
      </w:pPr>
    </w:p>
    <w:p w14:paraId="5B115F5E" w14:textId="51127D5A" w:rsidR="00B917F0" w:rsidRPr="009A79DA" w:rsidRDefault="00E20EA6" w:rsidP="009A79DA">
      <w:pPr>
        <w:pStyle w:val="Appendix"/>
        <w:numPr>
          <w:ilvl w:val="0"/>
          <w:numId w:val="0"/>
        </w:numPr>
        <w:ind w:left="3960" w:hanging="3960"/>
        <w:rPr>
          <w:b/>
        </w:rPr>
      </w:pPr>
      <w:bookmarkStart w:id="35" w:name="_Toc114179904"/>
      <w:bookmarkStart w:id="36" w:name="_Toc6908738"/>
      <w:bookmarkEnd w:id="35"/>
      <w:r w:rsidRPr="009A79DA">
        <w:rPr>
          <w:b/>
        </w:rPr>
        <w:lastRenderedPageBreak/>
        <w:t xml:space="preserve">APPENDIX </w:t>
      </w:r>
      <w:r w:rsidR="00CC5B03" w:rsidRPr="009A79DA">
        <w:rPr>
          <w:b/>
        </w:rPr>
        <w:t>STAFF WORKING TOGETHER</w:t>
      </w:r>
      <w:bookmarkEnd w:id="36"/>
    </w:p>
    <w:p w14:paraId="2BA8DE24" w14:textId="4549BA8B" w:rsidR="002D01B1" w:rsidRDefault="00762CDD" w:rsidP="00CE2FA5">
      <w:pPr>
        <w:pStyle w:val="Noindent"/>
      </w:pPr>
      <w:r>
        <w:t>Another factor that affects patient continuity is staff working together. Research supports as staff is more trained, patient continuity increases.</w:t>
      </w:r>
    </w:p>
    <w:p w14:paraId="38864E46" w14:textId="77777777" w:rsidR="004155DB" w:rsidRPr="004155DB" w:rsidRDefault="004155DB" w:rsidP="004155DB"/>
    <w:p w14:paraId="088A428B" w14:textId="66AE35C7" w:rsidR="00762CDD" w:rsidRDefault="00762CDD" w:rsidP="00762CDD">
      <w:pPr>
        <w:pStyle w:val="Noindent"/>
      </w:pPr>
      <w:r>
        <w:rPr>
          <w:noProof/>
        </w:rPr>
        <w:drawing>
          <wp:inline distT="0" distB="0" distL="0" distR="0" wp14:anchorId="744E6AF5" wp14:editId="2FA88F33">
            <wp:extent cx="6223635" cy="3558540"/>
            <wp:effectExtent l="0" t="0" r="24765" b="228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45201AA" w14:textId="0C60484D" w:rsidR="004155DB" w:rsidRPr="004155DB" w:rsidRDefault="004155DB" w:rsidP="004155DB">
      <w:pPr>
        <w:jc w:val="center"/>
        <w:rPr>
          <w:sz w:val="22"/>
          <w:szCs w:val="22"/>
        </w:rPr>
      </w:pPr>
      <w:r w:rsidRPr="004155DB">
        <w:rPr>
          <w:sz w:val="22"/>
          <w:szCs w:val="22"/>
        </w:rPr>
        <w:t>Figure 14 Staff Working Together</w:t>
      </w:r>
    </w:p>
    <w:p w14:paraId="64C276FB" w14:textId="77777777" w:rsidR="004155DB" w:rsidRPr="004155DB" w:rsidRDefault="004155DB" w:rsidP="004155DB">
      <w:pPr>
        <w:rPr>
          <w:sz w:val="22"/>
          <w:szCs w:val="22"/>
        </w:rPr>
      </w:pPr>
    </w:p>
    <w:p w14:paraId="7759C20F" w14:textId="484FF4B1" w:rsidR="00CE2FA5" w:rsidRPr="004155DB" w:rsidRDefault="00762CDD" w:rsidP="004155DB">
      <w:pPr>
        <w:pStyle w:val="Noindent"/>
        <w:spacing w:line="240" w:lineRule="auto"/>
        <w:rPr>
          <w:sz w:val="22"/>
          <w:szCs w:val="22"/>
        </w:rPr>
      </w:pPr>
      <w:r w:rsidRPr="004155DB">
        <w:rPr>
          <w:sz w:val="22"/>
          <w:szCs w:val="22"/>
        </w:rPr>
        <w:t>This figure shows that there is no relationship between staff working together and patient continuity of patients at Allegheny Health Network. This is different than what the research supports.</w:t>
      </w:r>
    </w:p>
    <w:p w14:paraId="090395CF" w14:textId="43F796DA" w:rsidR="005F1A5F" w:rsidRPr="009A79DA" w:rsidRDefault="00DA5BA8" w:rsidP="009A79DA">
      <w:pPr>
        <w:pStyle w:val="Heading"/>
      </w:pPr>
      <w:bookmarkStart w:id="37" w:name="_Toc114179905"/>
      <w:bookmarkStart w:id="38" w:name="_Toc6908739"/>
      <w:r w:rsidRPr="009A79DA">
        <w:lastRenderedPageBreak/>
        <w:t>bibliography</w:t>
      </w:r>
      <w:bookmarkEnd w:id="37"/>
      <w:bookmarkEnd w:id="38"/>
    </w:p>
    <w:p w14:paraId="1B25AEA0" w14:textId="24F390BD" w:rsidR="00007AB1" w:rsidRPr="00CC5B03" w:rsidRDefault="00007AB1" w:rsidP="00CC5B03">
      <w:pPr>
        <w:pStyle w:val="BibliographyEntry"/>
        <w:numPr>
          <w:ilvl w:val="0"/>
          <w:numId w:val="49"/>
        </w:numPr>
        <w:ind w:left="360"/>
        <w:rPr>
          <w:color w:val="000000" w:themeColor="text1"/>
        </w:rPr>
      </w:pPr>
      <w:r w:rsidRPr="00CC5B03">
        <w:rPr>
          <w:color w:val="000000" w:themeColor="text1"/>
        </w:rPr>
        <w:t xml:space="preserve">American Academy of Family Physicians. (2017, October 04). Primary Care. Retrieved from </w:t>
      </w:r>
      <w:hyperlink r:id="rId24" w:history="1">
        <w:r w:rsidR="00D079DB" w:rsidRPr="00CC5B03">
          <w:rPr>
            <w:rStyle w:val="Hyperlink"/>
            <w:color w:val="000000" w:themeColor="text1"/>
          </w:rPr>
          <w:t>https://www.aafp.org/about/policies/all/primary-care.html</w:t>
        </w:r>
      </w:hyperlink>
    </w:p>
    <w:p w14:paraId="7793ED66" w14:textId="1F9105C6" w:rsidR="00D079DB" w:rsidRPr="00CC5B03" w:rsidRDefault="00D079DB" w:rsidP="00CC5B03">
      <w:pPr>
        <w:pStyle w:val="ListParagraph"/>
        <w:numPr>
          <w:ilvl w:val="0"/>
          <w:numId w:val="49"/>
        </w:numPr>
        <w:ind w:left="360"/>
        <w:rPr>
          <w:rFonts w:ascii="Times New Roman" w:hAnsi="Times New Roman"/>
          <w:color w:val="000000" w:themeColor="text1"/>
        </w:rPr>
      </w:pPr>
      <w:r w:rsidRPr="00CC5B03">
        <w:rPr>
          <w:rFonts w:ascii="Times New Roman" w:hAnsi="Times New Roman"/>
          <w:color w:val="000000" w:themeColor="text1"/>
          <w:shd w:val="clear" w:color="auto" w:fill="FFFFFF"/>
        </w:rPr>
        <w:t xml:space="preserve">Penn Medicine. (2014, March 06). The Importance of Primary Care Physicians – Penn Medicine. Retrieved from </w:t>
      </w:r>
      <w:hyperlink r:id="rId25" w:history="1">
        <w:r w:rsidR="00A57267" w:rsidRPr="00CC5B03">
          <w:rPr>
            <w:rStyle w:val="Hyperlink"/>
            <w:rFonts w:ascii="Times New Roman" w:hAnsi="Times New Roman"/>
            <w:color w:val="000000" w:themeColor="text1"/>
            <w:shd w:val="clear" w:color="auto" w:fill="FFFFFF"/>
          </w:rPr>
          <w:t>https://www.pennmedicine.org/updates/blogs/health-and-wellness/2014/march/the-importance-of-primary-care-physicians</w:t>
        </w:r>
      </w:hyperlink>
    </w:p>
    <w:p w14:paraId="3484D37B" w14:textId="77777777" w:rsidR="00A57267" w:rsidRPr="00CC5B03" w:rsidRDefault="00A57267" w:rsidP="00CC5B03">
      <w:pPr>
        <w:pStyle w:val="ListParagraph"/>
        <w:ind w:left="360"/>
        <w:rPr>
          <w:rFonts w:ascii="Times New Roman" w:hAnsi="Times New Roman"/>
          <w:color w:val="000000" w:themeColor="text1"/>
        </w:rPr>
      </w:pPr>
    </w:p>
    <w:p w14:paraId="79F5B452" w14:textId="7AE9E40A" w:rsidR="0083443D" w:rsidRPr="00CC5B03" w:rsidRDefault="005073A2" w:rsidP="00CC5B03">
      <w:pPr>
        <w:pStyle w:val="BibliographyEntry"/>
        <w:numPr>
          <w:ilvl w:val="0"/>
          <w:numId w:val="49"/>
        </w:numPr>
        <w:ind w:left="360"/>
        <w:rPr>
          <w:color w:val="000000" w:themeColor="text1"/>
        </w:rPr>
      </w:pPr>
      <w:r w:rsidRPr="00CC5B03">
        <w:rPr>
          <w:color w:val="000000" w:themeColor="text1"/>
        </w:rPr>
        <w:t xml:space="preserve">Primary Care Progress. (2019). Importance &amp; Value: Why Primary Care Matters. Retrieved from </w:t>
      </w:r>
      <w:hyperlink r:id="rId26" w:history="1">
        <w:r w:rsidR="0083443D" w:rsidRPr="00CC5B03">
          <w:rPr>
            <w:rStyle w:val="Hyperlink"/>
            <w:color w:val="000000" w:themeColor="text1"/>
          </w:rPr>
          <w:t>https://www.primarycareprogress.org/primary-care-case/</w:t>
        </w:r>
      </w:hyperlink>
    </w:p>
    <w:p w14:paraId="3EE82DAA" w14:textId="46BAFB15" w:rsidR="0083443D" w:rsidRPr="00CC5B03" w:rsidRDefault="0083443D" w:rsidP="00CC5B03">
      <w:pPr>
        <w:pStyle w:val="BibliographyEntry"/>
        <w:numPr>
          <w:ilvl w:val="0"/>
          <w:numId w:val="49"/>
        </w:numPr>
        <w:ind w:left="360"/>
        <w:rPr>
          <w:color w:val="000000" w:themeColor="text1"/>
        </w:rPr>
      </w:pPr>
      <w:r w:rsidRPr="00CC5B03">
        <w:rPr>
          <w:color w:val="000000" w:themeColor="text1"/>
        </w:rPr>
        <w:t xml:space="preserve">Haggerty, J., Reid, R. J., Freeman, G. K., </w:t>
      </w:r>
      <w:proofErr w:type="spellStart"/>
      <w:r w:rsidR="00822326" w:rsidRPr="00CC5B03">
        <w:rPr>
          <w:color w:val="000000" w:themeColor="text1"/>
        </w:rPr>
        <w:t>Starfield</w:t>
      </w:r>
      <w:proofErr w:type="spellEnd"/>
      <w:r w:rsidRPr="00CC5B03">
        <w:rPr>
          <w:color w:val="000000" w:themeColor="text1"/>
        </w:rPr>
        <w:t xml:space="preserve">, B. H., Adair, C. E., &amp; McKendry, R. (2003, November 20). Continuity of care: A multidisciplinary review. Retrieved from </w:t>
      </w:r>
      <w:hyperlink r:id="rId27" w:history="1">
        <w:r w:rsidR="000A3DFF" w:rsidRPr="00CC5B03">
          <w:rPr>
            <w:rStyle w:val="Hyperlink"/>
            <w:color w:val="000000" w:themeColor="text1"/>
          </w:rPr>
          <w:t>https://www-bmj-com.pitt.idm.oclc.org/content/327/7425/1219.short</w:t>
        </w:r>
      </w:hyperlink>
    </w:p>
    <w:p w14:paraId="5C5A65BD" w14:textId="63AD99BA" w:rsidR="000A3DFF" w:rsidRPr="00CC5B03" w:rsidRDefault="000A3DFF" w:rsidP="00CC5B03">
      <w:pPr>
        <w:pStyle w:val="ListParagraph"/>
        <w:numPr>
          <w:ilvl w:val="0"/>
          <w:numId w:val="49"/>
        </w:numPr>
        <w:ind w:left="360"/>
        <w:rPr>
          <w:rFonts w:ascii="Times New Roman" w:hAnsi="Times New Roman"/>
          <w:color w:val="000000" w:themeColor="text1"/>
        </w:rPr>
      </w:pPr>
      <w:r w:rsidRPr="00CC5B03">
        <w:rPr>
          <w:rFonts w:ascii="Times New Roman" w:hAnsi="Times New Roman"/>
          <w:color w:val="000000" w:themeColor="text1"/>
          <w:shd w:val="clear" w:color="auto" w:fill="FFFFFF"/>
        </w:rPr>
        <w:t xml:space="preserve">American Academy of Family Physicians. (2017, October 04). Continuity of Care, Definition of. Retrieved from </w:t>
      </w:r>
      <w:hyperlink r:id="rId28" w:history="1">
        <w:r w:rsidR="00CC5B03" w:rsidRPr="00333E4B">
          <w:rPr>
            <w:rStyle w:val="Hyperlink"/>
            <w:rFonts w:ascii="Times New Roman" w:hAnsi="Times New Roman"/>
            <w:shd w:val="clear" w:color="auto" w:fill="FFFFFF"/>
          </w:rPr>
          <w:t>https://www.aafp.org/about/policies/all/definition-care.html</w:t>
        </w:r>
      </w:hyperlink>
    </w:p>
    <w:p w14:paraId="5741377B" w14:textId="77777777" w:rsidR="00CC5B03" w:rsidRPr="00CC5B03" w:rsidRDefault="00CC5B03" w:rsidP="00CC5B03">
      <w:pPr>
        <w:pStyle w:val="ListParagraph"/>
        <w:ind w:left="360"/>
        <w:rPr>
          <w:rFonts w:ascii="Times New Roman" w:hAnsi="Times New Roman"/>
          <w:color w:val="000000" w:themeColor="text1"/>
        </w:rPr>
      </w:pPr>
    </w:p>
    <w:p w14:paraId="326C8B14" w14:textId="77777777" w:rsidR="009D79EE" w:rsidRPr="00CC5B03" w:rsidRDefault="009D79EE" w:rsidP="00CC5B03">
      <w:pPr>
        <w:pStyle w:val="BibliographyEntry"/>
        <w:numPr>
          <w:ilvl w:val="0"/>
          <w:numId w:val="49"/>
        </w:numPr>
        <w:ind w:left="360"/>
        <w:rPr>
          <w:color w:val="000000" w:themeColor="text1"/>
        </w:rPr>
      </w:pPr>
      <w:r w:rsidRPr="00CC5B03">
        <w:rPr>
          <w:color w:val="000000" w:themeColor="text1"/>
        </w:rPr>
        <w:t xml:space="preserve">Pollack, C. E., Hussey, P. S., </w:t>
      </w:r>
      <w:proofErr w:type="spellStart"/>
      <w:r w:rsidRPr="00CC5B03">
        <w:rPr>
          <w:color w:val="000000" w:themeColor="text1"/>
        </w:rPr>
        <w:t>Rudin</w:t>
      </w:r>
      <w:proofErr w:type="spellEnd"/>
      <w:r w:rsidRPr="00CC5B03">
        <w:rPr>
          <w:color w:val="000000" w:themeColor="text1"/>
        </w:rPr>
        <w:t>, R. S., Fox, D. S., Lai, J., &amp; Schneider, E. C. (2016, May). Measuring Care Continuity: A Comparison of Claims-based Methods. Retrieved from https://www.ncbi.nlm.nih.gov/pmc/articles/PMC4101051/</w:t>
      </w:r>
    </w:p>
    <w:p w14:paraId="5BD5988D" w14:textId="77777777" w:rsidR="006472CF" w:rsidRPr="00CC5B03" w:rsidRDefault="006472CF" w:rsidP="00CC5B03">
      <w:pPr>
        <w:pStyle w:val="BibliographyEntry"/>
        <w:numPr>
          <w:ilvl w:val="0"/>
          <w:numId w:val="49"/>
        </w:numPr>
        <w:ind w:left="360"/>
        <w:rPr>
          <w:color w:val="000000" w:themeColor="text1"/>
        </w:rPr>
      </w:pPr>
      <w:r w:rsidRPr="00CC5B03">
        <w:rPr>
          <w:color w:val="000000" w:themeColor="text1"/>
        </w:rPr>
        <w:t>American Academy of Family Physicians. (2014, April 08). Modest Changes Lead to Better Quality, Lower Costs in Health Care. Retrieved from https://www.aafp.org/news/practice-professional-issues/20140408continuityofcare.html</w:t>
      </w:r>
    </w:p>
    <w:p w14:paraId="55EE0281" w14:textId="623AAE62" w:rsidR="0037127F" w:rsidRPr="00CC5B03" w:rsidRDefault="0037127F" w:rsidP="00CC5B03">
      <w:pPr>
        <w:pStyle w:val="BibliographyEntry"/>
        <w:numPr>
          <w:ilvl w:val="0"/>
          <w:numId w:val="49"/>
        </w:numPr>
        <w:ind w:left="360"/>
        <w:rPr>
          <w:color w:val="000000" w:themeColor="text1"/>
        </w:rPr>
      </w:pPr>
      <w:r w:rsidRPr="00CC5B03">
        <w:rPr>
          <w:color w:val="000000" w:themeColor="text1"/>
        </w:rPr>
        <w:t xml:space="preserve">University of Manitoba. (2015, March 25). Measuring Continuity of Care. Retrieved from </w:t>
      </w:r>
      <w:hyperlink r:id="rId29" w:history="1">
        <w:r w:rsidR="0065519A" w:rsidRPr="00CC5B03">
          <w:rPr>
            <w:rStyle w:val="Hyperlink"/>
            <w:color w:val="000000" w:themeColor="text1"/>
          </w:rPr>
          <w:t>http://mchp-appserv.cpe.umanitoba.ca/viewConcept.php?printer=Y&amp;conceptID=1443</w:t>
        </w:r>
      </w:hyperlink>
    </w:p>
    <w:p w14:paraId="780A0544" w14:textId="77777777" w:rsidR="0065519A" w:rsidRPr="00CC5B03" w:rsidRDefault="0065519A" w:rsidP="00CC5B03">
      <w:pPr>
        <w:pStyle w:val="BibliographyEntry"/>
        <w:numPr>
          <w:ilvl w:val="0"/>
          <w:numId w:val="49"/>
        </w:numPr>
        <w:ind w:left="360"/>
        <w:rPr>
          <w:color w:val="000000" w:themeColor="text1"/>
        </w:rPr>
      </w:pPr>
      <w:proofErr w:type="spellStart"/>
      <w:r w:rsidRPr="00CC5B03">
        <w:rPr>
          <w:color w:val="000000" w:themeColor="text1"/>
        </w:rPr>
        <w:t>Alazri</w:t>
      </w:r>
      <w:proofErr w:type="spellEnd"/>
      <w:r w:rsidRPr="00CC5B03">
        <w:rPr>
          <w:color w:val="000000" w:themeColor="text1"/>
        </w:rPr>
        <w:t xml:space="preserve">, M., Heywood, P., Neal, R. D., &amp; </w:t>
      </w:r>
      <w:proofErr w:type="spellStart"/>
      <w:r w:rsidRPr="00CC5B03">
        <w:rPr>
          <w:color w:val="000000" w:themeColor="text1"/>
        </w:rPr>
        <w:t>Leese</w:t>
      </w:r>
      <w:proofErr w:type="spellEnd"/>
      <w:r w:rsidRPr="00CC5B03">
        <w:rPr>
          <w:color w:val="000000" w:themeColor="text1"/>
        </w:rPr>
        <w:t>, B. (2007, December). Continuity of Care: Literature review and implications. Retrieved from https://www.ncbi.nlm.nih.gov/pmc/articles/PMC3074883/#b12-squmj-07-197</w:t>
      </w:r>
    </w:p>
    <w:p w14:paraId="4C1DB2D3" w14:textId="77777777" w:rsidR="0065519A" w:rsidRPr="0037127F" w:rsidRDefault="0065519A" w:rsidP="0065519A">
      <w:pPr>
        <w:pStyle w:val="BibliographyEntry"/>
        <w:ind w:firstLine="0"/>
      </w:pPr>
    </w:p>
    <w:p w14:paraId="1EEB43A0" w14:textId="77777777" w:rsidR="000A3DFF" w:rsidRPr="0083443D" w:rsidRDefault="000A3DFF" w:rsidP="0037127F">
      <w:pPr>
        <w:pStyle w:val="BibliographyEntry"/>
        <w:ind w:firstLine="0"/>
      </w:pPr>
    </w:p>
    <w:p w14:paraId="18680ED6" w14:textId="77777777" w:rsidR="0083443D" w:rsidRPr="005073A2" w:rsidRDefault="0083443D" w:rsidP="0083443D">
      <w:pPr>
        <w:pStyle w:val="BibliographyEntry"/>
        <w:ind w:firstLine="0"/>
      </w:pPr>
    </w:p>
    <w:p w14:paraId="3622E9EC" w14:textId="77777777" w:rsidR="00D079DB" w:rsidRPr="00007AB1" w:rsidRDefault="00D079DB" w:rsidP="00A57267">
      <w:pPr>
        <w:pStyle w:val="BibliographyEntry"/>
        <w:ind w:firstLine="0"/>
      </w:pPr>
    </w:p>
    <w:p w14:paraId="45A604D4" w14:textId="77777777" w:rsidR="00142AD9" w:rsidRDefault="00142AD9" w:rsidP="0053035A">
      <w:pPr>
        <w:pStyle w:val="BibliographyEntry"/>
        <w:ind w:left="0" w:firstLine="0"/>
      </w:pPr>
    </w:p>
    <w:sectPr w:rsidR="00142AD9" w:rsidSect="00E433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E21F0" w14:textId="77777777" w:rsidR="006F7E02" w:rsidRDefault="006F7E02">
      <w:r>
        <w:separator/>
      </w:r>
    </w:p>
  </w:endnote>
  <w:endnote w:type="continuationSeparator" w:id="0">
    <w:p w14:paraId="4C112C74" w14:textId="77777777" w:rsidR="006F7E02" w:rsidRDefault="006F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EEAFD" w14:textId="692C2310" w:rsidR="007E217A" w:rsidRDefault="007E217A" w:rsidP="006B1124">
    <w:pPr>
      <w:tabs>
        <w:tab w:val="center" w:pos="4680"/>
      </w:tabs>
    </w:pPr>
    <w:r>
      <w:tab/>
    </w:r>
    <w:r>
      <w:fldChar w:fldCharType="begin"/>
    </w:r>
    <w:r>
      <w:instrText xml:space="preserve"> PAGE </w:instrText>
    </w:r>
    <w:r>
      <w:fldChar w:fldCharType="separate"/>
    </w:r>
    <w:r w:rsidR="00FF57FF">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049A4" w14:textId="5D55EF9D" w:rsidR="007E217A" w:rsidRDefault="007E217A" w:rsidP="00FC302C">
    <w:pPr>
      <w:tabs>
        <w:tab w:val="center" w:pos="4680"/>
      </w:tabs>
      <w:jc w:val="center"/>
    </w:pPr>
    <w:r>
      <w:fldChar w:fldCharType="begin"/>
    </w:r>
    <w:r>
      <w:instrText xml:space="preserve"> PAGE </w:instrText>
    </w:r>
    <w:r>
      <w:fldChar w:fldCharType="separate"/>
    </w:r>
    <w:r w:rsidR="00FF57FF">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AD206" w14:textId="77777777" w:rsidR="006F7E02" w:rsidRDefault="006F7E02">
      <w:r>
        <w:separator/>
      </w:r>
    </w:p>
  </w:footnote>
  <w:footnote w:type="continuationSeparator" w:id="0">
    <w:p w14:paraId="37FE02DD" w14:textId="77777777" w:rsidR="006F7E02" w:rsidRDefault="006F7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ECFC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54C1D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841A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DEE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4482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C267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1077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0F7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26F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7649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15625"/>
    <w:multiLevelType w:val="multilevel"/>
    <w:tmpl w:val="3C72564E"/>
    <w:lvl w:ilvl="0">
      <w:start w:val="1"/>
      <w:numFmt w:val="decimal"/>
      <w:pStyle w:val="Heading1"/>
      <w:lvlText w:val="%1.0 "/>
      <w:lvlJc w:val="left"/>
      <w:pPr>
        <w:tabs>
          <w:tab w:val="num" w:pos="-720"/>
        </w:tabs>
        <w:ind w:left="-720" w:firstLine="0"/>
      </w:pPr>
      <w:rPr>
        <w:rFonts w:hint="default"/>
        <w:b/>
        <w:i w:val="0"/>
        <w:sz w:val="24"/>
        <w:szCs w:val="24"/>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D60517A"/>
    <w:multiLevelType w:val="multilevel"/>
    <w:tmpl w:val="B00EB1C8"/>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sz w:val="24"/>
        <w:szCs w:val="24"/>
      </w:rPr>
    </w:lvl>
    <w:lvl w:ilvl="5">
      <w:start w:val="1"/>
      <w:numFmt w:val="decimal"/>
      <w:lvlText w:val="%5.%6"/>
      <w:lvlJc w:val="left"/>
      <w:pPr>
        <w:tabs>
          <w:tab w:val="num" w:pos="0"/>
        </w:tabs>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2" w15:restartNumberingAfterBreak="0">
    <w:nsid w:val="151907C4"/>
    <w:multiLevelType w:val="multilevel"/>
    <w:tmpl w:val="F43C4336"/>
    <w:lvl w:ilvl="0">
      <w:start w:val="1"/>
      <w:numFmt w:val="decimal"/>
      <w:lvlText w:val="%1.0 "/>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440" w:firstLine="0"/>
      </w:pPr>
      <w:rPr>
        <w:rFonts w:hint="default"/>
        <w:b/>
        <w:i w:val="0"/>
        <w:sz w:val="24"/>
        <w:szCs w:val="24"/>
      </w:rPr>
    </w:lvl>
    <w:lvl w:ilvl="3">
      <w:start w:val="1"/>
      <w:numFmt w:val="decimal"/>
      <w:lvlText w:val="%1.%2.%3.%4"/>
      <w:lvlJc w:val="left"/>
      <w:pPr>
        <w:tabs>
          <w:tab w:val="num" w:pos="-1440"/>
        </w:tabs>
        <w:ind w:left="-1440" w:firstLine="0"/>
      </w:pPr>
      <w:rPr>
        <w:rFonts w:hint="default"/>
        <w:b/>
        <w:i w:val="0"/>
        <w:sz w:val="24"/>
        <w:szCs w:val="24"/>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3" w15:restartNumberingAfterBreak="0">
    <w:nsid w:val="48756846"/>
    <w:multiLevelType w:val="multilevel"/>
    <w:tmpl w:val="67242D18"/>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396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4" w15:restartNumberingAfterBreak="0">
    <w:nsid w:val="4F5068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851D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35654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3FC3059"/>
    <w:multiLevelType w:val="multilevel"/>
    <w:tmpl w:val="43C08DA4"/>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7E64804"/>
    <w:multiLevelType w:val="multilevel"/>
    <w:tmpl w:val="35D46E44"/>
    <w:lvl w:ilvl="0">
      <w:start w:val="1"/>
      <w:numFmt w:val="upperLetter"/>
      <w:suff w:val="nothing"/>
      <w:lvlText w:val="APPENDIX %1"/>
      <w:lvlJc w:val="left"/>
      <w:pPr>
        <w:ind w:left="0" w:firstLine="0"/>
      </w:pPr>
      <w:rPr>
        <w:rFonts w:hint="default"/>
        <w:b/>
        <w:i w:val="0"/>
        <w:caps/>
        <w:sz w:val="24"/>
        <w:szCs w:val="24"/>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288"/>
        </w:tabs>
        <w:ind w:left="0" w:hanging="432"/>
      </w:pPr>
      <w:rPr>
        <w:rFonts w:hint="default"/>
      </w:rPr>
    </w:lvl>
    <w:lvl w:ilvl="3">
      <w:start w:val="1"/>
      <w:numFmt w:val="lowerRoman"/>
      <w:lvlText w:val="(%4)"/>
      <w:lvlJc w:val="right"/>
      <w:pPr>
        <w:tabs>
          <w:tab w:val="num" w:pos="144"/>
        </w:tabs>
        <w:ind w:left="144" w:hanging="144"/>
      </w:pPr>
      <w:rPr>
        <w:rFonts w:hint="default"/>
      </w:rPr>
    </w:lvl>
    <w:lvl w:ilvl="4">
      <w:start w:val="1"/>
      <w:numFmt w:val="upperLetter"/>
      <w:lvlRestart w:val="0"/>
      <w:suff w:val="nothing"/>
      <w:lvlText w:val="Appendix %5"/>
      <w:lvlJc w:val="left"/>
      <w:pPr>
        <w:ind w:left="720" w:firstLine="0"/>
      </w:pPr>
      <w:rPr>
        <w:rFonts w:hint="default"/>
        <w:b/>
        <w:i w:val="0"/>
        <w:caps/>
        <w:sz w:val="20"/>
        <w:szCs w:val="20"/>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19" w15:restartNumberingAfterBreak="0">
    <w:nsid w:val="580F7A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35021D3"/>
    <w:multiLevelType w:val="multilevel"/>
    <w:tmpl w:val="FD3EDD0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C813ED0"/>
    <w:multiLevelType w:val="hybridMultilevel"/>
    <w:tmpl w:val="59A21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3"/>
  </w:num>
  <w:num w:numId="4">
    <w:abstractNumId w:val="10"/>
  </w:num>
  <w:num w:numId="5">
    <w:abstractNumId w:val="10"/>
  </w:num>
  <w:num w:numId="6">
    <w:abstractNumId w:val="10"/>
  </w:num>
  <w:num w:numId="7">
    <w:abstractNumId w:val="10"/>
  </w:num>
  <w:num w:numId="8">
    <w:abstractNumId w:val="13"/>
  </w:num>
  <w:num w:numId="9">
    <w:abstractNumId w:val="13"/>
  </w:num>
  <w:num w:numId="10">
    <w:abstractNumId w:val="13"/>
  </w:num>
  <w:num w:numId="11">
    <w:abstractNumId w:val="10"/>
  </w:num>
  <w:num w:numId="12">
    <w:abstractNumId w:val="10"/>
  </w:num>
  <w:num w:numId="13">
    <w:abstractNumId w:val="10"/>
  </w:num>
  <w:num w:numId="14">
    <w:abstractNumId w:val="10"/>
  </w:num>
  <w:num w:numId="15">
    <w:abstractNumId w:val="18"/>
  </w:num>
  <w:num w:numId="16">
    <w:abstractNumId w:val="13"/>
  </w:num>
  <w:num w:numId="17">
    <w:abstractNumId w:val="13"/>
  </w:num>
  <w:num w:numId="18">
    <w:abstractNumId w:val="13"/>
  </w:num>
  <w:num w:numId="19">
    <w:abstractNumId w:val="10"/>
  </w:num>
  <w:num w:numId="20">
    <w:abstractNumId w:val="10"/>
  </w:num>
  <w:num w:numId="21">
    <w:abstractNumId w:val="10"/>
  </w:num>
  <w:num w:numId="22">
    <w:abstractNumId w:val="10"/>
  </w:num>
  <w:num w:numId="23">
    <w:abstractNumId w:val="13"/>
  </w:num>
  <w:num w:numId="24">
    <w:abstractNumId w:val="13"/>
  </w:num>
  <w:num w:numId="25">
    <w:abstractNumId w:val="13"/>
  </w:num>
  <w:num w:numId="26">
    <w:abstractNumId w:val="10"/>
  </w:num>
  <w:num w:numId="27">
    <w:abstractNumId w:val="10"/>
  </w:num>
  <w:num w:numId="28">
    <w:abstractNumId w:val="10"/>
  </w:num>
  <w:num w:numId="29">
    <w:abstractNumId w:val="10"/>
  </w:num>
  <w:num w:numId="30">
    <w:abstractNumId w:val="19"/>
  </w:num>
  <w:num w:numId="31">
    <w:abstractNumId w:val="16"/>
  </w:num>
  <w:num w:numId="32">
    <w:abstractNumId w:val="15"/>
  </w:num>
  <w:num w:numId="33">
    <w:abstractNumId w:val="14"/>
  </w:num>
  <w:num w:numId="34">
    <w:abstractNumId w:val="11"/>
  </w:num>
  <w:num w:numId="35">
    <w:abstractNumId w:val="9"/>
  </w:num>
  <w:num w:numId="36">
    <w:abstractNumId w:val="7"/>
  </w:num>
  <w:num w:numId="37">
    <w:abstractNumId w:val="6"/>
  </w:num>
  <w:num w:numId="38">
    <w:abstractNumId w:val="5"/>
  </w:num>
  <w:num w:numId="39">
    <w:abstractNumId w:val="4"/>
  </w:num>
  <w:num w:numId="40">
    <w:abstractNumId w:val="0"/>
  </w:num>
  <w:num w:numId="41">
    <w:abstractNumId w:val="1"/>
  </w:num>
  <w:num w:numId="42">
    <w:abstractNumId w:val="3"/>
  </w:num>
  <w:num w:numId="43">
    <w:abstractNumId w:val="2"/>
  </w:num>
  <w:num w:numId="44">
    <w:abstractNumId w:val="8"/>
  </w:num>
  <w:num w:numId="45">
    <w:abstractNumId w:val="17"/>
  </w:num>
  <w:num w:numId="46">
    <w:abstractNumId w:val="20"/>
  </w:num>
  <w:num w:numId="47">
    <w:abstractNumId w:val="10"/>
    <w:lvlOverride w:ilvl="0">
      <w:startOverride w:val="2"/>
    </w:lvlOverride>
    <w:lvlOverride w:ilvl="1">
      <w:startOverride w:val="2"/>
    </w:lvlOverride>
    <w:lvlOverride w:ilvl="2">
      <w:startOverride w:val="4"/>
    </w:lvlOverride>
  </w:num>
  <w:num w:numId="48">
    <w:abstractNumId w:val="10"/>
    <w:lvlOverride w:ilvl="0">
      <w:startOverride w:val="2"/>
    </w:lvlOverride>
    <w:lvlOverride w:ilvl="1">
      <w:startOverride w:val="2"/>
    </w:lvlOverride>
    <w:lvlOverride w:ilvl="2">
      <w:startOverride w:val="7"/>
    </w:lvlOverride>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41"/>
    <w:rsid w:val="00002D13"/>
    <w:rsid w:val="00003628"/>
    <w:rsid w:val="00007AB1"/>
    <w:rsid w:val="0001290F"/>
    <w:rsid w:val="0001581E"/>
    <w:rsid w:val="00015E62"/>
    <w:rsid w:val="00015F74"/>
    <w:rsid w:val="00016216"/>
    <w:rsid w:val="00030D3B"/>
    <w:rsid w:val="00035D1E"/>
    <w:rsid w:val="00037AD0"/>
    <w:rsid w:val="00037CEE"/>
    <w:rsid w:val="00060FFB"/>
    <w:rsid w:val="00061095"/>
    <w:rsid w:val="000614FF"/>
    <w:rsid w:val="00071745"/>
    <w:rsid w:val="00077D21"/>
    <w:rsid w:val="00081539"/>
    <w:rsid w:val="00082580"/>
    <w:rsid w:val="00097966"/>
    <w:rsid w:val="000A1DC7"/>
    <w:rsid w:val="000A3DFF"/>
    <w:rsid w:val="000A4FDE"/>
    <w:rsid w:val="000A7C8B"/>
    <w:rsid w:val="000B5F81"/>
    <w:rsid w:val="000D0D90"/>
    <w:rsid w:val="000D4A57"/>
    <w:rsid w:val="000E570F"/>
    <w:rsid w:val="000F4543"/>
    <w:rsid w:val="000F5D22"/>
    <w:rsid w:val="001013B0"/>
    <w:rsid w:val="0010602A"/>
    <w:rsid w:val="00112C00"/>
    <w:rsid w:val="00121367"/>
    <w:rsid w:val="00123052"/>
    <w:rsid w:val="0013186E"/>
    <w:rsid w:val="00137947"/>
    <w:rsid w:val="00142AD9"/>
    <w:rsid w:val="00150EF7"/>
    <w:rsid w:val="001728D2"/>
    <w:rsid w:val="00172ADF"/>
    <w:rsid w:val="001742DD"/>
    <w:rsid w:val="00183666"/>
    <w:rsid w:val="001865E4"/>
    <w:rsid w:val="001A37C2"/>
    <w:rsid w:val="001A5608"/>
    <w:rsid w:val="001B4216"/>
    <w:rsid w:val="001C221F"/>
    <w:rsid w:val="001C7CDC"/>
    <w:rsid w:val="001E4D33"/>
    <w:rsid w:val="001E6EAA"/>
    <w:rsid w:val="00200B2E"/>
    <w:rsid w:val="00203799"/>
    <w:rsid w:val="00204A9F"/>
    <w:rsid w:val="002102E6"/>
    <w:rsid w:val="00216BB2"/>
    <w:rsid w:val="002172CB"/>
    <w:rsid w:val="00224A7D"/>
    <w:rsid w:val="00227EB9"/>
    <w:rsid w:val="00231389"/>
    <w:rsid w:val="0023652C"/>
    <w:rsid w:val="0024215D"/>
    <w:rsid w:val="00244676"/>
    <w:rsid w:val="00253120"/>
    <w:rsid w:val="00254828"/>
    <w:rsid w:val="00262CCC"/>
    <w:rsid w:val="002706BA"/>
    <w:rsid w:val="00271238"/>
    <w:rsid w:val="002749A8"/>
    <w:rsid w:val="00276E7E"/>
    <w:rsid w:val="002770D7"/>
    <w:rsid w:val="0028110B"/>
    <w:rsid w:val="00284164"/>
    <w:rsid w:val="0028782F"/>
    <w:rsid w:val="00296237"/>
    <w:rsid w:val="00297AFA"/>
    <w:rsid w:val="002A22A2"/>
    <w:rsid w:val="002B2ACB"/>
    <w:rsid w:val="002B4334"/>
    <w:rsid w:val="002B5039"/>
    <w:rsid w:val="002B7F16"/>
    <w:rsid w:val="002C038C"/>
    <w:rsid w:val="002C1854"/>
    <w:rsid w:val="002C259D"/>
    <w:rsid w:val="002C6580"/>
    <w:rsid w:val="002D01B1"/>
    <w:rsid w:val="002D0C21"/>
    <w:rsid w:val="002D11E0"/>
    <w:rsid w:val="002D1438"/>
    <w:rsid w:val="002D18F1"/>
    <w:rsid w:val="002D3D0D"/>
    <w:rsid w:val="002E3059"/>
    <w:rsid w:val="002E6AF7"/>
    <w:rsid w:val="002F2404"/>
    <w:rsid w:val="002F24D0"/>
    <w:rsid w:val="002F4D5B"/>
    <w:rsid w:val="002F74DE"/>
    <w:rsid w:val="00321BBE"/>
    <w:rsid w:val="00323D3E"/>
    <w:rsid w:val="003260C4"/>
    <w:rsid w:val="00337CC7"/>
    <w:rsid w:val="00344491"/>
    <w:rsid w:val="00351AEE"/>
    <w:rsid w:val="00357182"/>
    <w:rsid w:val="003618C1"/>
    <w:rsid w:val="003645B9"/>
    <w:rsid w:val="00367476"/>
    <w:rsid w:val="0037127F"/>
    <w:rsid w:val="00373FC4"/>
    <w:rsid w:val="0038566D"/>
    <w:rsid w:val="003A266E"/>
    <w:rsid w:val="003B5626"/>
    <w:rsid w:val="003D7E18"/>
    <w:rsid w:val="003F6156"/>
    <w:rsid w:val="00406683"/>
    <w:rsid w:val="00407F22"/>
    <w:rsid w:val="00410379"/>
    <w:rsid w:val="004155DB"/>
    <w:rsid w:val="00416B2B"/>
    <w:rsid w:val="00422FA0"/>
    <w:rsid w:val="00441644"/>
    <w:rsid w:val="00442B93"/>
    <w:rsid w:val="00450319"/>
    <w:rsid w:val="004547E1"/>
    <w:rsid w:val="00461AD5"/>
    <w:rsid w:val="00475B58"/>
    <w:rsid w:val="00492453"/>
    <w:rsid w:val="00492F18"/>
    <w:rsid w:val="004B08E6"/>
    <w:rsid w:val="004B425D"/>
    <w:rsid w:val="004B7B28"/>
    <w:rsid w:val="004C476B"/>
    <w:rsid w:val="004C4E35"/>
    <w:rsid w:val="004C7B33"/>
    <w:rsid w:val="004D71A1"/>
    <w:rsid w:val="004D75DD"/>
    <w:rsid w:val="004D7AA4"/>
    <w:rsid w:val="004E3721"/>
    <w:rsid w:val="004E3B59"/>
    <w:rsid w:val="004E61ED"/>
    <w:rsid w:val="00501B0C"/>
    <w:rsid w:val="005073A2"/>
    <w:rsid w:val="00517559"/>
    <w:rsid w:val="00523236"/>
    <w:rsid w:val="0052426D"/>
    <w:rsid w:val="00525291"/>
    <w:rsid w:val="0053035A"/>
    <w:rsid w:val="00531502"/>
    <w:rsid w:val="00536110"/>
    <w:rsid w:val="005374B7"/>
    <w:rsid w:val="00537D7A"/>
    <w:rsid w:val="005526DD"/>
    <w:rsid w:val="00554EE3"/>
    <w:rsid w:val="00556515"/>
    <w:rsid w:val="00565891"/>
    <w:rsid w:val="00575DBB"/>
    <w:rsid w:val="00581053"/>
    <w:rsid w:val="00587BA8"/>
    <w:rsid w:val="00591FC6"/>
    <w:rsid w:val="00591FF2"/>
    <w:rsid w:val="00596371"/>
    <w:rsid w:val="00597FE6"/>
    <w:rsid w:val="005A5D20"/>
    <w:rsid w:val="005B7EEC"/>
    <w:rsid w:val="005C0036"/>
    <w:rsid w:val="005C4CDF"/>
    <w:rsid w:val="005D0097"/>
    <w:rsid w:val="005D2A25"/>
    <w:rsid w:val="005D544D"/>
    <w:rsid w:val="005D5FEE"/>
    <w:rsid w:val="005D68C8"/>
    <w:rsid w:val="005E7886"/>
    <w:rsid w:val="005F1A5F"/>
    <w:rsid w:val="005F1BB6"/>
    <w:rsid w:val="005F5008"/>
    <w:rsid w:val="005F50FE"/>
    <w:rsid w:val="006023AD"/>
    <w:rsid w:val="0061340A"/>
    <w:rsid w:val="00625E96"/>
    <w:rsid w:val="006343C7"/>
    <w:rsid w:val="00636C11"/>
    <w:rsid w:val="006425BF"/>
    <w:rsid w:val="006472CF"/>
    <w:rsid w:val="00653215"/>
    <w:rsid w:val="006536AD"/>
    <w:rsid w:val="0065476A"/>
    <w:rsid w:val="0065519A"/>
    <w:rsid w:val="00656EE6"/>
    <w:rsid w:val="006760BF"/>
    <w:rsid w:val="00676C63"/>
    <w:rsid w:val="00684BE9"/>
    <w:rsid w:val="00695C09"/>
    <w:rsid w:val="00695EA8"/>
    <w:rsid w:val="006A5780"/>
    <w:rsid w:val="006B1124"/>
    <w:rsid w:val="006B418D"/>
    <w:rsid w:val="006B550D"/>
    <w:rsid w:val="006B5AD1"/>
    <w:rsid w:val="006B7AEA"/>
    <w:rsid w:val="006C3A00"/>
    <w:rsid w:val="006D7465"/>
    <w:rsid w:val="006F14E2"/>
    <w:rsid w:val="006F6B3A"/>
    <w:rsid w:val="006F7E02"/>
    <w:rsid w:val="0070061C"/>
    <w:rsid w:val="00716BD0"/>
    <w:rsid w:val="0072531B"/>
    <w:rsid w:val="00733A9F"/>
    <w:rsid w:val="00737735"/>
    <w:rsid w:val="00737C37"/>
    <w:rsid w:val="007434D8"/>
    <w:rsid w:val="007448D6"/>
    <w:rsid w:val="0074499F"/>
    <w:rsid w:val="00745567"/>
    <w:rsid w:val="00746872"/>
    <w:rsid w:val="007556D7"/>
    <w:rsid w:val="00757D3A"/>
    <w:rsid w:val="0076015B"/>
    <w:rsid w:val="007602CB"/>
    <w:rsid w:val="00761CB4"/>
    <w:rsid w:val="007629C1"/>
    <w:rsid w:val="00762CDD"/>
    <w:rsid w:val="00774BE0"/>
    <w:rsid w:val="00775294"/>
    <w:rsid w:val="00793F8A"/>
    <w:rsid w:val="007A1358"/>
    <w:rsid w:val="007A7B08"/>
    <w:rsid w:val="007B046F"/>
    <w:rsid w:val="007B3848"/>
    <w:rsid w:val="007B3E01"/>
    <w:rsid w:val="007B67AE"/>
    <w:rsid w:val="007B7C61"/>
    <w:rsid w:val="007C68B2"/>
    <w:rsid w:val="007D4BB9"/>
    <w:rsid w:val="007D6DA8"/>
    <w:rsid w:val="007D758C"/>
    <w:rsid w:val="007E058A"/>
    <w:rsid w:val="007E0D3D"/>
    <w:rsid w:val="007E217A"/>
    <w:rsid w:val="007E75C1"/>
    <w:rsid w:val="007F763B"/>
    <w:rsid w:val="00800DCD"/>
    <w:rsid w:val="00802A5A"/>
    <w:rsid w:val="00804540"/>
    <w:rsid w:val="00805650"/>
    <w:rsid w:val="008113A7"/>
    <w:rsid w:val="00811D9B"/>
    <w:rsid w:val="00815FBB"/>
    <w:rsid w:val="00821E03"/>
    <w:rsid w:val="00822326"/>
    <w:rsid w:val="008303E0"/>
    <w:rsid w:val="0083058B"/>
    <w:rsid w:val="00834193"/>
    <w:rsid w:val="0083443D"/>
    <w:rsid w:val="00834E05"/>
    <w:rsid w:val="00836989"/>
    <w:rsid w:val="00842042"/>
    <w:rsid w:val="00844937"/>
    <w:rsid w:val="00847550"/>
    <w:rsid w:val="0086249D"/>
    <w:rsid w:val="00862F52"/>
    <w:rsid w:val="00863D37"/>
    <w:rsid w:val="008650E7"/>
    <w:rsid w:val="00874913"/>
    <w:rsid w:val="00874E1F"/>
    <w:rsid w:val="0088075E"/>
    <w:rsid w:val="00880A5E"/>
    <w:rsid w:val="00883EAE"/>
    <w:rsid w:val="00884E1F"/>
    <w:rsid w:val="0088740E"/>
    <w:rsid w:val="008917A8"/>
    <w:rsid w:val="00896DFF"/>
    <w:rsid w:val="008A110F"/>
    <w:rsid w:val="008A1FB2"/>
    <w:rsid w:val="008A4541"/>
    <w:rsid w:val="008A68E7"/>
    <w:rsid w:val="008B51ED"/>
    <w:rsid w:val="008B7D4D"/>
    <w:rsid w:val="008C0AD7"/>
    <w:rsid w:val="008D4FCC"/>
    <w:rsid w:val="008D5FE0"/>
    <w:rsid w:val="008E6ACC"/>
    <w:rsid w:val="008F20EF"/>
    <w:rsid w:val="008F7687"/>
    <w:rsid w:val="00901CC9"/>
    <w:rsid w:val="0090214D"/>
    <w:rsid w:val="009100AA"/>
    <w:rsid w:val="009110C3"/>
    <w:rsid w:val="00912CB4"/>
    <w:rsid w:val="00916C67"/>
    <w:rsid w:val="00922356"/>
    <w:rsid w:val="00923007"/>
    <w:rsid w:val="00931E4A"/>
    <w:rsid w:val="00932A91"/>
    <w:rsid w:val="00932D85"/>
    <w:rsid w:val="00936D40"/>
    <w:rsid w:val="00947877"/>
    <w:rsid w:val="00950C32"/>
    <w:rsid w:val="009522E5"/>
    <w:rsid w:val="0095359B"/>
    <w:rsid w:val="009537B7"/>
    <w:rsid w:val="00953A07"/>
    <w:rsid w:val="00961C76"/>
    <w:rsid w:val="00965F7E"/>
    <w:rsid w:val="009675AA"/>
    <w:rsid w:val="00985C02"/>
    <w:rsid w:val="00986D95"/>
    <w:rsid w:val="009920D8"/>
    <w:rsid w:val="0099539E"/>
    <w:rsid w:val="009A79DA"/>
    <w:rsid w:val="009B0791"/>
    <w:rsid w:val="009B1556"/>
    <w:rsid w:val="009B26C9"/>
    <w:rsid w:val="009B522B"/>
    <w:rsid w:val="009C4D9C"/>
    <w:rsid w:val="009D79EE"/>
    <w:rsid w:val="009E3E98"/>
    <w:rsid w:val="009E6262"/>
    <w:rsid w:val="009F1586"/>
    <w:rsid w:val="009F2CD4"/>
    <w:rsid w:val="00A04963"/>
    <w:rsid w:val="00A11A0D"/>
    <w:rsid w:val="00A11E7E"/>
    <w:rsid w:val="00A208D2"/>
    <w:rsid w:val="00A221A2"/>
    <w:rsid w:val="00A22F37"/>
    <w:rsid w:val="00A27717"/>
    <w:rsid w:val="00A314D1"/>
    <w:rsid w:val="00A3281F"/>
    <w:rsid w:val="00A35269"/>
    <w:rsid w:val="00A4495A"/>
    <w:rsid w:val="00A45A96"/>
    <w:rsid w:val="00A45F73"/>
    <w:rsid w:val="00A5083B"/>
    <w:rsid w:val="00A51288"/>
    <w:rsid w:val="00A51555"/>
    <w:rsid w:val="00A51B37"/>
    <w:rsid w:val="00A530B3"/>
    <w:rsid w:val="00A57267"/>
    <w:rsid w:val="00AA2C6A"/>
    <w:rsid w:val="00AA3E52"/>
    <w:rsid w:val="00AA4EA9"/>
    <w:rsid w:val="00AB08F3"/>
    <w:rsid w:val="00AB7542"/>
    <w:rsid w:val="00AC214B"/>
    <w:rsid w:val="00AC4CF3"/>
    <w:rsid w:val="00AD3CC7"/>
    <w:rsid w:val="00AD47E4"/>
    <w:rsid w:val="00AE34CC"/>
    <w:rsid w:val="00AF340B"/>
    <w:rsid w:val="00B02D72"/>
    <w:rsid w:val="00B05291"/>
    <w:rsid w:val="00B14C9A"/>
    <w:rsid w:val="00B21CB8"/>
    <w:rsid w:val="00B24C47"/>
    <w:rsid w:val="00B25656"/>
    <w:rsid w:val="00B26381"/>
    <w:rsid w:val="00B32A58"/>
    <w:rsid w:val="00B33801"/>
    <w:rsid w:val="00B41B54"/>
    <w:rsid w:val="00B424B6"/>
    <w:rsid w:val="00B42812"/>
    <w:rsid w:val="00B50CF5"/>
    <w:rsid w:val="00B5227C"/>
    <w:rsid w:val="00B549E2"/>
    <w:rsid w:val="00B56F3C"/>
    <w:rsid w:val="00B57E9B"/>
    <w:rsid w:val="00B614F2"/>
    <w:rsid w:val="00B80608"/>
    <w:rsid w:val="00B8538A"/>
    <w:rsid w:val="00B917F0"/>
    <w:rsid w:val="00B91C99"/>
    <w:rsid w:val="00B972E3"/>
    <w:rsid w:val="00B97DAF"/>
    <w:rsid w:val="00BA3CD2"/>
    <w:rsid w:val="00BB4C28"/>
    <w:rsid w:val="00BB6DE2"/>
    <w:rsid w:val="00BC2305"/>
    <w:rsid w:val="00BC3A84"/>
    <w:rsid w:val="00BD0013"/>
    <w:rsid w:val="00BE2B3E"/>
    <w:rsid w:val="00BF2B29"/>
    <w:rsid w:val="00C01173"/>
    <w:rsid w:val="00C04270"/>
    <w:rsid w:val="00C1098A"/>
    <w:rsid w:val="00C1253D"/>
    <w:rsid w:val="00C17C66"/>
    <w:rsid w:val="00C2017A"/>
    <w:rsid w:val="00C33253"/>
    <w:rsid w:val="00C40D61"/>
    <w:rsid w:val="00C4128C"/>
    <w:rsid w:val="00C43878"/>
    <w:rsid w:val="00C479CD"/>
    <w:rsid w:val="00C528C7"/>
    <w:rsid w:val="00C632E5"/>
    <w:rsid w:val="00C63608"/>
    <w:rsid w:val="00C71A4A"/>
    <w:rsid w:val="00C71D88"/>
    <w:rsid w:val="00C75667"/>
    <w:rsid w:val="00C811F7"/>
    <w:rsid w:val="00C859DF"/>
    <w:rsid w:val="00C9228E"/>
    <w:rsid w:val="00C93849"/>
    <w:rsid w:val="00CA1CDB"/>
    <w:rsid w:val="00CA2C49"/>
    <w:rsid w:val="00CA37BA"/>
    <w:rsid w:val="00CB03F9"/>
    <w:rsid w:val="00CB12DE"/>
    <w:rsid w:val="00CB25B4"/>
    <w:rsid w:val="00CB44E5"/>
    <w:rsid w:val="00CC5B03"/>
    <w:rsid w:val="00CC6734"/>
    <w:rsid w:val="00CD1C57"/>
    <w:rsid w:val="00CD4994"/>
    <w:rsid w:val="00CD6CE2"/>
    <w:rsid w:val="00CE2FA5"/>
    <w:rsid w:val="00CE468B"/>
    <w:rsid w:val="00CF0CA3"/>
    <w:rsid w:val="00CF23E3"/>
    <w:rsid w:val="00CF26A0"/>
    <w:rsid w:val="00CF47B5"/>
    <w:rsid w:val="00CF58D4"/>
    <w:rsid w:val="00D042F6"/>
    <w:rsid w:val="00D06EB8"/>
    <w:rsid w:val="00D079DB"/>
    <w:rsid w:val="00D10F81"/>
    <w:rsid w:val="00D1693B"/>
    <w:rsid w:val="00D2566F"/>
    <w:rsid w:val="00D30295"/>
    <w:rsid w:val="00D31066"/>
    <w:rsid w:val="00D36DE5"/>
    <w:rsid w:val="00D37F68"/>
    <w:rsid w:val="00D44A01"/>
    <w:rsid w:val="00D51CED"/>
    <w:rsid w:val="00D530BC"/>
    <w:rsid w:val="00D54CFD"/>
    <w:rsid w:val="00D60B5B"/>
    <w:rsid w:val="00D61C0E"/>
    <w:rsid w:val="00D62682"/>
    <w:rsid w:val="00D64BE3"/>
    <w:rsid w:val="00D65C5D"/>
    <w:rsid w:val="00D92AFE"/>
    <w:rsid w:val="00DA36E6"/>
    <w:rsid w:val="00DA5BA8"/>
    <w:rsid w:val="00DA5E83"/>
    <w:rsid w:val="00DB0E8A"/>
    <w:rsid w:val="00DC10D8"/>
    <w:rsid w:val="00DC206F"/>
    <w:rsid w:val="00DD6447"/>
    <w:rsid w:val="00DE16FB"/>
    <w:rsid w:val="00DE6303"/>
    <w:rsid w:val="00DF3872"/>
    <w:rsid w:val="00E20EA6"/>
    <w:rsid w:val="00E3277F"/>
    <w:rsid w:val="00E35361"/>
    <w:rsid w:val="00E36565"/>
    <w:rsid w:val="00E37202"/>
    <w:rsid w:val="00E43386"/>
    <w:rsid w:val="00E44272"/>
    <w:rsid w:val="00E44FFA"/>
    <w:rsid w:val="00E456F4"/>
    <w:rsid w:val="00E505C2"/>
    <w:rsid w:val="00E51850"/>
    <w:rsid w:val="00E61982"/>
    <w:rsid w:val="00E6320D"/>
    <w:rsid w:val="00E71013"/>
    <w:rsid w:val="00E713E8"/>
    <w:rsid w:val="00E73075"/>
    <w:rsid w:val="00E745D4"/>
    <w:rsid w:val="00E81C88"/>
    <w:rsid w:val="00E87B11"/>
    <w:rsid w:val="00E92F51"/>
    <w:rsid w:val="00E95E23"/>
    <w:rsid w:val="00E97BB7"/>
    <w:rsid w:val="00EA10FE"/>
    <w:rsid w:val="00EB7F19"/>
    <w:rsid w:val="00EC4D10"/>
    <w:rsid w:val="00ED0ADF"/>
    <w:rsid w:val="00ED7378"/>
    <w:rsid w:val="00EE0EE2"/>
    <w:rsid w:val="00EE32C2"/>
    <w:rsid w:val="00F0330D"/>
    <w:rsid w:val="00F0477A"/>
    <w:rsid w:val="00F07718"/>
    <w:rsid w:val="00F20F14"/>
    <w:rsid w:val="00F2175A"/>
    <w:rsid w:val="00F31C6E"/>
    <w:rsid w:val="00F3293C"/>
    <w:rsid w:val="00F34251"/>
    <w:rsid w:val="00F371B5"/>
    <w:rsid w:val="00F40AF6"/>
    <w:rsid w:val="00F432D6"/>
    <w:rsid w:val="00F4699F"/>
    <w:rsid w:val="00F46A24"/>
    <w:rsid w:val="00F51AB7"/>
    <w:rsid w:val="00F52DC7"/>
    <w:rsid w:val="00F56B64"/>
    <w:rsid w:val="00F57862"/>
    <w:rsid w:val="00F60005"/>
    <w:rsid w:val="00F63623"/>
    <w:rsid w:val="00F67A9B"/>
    <w:rsid w:val="00F742D5"/>
    <w:rsid w:val="00F751D6"/>
    <w:rsid w:val="00F814C0"/>
    <w:rsid w:val="00F866C6"/>
    <w:rsid w:val="00F91BDB"/>
    <w:rsid w:val="00F92ED3"/>
    <w:rsid w:val="00F962AC"/>
    <w:rsid w:val="00FA5CE0"/>
    <w:rsid w:val="00FA65BF"/>
    <w:rsid w:val="00FA79F4"/>
    <w:rsid w:val="00FB026C"/>
    <w:rsid w:val="00FB1A2F"/>
    <w:rsid w:val="00FB763C"/>
    <w:rsid w:val="00FC0AA7"/>
    <w:rsid w:val="00FC26C9"/>
    <w:rsid w:val="00FC302C"/>
    <w:rsid w:val="00FC37B5"/>
    <w:rsid w:val="00FE44FF"/>
    <w:rsid w:val="00FE4739"/>
    <w:rsid w:val="00FF2862"/>
    <w:rsid w:val="00FF3946"/>
    <w:rsid w:val="00FF57FF"/>
    <w:rsid w:val="00FF6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4239D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19A"/>
    <w:rPr>
      <w:sz w:val="24"/>
      <w:szCs w:val="24"/>
    </w:rPr>
  </w:style>
  <w:style w:type="paragraph" w:styleId="Heading1">
    <w:name w:val="heading 1"/>
    <w:basedOn w:val="Normal"/>
    <w:next w:val="Noindent"/>
    <w:qFormat/>
    <w:rsid w:val="008A110F"/>
    <w:pPr>
      <w:keepNext/>
      <w:pageBreakBefore/>
      <w:numPr>
        <w:numId w:val="29"/>
      </w:numPr>
      <w:tabs>
        <w:tab w:val="clear" w:pos="-720"/>
      </w:tabs>
      <w:spacing w:before="1440" w:after="960"/>
      <w:ind w:left="0"/>
      <w:jc w:val="center"/>
      <w:outlineLvl w:val="0"/>
    </w:pPr>
    <w:rPr>
      <w:rFonts w:cs="Arial"/>
      <w:b/>
      <w:bCs/>
      <w:caps/>
    </w:rPr>
  </w:style>
  <w:style w:type="paragraph" w:styleId="Heading2">
    <w:name w:val="heading 2"/>
    <w:basedOn w:val="Heading1"/>
    <w:next w:val="Noindent"/>
    <w:qFormat/>
    <w:rsid w:val="008A110F"/>
    <w:pPr>
      <w:pageBreakBefore w:val="0"/>
      <w:numPr>
        <w:ilvl w:val="1"/>
      </w:numPr>
      <w:tabs>
        <w:tab w:val="clear" w:pos="0"/>
      </w:tabs>
      <w:spacing w:before="960" w:after="480"/>
      <w:contextualSpacing/>
      <w:outlineLvl w:val="1"/>
    </w:pPr>
    <w:rPr>
      <w:bCs w:val="0"/>
      <w:iCs/>
    </w:rPr>
  </w:style>
  <w:style w:type="paragraph" w:styleId="Heading3">
    <w:name w:val="heading 3"/>
    <w:basedOn w:val="Heading2"/>
    <w:next w:val="Noindent"/>
    <w:qFormat/>
    <w:rsid w:val="008A110F"/>
    <w:pPr>
      <w:numPr>
        <w:ilvl w:val="2"/>
      </w:numPr>
      <w:tabs>
        <w:tab w:val="clear" w:pos="0"/>
      </w:tabs>
      <w:spacing w:before="480"/>
      <w:jc w:val="left"/>
      <w:outlineLvl w:val="2"/>
    </w:pPr>
    <w:rPr>
      <w:bCs/>
      <w:caps w:val="0"/>
    </w:rPr>
  </w:style>
  <w:style w:type="paragraph" w:styleId="Heading4">
    <w:name w:val="heading 4"/>
    <w:basedOn w:val="Heading3"/>
    <w:next w:val="Normal"/>
    <w:qFormat/>
    <w:rsid w:val="00276E7E"/>
    <w:pPr>
      <w:numPr>
        <w:ilvl w:val="3"/>
      </w:numPr>
      <w:tabs>
        <w:tab w:val="clear" w:pos="0"/>
      </w:tabs>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A5BA8"/>
    <w:rPr>
      <w:b/>
      <w:caps/>
    </w:rPr>
  </w:style>
  <w:style w:type="paragraph" w:customStyle="1" w:styleId="Noindent">
    <w:name w:val="No indent"/>
    <w:basedOn w:val="Normal"/>
    <w:next w:val="Normal"/>
    <w:rsid w:val="00200B2E"/>
    <w:pPr>
      <w:spacing w:line="480" w:lineRule="auto"/>
    </w:pPr>
  </w:style>
  <w:style w:type="paragraph" w:customStyle="1" w:styleId="AppSection">
    <w:name w:val="App Section"/>
    <w:basedOn w:val="Noindent"/>
    <w:next w:val="Noindent"/>
    <w:rsid w:val="00CE2FA5"/>
    <w:pPr>
      <w:keepNext/>
      <w:numPr>
        <w:ilvl w:val="5"/>
        <w:numId w:val="25"/>
      </w:numPr>
      <w:spacing w:before="960" w:after="480"/>
      <w:jc w:val="center"/>
    </w:pPr>
    <w:rPr>
      <w:b/>
      <w:caps/>
    </w:rPr>
  </w:style>
  <w:style w:type="paragraph" w:customStyle="1" w:styleId="Appendix">
    <w:name w:val="Appendix"/>
    <w:basedOn w:val="Normal"/>
    <w:next w:val="AppendixTitle"/>
    <w:qFormat/>
    <w:rsid w:val="00CE2FA5"/>
    <w:pPr>
      <w:keepNext/>
      <w:pageBreakBefore/>
      <w:numPr>
        <w:ilvl w:val="4"/>
        <w:numId w:val="25"/>
      </w:numPr>
      <w:spacing w:before="1440" w:after="960"/>
      <w:ind w:left="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DA5BA8"/>
    <w:pPr>
      <w:ind w:left="504"/>
    </w:pPr>
    <w:rPr>
      <w:b/>
      <w:caps/>
    </w:rPr>
  </w:style>
  <w:style w:type="paragraph" w:styleId="TOC3">
    <w:name w:val="toc 3"/>
    <w:basedOn w:val="Normal"/>
    <w:next w:val="Normal"/>
    <w:autoRedefine/>
    <w:uiPriority w:val="39"/>
    <w:rsid w:val="00DA5BA8"/>
    <w:pPr>
      <w:ind w:left="1008"/>
    </w:pPr>
    <w:rPr>
      <w:b/>
    </w:rPr>
  </w:style>
  <w:style w:type="paragraph" w:styleId="Footer">
    <w:name w:val="footer"/>
    <w:basedOn w:val="Normal"/>
    <w:semiHidden/>
    <w:rsid w:val="00367476"/>
    <w:pPr>
      <w:tabs>
        <w:tab w:val="center" w:pos="4320"/>
        <w:tab w:val="right" w:pos="8640"/>
      </w:tabs>
    </w:pPr>
  </w:style>
  <w:style w:type="paragraph" w:styleId="Caption">
    <w:name w:val="caption"/>
    <w:basedOn w:val="Normal"/>
    <w:next w:val="Normal"/>
    <w:qFormat/>
    <w:rsid w:val="002706BA"/>
    <w:rPr>
      <w:b/>
      <w:bCs/>
      <w:sz w:val="20"/>
      <w:szCs w:val="20"/>
    </w:rPr>
  </w:style>
  <w:style w:type="paragraph" w:styleId="TOC4">
    <w:name w:val="toc 4"/>
    <w:basedOn w:val="Normal"/>
    <w:next w:val="Normal"/>
    <w:autoRedefine/>
    <w:semiHidden/>
    <w:rsid w:val="00DA5BA8"/>
    <w:pPr>
      <w:ind w:left="1512"/>
    </w:pPr>
    <w:rPr>
      <w:b/>
    </w:rPr>
  </w:style>
  <w:style w:type="paragraph" w:customStyle="1" w:styleId="Preliminary">
    <w:name w:val="Preliminary"/>
    <w:basedOn w:val="Heading1"/>
    <w:next w:val="Noindent"/>
    <w:rsid w:val="008A110F"/>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indent"/>
    <w:next w:val="Normal"/>
    <w:uiPriority w:val="99"/>
    <w:rsid w:val="00B424B6"/>
  </w:style>
  <w:style w:type="paragraph" w:styleId="ListParagraph">
    <w:name w:val="List Paragraph"/>
    <w:basedOn w:val="Normal"/>
    <w:uiPriority w:val="34"/>
    <w:qFormat/>
    <w:rsid w:val="00C04270"/>
    <w:pPr>
      <w:ind w:left="720"/>
      <w:contextualSpacing/>
    </w:pPr>
    <w:rPr>
      <w:rFonts w:ascii="Calibri" w:eastAsia="Calibri" w:hAnsi="Calibri"/>
    </w:rPr>
  </w:style>
  <w:style w:type="character" w:styleId="FollowedHyperlink">
    <w:name w:val="FollowedHyperlink"/>
    <w:rsid w:val="00B8538A"/>
    <w:rPr>
      <w:color w:val="954F72"/>
      <w:u w:val="single"/>
    </w:rPr>
  </w:style>
  <w:style w:type="paragraph" w:styleId="BalloonText">
    <w:name w:val="Balloon Text"/>
    <w:basedOn w:val="Normal"/>
    <w:link w:val="BalloonTextChar"/>
    <w:rsid w:val="007448D6"/>
    <w:rPr>
      <w:rFonts w:ascii="Segoe UI" w:hAnsi="Segoe UI" w:cs="Segoe UI"/>
      <w:sz w:val="18"/>
      <w:szCs w:val="18"/>
    </w:rPr>
  </w:style>
  <w:style w:type="character" w:customStyle="1" w:styleId="BalloonTextChar">
    <w:name w:val="Balloon Text Char"/>
    <w:basedOn w:val="DefaultParagraphFont"/>
    <w:link w:val="BalloonText"/>
    <w:rsid w:val="007448D6"/>
    <w:rPr>
      <w:rFonts w:ascii="Segoe UI" w:hAnsi="Segoe UI" w:cs="Segoe UI"/>
      <w:sz w:val="18"/>
      <w:szCs w:val="18"/>
    </w:rPr>
  </w:style>
  <w:style w:type="paragraph" w:customStyle="1" w:styleId="AppSubsection0">
    <w:name w:val="App Subsection"/>
    <w:basedOn w:val="AppSection"/>
    <w:next w:val="Normal"/>
    <w:rsid w:val="009A79DA"/>
    <w:pPr>
      <w:numPr>
        <w:ilvl w:val="0"/>
        <w:numId w:val="0"/>
      </w:numPr>
      <w:spacing w:before="480"/>
      <w:ind w:left="-32767"/>
      <w:jc w:val="left"/>
      <w:outlineLvl w:val="2"/>
    </w:pPr>
    <w:rPr>
      <w:caps w:val="0"/>
    </w:rPr>
  </w:style>
  <w:style w:type="paragraph" w:customStyle="1" w:styleId="TableofContentsHeading">
    <w:name w:val="Table of Contents Heading"/>
    <w:basedOn w:val="Preliminary"/>
    <w:qFormat/>
    <w:rsid w:val="009A79DA"/>
    <w:pPr>
      <w:spacing w:before="0" w:line="480" w:lineRule="auto"/>
    </w:pPr>
    <w:rPr>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80509">
      <w:bodyDiv w:val="1"/>
      <w:marLeft w:val="0"/>
      <w:marRight w:val="0"/>
      <w:marTop w:val="0"/>
      <w:marBottom w:val="0"/>
      <w:divBdr>
        <w:top w:val="none" w:sz="0" w:space="0" w:color="auto"/>
        <w:left w:val="none" w:sz="0" w:space="0" w:color="auto"/>
        <w:bottom w:val="none" w:sz="0" w:space="0" w:color="auto"/>
        <w:right w:val="none" w:sz="0" w:space="0" w:color="auto"/>
      </w:divBdr>
    </w:div>
    <w:div w:id="293683728">
      <w:bodyDiv w:val="1"/>
      <w:marLeft w:val="0"/>
      <w:marRight w:val="0"/>
      <w:marTop w:val="0"/>
      <w:marBottom w:val="0"/>
      <w:divBdr>
        <w:top w:val="none" w:sz="0" w:space="0" w:color="auto"/>
        <w:left w:val="none" w:sz="0" w:space="0" w:color="auto"/>
        <w:bottom w:val="none" w:sz="0" w:space="0" w:color="auto"/>
        <w:right w:val="none" w:sz="0" w:space="0" w:color="auto"/>
      </w:divBdr>
    </w:div>
    <w:div w:id="417407773">
      <w:bodyDiv w:val="1"/>
      <w:marLeft w:val="0"/>
      <w:marRight w:val="0"/>
      <w:marTop w:val="0"/>
      <w:marBottom w:val="0"/>
      <w:divBdr>
        <w:top w:val="none" w:sz="0" w:space="0" w:color="auto"/>
        <w:left w:val="none" w:sz="0" w:space="0" w:color="auto"/>
        <w:bottom w:val="none" w:sz="0" w:space="0" w:color="auto"/>
        <w:right w:val="none" w:sz="0" w:space="0" w:color="auto"/>
      </w:divBdr>
    </w:div>
    <w:div w:id="601375247">
      <w:bodyDiv w:val="1"/>
      <w:marLeft w:val="0"/>
      <w:marRight w:val="0"/>
      <w:marTop w:val="0"/>
      <w:marBottom w:val="0"/>
      <w:divBdr>
        <w:top w:val="none" w:sz="0" w:space="0" w:color="auto"/>
        <w:left w:val="none" w:sz="0" w:space="0" w:color="auto"/>
        <w:bottom w:val="none" w:sz="0" w:space="0" w:color="auto"/>
        <w:right w:val="none" w:sz="0" w:space="0" w:color="auto"/>
      </w:divBdr>
    </w:div>
    <w:div w:id="860170553">
      <w:bodyDiv w:val="1"/>
      <w:marLeft w:val="0"/>
      <w:marRight w:val="0"/>
      <w:marTop w:val="0"/>
      <w:marBottom w:val="0"/>
      <w:divBdr>
        <w:top w:val="none" w:sz="0" w:space="0" w:color="auto"/>
        <w:left w:val="none" w:sz="0" w:space="0" w:color="auto"/>
        <w:bottom w:val="none" w:sz="0" w:space="0" w:color="auto"/>
        <w:right w:val="none" w:sz="0" w:space="0" w:color="auto"/>
      </w:divBdr>
    </w:div>
    <w:div w:id="946349282">
      <w:bodyDiv w:val="1"/>
      <w:marLeft w:val="0"/>
      <w:marRight w:val="0"/>
      <w:marTop w:val="0"/>
      <w:marBottom w:val="0"/>
      <w:divBdr>
        <w:top w:val="none" w:sz="0" w:space="0" w:color="auto"/>
        <w:left w:val="none" w:sz="0" w:space="0" w:color="auto"/>
        <w:bottom w:val="none" w:sz="0" w:space="0" w:color="auto"/>
        <w:right w:val="none" w:sz="0" w:space="0" w:color="auto"/>
      </w:divBdr>
    </w:div>
    <w:div w:id="1187676086">
      <w:bodyDiv w:val="1"/>
      <w:marLeft w:val="0"/>
      <w:marRight w:val="0"/>
      <w:marTop w:val="0"/>
      <w:marBottom w:val="0"/>
      <w:divBdr>
        <w:top w:val="none" w:sz="0" w:space="0" w:color="auto"/>
        <w:left w:val="none" w:sz="0" w:space="0" w:color="auto"/>
        <w:bottom w:val="none" w:sz="0" w:space="0" w:color="auto"/>
        <w:right w:val="none" w:sz="0" w:space="0" w:color="auto"/>
      </w:divBdr>
    </w:div>
    <w:div w:id="1215040445">
      <w:bodyDiv w:val="1"/>
      <w:marLeft w:val="0"/>
      <w:marRight w:val="0"/>
      <w:marTop w:val="0"/>
      <w:marBottom w:val="0"/>
      <w:divBdr>
        <w:top w:val="none" w:sz="0" w:space="0" w:color="auto"/>
        <w:left w:val="none" w:sz="0" w:space="0" w:color="auto"/>
        <w:bottom w:val="none" w:sz="0" w:space="0" w:color="auto"/>
        <w:right w:val="none" w:sz="0" w:space="0" w:color="auto"/>
      </w:divBdr>
    </w:div>
    <w:div w:id="1725175630">
      <w:bodyDiv w:val="1"/>
      <w:marLeft w:val="0"/>
      <w:marRight w:val="0"/>
      <w:marTop w:val="0"/>
      <w:marBottom w:val="0"/>
      <w:divBdr>
        <w:top w:val="none" w:sz="0" w:space="0" w:color="auto"/>
        <w:left w:val="none" w:sz="0" w:space="0" w:color="auto"/>
        <w:bottom w:val="none" w:sz="0" w:space="0" w:color="auto"/>
        <w:right w:val="none" w:sz="0" w:space="0" w:color="auto"/>
      </w:divBdr>
    </w:div>
    <w:div w:id="1760829602">
      <w:bodyDiv w:val="1"/>
      <w:marLeft w:val="0"/>
      <w:marRight w:val="0"/>
      <w:marTop w:val="0"/>
      <w:marBottom w:val="0"/>
      <w:divBdr>
        <w:top w:val="none" w:sz="0" w:space="0" w:color="auto"/>
        <w:left w:val="none" w:sz="0" w:space="0" w:color="auto"/>
        <w:bottom w:val="none" w:sz="0" w:space="0" w:color="auto"/>
        <w:right w:val="none" w:sz="0" w:space="0" w:color="auto"/>
      </w:divBdr>
    </w:div>
    <w:div w:id="1779447294">
      <w:bodyDiv w:val="1"/>
      <w:marLeft w:val="0"/>
      <w:marRight w:val="0"/>
      <w:marTop w:val="0"/>
      <w:marBottom w:val="0"/>
      <w:divBdr>
        <w:top w:val="none" w:sz="0" w:space="0" w:color="auto"/>
        <w:left w:val="none" w:sz="0" w:space="0" w:color="auto"/>
        <w:bottom w:val="none" w:sz="0" w:space="0" w:color="auto"/>
        <w:right w:val="none" w:sz="0" w:space="0" w:color="auto"/>
      </w:divBdr>
    </w:div>
    <w:div w:id="1792935127">
      <w:bodyDiv w:val="1"/>
      <w:marLeft w:val="0"/>
      <w:marRight w:val="0"/>
      <w:marTop w:val="0"/>
      <w:marBottom w:val="0"/>
      <w:divBdr>
        <w:top w:val="none" w:sz="0" w:space="0" w:color="auto"/>
        <w:left w:val="none" w:sz="0" w:space="0" w:color="auto"/>
        <w:bottom w:val="none" w:sz="0" w:space="0" w:color="auto"/>
        <w:right w:val="none" w:sz="0" w:space="0" w:color="auto"/>
      </w:divBdr>
    </w:div>
    <w:div w:id="2010476514">
      <w:bodyDiv w:val="1"/>
      <w:marLeft w:val="0"/>
      <w:marRight w:val="0"/>
      <w:marTop w:val="0"/>
      <w:marBottom w:val="0"/>
      <w:divBdr>
        <w:top w:val="none" w:sz="0" w:space="0" w:color="auto"/>
        <w:left w:val="none" w:sz="0" w:space="0" w:color="auto"/>
        <w:bottom w:val="none" w:sz="0" w:space="0" w:color="auto"/>
        <w:right w:val="none" w:sz="0" w:space="0" w:color="auto"/>
      </w:divBdr>
    </w:div>
    <w:div w:id="2036729734">
      <w:bodyDiv w:val="1"/>
      <w:marLeft w:val="0"/>
      <w:marRight w:val="0"/>
      <w:marTop w:val="0"/>
      <w:marBottom w:val="0"/>
      <w:divBdr>
        <w:top w:val="none" w:sz="0" w:space="0" w:color="auto"/>
        <w:left w:val="none" w:sz="0" w:space="0" w:color="auto"/>
        <w:bottom w:val="none" w:sz="0" w:space="0" w:color="auto"/>
        <w:right w:val="none" w:sz="0" w:space="0" w:color="auto"/>
      </w:divBdr>
    </w:div>
    <w:div w:id="2075011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hyperlink" Target="https://www.primarycareprogress.org/primary-care-case/" TargetMode="Externa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yperlink" Target="https://www.pennmedicine.org/updates/blogs/health-and-wellness/2014/march/the-importance-of-primary-care-physicians"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yperlink" Target="http://mchp-appserv.cpe.umanitoba.ca/viewConcept.php?printer=Y&amp;conceptID=14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s://www.aafp.org/about/policies/all/primary-care.html" TargetMode="Externa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hyperlink" Target="https://www.aafp.org/about/policies/all/definition-care.html" TargetMode="Externa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hyperlink" Target="https://www-bmj-com.pitt.idm.oclc.org/content/327/7425/1219.short"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10.xml.rels><?xml version="1.0" encoding="UTF-8" standalone="yes"?>
<Relationships xmlns="http://schemas.openxmlformats.org/package/2006/relationships"><Relationship Id="rId1" Type="http://schemas.openxmlformats.org/officeDocument/2006/relationships/oleObject" Target="file:///C:\Users\mmenon2\Desktop\Patient%20Continuity%20Index\CI%20all%20practice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mmenon2\Desktop\Patient%20Continuity%20Index\CI%20all%20practice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mmenon2\Desktop\Patient%20Continuity%20Index\CI%20all%20practice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mmenon2\Desktop\Patient%20Continuity%20Index\CI%20all%20practice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Users\monicamenon\Desktop\Patient%20Continuity:MHA%20Essay\CI%20all%20practic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menon2\Desktop\Patient%20Continuity%20Index\CI%20all%20practic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menon2\Desktop\Patient%20Continuity%20Index\CI%20all%20practices.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Users\monicamenon\Desktop\Patient%20Continuity:MHA%20Essay\CI%20all%20practices.xlsx" TargetMode="External"/><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oleObject" Target="file:///\\Users\monicamenon\Desktop\Patient%20Continuity:MHA%20Essay\CI%20all%20practices.xlsx" TargetMode="External"/><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3" Type="http://schemas.openxmlformats.org/officeDocument/2006/relationships/oleObject" Target="file:///\\Users\monicamenon\Desktop\Patient%20Continuity:MHA%20Essay\CI%20all%20practices.xlsx" TargetMode="External"/><Relationship Id="rId2" Type="http://schemas.microsoft.com/office/2011/relationships/chartColorStyle" Target="colors3.xml"/><Relationship Id="rId1" Type="http://schemas.microsoft.com/office/2011/relationships/chartStyle" Target="style3.xml"/></Relationships>
</file>

<file path=word/charts/_rels/chart7.xml.rels><?xml version="1.0" encoding="UTF-8" standalone="yes"?>
<Relationships xmlns="http://schemas.openxmlformats.org/package/2006/relationships"><Relationship Id="rId3" Type="http://schemas.openxmlformats.org/officeDocument/2006/relationships/oleObject" Target="file:///\\Users\monicamenon\Desktop\Patient%20Continuity:MHA%20Essay\CI%20all%20practices.xlsx" TargetMode="External"/><Relationship Id="rId2" Type="http://schemas.microsoft.com/office/2011/relationships/chartColorStyle" Target="colors4.xml"/><Relationship Id="rId1" Type="http://schemas.microsoft.com/office/2011/relationships/chartStyle" Target="style4.xml"/></Relationships>
</file>

<file path=word/charts/_rels/chart8.xml.rels><?xml version="1.0" encoding="UTF-8" standalone="yes"?>
<Relationships xmlns="http://schemas.openxmlformats.org/package/2006/relationships"><Relationship Id="rId3" Type="http://schemas.openxmlformats.org/officeDocument/2006/relationships/oleObject" Target="file:///\\Users\monicamenon\Desktop\Patient%20Continuity:MHA%20Essay\CI%20all%20practices.xlsx" TargetMode="External"/><Relationship Id="rId2" Type="http://schemas.microsoft.com/office/2011/relationships/chartColorStyle" Target="colors5.xml"/><Relationship Id="rId1" Type="http://schemas.microsoft.com/office/2011/relationships/chartStyle" Target="style5.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mmenon2\Desktop\Patient%20Continuity%20Index\CI%20all%20practic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Care of Continuity Index</a:t>
            </a:r>
          </a:p>
        </c:rich>
      </c:tx>
      <c:layout/>
      <c:overlay val="0"/>
    </c:title>
    <c:autoTitleDeleted val="0"/>
    <c:plotArea>
      <c:layout>
        <c:manualLayout>
          <c:layoutTarget val="inner"/>
          <c:xMode val="edge"/>
          <c:yMode val="edge"/>
          <c:x val="6.2397200349956203E-2"/>
          <c:y val="0.138063181291528"/>
          <c:w val="0.86670959098862599"/>
          <c:h val="0.822897779669433"/>
        </c:manualLayout>
      </c:layout>
      <c:barChart>
        <c:barDir val="col"/>
        <c:grouping val="clustered"/>
        <c:varyColors val="0"/>
        <c:ser>
          <c:idx val="0"/>
          <c:order val="0"/>
          <c:tx>
            <c:strRef>
              <c:f>Sheet1!$B$1</c:f>
              <c:strCache>
                <c:ptCount val="1"/>
                <c:pt idx="0">
                  <c:v>CI</c:v>
                </c:pt>
              </c:strCache>
            </c:strRef>
          </c:tx>
          <c:invertIfNegative val="0"/>
          <c:cat>
            <c:strRef>
              <c:f>Sheet1!$A$2:$A$56</c:f>
              <c:strCache>
                <c:ptCount val="55"/>
                <c:pt idx="0">
                  <c:v>AGH IM</c:v>
                </c:pt>
                <c:pt idx="1">
                  <c:v>AHN-Stone Quarry</c:v>
                </c:pt>
                <c:pt idx="2">
                  <c:v>AGH Internal Medicine-Harmarville</c:v>
                </c:pt>
                <c:pt idx="3">
                  <c:v>North Hills-Internal Medicine</c:v>
                </c:pt>
                <c:pt idx="4">
                  <c:v>Allegheny Clinic Primary Care</c:v>
                </c:pt>
                <c:pt idx="5">
                  <c:v>Century III Medical Practice</c:v>
                </c:pt>
                <c:pt idx="6">
                  <c:v>Community Primary Care</c:v>
                </c:pt>
                <c:pt idx="7">
                  <c:v>Crafton Medical Center</c:v>
                </c:pt>
                <c:pt idx="8">
                  <c:v>Cranberry Internal Medicine</c:v>
                </c:pt>
                <c:pt idx="9">
                  <c:v>AHN Ellwood City Primary Care</c:v>
                </c:pt>
                <c:pt idx="10">
                  <c:v>Green Tree Medical Associates</c:v>
                </c:pt>
                <c:pt idx="11">
                  <c:v>AHN Grove City Primary Care</c:v>
                </c:pt>
                <c:pt idx="12">
                  <c:v>Highmark Employee Health</c:v>
                </c:pt>
                <c:pt idx="13">
                  <c:v>Hussaini Medical Practice</c:v>
                </c:pt>
                <c:pt idx="14">
                  <c:v>Pine Hollow Medical Associates</c:v>
                </c:pt>
                <c:pt idx="15">
                  <c:v>Pine Richland Medical Associates</c:v>
                </c:pt>
                <c:pt idx="16">
                  <c:v>Pittsburgh General Medicine Associates</c:v>
                </c:pt>
                <c:pt idx="17">
                  <c:v>Polinski Medical</c:v>
                </c:pt>
                <c:pt idx="18">
                  <c:v>Primary Care Northside</c:v>
                </c:pt>
                <c:pt idx="19">
                  <c:v>AHN Slippery Rock Primary Care</c:v>
                </c:pt>
                <c:pt idx="20">
                  <c:v>Wexford Medical Practice</c:v>
                </c:pt>
                <c:pt idx="21">
                  <c:v>Alle-Kiski Medical Associates</c:v>
                </c:pt>
                <c:pt idx="22">
                  <c:v>Allegheny Township Medical Associates</c:v>
                </c:pt>
                <c:pt idx="23">
                  <c:v>Allegheny Valley Internal Medicine</c:v>
                </c:pt>
                <c:pt idx="24">
                  <c:v>AHN Allegheny Valley North</c:v>
                </c:pt>
                <c:pt idx="25">
                  <c:v>AHN Worthington Primary Care</c:v>
                </c:pt>
                <c:pt idx="26">
                  <c:v>Patel and Ong</c:v>
                </c:pt>
                <c:pt idx="27">
                  <c:v>Paul A. Reily, MD and Associates</c:v>
                </c:pt>
                <c:pt idx="28">
                  <c:v>United Physicians</c:v>
                </c:pt>
                <c:pt idx="29">
                  <c:v>CGH Hospitalists</c:v>
                </c:pt>
                <c:pt idx="30">
                  <c:v>Primary Care Professionals</c:v>
                </c:pt>
                <c:pt idx="31">
                  <c:v>Primary Care South</c:v>
                </c:pt>
                <c:pt idx="32">
                  <c:v>Washington Internal Medicine</c:v>
                </c:pt>
                <c:pt idx="33">
                  <c:v>Waterdam Family Practice</c:v>
                </c:pt>
                <c:pt idx="34">
                  <c:v>AHN Squirrel Hill Primary Care</c:v>
                </c:pt>
                <c:pt idx="35">
                  <c:v>Bonacorsi, Brown, and Johnson</c:v>
                </c:pt>
                <c:pt idx="36">
                  <c:v>The Primary Care Place</c:v>
                </c:pt>
                <c:pt idx="37">
                  <c:v>West Penn Medical Associates</c:v>
                </c:pt>
                <c:pt idx="38">
                  <c:v>Allegheny Family Medicine East</c:v>
                </c:pt>
                <c:pt idx="39">
                  <c:v>DPA Medical Services</c:v>
                </c:pt>
                <c:pt idx="40">
                  <c:v>Robert Fetchero</c:v>
                </c:pt>
                <c:pt idx="41">
                  <c:v>Forbes Family Medicine</c:v>
                </c:pt>
                <c:pt idx="42">
                  <c:v>Greensburg Medical Associates</c:v>
                </c:pt>
                <c:pt idx="43">
                  <c:v>Irwin Primary Care Associates</c:v>
                </c:pt>
                <c:pt idx="44">
                  <c:v>Mamatas-Ragoor Primary Care Associates</c:v>
                </c:pt>
                <c:pt idx="45">
                  <c:v>Milstein Medical Group, INC</c:v>
                </c:pt>
                <c:pt idx="46">
                  <c:v>Murrysville Internal and Family Medicine Associates</c:v>
                </c:pt>
                <c:pt idx="47">
                  <c:v>Madhusudan Menon, MD</c:v>
                </c:pt>
                <c:pt idx="48">
                  <c:v>Joseph A. Santiesteban, MD</c:v>
                </c:pt>
                <c:pt idx="49">
                  <c:v>JRMC McMurray</c:v>
                </c:pt>
                <c:pt idx="50">
                  <c:v>Prime Medical Group</c:v>
                </c:pt>
                <c:pt idx="51">
                  <c:v>Urgent Care</c:v>
                </c:pt>
                <c:pt idx="52">
                  <c:v>Northside Christian Health Center</c:v>
                </c:pt>
                <c:pt idx="53">
                  <c:v>AGH IM residents</c:v>
                </c:pt>
                <c:pt idx="54">
                  <c:v>West Penn Residents</c:v>
                </c:pt>
              </c:strCache>
            </c:strRef>
          </c:cat>
          <c:val>
            <c:numRef>
              <c:f>Sheet1!$B$2:$B$56</c:f>
              <c:numCache>
                <c:formatCode>General</c:formatCode>
                <c:ptCount val="55"/>
                <c:pt idx="0">
                  <c:v>0.47199999999999998</c:v>
                </c:pt>
                <c:pt idx="1">
                  <c:v>0.79</c:v>
                </c:pt>
                <c:pt idx="2">
                  <c:v>0.89200000000000002</c:v>
                </c:pt>
                <c:pt idx="3">
                  <c:v>0.48099999999999998</c:v>
                </c:pt>
                <c:pt idx="4">
                  <c:v>0.54500000000000004</c:v>
                </c:pt>
                <c:pt idx="5">
                  <c:v>0.50600000000000001</c:v>
                </c:pt>
                <c:pt idx="6">
                  <c:v>0.66900000000000004</c:v>
                </c:pt>
                <c:pt idx="7">
                  <c:v>0.84199999999999997</c:v>
                </c:pt>
                <c:pt idx="8">
                  <c:v>0.47799999999999998</c:v>
                </c:pt>
                <c:pt idx="9">
                  <c:v>0.85599999999999998</c:v>
                </c:pt>
                <c:pt idx="10">
                  <c:v>0.66700000000000004</c:v>
                </c:pt>
                <c:pt idx="11">
                  <c:v>0.45</c:v>
                </c:pt>
                <c:pt idx="12">
                  <c:v>0</c:v>
                </c:pt>
                <c:pt idx="13">
                  <c:v>0.746</c:v>
                </c:pt>
                <c:pt idx="14">
                  <c:v>0.84199999999999997</c:v>
                </c:pt>
                <c:pt idx="15">
                  <c:v>0.57499999999999996</c:v>
                </c:pt>
                <c:pt idx="16">
                  <c:v>0.58199999999999996</c:v>
                </c:pt>
                <c:pt idx="17">
                  <c:v>0.64800000000000002</c:v>
                </c:pt>
                <c:pt idx="18">
                  <c:v>0.91</c:v>
                </c:pt>
                <c:pt idx="19">
                  <c:v>0.54900000000000004</c:v>
                </c:pt>
                <c:pt idx="20">
                  <c:v>0.77500000000000002</c:v>
                </c:pt>
                <c:pt idx="21">
                  <c:v>0.70399999999999996</c:v>
                </c:pt>
                <c:pt idx="22">
                  <c:v>0.67600000000000005</c:v>
                </c:pt>
                <c:pt idx="23">
                  <c:v>0.72199999999999998</c:v>
                </c:pt>
                <c:pt idx="24">
                  <c:v>0.51900000000000002</c:v>
                </c:pt>
                <c:pt idx="25">
                  <c:v>0.82599999999999996</c:v>
                </c:pt>
                <c:pt idx="26">
                  <c:v>0.51700000000000002</c:v>
                </c:pt>
                <c:pt idx="27">
                  <c:v>0.92100000000000004</c:v>
                </c:pt>
                <c:pt idx="28">
                  <c:v>0.78300000000000003</c:v>
                </c:pt>
                <c:pt idx="29">
                  <c:v>0.64700000000000002</c:v>
                </c:pt>
                <c:pt idx="30">
                  <c:v>0.63700000000000001</c:v>
                </c:pt>
                <c:pt idx="31">
                  <c:v>0.19500000000000001</c:v>
                </c:pt>
                <c:pt idx="32">
                  <c:v>0.96299999999999997</c:v>
                </c:pt>
                <c:pt idx="33">
                  <c:v>0.39800000000000002</c:v>
                </c:pt>
                <c:pt idx="34">
                  <c:v>0.84499999999999997</c:v>
                </c:pt>
                <c:pt idx="35">
                  <c:v>0.80900000000000005</c:v>
                </c:pt>
                <c:pt idx="36">
                  <c:v>0.63900000000000001</c:v>
                </c:pt>
                <c:pt idx="37">
                  <c:v>0.47899999999999998</c:v>
                </c:pt>
                <c:pt idx="38">
                  <c:v>0.6</c:v>
                </c:pt>
                <c:pt idx="39">
                  <c:v>0.998</c:v>
                </c:pt>
                <c:pt idx="40">
                  <c:v>0.67200000000000004</c:v>
                </c:pt>
                <c:pt idx="41">
                  <c:v>0.34300000000000003</c:v>
                </c:pt>
                <c:pt idx="42">
                  <c:v>0.99399999999999999</c:v>
                </c:pt>
                <c:pt idx="43">
                  <c:v>0.80100000000000005</c:v>
                </c:pt>
                <c:pt idx="44">
                  <c:v>0.503</c:v>
                </c:pt>
                <c:pt idx="45">
                  <c:v>0.94599999999999995</c:v>
                </c:pt>
                <c:pt idx="46">
                  <c:v>0.79800000000000004</c:v>
                </c:pt>
                <c:pt idx="47">
                  <c:v>0.97399999999999998</c:v>
                </c:pt>
                <c:pt idx="48">
                  <c:v>0.90700000000000003</c:v>
                </c:pt>
                <c:pt idx="49">
                  <c:v>0.58699999999999997</c:v>
                </c:pt>
                <c:pt idx="50">
                  <c:v>0.58099999999999996</c:v>
                </c:pt>
                <c:pt idx="51">
                  <c:v>0.52500000000000002</c:v>
                </c:pt>
                <c:pt idx="52">
                  <c:v>0</c:v>
                </c:pt>
                <c:pt idx="53">
                  <c:v>0.34499999999999997</c:v>
                </c:pt>
                <c:pt idx="54">
                  <c:v>0.32500000000000001</c:v>
                </c:pt>
              </c:numCache>
            </c:numRef>
          </c:val>
          <c:extLst>
            <c:ext xmlns:c16="http://schemas.microsoft.com/office/drawing/2014/chart" uri="{C3380CC4-5D6E-409C-BE32-E72D297353CC}">
              <c16:uniqueId val="{00000000-648D-42C9-8AB5-AF5903828C8E}"/>
            </c:ext>
          </c:extLst>
        </c:ser>
        <c:dLbls>
          <c:showLegendKey val="0"/>
          <c:showVal val="0"/>
          <c:showCatName val="0"/>
          <c:showSerName val="0"/>
          <c:showPercent val="0"/>
          <c:showBubbleSize val="0"/>
        </c:dLbls>
        <c:gapWidth val="150"/>
        <c:axId val="2044168032"/>
        <c:axId val="2044171424"/>
      </c:barChart>
      <c:catAx>
        <c:axId val="2044168032"/>
        <c:scaling>
          <c:orientation val="minMax"/>
        </c:scaling>
        <c:delete val="1"/>
        <c:axPos val="b"/>
        <c:title>
          <c:tx>
            <c:rich>
              <a:bodyPr/>
              <a:lstStyle/>
              <a:p>
                <a:pPr>
                  <a:defRPr/>
                </a:pPr>
                <a:r>
                  <a:rPr lang="en-US"/>
                  <a:t>Provider</a:t>
                </a:r>
                <a:r>
                  <a:rPr lang="en-US" baseline="0"/>
                  <a:t> Practice</a:t>
                </a:r>
                <a:endParaRPr lang="en-US"/>
              </a:p>
            </c:rich>
          </c:tx>
          <c:layout/>
          <c:overlay val="0"/>
        </c:title>
        <c:numFmt formatCode="General" sourceLinked="0"/>
        <c:majorTickMark val="out"/>
        <c:minorTickMark val="none"/>
        <c:tickLblPos val="nextTo"/>
        <c:crossAx val="2044171424"/>
        <c:crosses val="autoZero"/>
        <c:auto val="1"/>
        <c:lblAlgn val="ctr"/>
        <c:lblOffset val="100"/>
        <c:noMultiLvlLbl val="0"/>
      </c:catAx>
      <c:valAx>
        <c:axId val="2044171424"/>
        <c:scaling>
          <c:orientation val="minMax"/>
        </c:scaling>
        <c:delete val="0"/>
        <c:axPos val="l"/>
        <c:majorGridlines/>
        <c:title>
          <c:tx>
            <c:rich>
              <a:bodyPr/>
              <a:lstStyle/>
              <a:p>
                <a:pPr>
                  <a:defRPr/>
                </a:pPr>
                <a:r>
                  <a:rPr lang="en-US"/>
                  <a:t>Care of Continuity Index</a:t>
                </a:r>
              </a:p>
            </c:rich>
          </c:tx>
          <c:layout/>
          <c:overlay val="0"/>
        </c:title>
        <c:numFmt formatCode="General" sourceLinked="1"/>
        <c:majorTickMark val="out"/>
        <c:minorTickMark val="none"/>
        <c:tickLblPos val="nextTo"/>
        <c:crossAx val="2044168032"/>
        <c:crosses val="autoZero"/>
        <c:crossBetween val="between"/>
      </c:valAx>
    </c:plotArea>
    <c:legend>
      <c:legendPos val="r"/>
      <c:layout/>
      <c:overlay val="0"/>
    </c:legend>
    <c:plotVisOnly val="1"/>
    <c:dispBlanksAs val="gap"/>
    <c:showDLblsOverMax val="0"/>
  </c:chart>
  <c:spPr>
    <a:solidFill>
      <a:schemeClr val="bg1"/>
    </a:solidFill>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Standard Vs Continuity Index</a:t>
            </a:r>
          </a:p>
        </c:rich>
      </c:tx>
      <c:overlay val="0"/>
    </c:title>
    <c:autoTitleDeleted val="0"/>
    <c:plotArea>
      <c:layout/>
      <c:scatterChart>
        <c:scatterStyle val="lineMarker"/>
        <c:varyColors val="0"/>
        <c:ser>
          <c:idx val="0"/>
          <c:order val="0"/>
          <c:tx>
            <c:strRef>
              <c:f>'PT Exp-Overall Standard'!$C$1</c:f>
              <c:strCache>
                <c:ptCount val="1"/>
                <c:pt idx="0">
                  <c:v>Overall Standard</c:v>
                </c:pt>
              </c:strCache>
            </c:strRef>
          </c:tx>
          <c:spPr>
            <a:ln w="28575">
              <a:noFill/>
            </a:ln>
          </c:spPr>
          <c:xVal>
            <c:numRef>
              <c:f>'PT Exp-Overall Standard'!$B$2:$B$56</c:f>
              <c:numCache>
                <c:formatCode>General</c:formatCode>
                <c:ptCount val="55"/>
                <c:pt idx="0">
                  <c:v>0.47199999999999998</c:v>
                </c:pt>
                <c:pt idx="1">
                  <c:v>0.79</c:v>
                </c:pt>
                <c:pt idx="2">
                  <c:v>0.89200000000000002</c:v>
                </c:pt>
                <c:pt idx="3">
                  <c:v>0.48099999999999998</c:v>
                </c:pt>
                <c:pt idx="4">
                  <c:v>0.54500000000000004</c:v>
                </c:pt>
                <c:pt idx="5">
                  <c:v>0.50600000000000001</c:v>
                </c:pt>
                <c:pt idx="6">
                  <c:v>0.66900000000000004</c:v>
                </c:pt>
                <c:pt idx="7">
                  <c:v>0.84199999999999997</c:v>
                </c:pt>
                <c:pt idx="8">
                  <c:v>0.47799999999999998</c:v>
                </c:pt>
                <c:pt idx="9">
                  <c:v>0.85599999999999998</c:v>
                </c:pt>
                <c:pt idx="10">
                  <c:v>0.66700000000000004</c:v>
                </c:pt>
                <c:pt idx="11">
                  <c:v>0.45</c:v>
                </c:pt>
                <c:pt idx="12">
                  <c:v>0</c:v>
                </c:pt>
                <c:pt idx="13">
                  <c:v>0.746</c:v>
                </c:pt>
                <c:pt idx="14">
                  <c:v>0.84199999999999997</c:v>
                </c:pt>
                <c:pt idx="15">
                  <c:v>0.57499999999999996</c:v>
                </c:pt>
                <c:pt idx="16">
                  <c:v>0.58199999999999996</c:v>
                </c:pt>
                <c:pt idx="17">
                  <c:v>0.64800000000000002</c:v>
                </c:pt>
                <c:pt idx="18">
                  <c:v>0.91</c:v>
                </c:pt>
                <c:pt idx="19">
                  <c:v>0.54900000000000004</c:v>
                </c:pt>
                <c:pt idx="20">
                  <c:v>0.77500000000000002</c:v>
                </c:pt>
                <c:pt idx="21">
                  <c:v>0.70399999999999996</c:v>
                </c:pt>
                <c:pt idx="22">
                  <c:v>0.67600000000000005</c:v>
                </c:pt>
                <c:pt idx="23">
                  <c:v>0.72199999999999998</c:v>
                </c:pt>
                <c:pt idx="24">
                  <c:v>0.51900000000000002</c:v>
                </c:pt>
                <c:pt idx="25">
                  <c:v>0.82599999999999996</c:v>
                </c:pt>
                <c:pt idx="26">
                  <c:v>0.51700000000000002</c:v>
                </c:pt>
                <c:pt idx="27">
                  <c:v>0.92100000000000004</c:v>
                </c:pt>
                <c:pt idx="28">
                  <c:v>0.78300000000000003</c:v>
                </c:pt>
                <c:pt idx="29">
                  <c:v>0.64700000000000002</c:v>
                </c:pt>
                <c:pt idx="30">
                  <c:v>0.63700000000000001</c:v>
                </c:pt>
                <c:pt idx="31">
                  <c:v>0.19500000000000001</c:v>
                </c:pt>
                <c:pt idx="32">
                  <c:v>0.96299999999999997</c:v>
                </c:pt>
                <c:pt idx="33">
                  <c:v>0.39800000000000002</c:v>
                </c:pt>
                <c:pt idx="34">
                  <c:v>0.84499999999999997</c:v>
                </c:pt>
                <c:pt idx="35">
                  <c:v>0.80900000000000005</c:v>
                </c:pt>
                <c:pt idx="36">
                  <c:v>0.63900000000000001</c:v>
                </c:pt>
                <c:pt idx="37">
                  <c:v>0.47899999999999998</c:v>
                </c:pt>
                <c:pt idx="38">
                  <c:v>0.6</c:v>
                </c:pt>
                <c:pt idx="39">
                  <c:v>0.998</c:v>
                </c:pt>
                <c:pt idx="40">
                  <c:v>0.67200000000000004</c:v>
                </c:pt>
                <c:pt idx="41">
                  <c:v>0.34300000000000003</c:v>
                </c:pt>
                <c:pt idx="42">
                  <c:v>0.99399999999999999</c:v>
                </c:pt>
                <c:pt idx="43">
                  <c:v>0.80100000000000005</c:v>
                </c:pt>
                <c:pt idx="44">
                  <c:v>0.503</c:v>
                </c:pt>
                <c:pt idx="45">
                  <c:v>0.94599999999999995</c:v>
                </c:pt>
                <c:pt idx="46">
                  <c:v>0.79800000000000004</c:v>
                </c:pt>
                <c:pt idx="47">
                  <c:v>0.97399999999999998</c:v>
                </c:pt>
                <c:pt idx="48">
                  <c:v>0.90700000000000003</c:v>
                </c:pt>
                <c:pt idx="49">
                  <c:v>0.58699999999999997</c:v>
                </c:pt>
                <c:pt idx="50">
                  <c:v>0.58099999999999996</c:v>
                </c:pt>
                <c:pt idx="51">
                  <c:v>0.52500000000000002</c:v>
                </c:pt>
                <c:pt idx="52">
                  <c:v>0</c:v>
                </c:pt>
                <c:pt idx="53">
                  <c:v>0.34499999999999997</c:v>
                </c:pt>
                <c:pt idx="54">
                  <c:v>0.32500000000000001</c:v>
                </c:pt>
              </c:numCache>
            </c:numRef>
          </c:xVal>
          <c:yVal>
            <c:numRef>
              <c:f>'PT Exp-Overall Standard'!$C$2:$C$56</c:f>
              <c:numCache>
                <c:formatCode>General</c:formatCode>
                <c:ptCount val="55"/>
                <c:pt idx="0">
                  <c:v>70</c:v>
                </c:pt>
                <c:pt idx="1">
                  <c:v>25</c:v>
                </c:pt>
                <c:pt idx="3">
                  <c:v>84</c:v>
                </c:pt>
                <c:pt idx="4">
                  <c:v>26</c:v>
                </c:pt>
                <c:pt idx="5">
                  <c:v>14</c:v>
                </c:pt>
                <c:pt idx="6">
                  <c:v>39</c:v>
                </c:pt>
                <c:pt idx="7">
                  <c:v>58</c:v>
                </c:pt>
                <c:pt idx="8">
                  <c:v>42</c:v>
                </c:pt>
                <c:pt idx="10">
                  <c:v>10</c:v>
                </c:pt>
                <c:pt idx="11">
                  <c:v>95</c:v>
                </c:pt>
                <c:pt idx="13">
                  <c:v>99</c:v>
                </c:pt>
                <c:pt idx="14">
                  <c:v>51</c:v>
                </c:pt>
                <c:pt idx="15">
                  <c:v>49</c:v>
                </c:pt>
                <c:pt idx="16">
                  <c:v>38</c:v>
                </c:pt>
                <c:pt idx="17">
                  <c:v>27</c:v>
                </c:pt>
                <c:pt idx="18">
                  <c:v>95</c:v>
                </c:pt>
                <c:pt idx="19">
                  <c:v>27</c:v>
                </c:pt>
                <c:pt idx="20">
                  <c:v>31</c:v>
                </c:pt>
                <c:pt idx="21">
                  <c:v>28</c:v>
                </c:pt>
                <c:pt idx="22">
                  <c:v>65</c:v>
                </c:pt>
                <c:pt idx="23">
                  <c:v>85</c:v>
                </c:pt>
                <c:pt idx="24">
                  <c:v>76</c:v>
                </c:pt>
                <c:pt idx="27">
                  <c:v>71</c:v>
                </c:pt>
                <c:pt idx="28">
                  <c:v>39</c:v>
                </c:pt>
                <c:pt idx="30">
                  <c:v>94</c:v>
                </c:pt>
                <c:pt idx="31">
                  <c:v>96</c:v>
                </c:pt>
                <c:pt idx="32">
                  <c:v>85</c:v>
                </c:pt>
                <c:pt idx="33">
                  <c:v>96</c:v>
                </c:pt>
                <c:pt idx="34">
                  <c:v>50</c:v>
                </c:pt>
                <c:pt idx="35">
                  <c:v>59</c:v>
                </c:pt>
                <c:pt idx="36">
                  <c:v>60</c:v>
                </c:pt>
                <c:pt idx="37">
                  <c:v>90</c:v>
                </c:pt>
                <c:pt idx="38">
                  <c:v>93</c:v>
                </c:pt>
                <c:pt idx="41">
                  <c:v>61</c:v>
                </c:pt>
                <c:pt idx="43">
                  <c:v>81</c:v>
                </c:pt>
                <c:pt idx="46">
                  <c:v>94</c:v>
                </c:pt>
              </c:numCache>
            </c:numRef>
          </c:yVal>
          <c:smooth val="0"/>
          <c:extLst>
            <c:ext xmlns:c16="http://schemas.microsoft.com/office/drawing/2014/chart" uri="{C3380CC4-5D6E-409C-BE32-E72D297353CC}">
              <c16:uniqueId val="{00000000-413D-453E-A0B5-DE05AF3C96FE}"/>
            </c:ext>
          </c:extLst>
        </c:ser>
        <c:dLbls>
          <c:showLegendKey val="0"/>
          <c:showVal val="0"/>
          <c:showCatName val="0"/>
          <c:showSerName val="0"/>
          <c:showPercent val="0"/>
          <c:showBubbleSize val="0"/>
        </c:dLbls>
        <c:axId val="2139758384"/>
        <c:axId val="2139162336"/>
      </c:scatterChart>
      <c:valAx>
        <c:axId val="2139758384"/>
        <c:scaling>
          <c:orientation val="minMax"/>
        </c:scaling>
        <c:delete val="0"/>
        <c:axPos val="b"/>
        <c:title>
          <c:tx>
            <c:rich>
              <a:bodyPr/>
              <a:lstStyle/>
              <a:p>
                <a:pPr>
                  <a:defRPr/>
                </a:pPr>
                <a:r>
                  <a:rPr lang="en-US"/>
                  <a:t>Continuity Index</a:t>
                </a:r>
              </a:p>
            </c:rich>
          </c:tx>
          <c:overlay val="0"/>
        </c:title>
        <c:numFmt formatCode="General" sourceLinked="1"/>
        <c:majorTickMark val="out"/>
        <c:minorTickMark val="none"/>
        <c:tickLblPos val="nextTo"/>
        <c:crossAx val="2139162336"/>
        <c:crosses val="autoZero"/>
        <c:crossBetween val="midCat"/>
      </c:valAx>
      <c:valAx>
        <c:axId val="2139162336"/>
        <c:scaling>
          <c:orientation val="minMax"/>
        </c:scaling>
        <c:delete val="0"/>
        <c:axPos val="l"/>
        <c:majorGridlines/>
        <c:title>
          <c:tx>
            <c:rich>
              <a:bodyPr rot="0" vert="horz"/>
              <a:lstStyle/>
              <a:p>
                <a:pPr>
                  <a:defRPr/>
                </a:pPr>
                <a:r>
                  <a:rPr lang="en-US"/>
                  <a:t>Overall Standard</a:t>
                </a:r>
              </a:p>
            </c:rich>
          </c:tx>
          <c:overlay val="0"/>
        </c:title>
        <c:numFmt formatCode="General" sourceLinked="1"/>
        <c:majorTickMark val="out"/>
        <c:minorTickMark val="none"/>
        <c:tickLblPos val="nextTo"/>
        <c:crossAx val="2139758384"/>
        <c:crosses val="autoZero"/>
        <c:crossBetween val="midCat"/>
      </c:valAx>
    </c:plotArea>
    <c:legend>
      <c:legendPos val="r"/>
      <c:overlay val="0"/>
    </c:legend>
    <c:plotVisOnly val="1"/>
    <c:dispBlanksAs val="gap"/>
    <c:showDLblsOverMax val="0"/>
  </c:chart>
  <c:spPr>
    <a:solidFill>
      <a:schemeClr val="bg1"/>
    </a:solidFill>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CGCAPHS Rank VS Patient Continuity Index</a:t>
            </a:r>
          </a:p>
        </c:rich>
      </c:tx>
      <c:overlay val="0"/>
    </c:title>
    <c:autoTitleDeleted val="0"/>
    <c:plotArea>
      <c:layout/>
      <c:scatterChart>
        <c:scatterStyle val="lineMarker"/>
        <c:varyColors val="0"/>
        <c:ser>
          <c:idx val="0"/>
          <c:order val="0"/>
          <c:tx>
            <c:strRef>
              <c:f>'PT Exp-CGCAPHS'!$C$1</c:f>
              <c:strCache>
                <c:ptCount val="1"/>
                <c:pt idx="0">
                  <c:v>CGCAPHS Rank</c:v>
                </c:pt>
              </c:strCache>
            </c:strRef>
          </c:tx>
          <c:spPr>
            <a:ln w="28575">
              <a:noFill/>
            </a:ln>
          </c:spPr>
          <c:xVal>
            <c:numRef>
              <c:f>'PT Exp-CGCAPHS'!$B$2:$B$56</c:f>
              <c:numCache>
                <c:formatCode>General</c:formatCode>
                <c:ptCount val="55"/>
                <c:pt idx="0">
                  <c:v>0.47199999999999998</c:v>
                </c:pt>
                <c:pt idx="1">
                  <c:v>0.79</c:v>
                </c:pt>
                <c:pt idx="2">
                  <c:v>0.89200000000000002</c:v>
                </c:pt>
                <c:pt idx="3">
                  <c:v>0.48099999999999998</c:v>
                </c:pt>
                <c:pt idx="4">
                  <c:v>0.54500000000000004</c:v>
                </c:pt>
                <c:pt idx="5">
                  <c:v>0.50600000000000001</c:v>
                </c:pt>
                <c:pt idx="6">
                  <c:v>0.66900000000000004</c:v>
                </c:pt>
                <c:pt idx="7">
                  <c:v>0.84199999999999997</c:v>
                </c:pt>
                <c:pt idx="8">
                  <c:v>0.47799999999999998</c:v>
                </c:pt>
                <c:pt idx="9">
                  <c:v>0.85599999999999998</c:v>
                </c:pt>
                <c:pt idx="10">
                  <c:v>0.66700000000000004</c:v>
                </c:pt>
                <c:pt idx="11">
                  <c:v>0.45</c:v>
                </c:pt>
                <c:pt idx="12">
                  <c:v>0</c:v>
                </c:pt>
                <c:pt idx="13">
                  <c:v>0.746</c:v>
                </c:pt>
                <c:pt idx="14">
                  <c:v>0.84199999999999997</c:v>
                </c:pt>
                <c:pt idx="15">
                  <c:v>0.57499999999999996</c:v>
                </c:pt>
                <c:pt idx="16">
                  <c:v>0.58199999999999996</c:v>
                </c:pt>
                <c:pt idx="17">
                  <c:v>0.64800000000000002</c:v>
                </c:pt>
                <c:pt idx="18">
                  <c:v>0.91</c:v>
                </c:pt>
                <c:pt idx="19">
                  <c:v>0.54900000000000004</c:v>
                </c:pt>
                <c:pt idx="20">
                  <c:v>0.77500000000000002</c:v>
                </c:pt>
                <c:pt idx="21">
                  <c:v>0.70399999999999996</c:v>
                </c:pt>
                <c:pt idx="22">
                  <c:v>0.67600000000000005</c:v>
                </c:pt>
                <c:pt idx="23">
                  <c:v>0.72199999999999998</c:v>
                </c:pt>
                <c:pt idx="24">
                  <c:v>0.51900000000000002</c:v>
                </c:pt>
                <c:pt idx="25">
                  <c:v>0.82599999999999996</c:v>
                </c:pt>
                <c:pt idx="26">
                  <c:v>0.51700000000000002</c:v>
                </c:pt>
                <c:pt idx="27">
                  <c:v>0.92100000000000004</c:v>
                </c:pt>
                <c:pt idx="28">
                  <c:v>0.78300000000000003</c:v>
                </c:pt>
                <c:pt idx="29">
                  <c:v>0.64700000000000002</c:v>
                </c:pt>
                <c:pt idx="30">
                  <c:v>0.63700000000000001</c:v>
                </c:pt>
                <c:pt idx="31">
                  <c:v>0.19500000000000001</c:v>
                </c:pt>
                <c:pt idx="32">
                  <c:v>0.96299999999999997</c:v>
                </c:pt>
                <c:pt idx="33">
                  <c:v>0.39800000000000002</c:v>
                </c:pt>
                <c:pt idx="34">
                  <c:v>0.84499999999999997</c:v>
                </c:pt>
                <c:pt idx="35">
                  <c:v>0.80900000000000005</c:v>
                </c:pt>
                <c:pt idx="36">
                  <c:v>0.63900000000000001</c:v>
                </c:pt>
                <c:pt idx="37">
                  <c:v>0.47899999999999998</c:v>
                </c:pt>
                <c:pt idx="38">
                  <c:v>0.6</c:v>
                </c:pt>
                <c:pt idx="39">
                  <c:v>0.998</c:v>
                </c:pt>
                <c:pt idx="40">
                  <c:v>0.67200000000000004</c:v>
                </c:pt>
                <c:pt idx="41">
                  <c:v>0.34300000000000003</c:v>
                </c:pt>
                <c:pt idx="42">
                  <c:v>0.99399999999999999</c:v>
                </c:pt>
                <c:pt idx="43">
                  <c:v>0.80100000000000005</c:v>
                </c:pt>
                <c:pt idx="44">
                  <c:v>0.503</c:v>
                </c:pt>
                <c:pt idx="45">
                  <c:v>0.94599999999999995</c:v>
                </c:pt>
                <c:pt idx="46">
                  <c:v>0.79800000000000004</c:v>
                </c:pt>
                <c:pt idx="47">
                  <c:v>0.97399999999999998</c:v>
                </c:pt>
                <c:pt idx="48">
                  <c:v>0.90700000000000003</c:v>
                </c:pt>
                <c:pt idx="49">
                  <c:v>0.58699999999999997</c:v>
                </c:pt>
                <c:pt idx="50">
                  <c:v>0.58099999999999996</c:v>
                </c:pt>
                <c:pt idx="51">
                  <c:v>0.52500000000000002</c:v>
                </c:pt>
                <c:pt idx="52">
                  <c:v>0</c:v>
                </c:pt>
                <c:pt idx="53">
                  <c:v>0.34499999999999997</c:v>
                </c:pt>
                <c:pt idx="54">
                  <c:v>0.32500000000000001</c:v>
                </c:pt>
              </c:numCache>
            </c:numRef>
          </c:xVal>
          <c:yVal>
            <c:numRef>
              <c:f>'PT Exp-CGCAPHS'!$C$2:$C$56</c:f>
              <c:numCache>
                <c:formatCode>General</c:formatCode>
                <c:ptCount val="55"/>
                <c:pt idx="0">
                  <c:v>95</c:v>
                </c:pt>
                <c:pt idx="1">
                  <c:v>82</c:v>
                </c:pt>
                <c:pt idx="3">
                  <c:v>70</c:v>
                </c:pt>
                <c:pt idx="4">
                  <c:v>31</c:v>
                </c:pt>
                <c:pt idx="5">
                  <c:v>17</c:v>
                </c:pt>
                <c:pt idx="6">
                  <c:v>40</c:v>
                </c:pt>
                <c:pt idx="7">
                  <c:v>72</c:v>
                </c:pt>
                <c:pt idx="8">
                  <c:v>77</c:v>
                </c:pt>
                <c:pt idx="10">
                  <c:v>37</c:v>
                </c:pt>
                <c:pt idx="11">
                  <c:v>92</c:v>
                </c:pt>
                <c:pt idx="13">
                  <c:v>87</c:v>
                </c:pt>
                <c:pt idx="14">
                  <c:v>87</c:v>
                </c:pt>
                <c:pt idx="15">
                  <c:v>81</c:v>
                </c:pt>
                <c:pt idx="16">
                  <c:v>35</c:v>
                </c:pt>
                <c:pt idx="17">
                  <c:v>76</c:v>
                </c:pt>
                <c:pt idx="18">
                  <c:v>31</c:v>
                </c:pt>
                <c:pt idx="19">
                  <c:v>20</c:v>
                </c:pt>
                <c:pt idx="20">
                  <c:v>20</c:v>
                </c:pt>
                <c:pt idx="21">
                  <c:v>49</c:v>
                </c:pt>
                <c:pt idx="22">
                  <c:v>76</c:v>
                </c:pt>
                <c:pt idx="23">
                  <c:v>64</c:v>
                </c:pt>
                <c:pt idx="24">
                  <c:v>48</c:v>
                </c:pt>
                <c:pt idx="27">
                  <c:v>84</c:v>
                </c:pt>
                <c:pt idx="28">
                  <c:v>57</c:v>
                </c:pt>
                <c:pt idx="30">
                  <c:v>81</c:v>
                </c:pt>
                <c:pt idx="31">
                  <c:v>96</c:v>
                </c:pt>
                <c:pt idx="32">
                  <c:v>81</c:v>
                </c:pt>
                <c:pt idx="33">
                  <c:v>50</c:v>
                </c:pt>
                <c:pt idx="34">
                  <c:v>27</c:v>
                </c:pt>
                <c:pt idx="35">
                  <c:v>58</c:v>
                </c:pt>
                <c:pt idx="36">
                  <c:v>67</c:v>
                </c:pt>
                <c:pt idx="37">
                  <c:v>69</c:v>
                </c:pt>
                <c:pt idx="38">
                  <c:v>84</c:v>
                </c:pt>
                <c:pt idx="41">
                  <c:v>93</c:v>
                </c:pt>
                <c:pt idx="43">
                  <c:v>53</c:v>
                </c:pt>
                <c:pt idx="46">
                  <c:v>88</c:v>
                </c:pt>
              </c:numCache>
            </c:numRef>
          </c:yVal>
          <c:smooth val="0"/>
          <c:extLst>
            <c:ext xmlns:c16="http://schemas.microsoft.com/office/drawing/2014/chart" uri="{C3380CC4-5D6E-409C-BE32-E72D297353CC}">
              <c16:uniqueId val="{00000000-FB27-4D2B-82F8-34209907BB6C}"/>
            </c:ext>
          </c:extLst>
        </c:ser>
        <c:dLbls>
          <c:showLegendKey val="0"/>
          <c:showVal val="0"/>
          <c:showCatName val="0"/>
          <c:showSerName val="0"/>
          <c:showPercent val="0"/>
          <c:showBubbleSize val="0"/>
        </c:dLbls>
        <c:axId val="2139404352"/>
        <c:axId val="2044118784"/>
      </c:scatterChart>
      <c:valAx>
        <c:axId val="2139404352"/>
        <c:scaling>
          <c:orientation val="minMax"/>
        </c:scaling>
        <c:delete val="0"/>
        <c:axPos val="b"/>
        <c:title>
          <c:tx>
            <c:rich>
              <a:bodyPr/>
              <a:lstStyle/>
              <a:p>
                <a:pPr>
                  <a:defRPr/>
                </a:pPr>
                <a:r>
                  <a:rPr lang="en-US" baseline="0"/>
                  <a:t> Continuity Index</a:t>
                </a:r>
                <a:endParaRPr lang="en-US"/>
              </a:p>
            </c:rich>
          </c:tx>
          <c:overlay val="0"/>
        </c:title>
        <c:numFmt formatCode="General" sourceLinked="1"/>
        <c:majorTickMark val="out"/>
        <c:minorTickMark val="none"/>
        <c:tickLblPos val="nextTo"/>
        <c:crossAx val="2044118784"/>
        <c:crosses val="autoZero"/>
        <c:crossBetween val="midCat"/>
      </c:valAx>
      <c:valAx>
        <c:axId val="2044118784"/>
        <c:scaling>
          <c:orientation val="minMax"/>
        </c:scaling>
        <c:delete val="0"/>
        <c:axPos val="l"/>
        <c:majorGridlines/>
        <c:title>
          <c:tx>
            <c:rich>
              <a:bodyPr rot="0" vert="horz"/>
              <a:lstStyle/>
              <a:p>
                <a:pPr>
                  <a:defRPr/>
                </a:pPr>
                <a:r>
                  <a:rPr lang="en-US"/>
                  <a:t>CGCAPHS</a:t>
                </a:r>
                <a:r>
                  <a:rPr lang="en-US" baseline="0"/>
                  <a:t> Rank</a:t>
                </a:r>
                <a:endParaRPr lang="en-US"/>
              </a:p>
            </c:rich>
          </c:tx>
          <c:overlay val="0"/>
        </c:title>
        <c:numFmt formatCode="General" sourceLinked="1"/>
        <c:majorTickMark val="out"/>
        <c:minorTickMark val="none"/>
        <c:tickLblPos val="nextTo"/>
        <c:crossAx val="2139404352"/>
        <c:crosses val="autoZero"/>
        <c:crossBetween val="midCat"/>
      </c:valAx>
    </c:plotArea>
    <c:legend>
      <c:legendPos val="r"/>
      <c:overlay val="0"/>
    </c:legend>
    <c:plotVisOnly val="1"/>
    <c:dispBlanksAs val="gap"/>
    <c:showDLblsOverMax val="0"/>
  </c:chart>
  <c:spPr>
    <a:solidFill>
      <a:schemeClr val="bg1"/>
    </a:solidFill>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Ease of Scheduling Appointments Vs. Continuity Index</a:t>
            </a:r>
          </a:p>
        </c:rich>
      </c:tx>
      <c:overlay val="0"/>
    </c:title>
    <c:autoTitleDeleted val="0"/>
    <c:plotArea>
      <c:layout/>
      <c:scatterChart>
        <c:scatterStyle val="lineMarker"/>
        <c:varyColors val="0"/>
        <c:ser>
          <c:idx val="0"/>
          <c:order val="0"/>
          <c:tx>
            <c:strRef>
              <c:f>'Ease of Scheduling Appointments'!$C$1</c:f>
              <c:strCache>
                <c:ptCount val="1"/>
                <c:pt idx="0">
                  <c:v>Rank</c:v>
                </c:pt>
              </c:strCache>
            </c:strRef>
          </c:tx>
          <c:spPr>
            <a:ln w="28575">
              <a:noFill/>
            </a:ln>
          </c:spPr>
          <c:xVal>
            <c:numRef>
              <c:f>'Ease of Scheduling Appointments'!$B$2:$B$56</c:f>
              <c:numCache>
                <c:formatCode>General</c:formatCode>
                <c:ptCount val="55"/>
                <c:pt idx="0">
                  <c:v>0.47199999999999998</c:v>
                </c:pt>
                <c:pt idx="1">
                  <c:v>0.79</c:v>
                </c:pt>
                <c:pt idx="2">
                  <c:v>0.89200000000000002</c:v>
                </c:pt>
                <c:pt idx="3">
                  <c:v>0.48099999999999998</c:v>
                </c:pt>
                <c:pt idx="4">
                  <c:v>0.54500000000000004</c:v>
                </c:pt>
                <c:pt idx="5">
                  <c:v>0.50600000000000001</c:v>
                </c:pt>
                <c:pt idx="6">
                  <c:v>0.66900000000000004</c:v>
                </c:pt>
                <c:pt idx="7">
                  <c:v>0.84199999999999997</c:v>
                </c:pt>
                <c:pt idx="8">
                  <c:v>0.47799999999999998</c:v>
                </c:pt>
                <c:pt idx="9">
                  <c:v>0.85599999999999998</c:v>
                </c:pt>
                <c:pt idx="10">
                  <c:v>0.66700000000000004</c:v>
                </c:pt>
                <c:pt idx="11">
                  <c:v>0.45</c:v>
                </c:pt>
                <c:pt idx="12">
                  <c:v>0</c:v>
                </c:pt>
                <c:pt idx="13">
                  <c:v>0.746</c:v>
                </c:pt>
                <c:pt idx="14">
                  <c:v>0.84199999999999997</c:v>
                </c:pt>
                <c:pt idx="15">
                  <c:v>0.57499999999999996</c:v>
                </c:pt>
                <c:pt idx="16">
                  <c:v>0.58199999999999996</c:v>
                </c:pt>
                <c:pt idx="17">
                  <c:v>0.64800000000000002</c:v>
                </c:pt>
                <c:pt idx="18">
                  <c:v>0.91</c:v>
                </c:pt>
                <c:pt idx="19">
                  <c:v>0.54900000000000004</c:v>
                </c:pt>
                <c:pt idx="20">
                  <c:v>0.77500000000000002</c:v>
                </c:pt>
                <c:pt idx="21">
                  <c:v>0.70399999999999996</c:v>
                </c:pt>
                <c:pt idx="22">
                  <c:v>0.67600000000000005</c:v>
                </c:pt>
                <c:pt idx="23">
                  <c:v>0.72199999999999998</c:v>
                </c:pt>
                <c:pt idx="24">
                  <c:v>0.51900000000000002</c:v>
                </c:pt>
                <c:pt idx="25">
                  <c:v>0.82599999999999996</c:v>
                </c:pt>
                <c:pt idx="26">
                  <c:v>0.51700000000000002</c:v>
                </c:pt>
                <c:pt idx="27">
                  <c:v>0.92100000000000004</c:v>
                </c:pt>
                <c:pt idx="28">
                  <c:v>0.78300000000000003</c:v>
                </c:pt>
                <c:pt idx="29">
                  <c:v>0.64700000000000002</c:v>
                </c:pt>
                <c:pt idx="30">
                  <c:v>0.63700000000000001</c:v>
                </c:pt>
                <c:pt idx="31">
                  <c:v>0.19500000000000001</c:v>
                </c:pt>
                <c:pt idx="32">
                  <c:v>0.96299999999999997</c:v>
                </c:pt>
                <c:pt idx="33">
                  <c:v>0.39800000000000002</c:v>
                </c:pt>
                <c:pt idx="34">
                  <c:v>0.84499999999999997</c:v>
                </c:pt>
                <c:pt idx="35">
                  <c:v>0.80900000000000005</c:v>
                </c:pt>
                <c:pt idx="36">
                  <c:v>0.63900000000000001</c:v>
                </c:pt>
                <c:pt idx="37">
                  <c:v>0.47899999999999998</c:v>
                </c:pt>
                <c:pt idx="38">
                  <c:v>0.6</c:v>
                </c:pt>
                <c:pt idx="39">
                  <c:v>0.998</c:v>
                </c:pt>
                <c:pt idx="40">
                  <c:v>0.67200000000000004</c:v>
                </c:pt>
                <c:pt idx="41">
                  <c:v>0.34300000000000003</c:v>
                </c:pt>
                <c:pt idx="42">
                  <c:v>0.99399999999999999</c:v>
                </c:pt>
                <c:pt idx="43">
                  <c:v>0.80100000000000005</c:v>
                </c:pt>
                <c:pt idx="44">
                  <c:v>0.503</c:v>
                </c:pt>
                <c:pt idx="45">
                  <c:v>0.94599999999999995</c:v>
                </c:pt>
                <c:pt idx="46">
                  <c:v>0.79800000000000004</c:v>
                </c:pt>
                <c:pt idx="47">
                  <c:v>0.97399999999999998</c:v>
                </c:pt>
                <c:pt idx="48">
                  <c:v>0.90700000000000003</c:v>
                </c:pt>
                <c:pt idx="49">
                  <c:v>0.58699999999999997</c:v>
                </c:pt>
                <c:pt idx="50">
                  <c:v>0.58099999999999996</c:v>
                </c:pt>
                <c:pt idx="51">
                  <c:v>0.52500000000000002</c:v>
                </c:pt>
                <c:pt idx="52">
                  <c:v>0</c:v>
                </c:pt>
                <c:pt idx="53">
                  <c:v>0.34499999999999997</c:v>
                </c:pt>
                <c:pt idx="54">
                  <c:v>0.32500000000000001</c:v>
                </c:pt>
              </c:numCache>
            </c:numRef>
          </c:xVal>
          <c:yVal>
            <c:numRef>
              <c:f>'Ease of Scheduling Appointments'!$C$2:$C$56</c:f>
              <c:numCache>
                <c:formatCode>General</c:formatCode>
                <c:ptCount val="55"/>
                <c:pt idx="0">
                  <c:v>46.777777777777779</c:v>
                </c:pt>
                <c:pt idx="1">
                  <c:v>8.5</c:v>
                </c:pt>
                <c:pt idx="3">
                  <c:v>41.666666666666359</c:v>
                </c:pt>
                <c:pt idx="4">
                  <c:v>17.2</c:v>
                </c:pt>
                <c:pt idx="5">
                  <c:v>57.6</c:v>
                </c:pt>
                <c:pt idx="6" formatCode="#,##0">
                  <c:v>18.25</c:v>
                </c:pt>
                <c:pt idx="7">
                  <c:v>33</c:v>
                </c:pt>
                <c:pt idx="8">
                  <c:v>56.25</c:v>
                </c:pt>
                <c:pt idx="9">
                  <c:v>94</c:v>
                </c:pt>
                <c:pt idx="10">
                  <c:v>18.25</c:v>
                </c:pt>
                <c:pt idx="11">
                  <c:v>31.5</c:v>
                </c:pt>
                <c:pt idx="12">
                  <c:v>84</c:v>
                </c:pt>
                <c:pt idx="13">
                  <c:v>83.5</c:v>
                </c:pt>
                <c:pt idx="14">
                  <c:v>37.75</c:v>
                </c:pt>
                <c:pt idx="15">
                  <c:v>25.25</c:v>
                </c:pt>
                <c:pt idx="16">
                  <c:v>26.5</c:v>
                </c:pt>
                <c:pt idx="18">
                  <c:v>85.5</c:v>
                </c:pt>
                <c:pt idx="19">
                  <c:v>74</c:v>
                </c:pt>
                <c:pt idx="20">
                  <c:v>45</c:v>
                </c:pt>
                <c:pt idx="21">
                  <c:v>16.666666666666671</c:v>
                </c:pt>
                <c:pt idx="22">
                  <c:v>47.666666666666359</c:v>
                </c:pt>
                <c:pt idx="23">
                  <c:v>69.333333333333016</c:v>
                </c:pt>
                <c:pt idx="24">
                  <c:v>57.75</c:v>
                </c:pt>
                <c:pt idx="26">
                  <c:v>51.333333333333343</c:v>
                </c:pt>
                <c:pt idx="27">
                  <c:v>58</c:v>
                </c:pt>
                <c:pt idx="28">
                  <c:v>61.5</c:v>
                </c:pt>
                <c:pt idx="29">
                  <c:v>34.666666666666359</c:v>
                </c:pt>
                <c:pt idx="30">
                  <c:v>66.75</c:v>
                </c:pt>
                <c:pt idx="32">
                  <c:v>93.5</c:v>
                </c:pt>
                <c:pt idx="33">
                  <c:v>98.5</c:v>
                </c:pt>
                <c:pt idx="34">
                  <c:v>64.5</c:v>
                </c:pt>
                <c:pt idx="35">
                  <c:v>40</c:v>
                </c:pt>
                <c:pt idx="36">
                  <c:v>12</c:v>
                </c:pt>
                <c:pt idx="37">
                  <c:v>52.875</c:v>
                </c:pt>
                <c:pt idx="38">
                  <c:v>67</c:v>
                </c:pt>
                <c:pt idx="39">
                  <c:v>98</c:v>
                </c:pt>
                <c:pt idx="40">
                  <c:v>77</c:v>
                </c:pt>
                <c:pt idx="41">
                  <c:v>50.375</c:v>
                </c:pt>
                <c:pt idx="42">
                  <c:v>99</c:v>
                </c:pt>
                <c:pt idx="43">
                  <c:v>66</c:v>
                </c:pt>
                <c:pt idx="44">
                  <c:v>32.5</c:v>
                </c:pt>
                <c:pt idx="45">
                  <c:v>99</c:v>
                </c:pt>
                <c:pt idx="46">
                  <c:v>90</c:v>
                </c:pt>
                <c:pt idx="48">
                  <c:v>35</c:v>
                </c:pt>
                <c:pt idx="49">
                  <c:v>37</c:v>
                </c:pt>
                <c:pt idx="50">
                  <c:v>50.75</c:v>
                </c:pt>
                <c:pt idx="51">
                  <c:v>90.5</c:v>
                </c:pt>
              </c:numCache>
            </c:numRef>
          </c:yVal>
          <c:smooth val="0"/>
          <c:extLst>
            <c:ext xmlns:c16="http://schemas.microsoft.com/office/drawing/2014/chart" uri="{C3380CC4-5D6E-409C-BE32-E72D297353CC}">
              <c16:uniqueId val="{00000000-06D3-4B17-9BF8-39FFAF4A1F73}"/>
            </c:ext>
          </c:extLst>
        </c:ser>
        <c:dLbls>
          <c:showLegendKey val="0"/>
          <c:showVal val="0"/>
          <c:showCatName val="0"/>
          <c:showSerName val="0"/>
          <c:showPercent val="0"/>
          <c:showBubbleSize val="0"/>
        </c:dLbls>
        <c:axId val="2139572112"/>
        <c:axId val="2139157056"/>
      </c:scatterChart>
      <c:valAx>
        <c:axId val="2139572112"/>
        <c:scaling>
          <c:orientation val="minMax"/>
        </c:scaling>
        <c:delete val="0"/>
        <c:axPos val="b"/>
        <c:title>
          <c:tx>
            <c:rich>
              <a:bodyPr/>
              <a:lstStyle/>
              <a:p>
                <a:pPr>
                  <a:defRPr/>
                </a:pPr>
                <a:r>
                  <a:rPr lang="en-US"/>
                  <a:t>Continuity Index</a:t>
                </a:r>
              </a:p>
            </c:rich>
          </c:tx>
          <c:overlay val="0"/>
        </c:title>
        <c:numFmt formatCode="General" sourceLinked="1"/>
        <c:majorTickMark val="out"/>
        <c:minorTickMark val="none"/>
        <c:tickLblPos val="nextTo"/>
        <c:crossAx val="2139157056"/>
        <c:crosses val="autoZero"/>
        <c:crossBetween val="midCat"/>
      </c:valAx>
      <c:valAx>
        <c:axId val="2139157056"/>
        <c:scaling>
          <c:orientation val="minMax"/>
        </c:scaling>
        <c:delete val="0"/>
        <c:axPos val="l"/>
        <c:majorGridlines/>
        <c:title>
          <c:tx>
            <c:rich>
              <a:bodyPr rot="0" vert="horz"/>
              <a:lstStyle/>
              <a:p>
                <a:pPr>
                  <a:defRPr/>
                </a:pPr>
                <a:r>
                  <a:rPr lang="en-US"/>
                  <a:t>Ease</a:t>
                </a:r>
                <a:r>
                  <a:rPr lang="en-US" baseline="0"/>
                  <a:t> of Scheduling Appointments</a:t>
                </a:r>
                <a:endParaRPr lang="en-US"/>
              </a:p>
            </c:rich>
          </c:tx>
          <c:layout>
            <c:manualLayout>
              <c:xMode val="edge"/>
              <c:yMode val="edge"/>
              <c:x val="1.8213277479282398E-2"/>
              <c:y val="0.43679286316431398"/>
            </c:manualLayout>
          </c:layout>
          <c:overlay val="0"/>
        </c:title>
        <c:numFmt formatCode="General" sourceLinked="1"/>
        <c:majorTickMark val="out"/>
        <c:minorTickMark val="none"/>
        <c:tickLblPos val="nextTo"/>
        <c:crossAx val="2139572112"/>
        <c:crosses val="autoZero"/>
        <c:crossBetween val="midCat"/>
      </c:valAx>
    </c:plotArea>
    <c:legend>
      <c:legendPos val="r"/>
      <c:overlay val="0"/>
    </c:legend>
    <c:plotVisOnly val="1"/>
    <c:dispBlanksAs val="gap"/>
    <c:showDLblsOverMax val="0"/>
  </c:chart>
  <c:spPr>
    <a:solidFill>
      <a:schemeClr val="bg1"/>
    </a:solidFill>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Access (Nth Available) VS Patient</a:t>
            </a:r>
            <a:r>
              <a:rPr lang="en-US" baseline="0"/>
              <a:t> Continuity</a:t>
            </a:r>
            <a:endParaRPr lang="en-US"/>
          </a:p>
        </c:rich>
      </c:tx>
      <c:layout>
        <c:manualLayout>
          <c:xMode val="edge"/>
          <c:yMode val="edge"/>
          <c:x val="0.143685813311798"/>
          <c:y val="2.8005170185265001E-2"/>
        </c:manualLayout>
      </c:layout>
      <c:overlay val="0"/>
    </c:title>
    <c:autoTitleDeleted val="0"/>
    <c:plotArea>
      <c:layout>
        <c:manualLayout>
          <c:layoutTarget val="inner"/>
          <c:xMode val="edge"/>
          <c:yMode val="edge"/>
          <c:x val="4.23083746476135E-2"/>
          <c:y val="0.17207033546588099"/>
          <c:w val="0.728937736949548"/>
          <c:h val="0.73229773779418805"/>
        </c:manualLayout>
      </c:layout>
      <c:scatterChart>
        <c:scatterStyle val="lineMarker"/>
        <c:varyColors val="0"/>
        <c:ser>
          <c:idx val="0"/>
          <c:order val="0"/>
          <c:tx>
            <c:strRef>
              <c:f>'[CI all practices.xlsx]Access'!$C$1</c:f>
              <c:strCache>
                <c:ptCount val="1"/>
                <c:pt idx="0">
                  <c:v>Nth Available</c:v>
                </c:pt>
              </c:strCache>
            </c:strRef>
          </c:tx>
          <c:spPr>
            <a:ln w="28575">
              <a:noFill/>
            </a:ln>
          </c:spPr>
          <c:trendline>
            <c:trendlineType val="linear"/>
            <c:dispRSqr val="0"/>
            <c:dispEq val="0"/>
          </c:trendline>
          <c:xVal>
            <c:numRef>
              <c:f>'[CI all practices.xlsx]Access'!$B$2:$B$56</c:f>
              <c:numCache>
                <c:formatCode>General</c:formatCode>
                <c:ptCount val="55"/>
                <c:pt idx="0">
                  <c:v>0.47199999999999998</c:v>
                </c:pt>
                <c:pt idx="1">
                  <c:v>0.79</c:v>
                </c:pt>
                <c:pt idx="2">
                  <c:v>0.89200000000000002</c:v>
                </c:pt>
                <c:pt idx="3">
                  <c:v>0.48099999999999998</c:v>
                </c:pt>
                <c:pt idx="4">
                  <c:v>0.54500000000000004</c:v>
                </c:pt>
                <c:pt idx="5">
                  <c:v>0.50600000000000001</c:v>
                </c:pt>
                <c:pt idx="6">
                  <c:v>0.66900000000000004</c:v>
                </c:pt>
                <c:pt idx="7">
                  <c:v>0.84199999999999997</c:v>
                </c:pt>
                <c:pt idx="8">
                  <c:v>0.47799999999999998</c:v>
                </c:pt>
                <c:pt idx="9">
                  <c:v>0.85599999999999998</c:v>
                </c:pt>
                <c:pt idx="10">
                  <c:v>0.66700000000000004</c:v>
                </c:pt>
                <c:pt idx="11">
                  <c:v>0.45</c:v>
                </c:pt>
                <c:pt idx="12">
                  <c:v>0</c:v>
                </c:pt>
                <c:pt idx="13">
                  <c:v>0.746</c:v>
                </c:pt>
                <c:pt idx="14">
                  <c:v>0.84199999999999997</c:v>
                </c:pt>
                <c:pt idx="15">
                  <c:v>0.57499999999999996</c:v>
                </c:pt>
                <c:pt idx="16">
                  <c:v>0.58199999999999996</c:v>
                </c:pt>
                <c:pt idx="17">
                  <c:v>0.64800000000000002</c:v>
                </c:pt>
                <c:pt idx="18">
                  <c:v>0.91</c:v>
                </c:pt>
                <c:pt idx="19">
                  <c:v>0.54900000000000004</c:v>
                </c:pt>
                <c:pt idx="20">
                  <c:v>0.77500000000000002</c:v>
                </c:pt>
                <c:pt idx="21">
                  <c:v>0.70399999999999996</c:v>
                </c:pt>
                <c:pt idx="22">
                  <c:v>0.67600000000000005</c:v>
                </c:pt>
                <c:pt idx="23">
                  <c:v>0.72199999999999998</c:v>
                </c:pt>
                <c:pt idx="24">
                  <c:v>0.51900000000000002</c:v>
                </c:pt>
                <c:pt idx="25">
                  <c:v>0.82599999999999996</c:v>
                </c:pt>
                <c:pt idx="26">
                  <c:v>0.51700000000000002</c:v>
                </c:pt>
                <c:pt idx="27">
                  <c:v>0.92100000000000004</c:v>
                </c:pt>
                <c:pt idx="28">
                  <c:v>0.78300000000000003</c:v>
                </c:pt>
                <c:pt idx="29">
                  <c:v>0.64700000000000002</c:v>
                </c:pt>
                <c:pt idx="30">
                  <c:v>0.63700000000000001</c:v>
                </c:pt>
                <c:pt idx="31">
                  <c:v>0.19500000000000001</c:v>
                </c:pt>
                <c:pt idx="32">
                  <c:v>0.96299999999999997</c:v>
                </c:pt>
                <c:pt idx="33">
                  <c:v>0.39800000000000002</c:v>
                </c:pt>
                <c:pt idx="34">
                  <c:v>0.84499999999999997</c:v>
                </c:pt>
                <c:pt idx="35">
                  <c:v>0.80900000000000005</c:v>
                </c:pt>
                <c:pt idx="36">
                  <c:v>0.63900000000000001</c:v>
                </c:pt>
                <c:pt idx="37">
                  <c:v>0.47899999999999998</c:v>
                </c:pt>
                <c:pt idx="38">
                  <c:v>0.6</c:v>
                </c:pt>
                <c:pt idx="39">
                  <c:v>0.998</c:v>
                </c:pt>
                <c:pt idx="40">
                  <c:v>0.67200000000000004</c:v>
                </c:pt>
                <c:pt idx="41">
                  <c:v>0.34300000000000003</c:v>
                </c:pt>
                <c:pt idx="42">
                  <c:v>0.99399999999999999</c:v>
                </c:pt>
                <c:pt idx="43">
                  <c:v>0.80100000000000005</c:v>
                </c:pt>
                <c:pt idx="44">
                  <c:v>0.503</c:v>
                </c:pt>
                <c:pt idx="45">
                  <c:v>0.94599999999999995</c:v>
                </c:pt>
                <c:pt idx="46">
                  <c:v>0.79800000000000004</c:v>
                </c:pt>
                <c:pt idx="47">
                  <c:v>0.97399999999999998</c:v>
                </c:pt>
                <c:pt idx="48">
                  <c:v>0.90700000000000003</c:v>
                </c:pt>
                <c:pt idx="49">
                  <c:v>0.58699999999999997</c:v>
                </c:pt>
                <c:pt idx="50">
                  <c:v>0.58099999999999996</c:v>
                </c:pt>
                <c:pt idx="51">
                  <c:v>0.52500000000000002</c:v>
                </c:pt>
                <c:pt idx="52">
                  <c:v>0</c:v>
                </c:pt>
                <c:pt idx="53">
                  <c:v>0.34499999999999997</c:v>
                </c:pt>
                <c:pt idx="54">
                  <c:v>0.32500000000000001</c:v>
                </c:pt>
              </c:numCache>
            </c:numRef>
          </c:xVal>
          <c:yVal>
            <c:numRef>
              <c:f>'[CI all practices.xlsx]Access'!$C$2:$C$56</c:f>
              <c:numCache>
                <c:formatCode>General</c:formatCode>
                <c:ptCount val="55"/>
                <c:pt idx="0">
                  <c:v>17.95</c:v>
                </c:pt>
                <c:pt idx="3">
                  <c:v>12.111111111111111</c:v>
                </c:pt>
                <c:pt idx="4">
                  <c:v>14.4</c:v>
                </c:pt>
                <c:pt idx="5">
                  <c:v>11.25</c:v>
                </c:pt>
                <c:pt idx="6">
                  <c:v>13</c:v>
                </c:pt>
                <c:pt idx="7">
                  <c:v>5.666666666666667</c:v>
                </c:pt>
                <c:pt idx="8">
                  <c:v>11.66666666666667</c:v>
                </c:pt>
                <c:pt idx="10">
                  <c:v>9.3333333333333357</c:v>
                </c:pt>
                <c:pt idx="11">
                  <c:v>4</c:v>
                </c:pt>
                <c:pt idx="13">
                  <c:v>8</c:v>
                </c:pt>
                <c:pt idx="14">
                  <c:v>17.75</c:v>
                </c:pt>
                <c:pt idx="15">
                  <c:v>12.33333333333333</c:v>
                </c:pt>
                <c:pt idx="16">
                  <c:v>12.25</c:v>
                </c:pt>
                <c:pt idx="17">
                  <c:v>9.5</c:v>
                </c:pt>
                <c:pt idx="19">
                  <c:v>8</c:v>
                </c:pt>
                <c:pt idx="20">
                  <c:v>7.8571428571428346</c:v>
                </c:pt>
                <c:pt idx="22">
                  <c:v>1.333333333333333</c:v>
                </c:pt>
                <c:pt idx="23">
                  <c:v>18.5</c:v>
                </c:pt>
                <c:pt idx="24">
                  <c:v>5.75</c:v>
                </c:pt>
                <c:pt idx="27">
                  <c:v>1</c:v>
                </c:pt>
                <c:pt idx="28">
                  <c:v>1</c:v>
                </c:pt>
                <c:pt idx="30">
                  <c:v>6.2857142857142856</c:v>
                </c:pt>
                <c:pt idx="31">
                  <c:v>11</c:v>
                </c:pt>
                <c:pt idx="32">
                  <c:v>13</c:v>
                </c:pt>
                <c:pt idx="33">
                  <c:v>2.5</c:v>
                </c:pt>
                <c:pt idx="34">
                  <c:v>21</c:v>
                </c:pt>
                <c:pt idx="35">
                  <c:v>3</c:v>
                </c:pt>
                <c:pt idx="36">
                  <c:v>1</c:v>
                </c:pt>
                <c:pt idx="37">
                  <c:v>14.18604651162792</c:v>
                </c:pt>
                <c:pt idx="38">
                  <c:v>3.5</c:v>
                </c:pt>
                <c:pt idx="39">
                  <c:v>1</c:v>
                </c:pt>
                <c:pt idx="40">
                  <c:v>3</c:v>
                </c:pt>
                <c:pt idx="41">
                  <c:v>15.428571428571431</c:v>
                </c:pt>
                <c:pt idx="43">
                  <c:v>2.5</c:v>
                </c:pt>
                <c:pt idx="45">
                  <c:v>13</c:v>
                </c:pt>
                <c:pt idx="46">
                  <c:v>13.5</c:v>
                </c:pt>
                <c:pt idx="47">
                  <c:v>5</c:v>
                </c:pt>
                <c:pt idx="48">
                  <c:v>1</c:v>
                </c:pt>
                <c:pt idx="49">
                  <c:v>3</c:v>
                </c:pt>
                <c:pt idx="50">
                  <c:v>9.875</c:v>
                </c:pt>
              </c:numCache>
            </c:numRef>
          </c:yVal>
          <c:smooth val="0"/>
          <c:extLst>
            <c:ext xmlns:c16="http://schemas.microsoft.com/office/drawing/2014/chart" uri="{C3380CC4-5D6E-409C-BE32-E72D297353CC}">
              <c16:uniqueId val="{00000000-8221-4E99-9635-7557BAF955E1}"/>
            </c:ext>
          </c:extLst>
        </c:ser>
        <c:dLbls>
          <c:showLegendKey val="0"/>
          <c:showVal val="0"/>
          <c:showCatName val="0"/>
          <c:showSerName val="0"/>
          <c:showPercent val="0"/>
          <c:showBubbleSize val="0"/>
        </c:dLbls>
        <c:axId val="2044149536"/>
        <c:axId val="2139095040"/>
      </c:scatterChart>
      <c:valAx>
        <c:axId val="2044149536"/>
        <c:scaling>
          <c:orientation val="minMax"/>
        </c:scaling>
        <c:delete val="0"/>
        <c:axPos val="b"/>
        <c:title>
          <c:tx>
            <c:rich>
              <a:bodyPr/>
              <a:lstStyle/>
              <a:p>
                <a:pPr>
                  <a:defRPr/>
                </a:pPr>
                <a:r>
                  <a:rPr lang="en-US"/>
                  <a:t>Care of Continuity Index</a:t>
                </a:r>
              </a:p>
            </c:rich>
          </c:tx>
          <c:overlay val="0"/>
        </c:title>
        <c:numFmt formatCode="General" sourceLinked="1"/>
        <c:majorTickMark val="out"/>
        <c:minorTickMark val="none"/>
        <c:tickLblPos val="nextTo"/>
        <c:crossAx val="2139095040"/>
        <c:crosses val="autoZero"/>
        <c:crossBetween val="midCat"/>
      </c:valAx>
      <c:valAx>
        <c:axId val="2139095040"/>
        <c:scaling>
          <c:orientation val="minMax"/>
        </c:scaling>
        <c:delete val="0"/>
        <c:axPos val="l"/>
        <c:majorGridlines/>
        <c:title>
          <c:tx>
            <c:rich>
              <a:bodyPr/>
              <a:lstStyle/>
              <a:p>
                <a:pPr>
                  <a:defRPr/>
                </a:pPr>
                <a:r>
                  <a:rPr lang="en-US"/>
                  <a:t>Rank of Access</a:t>
                </a:r>
              </a:p>
            </c:rich>
          </c:tx>
          <c:overlay val="0"/>
        </c:title>
        <c:numFmt formatCode="General" sourceLinked="1"/>
        <c:majorTickMark val="out"/>
        <c:minorTickMark val="none"/>
        <c:tickLblPos val="nextTo"/>
        <c:crossAx val="2044149536"/>
        <c:crosses val="autoZero"/>
        <c:crossBetween val="midCat"/>
      </c:valAx>
      <c:spPr>
        <a:solidFill>
          <a:schemeClr val="bg1"/>
        </a:solidFill>
      </c:spPr>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National Rank VS Continuity</a:t>
            </a:r>
            <a:r>
              <a:rPr lang="en-US" baseline="0"/>
              <a:t> Index</a:t>
            </a:r>
            <a:endParaRPr lang="en-US"/>
          </a:p>
        </c:rich>
      </c:tx>
      <c:overlay val="0"/>
    </c:title>
    <c:autoTitleDeleted val="0"/>
    <c:plotArea>
      <c:layout/>
      <c:scatterChart>
        <c:scatterStyle val="lineMarker"/>
        <c:varyColors val="0"/>
        <c:ser>
          <c:idx val="0"/>
          <c:order val="0"/>
          <c:tx>
            <c:strRef>
              <c:f>'[CI all practices.xlsx]Pt Exp-Staff Working Together'!$C$1</c:f>
              <c:strCache>
                <c:ptCount val="1"/>
                <c:pt idx="0">
                  <c:v>National Rank</c:v>
                </c:pt>
              </c:strCache>
            </c:strRef>
          </c:tx>
          <c:spPr>
            <a:ln w="28575">
              <a:noFill/>
            </a:ln>
          </c:spPr>
          <c:trendline>
            <c:trendlineType val="linear"/>
            <c:dispRSqr val="0"/>
            <c:dispEq val="0"/>
          </c:trendline>
          <c:xVal>
            <c:numRef>
              <c:f>'[CI all practices.xlsx]Pt Exp-Staff Working Together'!$B$2:$B$57</c:f>
              <c:numCache>
                <c:formatCode>General</c:formatCode>
                <c:ptCount val="56"/>
                <c:pt idx="0">
                  <c:v>0.47199999999999998</c:v>
                </c:pt>
                <c:pt idx="1">
                  <c:v>0.79</c:v>
                </c:pt>
                <c:pt idx="2">
                  <c:v>0.89200000000000002</c:v>
                </c:pt>
                <c:pt idx="3">
                  <c:v>0.48099999999999998</c:v>
                </c:pt>
                <c:pt idx="4">
                  <c:v>0.54500000000000004</c:v>
                </c:pt>
                <c:pt idx="5">
                  <c:v>0.50600000000000001</c:v>
                </c:pt>
                <c:pt idx="6">
                  <c:v>0.66900000000000004</c:v>
                </c:pt>
                <c:pt idx="7">
                  <c:v>0.84199999999999997</c:v>
                </c:pt>
                <c:pt idx="8">
                  <c:v>0.47799999999999998</c:v>
                </c:pt>
                <c:pt idx="9">
                  <c:v>0.85599999999999998</c:v>
                </c:pt>
                <c:pt idx="10">
                  <c:v>0.66700000000000004</c:v>
                </c:pt>
                <c:pt idx="11">
                  <c:v>0.45</c:v>
                </c:pt>
                <c:pt idx="12">
                  <c:v>0</c:v>
                </c:pt>
                <c:pt idx="13">
                  <c:v>0.746</c:v>
                </c:pt>
                <c:pt idx="14">
                  <c:v>0.84199999999999997</c:v>
                </c:pt>
                <c:pt idx="15">
                  <c:v>0.57499999999999996</c:v>
                </c:pt>
                <c:pt idx="16">
                  <c:v>0.58199999999999996</c:v>
                </c:pt>
                <c:pt idx="17">
                  <c:v>0.64800000000000002</c:v>
                </c:pt>
                <c:pt idx="18">
                  <c:v>0.91</c:v>
                </c:pt>
                <c:pt idx="19">
                  <c:v>0.54900000000000004</c:v>
                </c:pt>
                <c:pt idx="20">
                  <c:v>0.77500000000000002</c:v>
                </c:pt>
                <c:pt idx="21">
                  <c:v>0.70399999999999996</c:v>
                </c:pt>
                <c:pt idx="22">
                  <c:v>0.67600000000000005</c:v>
                </c:pt>
                <c:pt idx="23">
                  <c:v>0.72199999999999998</c:v>
                </c:pt>
                <c:pt idx="24">
                  <c:v>0.51900000000000002</c:v>
                </c:pt>
                <c:pt idx="25">
                  <c:v>0.82599999999999996</c:v>
                </c:pt>
                <c:pt idx="26">
                  <c:v>0.51700000000000002</c:v>
                </c:pt>
                <c:pt idx="27">
                  <c:v>0.92100000000000004</c:v>
                </c:pt>
                <c:pt idx="28">
                  <c:v>0.78300000000000003</c:v>
                </c:pt>
                <c:pt idx="29">
                  <c:v>0.64700000000000002</c:v>
                </c:pt>
                <c:pt idx="30">
                  <c:v>0.63700000000000001</c:v>
                </c:pt>
                <c:pt idx="31">
                  <c:v>0.19500000000000001</c:v>
                </c:pt>
                <c:pt idx="32">
                  <c:v>0.96299999999999997</c:v>
                </c:pt>
                <c:pt idx="33">
                  <c:v>0.39800000000000002</c:v>
                </c:pt>
                <c:pt idx="34">
                  <c:v>0.84499999999999997</c:v>
                </c:pt>
                <c:pt idx="35">
                  <c:v>0.80900000000000005</c:v>
                </c:pt>
                <c:pt idx="36">
                  <c:v>0.63900000000000001</c:v>
                </c:pt>
                <c:pt idx="37">
                  <c:v>0.47899999999999998</c:v>
                </c:pt>
                <c:pt idx="38">
                  <c:v>0.6</c:v>
                </c:pt>
                <c:pt idx="39">
                  <c:v>0.998</c:v>
                </c:pt>
                <c:pt idx="40">
                  <c:v>0.67200000000000004</c:v>
                </c:pt>
                <c:pt idx="41">
                  <c:v>0.34300000000000003</c:v>
                </c:pt>
                <c:pt idx="42">
                  <c:v>0.99399999999999999</c:v>
                </c:pt>
                <c:pt idx="43">
                  <c:v>0.80100000000000005</c:v>
                </c:pt>
                <c:pt idx="44">
                  <c:v>0.503</c:v>
                </c:pt>
                <c:pt idx="45">
                  <c:v>0.94599999999999995</c:v>
                </c:pt>
                <c:pt idx="46">
                  <c:v>0.79800000000000004</c:v>
                </c:pt>
                <c:pt idx="47">
                  <c:v>0.97399999999999998</c:v>
                </c:pt>
                <c:pt idx="48">
                  <c:v>0.90700000000000003</c:v>
                </c:pt>
                <c:pt idx="49">
                  <c:v>0.58699999999999997</c:v>
                </c:pt>
                <c:pt idx="50">
                  <c:v>0.58099999999999996</c:v>
                </c:pt>
                <c:pt idx="51">
                  <c:v>0.52500000000000002</c:v>
                </c:pt>
                <c:pt idx="52">
                  <c:v>0</c:v>
                </c:pt>
                <c:pt idx="53">
                  <c:v>0.34499999999999997</c:v>
                </c:pt>
                <c:pt idx="54">
                  <c:v>0.32500000000000001</c:v>
                </c:pt>
              </c:numCache>
            </c:numRef>
          </c:xVal>
          <c:yVal>
            <c:numRef>
              <c:f>'[CI all practices.xlsx]Pt Exp-Staff Working Together'!$C$2:$C$57</c:f>
              <c:numCache>
                <c:formatCode>General</c:formatCode>
                <c:ptCount val="56"/>
                <c:pt idx="0">
                  <c:v>78</c:v>
                </c:pt>
                <c:pt idx="1">
                  <c:v>76</c:v>
                </c:pt>
                <c:pt idx="3">
                  <c:v>92</c:v>
                </c:pt>
                <c:pt idx="4">
                  <c:v>25</c:v>
                </c:pt>
                <c:pt idx="5">
                  <c:v>19</c:v>
                </c:pt>
                <c:pt idx="6">
                  <c:v>42</c:v>
                </c:pt>
                <c:pt idx="7">
                  <c:v>66</c:v>
                </c:pt>
                <c:pt idx="8">
                  <c:v>61</c:v>
                </c:pt>
                <c:pt idx="10">
                  <c:v>15</c:v>
                </c:pt>
                <c:pt idx="11">
                  <c:v>84</c:v>
                </c:pt>
                <c:pt idx="13">
                  <c:v>99</c:v>
                </c:pt>
                <c:pt idx="14">
                  <c:v>47</c:v>
                </c:pt>
                <c:pt idx="15">
                  <c:v>63</c:v>
                </c:pt>
                <c:pt idx="16">
                  <c:v>49</c:v>
                </c:pt>
                <c:pt idx="17">
                  <c:v>21</c:v>
                </c:pt>
                <c:pt idx="18">
                  <c:v>90</c:v>
                </c:pt>
                <c:pt idx="19">
                  <c:v>15</c:v>
                </c:pt>
                <c:pt idx="20">
                  <c:v>34</c:v>
                </c:pt>
                <c:pt idx="21">
                  <c:v>26</c:v>
                </c:pt>
                <c:pt idx="22">
                  <c:v>60</c:v>
                </c:pt>
                <c:pt idx="23">
                  <c:v>88</c:v>
                </c:pt>
                <c:pt idx="24">
                  <c:v>92</c:v>
                </c:pt>
                <c:pt idx="27">
                  <c:v>76</c:v>
                </c:pt>
                <c:pt idx="28">
                  <c:v>49</c:v>
                </c:pt>
                <c:pt idx="30">
                  <c:v>96</c:v>
                </c:pt>
                <c:pt idx="31">
                  <c:v>97</c:v>
                </c:pt>
                <c:pt idx="33">
                  <c:v>89</c:v>
                </c:pt>
                <c:pt idx="34">
                  <c:v>35</c:v>
                </c:pt>
                <c:pt idx="35">
                  <c:v>53</c:v>
                </c:pt>
                <c:pt idx="36">
                  <c:v>72</c:v>
                </c:pt>
                <c:pt idx="37">
                  <c:v>92</c:v>
                </c:pt>
                <c:pt idx="38">
                  <c:v>96</c:v>
                </c:pt>
                <c:pt idx="41">
                  <c:v>77</c:v>
                </c:pt>
                <c:pt idx="43">
                  <c:v>69</c:v>
                </c:pt>
                <c:pt idx="44">
                  <c:v>10</c:v>
                </c:pt>
                <c:pt idx="46">
                  <c:v>95</c:v>
                </c:pt>
              </c:numCache>
            </c:numRef>
          </c:yVal>
          <c:smooth val="0"/>
          <c:extLst>
            <c:ext xmlns:c16="http://schemas.microsoft.com/office/drawing/2014/chart" uri="{C3380CC4-5D6E-409C-BE32-E72D297353CC}">
              <c16:uniqueId val="{00000000-C9B1-47A4-9725-E3091BEF4897}"/>
            </c:ext>
          </c:extLst>
        </c:ser>
        <c:dLbls>
          <c:showLegendKey val="0"/>
          <c:showVal val="0"/>
          <c:showCatName val="0"/>
          <c:showSerName val="0"/>
          <c:showPercent val="0"/>
          <c:showBubbleSize val="0"/>
        </c:dLbls>
        <c:axId val="2140087920"/>
        <c:axId val="2140091312"/>
      </c:scatterChart>
      <c:valAx>
        <c:axId val="2140087920"/>
        <c:scaling>
          <c:orientation val="minMax"/>
        </c:scaling>
        <c:delete val="0"/>
        <c:axPos val="b"/>
        <c:title>
          <c:tx>
            <c:rich>
              <a:bodyPr/>
              <a:lstStyle/>
              <a:p>
                <a:pPr>
                  <a:defRPr/>
                </a:pPr>
                <a:r>
                  <a:rPr lang="en-US"/>
                  <a:t>Continuity Index</a:t>
                </a:r>
              </a:p>
            </c:rich>
          </c:tx>
          <c:overlay val="0"/>
        </c:title>
        <c:numFmt formatCode="General" sourceLinked="1"/>
        <c:majorTickMark val="out"/>
        <c:minorTickMark val="none"/>
        <c:tickLblPos val="nextTo"/>
        <c:crossAx val="2140091312"/>
        <c:crosses val="autoZero"/>
        <c:crossBetween val="midCat"/>
      </c:valAx>
      <c:valAx>
        <c:axId val="2140091312"/>
        <c:scaling>
          <c:orientation val="minMax"/>
        </c:scaling>
        <c:delete val="0"/>
        <c:axPos val="l"/>
        <c:majorGridlines/>
        <c:title>
          <c:tx>
            <c:rich>
              <a:bodyPr rot="0" vert="horz"/>
              <a:lstStyle/>
              <a:p>
                <a:pPr>
                  <a:defRPr/>
                </a:pPr>
                <a:r>
                  <a:rPr lang="en-US"/>
                  <a:t>Staff Working Together-National</a:t>
                </a:r>
                <a:r>
                  <a:rPr lang="en-US" baseline="0"/>
                  <a:t> Rank</a:t>
                </a:r>
                <a:endParaRPr lang="en-US"/>
              </a:p>
            </c:rich>
          </c:tx>
          <c:overlay val="0"/>
        </c:title>
        <c:numFmt formatCode="General" sourceLinked="1"/>
        <c:majorTickMark val="out"/>
        <c:minorTickMark val="none"/>
        <c:tickLblPos val="nextTo"/>
        <c:crossAx val="2140087920"/>
        <c:crosses val="autoZero"/>
        <c:crossBetween val="midCat"/>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Continuity</a:t>
            </a:r>
            <a:r>
              <a:rPr lang="en-US" baseline="0"/>
              <a:t> Index VS Average Age of Each Practice</a:t>
            </a:r>
            <a:endParaRPr lang="en-US"/>
          </a:p>
        </c:rich>
      </c:tx>
      <c:layout/>
      <c:overlay val="0"/>
    </c:title>
    <c:autoTitleDeleted val="0"/>
    <c:plotArea>
      <c:layout>
        <c:manualLayout>
          <c:layoutTarget val="inner"/>
          <c:xMode val="edge"/>
          <c:yMode val="edge"/>
          <c:x val="0.16948312029075699"/>
          <c:y val="9.6867592405650196E-2"/>
          <c:w val="0.61963632522913803"/>
          <c:h val="0.78026305480471703"/>
        </c:manualLayout>
      </c:layout>
      <c:scatterChart>
        <c:scatterStyle val="lineMarker"/>
        <c:varyColors val="0"/>
        <c:ser>
          <c:idx val="0"/>
          <c:order val="0"/>
          <c:tx>
            <c:strRef>
              <c:f>'Average Age'!$C$1</c:f>
              <c:strCache>
                <c:ptCount val="1"/>
                <c:pt idx="0">
                  <c:v>Each Practice</c:v>
                </c:pt>
              </c:strCache>
            </c:strRef>
          </c:tx>
          <c:spPr>
            <a:ln w="28575">
              <a:noFill/>
            </a:ln>
          </c:spPr>
          <c:xVal>
            <c:numRef>
              <c:f>'Average Age'!$B$2:$B$56</c:f>
              <c:numCache>
                <c:formatCode>General</c:formatCode>
                <c:ptCount val="55"/>
                <c:pt idx="0">
                  <c:v>52</c:v>
                </c:pt>
                <c:pt idx="1">
                  <c:v>50</c:v>
                </c:pt>
                <c:pt idx="3">
                  <c:v>50</c:v>
                </c:pt>
                <c:pt idx="4">
                  <c:v>46</c:v>
                </c:pt>
                <c:pt idx="5">
                  <c:v>50</c:v>
                </c:pt>
                <c:pt idx="6">
                  <c:v>47</c:v>
                </c:pt>
                <c:pt idx="7">
                  <c:v>52</c:v>
                </c:pt>
                <c:pt idx="8">
                  <c:v>53</c:v>
                </c:pt>
                <c:pt idx="9">
                  <c:v>52</c:v>
                </c:pt>
                <c:pt idx="10">
                  <c:v>45</c:v>
                </c:pt>
                <c:pt idx="11">
                  <c:v>58</c:v>
                </c:pt>
                <c:pt idx="13">
                  <c:v>54</c:v>
                </c:pt>
                <c:pt idx="14">
                  <c:v>52</c:v>
                </c:pt>
                <c:pt idx="15">
                  <c:v>49</c:v>
                </c:pt>
                <c:pt idx="16">
                  <c:v>52</c:v>
                </c:pt>
                <c:pt idx="17">
                  <c:v>56</c:v>
                </c:pt>
                <c:pt idx="18">
                  <c:v>59</c:v>
                </c:pt>
                <c:pt idx="19">
                  <c:v>56</c:v>
                </c:pt>
                <c:pt idx="20">
                  <c:v>49</c:v>
                </c:pt>
                <c:pt idx="21">
                  <c:v>56</c:v>
                </c:pt>
                <c:pt idx="22">
                  <c:v>53</c:v>
                </c:pt>
                <c:pt idx="23">
                  <c:v>53</c:v>
                </c:pt>
                <c:pt idx="24">
                  <c:v>51</c:v>
                </c:pt>
                <c:pt idx="25">
                  <c:v>59</c:v>
                </c:pt>
                <c:pt idx="27">
                  <c:v>56</c:v>
                </c:pt>
                <c:pt idx="28">
                  <c:v>61</c:v>
                </c:pt>
                <c:pt idx="30">
                  <c:v>56</c:v>
                </c:pt>
                <c:pt idx="31">
                  <c:v>56</c:v>
                </c:pt>
                <c:pt idx="32">
                  <c:v>65</c:v>
                </c:pt>
                <c:pt idx="33">
                  <c:v>49</c:v>
                </c:pt>
                <c:pt idx="34">
                  <c:v>43</c:v>
                </c:pt>
                <c:pt idx="35">
                  <c:v>50</c:v>
                </c:pt>
                <c:pt idx="36">
                  <c:v>56</c:v>
                </c:pt>
                <c:pt idx="37">
                  <c:v>49</c:v>
                </c:pt>
                <c:pt idx="38">
                  <c:v>51</c:v>
                </c:pt>
                <c:pt idx="39">
                  <c:v>59</c:v>
                </c:pt>
                <c:pt idx="40">
                  <c:v>57</c:v>
                </c:pt>
                <c:pt idx="41">
                  <c:v>41</c:v>
                </c:pt>
                <c:pt idx="42">
                  <c:v>66</c:v>
                </c:pt>
                <c:pt idx="43">
                  <c:v>49</c:v>
                </c:pt>
                <c:pt idx="44">
                  <c:v>58</c:v>
                </c:pt>
                <c:pt idx="45">
                  <c:v>58</c:v>
                </c:pt>
                <c:pt idx="46">
                  <c:v>55</c:v>
                </c:pt>
                <c:pt idx="47">
                  <c:v>59</c:v>
                </c:pt>
                <c:pt idx="48">
                  <c:v>59</c:v>
                </c:pt>
                <c:pt idx="49">
                  <c:v>59</c:v>
                </c:pt>
                <c:pt idx="50">
                  <c:v>62</c:v>
                </c:pt>
              </c:numCache>
            </c:numRef>
          </c:xVal>
          <c:yVal>
            <c:numRef>
              <c:f>'Average Age'!$C$2:$C$56</c:f>
              <c:numCache>
                <c:formatCode>General</c:formatCode>
                <c:ptCount val="55"/>
                <c:pt idx="0">
                  <c:v>0.47199999999999998</c:v>
                </c:pt>
                <c:pt idx="1">
                  <c:v>0.79</c:v>
                </c:pt>
                <c:pt idx="2">
                  <c:v>0.89200000000000002</c:v>
                </c:pt>
                <c:pt idx="3">
                  <c:v>0.48099999999999998</c:v>
                </c:pt>
                <c:pt idx="4">
                  <c:v>0.54500000000000004</c:v>
                </c:pt>
                <c:pt idx="5">
                  <c:v>0.50600000000000001</c:v>
                </c:pt>
                <c:pt idx="6">
                  <c:v>0.66900000000000004</c:v>
                </c:pt>
                <c:pt idx="7">
                  <c:v>0.84199999999999997</c:v>
                </c:pt>
                <c:pt idx="8">
                  <c:v>0.47799999999999998</c:v>
                </c:pt>
                <c:pt idx="9">
                  <c:v>0.85599999999999998</c:v>
                </c:pt>
                <c:pt idx="10">
                  <c:v>0.66700000000000004</c:v>
                </c:pt>
                <c:pt idx="11">
                  <c:v>0.45</c:v>
                </c:pt>
                <c:pt idx="12">
                  <c:v>0</c:v>
                </c:pt>
                <c:pt idx="13">
                  <c:v>0.746</c:v>
                </c:pt>
                <c:pt idx="14">
                  <c:v>0.84199999999999997</c:v>
                </c:pt>
                <c:pt idx="15">
                  <c:v>0.57499999999999996</c:v>
                </c:pt>
                <c:pt idx="16">
                  <c:v>0.58199999999999996</c:v>
                </c:pt>
                <c:pt idx="17">
                  <c:v>0.64800000000000002</c:v>
                </c:pt>
                <c:pt idx="18">
                  <c:v>0.91</c:v>
                </c:pt>
                <c:pt idx="19">
                  <c:v>0.54900000000000004</c:v>
                </c:pt>
                <c:pt idx="20">
                  <c:v>0.77500000000000002</c:v>
                </c:pt>
                <c:pt idx="21">
                  <c:v>0.70399999999999996</c:v>
                </c:pt>
                <c:pt idx="22">
                  <c:v>0.67600000000000005</c:v>
                </c:pt>
                <c:pt idx="23">
                  <c:v>0.72199999999999998</c:v>
                </c:pt>
                <c:pt idx="24">
                  <c:v>0.51900000000000002</c:v>
                </c:pt>
                <c:pt idx="25">
                  <c:v>0.82599999999999996</c:v>
                </c:pt>
                <c:pt idx="26">
                  <c:v>0.51700000000000002</c:v>
                </c:pt>
                <c:pt idx="27">
                  <c:v>0.92100000000000004</c:v>
                </c:pt>
                <c:pt idx="28">
                  <c:v>0.78300000000000003</c:v>
                </c:pt>
                <c:pt idx="29">
                  <c:v>0.64700000000000002</c:v>
                </c:pt>
                <c:pt idx="30">
                  <c:v>0.63700000000000001</c:v>
                </c:pt>
                <c:pt idx="31">
                  <c:v>0.19500000000000001</c:v>
                </c:pt>
                <c:pt idx="32">
                  <c:v>0.96299999999999997</c:v>
                </c:pt>
                <c:pt idx="33">
                  <c:v>0.39800000000000002</c:v>
                </c:pt>
                <c:pt idx="34">
                  <c:v>0.84499999999999997</c:v>
                </c:pt>
                <c:pt idx="35">
                  <c:v>0.80900000000000005</c:v>
                </c:pt>
                <c:pt idx="36">
                  <c:v>0.63900000000000001</c:v>
                </c:pt>
                <c:pt idx="37">
                  <c:v>0.47899999999999998</c:v>
                </c:pt>
                <c:pt idx="38">
                  <c:v>0.6</c:v>
                </c:pt>
                <c:pt idx="39">
                  <c:v>0.998</c:v>
                </c:pt>
                <c:pt idx="40">
                  <c:v>0.67200000000000004</c:v>
                </c:pt>
                <c:pt idx="41">
                  <c:v>0.34300000000000003</c:v>
                </c:pt>
                <c:pt idx="42">
                  <c:v>0.99399999999999999</c:v>
                </c:pt>
                <c:pt idx="43">
                  <c:v>0.80100000000000005</c:v>
                </c:pt>
                <c:pt idx="44">
                  <c:v>0.503</c:v>
                </c:pt>
                <c:pt idx="45">
                  <c:v>0.94599999999999995</c:v>
                </c:pt>
                <c:pt idx="46">
                  <c:v>0.79800000000000004</c:v>
                </c:pt>
                <c:pt idx="47">
                  <c:v>0.97399999999999998</c:v>
                </c:pt>
                <c:pt idx="48">
                  <c:v>0.90700000000000003</c:v>
                </c:pt>
                <c:pt idx="49">
                  <c:v>0.58699999999999997</c:v>
                </c:pt>
                <c:pt idx="50">
                  <c:v>0.58099999999999996</c:v>
                </c:pt>
                <c:pt idx="51">
                  <c:v>0.52500000000000002</c:v>
                </c:pt>
                <c:pt idx="52">
                  <c:v>0</c:v>
                </c:pt>
                <c:pt idx="53">
                  <c:v>0.34499999999999997</c:v>
                </c:pt>
                <c:pt idx="54">
                  <c:v>0.32500000000000001</c:v>
                </c:pt>
              </c:numCache>
            </c:numRef>
          </c:yVal>
          <c:smooth val="0"/>
          <c:extLst>
            <c:ext xmlns:c16="http://schemas.microsoft.com/office/drawing/2014/chart" uri="{C3380CC4-5D6E-409C-BE32-E72D297353CC}">
              <c16:uniqueId val="{00000000-8A08-4AFE-87C1-FA5F82CB4028}"/>
            </c:ext>
          </c:extLst>
        </c:ser>
        <c:dLbls>
          <c:showLegendKey val="0"/>
          <c:showVal val="0"/>
          <c:showCatName val="0"/>
          <c:showSerName val="0"/>
          <c:showPercent val="0"/>
          <c:showBubbleSize val="0"/>
        </c:dLbls>
        <c:axId val="2044127104"/>
        <c:axId val="2044112800"/>
      </c:scatterChart>
      <c:valAx>
        <c:axId val="2044127104"/>
        <c:scaling>
          <c:orientation val="minMax"/>
          <c:min val="35"/>
        </c:scaling>
        <c:delete val="0"/>
        <c:axPos val="b"/>
        <c:title>
          <c:tx>
            <c:rich>
              <a:bodyPr/>
              <a:lstStyle/>
              <a:p>
                <a:pPr>
                  <a:defRPr/>
                </a:pPr>
                <a:r>
                  <a:rPr lang="en-US"/>
                  <a:t>Average Age</a:t>
                </a:r>
              </a:p>
            </c:rich>
          </c:tx>
          <c:layout/>
          <c:overlay val="0"/>
        </c:title>
        <c:numFmt formatCode="General" sourceLinked="1"/>
        <c:majorTickMark val="out"/>
        <c:minorTickMark val="none"/>
        <c:tickLblPos val="nextTo"/>
        <c:crossAx val="2044112800"/>
        <c:crosses val="autoZero"/>
        <c:crossBetween val="midCat"/>
      </c:valAx>
      <c:valAx>
        <c:axId val="2044112800"/>
        <c:scaling>
          <c:orientation val="minMax"/>
        </c:scaling>
        <c:delete val="0"/>
        <c:axPos val="l"/>
        <c:majorGridlines/>
        <c:title>
          <c:tx>
            <c:rich>
              <a:bodyPr rot="0" vert="horz"/>
              <a:lstStyle/>
              <a:p>
                <a:pPr>
                  <a:defRPr/>
                </a:pPr>
                <a:r>
                  <a:rPr lang="en-US"/>
                  <a:t>Continuity Index</a:t>
                </a:r>
              </a:p>
            </c:rich>
          </c:tx>
          <c:layout/>
          <c:overlay val="0"/>
        </c:title>
        <c:numFmt formatCode="General" sourceLinked="1"/>
        <c:majorTickMark val="out"/>
        <c:minorTickMark val="none"/>
        <c:tickLblPos val="nextTo"/>
        <c:crossAx val="2044127104"/>
        <c:crosses val="autoZero"/>
        <c:crossBetween val="midCat"/>
      </c:valAx>
      <c:spPr>
        <a:solidFill>
          <a:schemeClr val="bg1"/>
        </a:solidFill>
      </c:spPr>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Continuity</a:t>
            </a:r>
            <a:r>
              <a:rPr lang="en-US" baseline="0"/>
              <a:t> Index VS Number of Chronic Conditions in Each Practice</a:t>
            </a:r>
            <a:endParaRPr lang="en-US"/>
          </a:p>
        </c:rich>
      </c:tx>
      <c:layout/>
      <c:overlay val="0"/>
    </c:title>
    <c:autoTitleDeleted val="0"/>
    <c:plotArea>
      <c:layout/>
      <c:scatterChart>
        <c:scatterStyle val="lineMarker"/>
        <c:varyColors val="0"/>
        <c:ser>
          <c:idx val="0"/>
          <c:order val="0"/>
          <c:tx>
            <c:strRef>
              <c:f>'Chronic Conditions'!$C$1</c:f>
              <c:strCache>
                <c:ptCount val="1"/>
                <c:pt idx="0">
                  <c:v>Each Practice</c:v>
                </c:pt>
              </c:strCache>
            </c:strRef>
          </c:tx>
          <c:spPr>
            <a:ln w="28575">
              <a:noFill/>
            </a:ln>
          </c:spPr>
          <c:xVal>
            <c:numRef>
              <c:f>'Chronic Conditions'!$B$2:$B$56</c:f>
              <c:numCache>
                <c:formatCode>#,##0</c:formatCode>
                <c:ptCount val="55"/>
                <c:pt idx="0">
                  <c:v>8368</c:v>
                </c:pt>
                <c:pt idx="1">
                  <c:v>4073</c:v>
                </c:pt>
                <c:pt idx="3">
                  <c:v>8262</c:v>
                </c:pt>
                <c:pt idx="4">
                  <c:v>8425</c:v>
                </c:pt>
                <c:pt idx="5">
                  <c:v>10476</c:v>
                </c:pt>
                <c:pt idx="6">
                  <c:v>5718</c:v>
                </c:pt>
                <c:pt idx="7">
                  <c:v>4783</c:v>
                </c:pt>
                <c:pt idx="8">
                  <c:v>3651</c:v>
                </c:pt>
                <c:pt idx="9">
                  <c:v>2831</c:v>
                </c:pt>
                <c:pt idx="10">
                  <c:v>9685</c:v>
                </c:pt>
                <c:pt idx="11">
                  <c:v>2337</c:v>
                </c:pt>
                <c:pt idx="13">
                  <c:v>2019</c:v>
                </c:pt>
                <c:pt idx="14">
                  <c:v>11019</c:v>
                </c:pt>
                <c:pt idx="15">
                  <c:v>7882</c:v>
                </c:pt>
                <c:pt idx="16">
                  <c:v>6079</c:v>
                </c:pt>
                <c:pt idx="17">
                  <c:v>2357</c:v>
                </c:pt>
                <c:pt idx="18">
                  <c:v>3446</c:v>
                </c:pt>
                <c:pt idx="19">
                  <c:v>1842</c:v>
                </c:pt>
                <c:pt idx="20">
                  <c:v>12340</c:v>
                </c:pt>
                <c:pt idx="21">
                  <c:v>8209</c:v>
                </c:pt>
                <c:pt idx="22">
                  <c:v>5690</c:v>
                </c:pt>
                <c:pt idx="23">
                  <c:v>4616</c:v>
                </c:pt>
                <c:pt idx="24">
                  <c:v>4531</c:v>
                </c:pt>
                <c:pt idx="25">
                  <c:v>1343</c:v>
                </c:pt>
                <c:pt idx="27">
                  <c:v>1401</c:v>
                </c:pt>
                <c:pt idx="28">
                  <c:v>4857</c:v>
                </c:pt>
                <c:pt idx="30">
                  <c:v>13099</c:v>
                </c:pt>
                <c:pt idx="31">
                  <c:v>2700</c:v>
                </c:pt>
                <c:pt idx="32">
                  <c:v>1863</c:v>
                </c:pt>
                <c:pt idx="33">
                  <c:v>5120</c:v>
                </c:pt>
                <c:pt idx="34">
                  <c:v>2702</c:v>
                </c:pt>
                <c:pt idx="35">
                  <c:v>8250</c:v>
                </c:pt>
                <c:pt idx="36">
                  <c:v>3013</c:v>
                </c:pt>
                <c:pt idx="37">
                  <c:v>14567</c:v>
                </c:pt>
                <c:pt idx="38">
                  <c:v>6359</c:v>
                </c:pt>
                <c:pt idx="39">
                  <c:v>1121</c:v>
                </c:pt>
                <c:pt idx="40">
                  <c:v>1684</c:v>
                </c:pt>
                <c:pt idx="41">
                  <c:v>6921</c:v>
                </c:pt>
                <c:pt idx="43">
                  <c:v>2692</c:v>
                </c:pt>
                <c:pt idx="44">
                  <c:v>2227</c:v>
                </c:pt>
                <c:pt idx="45">
                  <c:v>1383</c:v>
                </c:pt>
                <c:pt idx="46">
                  <c:v>855</c:v>
                </c:pt>
                <c:pt idx="47">
                  <c:v>1624</c:v>
                </c:pt>
                <c:pt idx="48">
                  <c:v>1455</c:v>
                </c:pt>
                <c:pt idx="49">
                  <c:v>2854</c:v>
                </c:pt>
                <c:pt idx="50">
                  <c:v>6357</c:v>
                </c:pt>
              </c:numCache>
            </c:numRef>
          </c:xVal>
          <c:yVal>
            <c:numRef>
              <c:f>'Chronic Conditions'!$C$2:$C$56</c:f>
              <c:numCache>
                <c:formatCode>General</c:formatCode>
                <c:ptCount val="55"/>
                <c:pt idx="0">
                  <c:v>0.47199999999999998</c:v>
                </c:pt>
                <c:pt idx="1">
                  <c:v>0.79</c:v>
                </c:pt>
                <c:pt idx="2">
                  <c:v>0.89200000000000002</c:v>
                </c:pt>
                <c:pt idx="3">
                  <c:v>0.48099999999999998</c:v>
                </c:pt>
                <c:pt idx="4">
                  <c:v>0.54500000000000004</c:v>
                </c:pt>
                <c:pt idx="5">
                  <c:v>0.50600000000000001</c:v>
                </c:pt>
                <c:pt idx="6">
                  <c:v>0.66900000000000004</c:v>
                </c:pt>
                <c:pt idx="7">
                  <c:v>0.84199999999999997</c:v>
                </c:pt>
                <c:pt idx="8">
                  <c:v>0.47799999999999998</c:v>
                </c:pt>
                <c:pt idx="9">
                  <c:v>0.85599999999999998</c:v>
                </c:pt>
                <c:pt idx="10">
                  <c:v>0.66700000000000004</c:v>
                </c:pt>
                <c:pt idx="11">
                  <c:v>0.45</c:v>
                </c:pt>
                <c:pt idx="12">
                  <c:v>0</c:v>
                </c:pt>
                <c:pt idx="13">
                  <c:v>0.746</c:v>
                </c:pt>
                <c:pt idx="14">
                  <c:v>0.84199999999999997</c:v>
                </c:pt>
                <c:pt idx="15">
                  <c:v>0.57499999999999996</c:v>
                </c:pt>
                <c:pt idx="16">
                  <c:v>0.58199999999999996</c:v>
                </c:pt>
                <c:pt idx="17">
                  <c:v>0.64800000000000002</c:v>
                </c:pt>
                <c:pt idx="18">
                  <c:v>0.91</c:v>
                </c:pt>
                <c:pt idx="19">
                  <c:v>0.54900000000000004</c:v>
                </c:pt>
                <c:pt idx="20">
                  <c:v>0.77500000000000002</c:v>
                </c:pt>
                <c:pt idx="21">
                  <c:v>0.70399999999999996</c:v>
                </c:pt>
                <c:pt idx="22">
                  <c:v>0.67600000000000005</c:v>
                </c:pt>
                <c:pt idx="23">
                  <c:v>0.72199999999999998</c:v>
                </c:pt>
                <c:pt idx="24">
                  <c:v>0.51900000000000002</c:v>
                </c:pt>
                <c:pt idx="25">
                  <c:v>0.82599999999999996</c:v>
                </c:pt>
                <c:pt idx="26">
                  <c:v>0.51700000000000002</c:v>
                </c:pt>
                <c:pt idx="27">
                  <c:v>0.92100000000000004</c:v>
                </c:pt>
                <c:pt idx="28">
                  <c:v>0.78300000000000003</c:v>
                </c:pt>
                <c:pt idx="29">
                  <c:v>0.64700000000000002</c:v>
                </c:pt>
                <c:pt idx="30">
                  <c:v>0.63700000000000001</c:v>
                </c:pt>
                <c:pt idx="31">
                  <c:v>0.19500000000000001</c:v>
                </c:pt>
                <c:pt idx="32">
                  <c:v>0.96299999999999997</c:v>
                </c:pt>
                <c:pt idx="33">
                  <c:v>0.39800000000000002</c:v>
                </c:pt>
                <c:pt idx="34">
                  <c:v>0.84499999999999997</c:v>
                </c:pt>
                <c:pt idx="35">
                  <c:v>0.80900000000000005</c:v>
                </c:pt>
                <c:pt idx="36">
                  <c:v>0.63900000000000001</c:v>
                </c:pt>
                <c:pt idx="37">
                  <c:v>0.47899999999999998</c:v>
                </c:pt>
                <c:pt idx="38">
                  <c:v>0.6</c:v>
                </c:pt>
                <c:pt idx="39">
                  <c:v>0.998</c:v>
                </c:pt>
                <c:pt idx="40">
                  <c:v>0.67200000000000004</c:v>
                </c:pt>
                <c:pt idx="41">
                  <c:v>0.34300000000000003</c:v>
                </c:pt>
                <c:pt idx="42">
                  <c:v>0.99399999999999999</c:v>
                </c:pt>
                <c:pt idx="43">
                  <c:v>0.80100000000000005</c:v>
                </c:pt>
                <c:pt idx="44">
                  <c:v>0.503</c:v>
                </c:pt>
                <c:pt idx="45">
                  <c:v>0.94599999999999995</c:v>
                </c:pt>
                <c:pt idx="46">
                  <c:v>0.79800000000000004</c:v>
                </c:pt>
                <c:pt idx="47">
                  <c:v>0.97399999999999998</c:v>
                </c:pt>
                <c:pt idx="48">
                  <c:v>0.90700000000000003</c:v>
                </c:pt>
                <c:pt idx="49">
                  <c:v>0.58699999999999997</c:v>
                </c:pt>
                <c:pt idx="50">
                  <c:v>0.58099999999999996</c:v>
                </c:pt>
                <c:pt idx="51">
                  <c:v>0.52500000000000002</c:v>
                </c:pt>
                <c:pt idx="52">
                  <c:v>0</c:v>
                </c:pt>
                <c:pt idx="53">
                  <c:v>0.34499999999999997</c:v>
                </c:pt>
                <c:pt idx="54">
                  <c:v>0.32500000000000001</c:v>
                </c:pt>
              </c:numCache>
            </c:numRef>
          </c:yVal>
          <c:smooth val="0"/>
          <c:extLst>
            <c:ext xmlns:c16="http://schemas.microsoft.com/office/drawing/2014/chart" uri="{C3380CC4-5D6E-409C-BE32-E72D297353CC}">
              <c16:uniqueId val="{00000000-16C6-4BD9-B2AE-D89B2A1045D9}"/>
            </c:ext>
          </c:extLst>
        </c:ser>
        <c:dLbls>
          <c:showLegendKey val="0"/>
          <c:showVal val="0"/>
          <c:showCatName val="0"/>
          <c:showSerName val="0"/>
          <c:showPercent val="0"/>
          <c:showBubbleSize val="0"/>
        </c:dLbls>
        <c:axId val="2139589792"/>
        <c:axId val="2139593184"/>
      </c:scatterChart>
      <c:valAx>
        <c:axId val="2139589792"/>
        <c:scaling>
          <c:orientation val="minMax"/>
        </c:scaling>
        <c:delete val="0"/>
        <c:axPos val="b"/>
        <c:title>
          <c:tx>
            <c:rich>
              <a:bodyPr/>
              <a:lstStyle/>
              <a:p>
                <a:pPr>
                  <a:defRPr/>
                </a:pPr>
                <a:r>
                  <a:rPr lang="en-US"/>
                  <a:t>Chronic Conditions</a:t>
                </a:r>
                <a:r>
                  <a:rPr lang="en-US" baseline="0"/>
                  <a:t> in Each Practice</a:t>
                </a:r>
                <a:endParaRPr lang="en-US"/>
              </a:p>
            </c:rich>
          </c:tx>
          <c:layout/>
          <c:overlay val="0"/>
        </c:title>
        <c:numFmt formatCode="#,##0" sourceLinked="1"/>
        <c:majorTickMark val="out"/>
        <c:minorTickMark val="none"/>
        <c:tickLblPos val="nextTo"/>
        <c:crossAx val="2139593184"/>
        <c:crosses val="autoZero"/>
        <c:crossBetween val="midCat"/>
      </c:valAx>
      <c:valAx>
        <c:axId val="2139593184"/>
        <c:scaling>
          <c:orientation val="minMax"/>
        </c:scaling>
        <c:delete val="0"/>
        <c:axPos val="l"/>
        <c:majorGridlines/>
        <c:title>
          <c:tx>
            <c:rich>
              <a:bodyPr rot="0" vert="horz"/>
              <a:lstStyle/>
              <a:p>
                <a:pPr>
                  <a:defRPr/>
                </a:pPr>
                <a:r>
                  <a:rPr lang="en-US"/>
                  <a:t>Continuity Index</a:t>
                </a:r>
              </a:p>
            </c:rich>
          </c:tx>
          <c:layout/>
          <c:overlay val="0"/>
        </c:title>
        <c:numFmt formatCode="General" sourceLinked="1"/>
        <c:majorTickMark val="out"/>
        <c:minorTickMark val="none"/>
        <c:tickLblPos val="nextTo"/>
        <c:crossAx val="2139589792"/>
        <c:crosses val="autoZero"/>
        <c:crossBetween val="midCat"/>
      </c:valAx>
    </c:plotArea>
    <c:legend>
      <c:legendPos val="r"/>
      <c:layout/>
      <c:overlay val="0"/>
    </c:legend>
    <c:plotVisOnly val="1"/>
    <c:dispBlanksAs val="gap"/>
    <c:showDLblsOverMax val="0"/>
  </c:chart>
  <c:spPr>
    <a:solidFill>
      <a:schemeClr val="bg1"/>
    </a:soli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Care of Continuity Index VS Highmark Medicare Patients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'Payor Mix'!$Q$1</c:f>
              <c:strCache>
                <c:ptCount val="1"/>
                <c:pt idx="0">
                  <c:v>Care of Continuity Index</c:v>
                </c:pt>
              </c:strCache>
            </c:strRef>
          </c:tx>
          <c:spPr>
            <a:ln w="47625" cap="rnd">
              <a:noFill/>
              <a:round/>
            </a:ln>
            <a:effectLst/>
          </c:spPr>
          <c:marker>
            <c:symbol val="circle"/>
            <c:size val="5"/>
            <c:spPr>
              <a:solidFill>
                <a:schemeClr val="accent1"/>
              </a:solidFill>
              <a:ln w="9525">
                <a:solidFill>
                  <a:schemeClr val="accent1"/>
                </a:solidFill>
              </a:ln>
              <a:effectLst/>
            </c:spPr>
          </c:marker>
          <c:xVal>
            <c:numRef>
              <c:f>'Payor Mix'!$C$2:$C$48</c:f>
              <c:numCache>
                <c:formatCode>0.00%</c:formatCode>
                <c:ptCount val="47"/>
                <c:pt idx="0">
                  <c:v>7.2999999999999995E-2</c:v>
                </c:pt>
                <c:pt idx="1">
                  <c:v>5.8700000000000002E-2</c:v>
                </c:pt>
                <c:pt idx="2">
                  <c:v>7.51E-2</c:v>
                </c:pt>
                <c:pt idx="3">
                  <c:v>4.0099999999999997E-2</c:v>
                </c:pt>
                <c:pt idx="4">
                  <c:v>5.3900000000000003E-2</c:v>
                </c:pt>
                <c:pt idx="5">
                  <c:v>6.4500000000000002E-2</c:v>
                </c:pt>
                <c:pt idx="6">
                  <c:v>0.10580000000000001</c:v>
                </c:pt>
                <c:pt idx="7">
                  <c:v>7.1199999999999999E-2</c:v>
                </c:pt>
                <c:pt idx="8">
                  <c:v>9.8100000000000007E-2</c:v>
                </c:pt>
                <c:pt idx="9">
                  <c:v>5.7000000000000002E-2</c:v>
                </c:pt>
                <c:pt idx="10">
                  <c:v>7.0599999999999996E-2</c:v>
                </c:pt>
                <c:pt idx="11">
                  <c:v>0.1023</c:v>
                </c:pt>
                <c:pt idx="12">
                  <c:v>0.1072</c:v>
                </c:pt>
                <c:pt idx="13">
                  <c:v>5.9200000000000003E-2</c:v>
                </c:pt>
                <c:pt idx="14">
                  <c:v>9.1300000000000006E-2</c:v>
                </c:pt>
                <c:pt idx="15">
                  <c:v>0.13070000000000001</c:v>
                </c:pt>
                <c:pt idx="16">
                  <c:v>0.1749</c:v>
                </c:pt>
                <c:pt idx="17">
                  <c:v>7.0800000000000002E-2</c:v>
                </c:pt>
                <c:pt idx="18">
                  <c:v>4.4400000000000002E-2</c:v>
                </c:pt>
                <c:pt idx="19">
                  <c:v>0.1797</c:v>
                </c:pt>
                <c:pt idx="20">
                  <c:v>0.16769999999999999</c:v>
                </c:pt>
                <c:pt idx="21">
                  <c:v>0.14879999999999999</c:v>
                </c:pt>
                <c:pt idx="22">
                  <c:v>0.12870000000000001</c:v>
                </c:pt>
                <c:pt idx="23">
                  <c:v>0.21529999999999999</c:v>
                </c:pt>
                <c:pt idx="24">
                  <c:v>0.1671</c:v>
                </c:pt>
                <c:pt idx="25">
                  <c:v>0.19159999999999999</c:v>
                </c:pt>
                <c:pt idx="26">
                  <c:v>0.13589999999999999</c:v>
                </c:pt>
                <c:pt idx="27">
                  <c:v>0.1681</c:v>
                </c:pt>
                <c:pt idx="28">
                  <c:v>0.17399999999999999</c:v>
                </c:pt>
                <c:pt idx="29">
                  <c:v>8.6199999999999999E-2</c:v>
                </c:pt>
                <c:pt idx="30">
                  <c:v>4.0800000000000003E-2</c:v>
                </c:pt>
                <c:pt idx="31">
                  <c:v>7.2499999999999995E-2</c:v>
                </c:pt>
                <c:pt idx="32">
                  <c:v>4.0099999999999997E-2</c:v>
                </c:pt>
                <c:pt idx="33">
                  <c:v>9.5699999999999993E-2</c:v>
                </c:pt>
                <c:pt idx="34">
                  <c:v>9.4E-2</c:v>
                </c:pt>
                <c:pt idx="35">
                  <c:v>0.1052</c:v>
                </c:pt>
                <c:pt idx="36">
                  <c:v>8.8599999999999998E-2</c:v>
                </c:pt>
                <c:pt idx="37">
                  <c:v>4.3799999999999999E-2</c:v>
                </c:pt>
                <c:pt idx="38">
                  <c:v>0.1668</c:v>
                </c:pt>
                <c:pt idx="39">
                  <c:v>8.6999999999999994E-2</c:v>
                </c:pt>
                <c:pt idx="40">
                  <c:v>0.13719999999999999</c:v>
                </c:pt>
                <c:pt idx="41">
                  <c:v>0.125</c:v>
                </c:pt>
                <c:pt idx="42">
                  <c:v>0.122</c:v>
                </c:pt>
                <c:pt idx="43">
                  <c:v>0.1235</c:v>
                </c:pt>
                <c:pt idx="44">
                  <c:v>0.13139999999999999</c:v>
                </c:pt>
                <c:pt idx="45">
                  <c:v>0.1421</c:v>
                </c:pt>
                <c:pt idx="46">
                  <c:v>0.1547</c:v>
                </c:pt>
              </c:numCache>
            </c:numRef>
          </c:xVal>
          <c:yVal>
            <c:numRef>
              <c:f>'Payor Mix'!$Q$2:$Q$48</c:f>
              <c:numCache>
                <c:formatCode>General</c:formatCode>
                <c:ptCount val="47"/>
                <c:pt idx="0">
                  <c:v>0.47199999999999998</c:v>
                </c:pt>
                <c:pt idx="1">
                  <c:v>0.79</c:v>
                </c:pt>
                <c:pt idx="2">
                  <c:v>0.48099999999999998</c:v>
                </c:pt>
                <c:pt idx="3">
                  <c:v>0.54500000000000004</c:v>
                </c:pt>
                <c:pt idx="4">
                  <c:v>0.50600000000000001</c:v>
                </c:pt>
                <c:pt idx="5">
                  <c:v>0.66900000000000004</c:v>
                </c:pt>
                <c:pt idx="6">
                  <c:v>0.84199999999999997</c:v>
                </c:pt>
                <c:pt idx="7">
                  <c:v>0.47799999999999998</c:v>
                </c:pt>
                <c:pt idx="8">
                  <c:v>0.85599999999999998</c:v>
                </c:pt>
                <c:pt idx="9">
                  <c:v>0.66700000000000004</c:v>
                </c:pt>
                <c:pt idx="10">
                  <c:v>0.45</c:v>
                </c:pt>
                <c:pt idx="11">
                  <c:v>0.746</c:v>
                </c:pt>
                <c:pt idx="12">
                  <c:v>0.84199999999999997</c:v>
                </c:pt>
                <c:pt idx="13">
                  <c:v>0.57499999999999996</c:v>
                </c:pt>
                <c:pt idx="14">
                  <c:v>0.58199999999999996</c:v>
                </c:pt>
                <c:pt idx="15">
                  <c:v>0.64800000000000002</c:v>
                </c:pt>
                <c:pt idx="16">
                  <c:v>0.91</c:v>
                </c:pt>
                <c:pt idx="17">
                  <c:v>0.54900000000000004</c:v>
                </c:pt>
                <c:pt idx="18">
                  <c:v>0.77500000000000002</c:v>
                </c:pt>
                <c:pt idx="19">
                  <c:v>0.70399999999999996</c:v>
                </c:pt>
                <c:pt idx="20">
                  <c:v>0.67600000000000005</c:v>
                </c:pt>
                <c:pt idx="21">
                  <c:v>0.72199999999999998</c:v>
                </c:pt>
                <c:pt idx="22">
                  <c:v>0.51900000000000002</c:v>
                </c:pt>
                <c:pt idx="23">
                  <c:v>0.82599999999999996</c:v>
                </c:pt>
                <c:pt idx="24">
                  <c:v>1.5169999999999999</c:v>
                </c:pt>
                <c:pt idx="25">
                  <c:v>0.78300000000000003</c:v>
                </c:pt>
                <c:pt idx="26">
                  <c:v>0.63700000000000001</c:v>
                </c:pt>
                <c:pt idx="27">
                  <c:v>0.19500000000000001</c:v>
                </c:pt>
                <c:pt idx="28">
                  <c:v>0.96299999999999997</c:v>
                </c:pt>
                <c:pt idx="29">
                  <c:v>0.39800000000000002</c:v>
                </c:pt>
                <c:pt idx="30">
                  <c:v>0.84499999999999997</c:v>
                </c:pt>
                <c:pt idx="31">
                  <c:v>0.80900000000000005</c:v>
                </c:pt>
                <c:pt idx="32">
                  <c:v>0.63900000000000001</c:v>
                </c:pt>
                <c:pt idx="33">
                  <c:v>0.47899999999999998</c:v>
                </c:pt>
                <c:pt idx="34">
                  <c:v>0.6</c:v>
                </c:pt>
                <c:pt idx="35">
                  <c:v>0.998</c:v>
                </c:pt>
                <c:pt idx="36">
                  <c:v>0.67200000000000004</c:v>
                </c:pt>
                <c:pt idx="37">
                  <c:v>0.34300000000000003</c:v>
                </c:pt>
                <c:pt idx="38">
                  <c:v>0.99399999999999999</c:v>
                </c:pt>
                <c:pt idx="39">
                  <c:v>0.80100000000000005</c:v>
                </c:pt>
                <c:pt idx="40">
                  <c:v>0.503</c:v>
                </c:pt>
                <c:pt idx="41">
                  <c:v>0.94599999999999995</c:v>
                </c:pt>
                <c:pt idx="42">
                  <c:v>0.79800000000000004</c:v>
                </c:pt>
                <c:pt idx="43">
                  <c:v>0.97399999999999998</c:v>
                </c:pt>
                <c:pt idx="44">
                  <c:v>0.90700000000000003</c:v>
                </c:pt>
                <c:pt idx="45">
                  <c:v>0.58699999999999997</c:v>
                </c:pt>
                <c:pt idx="46">
                  <c:v>0.58099999999999996</c:v>
                </c:pt>
              </c:numCache>
            </c:numRef>
          </c:yVal>
          <c:smooth val="0"/>
          <c:extLst>
            <c:ext xmlns:c16="http://schemas.microsoft.com/office/drawing/2014/chart" uri="{C3380CC4-5D6E-409C-BE32-E72D297353CC}">
              <c16:uniqueId val="{00000000-D27F-460F-8153-E74328214867}"/>
            </c:ext>
          </c:extLst>
        </c:ser>
        <c:dLbls>
          <c:showLegendKey val="0"/>
          <c:showVal val="0"/>
          <c:showCatName val="0"/>
          <c:showSerName val="0"/>
          <c:showPercent val="0"/>
          <c:showBubbleSize val="0"/>
        </c:dLbls>
        <c:axId val="2044116400"/>
        <c:axId val="2044063776"/>
      </c:scatterChart>
      <c:valAx>
        <c:axId val="204411640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 of Pateints that are Highmark Medicare</a:t>
                </a:r>
                <a:r>
                  <a:rPr lang="en-US" baseline="0"/>
                  <a:t> Patients</a:t>
                </a:r>
                <a:endParaRPr lang="en-US"/>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4063776"/>
        <c:crosses val="autoZero"/>
        <c:crossBetween val="midCat"/>
      </c:valAx>
      <c:valAx>
        <c:axId val="2044063776"/>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Care of Continuity Index</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4116400"/>
        <c:crosses val="autoZero"/>
        <c:crossBetween val="midCat"/>
        <c:majorUnit val="0.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Care of Continuity Index Vs Gateway</a:t>
            </a:r>
            <a:r>
              <a:rPr lang="en-US" baseline="0"/>
              <a:t> Medicare Patients</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'Payor Mix'!$Q$1</c:f>
              <c:strCache>
                <c:ptCount val="1"/>
                <c:pt idx="0">
                  <c:v>Care of Continuity Index</c:v>
                </c:pt>
              </c:strCache>
            </c:strRef>
          </c:tx>
          <c:spPr>
            <a:ln w="47625" cap="rnd">
              <a:noFill/>
              <a:round/>
            </a:ln>
            <a:effectLst/>
          </c:spPr>
          <c:marker>
            <c:symbol val="circle"/>
            <c:size val="5"/>
            <c:spPr>
              <a:solidFill>
                <a:schemeClr val="accent1"/>
              </a:solidFill>
              <a:ln w="9525">
                <a:solidFill>
                  <a:schemeClr val="accent1"/>
                </a:solidFill>
              </a:ln>
              <a:effectLst/>
            </c:spPr>
          </c:marker>
          <c:xVal>
            <c:numRef>
              <c:f>'Payor Mix'!$D$2:$D$48</c:f>
              <c:numCache>
                <c:formatCode>0.00%</c:formatCode>
                <c:ptCount val="47"/>
                <c:pt idx="0">
                  <c:v>7.5600000000000001E-2</c:v>
                </c:pt>
                <c:pt idx="1">
                  <c:v>0</c:v>
                </c:pt>
                <c:pt idx="2">
                  <c:v>0</c:v>
                </c:pt>
                <c:pt idx="3">
                  <c:v>0</c:v>
                </c:pt>
                <c:pt idx="4">
                  <c:v>0</c:v>
                </c:pt>
                <c:pt idx="5">
                  <c:v>3.2800000000000003E-2</c:v>
                </c:pt>
                <c:pt idx="6">
                  <c:v>0</c:v>
                </c:pt>
                <c:pt idx="7">
                  <c:v>0</c:v>
                </c:pt>
                <c:pt idx="8">
                  <c:v>0</c:v>
                </c:pt>
                <c:pt idx="9">
                  <c:v>0</c:v>
                </c:pt>
                <c:pt idx="10">
                  <c:v>0</c:v>
                </c:pt>
                <c:pt idx="11">
                  <c:v>0</c:v>
                </c:pt>
                <c:pt idx="12">
                  <c:v>3.0300000000000001E-2</c:v>
                </c:pt>
                <c:pt idx="13">
                  <c:v>0</c:v>
                </c:pt>
                <c:pt idx="14">
                  <c:v>0</c:v>
                </c:pt>
                <c:pt idx="15">
                  <c:v>0</c:v>
                </c:pt>
                <c:pt idx="16">
                  <c:v>0</c:v>
                </c:pt>
                <c:pt idx="17">
                  <c:v>0</c:v>
                </c:pt>
                <c:pt idx="18">
                  <c:v>0</c:v>
                </c:pt>
                <c:pt idx="19">
                  <c:v>0</c:v>
                </c:pt>
                <c:pt idx="20">
                  <c:v>4.1799999999999997E-2</c:v>
                </c:pt>
                <c:pt idx="21">
                  <c:v>3.4299999999999997E-2</c:v>
                </c:pt>
                <c:pt idx="22" formatCode="0%">
                  <c:v>0</c:v>
                </c:pt>
                <c:pt idx="23" formatCode="0%">
                  <c:v>0</c:v>
                </c:pt>
                <c:pt idx="24" formatCode="0%">
                  <c:v>0</c:v>
                </c:pt>
                <c:pt idx="25">
                  <c:v>4.1500000000000002E-2</c:v>
                </c:pt>
                <c:pt idx="26" formatCode="0%">
                  <c:v>0</c:v>
                </c:pt>
                <c:pt idx="27" formatCode="0%">
                  <c:v>0</c:v>
                </c:pt>
                <c:pt idx="28" formatCode="0%">
                  <c:v>0</c:v>
                </c:pt>
                <c:pt idx="29" formatCode="0%">
                  <c:v>0</c:v>
                </c:pt>
                <c:pt idx="30" formatCode="0%">
                  <c:v>0</c:v>
                </c:pt>
                <c:pt idx="31" formatCode="0%">
                  <c:v>0</c:v>
                </c:pt>
                <c:pt idx="32" formatCode="0%">
                  <c:v>0</c:v>
                </c:pt>
                <c:pt idx="33" formatCode="0%">
                  <c:v>0</c:v>
                </c:pt>
                <c:pt idx="34" formatCode="0%">
                  <c:v>0</c:v>
                </c:pt>
                <c:pt idx="35" formatCode="0%">
                  <c:v>0</c:v>
                </c:pt>
                <c:pt idx="36" formatCode="0%">
                  <c:v>0</c:v>
                </c:pt>
                <c:pt idx="37" formatCode="0%">
                  <c:v>0</c:v>
                </c:pt>
                <c:pt idx="38" formatCode="0%">
                  <c:v>0</c:v>
                </c:pt>
                <c:pt idx="39" formatCode="0%">
                  <c:v>0</c:v>
                </c:pt>
                <c:pt idx="40">
                  <c:v>3.2899999999999999E-2</c:v>
                </c:pt>
                <c:pt idx="41" formatCode="0%">
                  <c:v>0</c:v>
                </c:pt>
                <c:pt idx="42" formatCode="0%">
                  <c:v>0</c:v>
                </c:pt>
                <c:pt idx="43" formatCode="0%">
                  <c:v>0</c:v>
                </c:pt>
                <c:pt idx="44" formatCode="0%">
                  <c:v>0</c:v>
                </c:pt>
                <c:pt idx="45" formatCode="0%">
                  <c:v>0</c:v>
                </c:pt>
                <c:pt idx="46" formatCode="0%">
                  <c:v>0</c:v>
                </c:pt>
              </c:numCache>
            </c:numRef>
          </c:xVal>
          <c:yVal>
            <c:numRef>
              <c:f>'Payor Mix'!$Q$2:$Q$48</c:f>
              <c:numCache>
                <c:formatCode>General</c:formatCode>
                <c:ptCount val="47"/>
                <c:pt idx="0">
                  <c:v>0.47199999999999998</c:v>
                </c:pt>
                <c:pt idx="1">
                  <c:v>0.79</c:v>
                </c:pt>
                <c:pt idx="2">
                  <c:v>0.48099999999999998</c:v>
                </c:pt>
                <c:pt idx="3">
                  <c:v>0.54500000000000004</c:v>
                </c:pt>
                <c:pt idx="4">
                  <c:v>0.50600000000000001</c:v>
                </c:pt>
                <c:pt idx="5">
                  <c:v>0.66900000000000004</c:v>
                </c:pt>
                <c:pt idx="6">
                  <c:v>0.84199999999999997</c:v>
                </c:pt>
                <c:pt idx="7">
                  <c:v>0.47799999999999998</c:v>
                </c:pt>
                <c:pt idx="8">
                  <c:v>0.85599999999999998</c:v>
                </c:pt>
                <c:pt idx="9">
                  <c:v>0.66700000000000004</c:v>
                </c:pt>
                <c:pt idx="10">
                  <c:v>0.45</c:v>
                </c:pt>
                <c:pt idx="11">
                  <c:v>0.746</c:v>
                </c:pt>
                <c:pt idx="12">
                  <c:v>0.84199999999999997</c:v>
                </c:pt>
                <c:pt idx="13">
                  <c:v>0.57499999999999996</c:v>
                </c:pt>
                <c:pt idx="14">
                  <c:v>0.58199999999999996</c:v>
                </c:pt>
                <c:pt idx="15">
                  <c:v>0.64800000000000002</c:v>
                </c:pt>
                <c:pt idx="16">
                  <c:v>0.91</c:v>
                </c:pt>
                <c:pt idx="17">
                  <c:v>0.54900000000000004</c:v>
                </c:pt>
                <c:pt idx="18">
                  <c:v>0.77500000000000002</c:v>
                </c:pt>
                <c:pt idx="19">
                  <c:v>0.70399999999999996</c:v>
                </c:pt>
                <c:pt idx="20">
                  <c:v>0.67600000000000005</c:v>
                </c:pt>
                <c:pt idx="21">
                  <c:v>0.72199999999999998</c:v>
                </c:pt>
                <c:pt idx="22">
                  <c:v>0.51900000000000002</c:v>
                </c:pt>
                <c:pt idx="23">
                  <c:v>0.82599999999999996</c:v>
                </c:pt>
                <c:pt idx="24">
                  <c:v>1.5169999999999999</c:v>
                </c:pt>
                <c:pt idx="25">
                  <c:v>0.78300000000000003</c:v>
                </c:pt>
                <c:pt idx="26">
                  <c:v>0.63700000000000001</c:v>
                </c:pt>
                <c:pt idx="27">
                  <c:v>0.19500000000000001</c:v>
                </c:pt>
                <c:pt idx="28">
                  <c:v>0.96299999999999997</c:v>
                </c:pt>
                <c:pt idx="29">
                  <c:v>0.39800000000000002</c:v>
                </c:pt>
                <c:pt idx="30">
                  <c:v>0.84499999999999997</c:v>
                </c:pt>
                <c:pt idx="31">
                  <c:v>0.80900000000000005</c:v>
                </c:pt>
                <c:pt idx="32">
                  <c:v>0.63900000000000001</c:v>
                </c:pt>
                <c:pt idx="33">
                  <c:v>0.47899999999999998</c:v>
                </c:pt>
                <c:pt idx="34">
                  <c:v>0.6</c:v>
                </c:pt>
                <c:pt idx="35">
                  <c:v>0.998</c:v>
                </c:pt>
                <c:pt idx="36">
                  <c:v>0.67200000000000004</c:v>
                </c:pt>
                <c:pt idx="37">
                  <c:v>0.34300000000000003</c:v>
                </c:pt>
                <c:pt idx="38">
                  <c:v>0.99399999999999999</c:v>
                </c:pt>
                <c:pt idx="39">
                  <c:v>0.80100000000000005</c:v>
                </c:pt>
                <c:pt idx="40">
                  <c:v>0.503</c:v>
                </c:pt>
                <c:pt idx="41">
                  <c:v>0.94599999999999995</c:v>
                </c:pt>
                <c:pt idx="42">
                  <c:v>0.79800000000000004</c:v>
                </c:pt>
                <c:pt idx="43">
                  <c:v>0.97399999999999998</c:v>
                </c:pt>
                <c:pt idx="44">
                  <c:v>0.90700000000000003</c:v>
                </c:pt>
                <c:pt idx="45">
                  <c:v>0.58699999999999997</c:v>
                </c:pt>
                <c:pt idx="46">
                  <c:v>0.58099999999999996</c:v>
                </c:pt>
              </c:numCache>
            </c:numRef>
          </c:yVal>
          <c:smooth val="0"/>
          <c:extLst>
            <c:ext xmlns:c16="http://schemas.microsoft.com/office/drawing/2014/chart" uri="{C3380CC4-5D6E-409C-BE32-E72D297353CC}">
              <c16:uniqueId val="{00000000-ADC4-4E79-B604-291FC61302FE}"/>
            </c:ext>
          </c:extLst>
        </c:ser>
        <c:dLbls>
          <c:showLegendKey val="0"/>
          <c:showVal val="0"/>
          <c:showCatName val="0"/>
          <c:showSerName val="0"/>
          <c:showPercent val="0"/>
          <c:showBubbleSize val="0"/>
        </c:dLbls>
        <c:axId val="2139176656"/>
        <c:axId val="2044640960"/>
      </c:scatterChart>
      <c:valAx>
        <c:axId val="213917665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 of Patients</a:t>
                </a:r>
                <a:r>
                  <a:rPr lang="en-US" baseline="0"/>
                  <a:t> with Gateway Medicare</a:t>
                </a:r>
                <a:endParaRPr lang="en-US"/>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4640960"/>
        <c:crosses val="autoZero"/>
        <c:crossBetween val="midCat"/>
      </c:valAx>
      <c:valAx>
        <c:axId val="2044640960"/>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Care of Continuity Index</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917665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Care of Continuity Index VS </a:t>
            </a:r>
            <a:r>
              <a:rPr lang="en-US" baseline="0"/>
              <a:t>Medicare Patients</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'Payor Mix'!$Q$1</c:f>
              <c:strCache>
                <c:ptCount val="1"/>
                <c:pt idx="0">
                  <c:v>Care of Continuity Index</c:v>
                </c:pt>
              </c:strCache>
            </c:strRef>
          </c:tx>
          <c:spPr>
            <a:ln w="47625" cap="rnd">
              <a:noFill/>
              <a:round/>
            </a:ln>
            <a:effectLst/>
          </c:spPr>
          <c:marker>
            <c:symbol val="circle"/>
            <c:size val="5"/>
            <c:spPr>
              <a:solidFill>
                <a:schemeClr val="accent1"/>
              </a:solidFill>
              <a:ln w="9525">
                <a:solidFill>
                  <a:schemeClr val="accent1"/>
                </a:solidFill>
              </a:ln>
              <a:effectLst/>
            </c:spPr>
          </c:marker>
          <c:xVal>
            <c:numRef>
              <c:f>'Payor Mix'!$B$2:$B$48</c:f>
              <c:numCache>
                <c:formatCode>0.00%</c:formatCode>
                <c:ptCount val="47"/>
                <c:pt idx="0">
                  <c:v>9.2899999999999996E-2</c:v>
                </c:pt>
                <c:pt idx="1">
                  <c:v>7.6999999999999999E-2</c:v>
                </c:pt>
                <c:pt idx="2">
                  <c:v>6.6199999999999995E-2</c:v>
                </c:pt>
                <c:pt idx="3">
                  <c:v>3.7900000000000003E-2</c:v>
                </c:pt>
                <c:pt idx="4">
                  <c:v>6.0199999999999997E-2</c:v>
                </c:pt>
                <c:pt idx="5">
                  <c:v>6.8699999999999997E-2</c:v>
                </c:pt>
                <c:pt idx="6">
                  <c:v>8.2400000000000001E-2</c:v>
                </c:pt>
                <c:pt idx="7">
                  <c:v>7.9299999999999995E-2</c:v>
                </c:pt>
                <c:pt idx="8">
                  <c:v>8.6699999999999999E-2</c:v>
                </c:pt>
                <c:pt idx="9">
                  <c:v>4.3099999999999999E-2</c:v>
                </c:pt>
                <c:pt idx="10">
                  <c:v>0.17449999999999999</c:v>
                </c:pt>
                <c:pt idx="11">
                  <c:v>0.1018</c:v>
                </c:pt>
                <c:pt idx="12">
                  <c:v>7.51E-2</c:v>
                </c:pt>
                <c:pt idx="13">
                  <c:v>4.8899999999999999E-2</c:v>
                </c:pt>
                <c:pt idx="14">
                  <c:v>8.5599999999999996E-2</c:v>
                </c:pt>
                <c:pt idx="15">
                  <c:v>8.3299999999999999E-2</c:v>
                </c:pt>
                <c:pt idx="16">
                  <c:v>0.1082</c:v>
                </c:pt>
                <c:pt idx="17">
                  <c:v>0.1724</c:v>
                </c:pt>
                <c:pt idx="18">
                  <c:v>6.1899999999999997E-2</c:v>
                </c:pt>
                <c:pt idx="19">
                  <c:v>9.3700000000000006E-2</c:v>
                </c:pt>
                <c:pt idx="20">
                  <c:v>7.5800000000000006E-2</c:v>
                </c:pt>
                <c:pt idx="21">
                  <c:v>9.1999999999999998E-2</c:v>
                </c:pt>
                <c:pt idx="22">
                  <c:v>9.4600000000000004E-2</c:v>
                </c:pt>
                <c:pt idx="23">
                  <c:v>0.13730000000000001</c:v>
                </c:pt>
                <c:pt idx="24">
                  <c:v>0.11749999999999999</c:v>
                </c:pt>
                <c:pt idx="25">
                  <c:v>0.1361</c:v>
                </c:pt>
                <c:pt idx="26">
                  <c:v>0.113</c:v>
                </c:pt>
                <c:pt idx="27">
                  <c:v>0.12759999999999999</c:v>
                </c:pt>
                <c:pt idx="28">
                  <c:v>0.15459999999999999</c:v>
                </c:pt>
                <c:pt idx="29">
                  <c:v>7.1999999999999995E-2</c:v>
                </c:pt>
                <c:pt idx="30">
                  <c:v>4.41E-2</c:v>
                </c:pt>
                <c:pt idx="31">
                  <c:v>6.9099999999999995E-2</c:v>
                </c:pt>
                <c:pt idx="32">
                  <c:v>3.4099999999999998E-2</c:v>
                </c:pt>
                <c:pt idx="33">
                  <c:v>7.7299999999999994E-2</c:v>
                </c:pt>
                <c:pt idx="34">
                  <c:v>8.5400000000000004E-2</c:v>
                </c:pt>
                <c:pt idx="35">
                  <c:v>0.1147</c:v>
                </c:pt>
                <c:pt idx="36">
                  <c:v>0.1137</c:v>
                </c:pt>
                <c:pt idx="37">
                  <c:v>5.3600000000000002E-2</c:v>
                </c:pt>
                <c:pt idx="38">
                  <c:v>0.20449999999999999</c:v>
                </c:pt>
                <c:pt idx="39">
                  <c:v>8.5199999999999998E-2</c:v>
                </c:pt>
                <c:pt idx="40">
                  <c:v>0.14510000000000001</c:v>
                </c:pt>
                <c:pt idx="41">
                  <c:v>0.107</c:v>
                </c:pt>
                <c:pt idx="42">
                  <c:v>0.1172</c:v>
                </c:pt>
                <c:pt idx="43">
                  <c:v>0.13250000000000001</c:v>
                </c:pt>
                <c:pt idx="44">
                  <c:v>9.6500000000000002E-2</c:v>
                </c:pt>
                <c:pt idx="45">
                  <c:v>0.13639999999999999</c:v>
                </c:pt>
                <c:pt idx="46">
                  <c:v>0.1328</c:v>
                </c:pt>
              </c:numCache>
            </c:numRef>
          </c:xVal>
          <c:yVal>
            <c:numRef>
              <c:f>'Payor Mix'!$Q$2:$Q$48</c:f>
              <c:numCache>
                <c:formatCode>General</c:formatCode>
                <c:ptCount val="47"/>
                <c:pt idx="0">
                  <c:v>0.47199999999999998</c:v>
                </c:pt>
                <c:pt idx="1">
                  <c:v>0.79</c:v>
                </c:pt>
                <c:pt idx="2">
                  <c:v>0.48099999999999998</c:v>
                </c:pt>
                <c:pt idx="3">
                  <c:v>0.54500000000000004</c:v>
                </c:pt>
                <c:pt idx="4">
                  <c:v>0.50600000000000001</c:v>
                </c:pt>
                <c:pt idx="5">
                  <c:v>0.66900000000000004</c:v>
                </c:pt>
                <c:pt idx="6">
                  <c:v>0.84199999999999997</c:v>
                </c:pt>
                <c:pt idx="7">
                  <c:v>0.47799999999999998</c:v>
                </c:pt>
                <c:pt idx="8">
                  <c:v>0.85599999999999998</c:v>
                </c:pt>
                <c:pt idx="9">
                  <c:v>0.66700000000000004</c:v>
                </c:pt>
                <c:pt idx="10">
                  <c:v>0.45</c:v>
                </c:pt>
                <c:pt idx="11">
                  <c:v>0.746</c:v>
                </c:pt>
                <c:pt idx="12">
                  <c:v>0.84199999999999997</c:v>
                </c:pt>
                <c:pt idx="13">
                  <c:v>0.57499999999999996</c:v>
                </c:pt>
                <c:pt idx="14">
                  <c:v>0.58199999999999996</c:v>
                </c:pt>
                <c:pt idx="15">
                  <c:v>0.64800000000000002</c:v>
                </c:pt>
                <c:pt idx="16">
                  <c:v>0.91</c:v>
                </c:pt>
                <c:pt idx="17">
                  <c:v>0.54900000000000004</c:v>
                </c:pt>
                <c:pt idx="18">
                  <c:v>0.77500000000000002</c:v>
                </c:pt>
                <c:pt idx="19">
                  <c:v>0.70399999999999996</c:v>
                </c:pt>
                <c:pt idx="20">
                  <c:v>0.67600000000000005</c:v>
                </c:pt>
                <c:pt idx="21">
                  <c:v>0.72199999999999998</c:v>
                </c:pt>
                <c:pt idx="22">
                  <c:v>0.51900000000000002</c:v>
                </c:pt>
                <c:pt idx="23">
                  <c:v>0.82599999999999996</c:v>
                </c:pt>
                <c:pt idx="24">
                  <c:v>1.5169999999999999</c:v>
                </c:pt>
                <c:pt idx="25">
                  <c:v>0.78300000000000003</c:v>
                </c:pt>
                <c:pt idx="26">
                  <c:v>0.63700000000000001</c:v>
                </c:pt>
                <c:pt idx="27">
                  <c:v>0.19500000000000001</c:v>
                </c:pt>
                <c:pt idx="28">
                  <c:v>0.96299999999999997</c:v>
                </c:pt>
                <c:pt idx="29">
                  <c:v>0.39800000000000002</c:v>
                </c:pt>
                <c:pt idx="30">
                  <c:v>0.84499999999999997</c:v>
                </c:pt>
                <c:pt idx="31">
                  <c:v>0.80900000000000005</c:v>
                </c:pt>
                <c:pt idx="32">
                  <c:v>0.63900000000000001</c:v>
                </c:pt>
                <c:pt idx="33">
                  <c:v>0.47899999999999998</c:v>
                </c:pt>
                <c:pt idx="34">
                  <c:v>0.6</c:v>
                </c:pt>
                <c:pt idx="35">
                  <c:v>0.998</c:v>
                </c:pt>
                <c:pt idx="36">
                  <c:v>0.67200000000000004</c:v>
                </c:pt>
                <c:pt idx="37">
                  <c:v>0.34300000000000003</c:v>
                </c:pt>
                <c:pt idx="38">
                  <c:v>0.99399999999999999</c:v>
                </c:pt>
                <c:pt idx="39">
                  <c:v>0.80100000000000005</c:v>
                </c:pt>
                <c:pt idx="40">
                  <c:v>0.503</c:v>
                </c:pt>
                <c:pt idx="41">
                  <c:v>0.94599999999999995</c:v>
                </c:pt>
                <c:pt idx="42">
                  <c:v>0.79800000000000004</c:v>
                </c:pt>
                <c:pt idx="43">
                  <c:v>0.97399999999999998</c:v>
                </c:pt>
                <c:pt idx="44">
                  <c:v>0.90700000000000003</c:v>
                </c:pt>
                <c:pt idx="45">
                  <c:v>0.58699999999999997</c:v>
                </c:pt>
                <c:pt idx="46">
                  <c:v>0.58099999999999996</c:v>
                </c:pt>
              </c:numCache>
            </c:numRef>
          </c:yVal>
          <c:smooth val="0"/>
          <c:extLst>
            <c:ext xmlns:c16="http://schemas.microsoft.com/office/drawing/2014/chart" uri="{C3380CC4-5D6E-409C-BE32-E72D297353CC}">
              <c16:uniqueId val="{00000000-88D9-4A31-82E4-53980AA4C083}"/>
            </c:ext>
          </c:extLst>
        </c:ser>
        <c:dLbls>
          <c:showLegendKey val="0"/>
          <c:showVal val="0"/>
          <c:showCatName val="0"/>
          <c:showSerName val="0"/>
          <c:showPercent val="0"/>
          <c:showBubbleSize val="0"/>
        </c:dLbls>
        <c:axId val="2044378720"/>
        <c:axId val="2139520640"/>
      </c:scatterChart>
      <c:valAx>
        <c:axId val="204437872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a:t>
                </a:r>
                <a:r>
                  <a:rPr lang="en-US" baseline="0"/>
                  <a:t> of Patients with Medicare</a:t>
                </a:r>
                <a:endParaRPr lang="en-US"/>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9520640"/>
        <c:crosses val="autoZero"/>
        <c:crossBetween val="midCat"/>
      </c:valAx>
      <c:valAx>
        <c:axId val="2139520640"/>
        <c:scaling>
          <c:orientation val="minMax"/>
          <c:max val="1"/>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Care of Continuity Index</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437872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Care</a:t>
            </a:r>
            <a:r>
              <a:rPr lang="en-US" baseline="0"/>
              <a:t> of Continuity Index Vs Highmark Insurance Patients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'Payor Mix'!$Q$1</c:f>
              <c:strCache>
                <c:ptCount val="1"/>
                <c:pt idx="0">
                  <c:v>COCI</c:v>
                </c:pt>
              </c:strCache>
            </c:strRef>
          </c:tx>
          <c:spPr>
            <a:ln w="47625" cap="rnd">
              <a:noFill/>
              <a:round/>
            </a:ln>
            <a:effectLst/>
          </c:spPr>
          <c:marker>
            <c:symbol val="circle"/>
            <c:size val="5"/>
            <c:spPr>
              <a:solidFill>
                <a:schemeClr val="accent1"/>
              </a:solidFill>
              <a:ln w="9525">
                <a:solidFill>
                  <a:schemeClr val="accent1"/>
                </a:solidFill>
              </a:ln>
              <a:effectLst/>
            </c:spPr>
          </c:marker>
          <c:xVal>
            <c:numRef>
              <c:f>'Payor Mix'!$E$2:$E$48</c:f>
              <c:numCache>
                <c:formatCode>0.00%</c:formatCode>
                <c:ptCount val="47"/>
                <c:pt idx="0">
                  <c:v>0.29759999999999998</c:v>
                </c:pt>
                <c:pt idx="1">
                  <c:v>0.44890000000000002</c:v>
                </c:pt>
                <c:pt idx="2">
                  <c:v>0</c:v>
                </c:pt>
                <c:pt idx="3">
                  <c:v>0.63190000000000002</c:v>
                </c:pt>
                <c:pt idx="4">
                  <c:v>0.3155</c:v>
                </c:pt>
                <c:pt idx="5">
                  <c:v>0.3639</c:v>
                </c:pt>
                <c:pt idx="6">
                  <c:v>0.39400000000000002</c:v>
                </c:pt>
                <c:pt idx="7">
                  <c:v>0.43569999999999998</c:v>
                </c:pt>
                <c:pt idx="8">
                  <c:v>0.26279999999999998</c:v>
                </c:pt>
                <c:pt idx="9">
                  <c:v>0.4113</c:v>
                </c:pt>
                <c:pt idx="10">
                  <c:v>0.26319999999999999</c:v>
                </c:pt>
                <c:pt idx="11">
                  <c:v>0.32479999999999998</c:v>
                </c:pt>
                <c:pt idx="12">
                  <c:v>0.41460000000000002</c:v>
                </c:pt>
                <c:pt idx="13">
                  <c:v>0.51529999999999998</c:v>
                </c:pt>
                <c:pt idx="14">
                  <c:v>0.54779999999999995</c:v>
                </c:pt>
                <c:pt idx="15">
                  <c:v>0.33860000000000001</c:v>
                </c:pt>
                <c:pt idx="16">
                  <c:v>0.46089999999999998</c:v>
                </c:pt>
                <c:pt idx="17">
                  <c:v>0.21199999999999999</c:v>
                </c:pt>
                <c:pt idx="18">
                  <c:v>0.38340000000000002</c:v>
                </c:pt>
                <c:pt idx="19">
                  <c:v>0.43049999999999999</c:v>
                </c:pt>
                <c:pt idx="20">
                  <c:v>0.36840000000000001</c:v>
                </c:pt>
                <c:pt idx="21">
                  <c:v>0.43469999999999998</c:v>
                </c:pt>
                <c:pt idx="22">
                  <c:v>0.37180000000000002</c:v>
                </c:pt>
                <c:pt idx="23">
                  <c:v>0.25869999999999999</c:v>
                </c:pt>
                <c:pt idx="24" formatCode="0%">
                  <c:v>0</c:v>
                </c:pt>
                <c:pt idx="25">
                  <c:v>0.21229999999999999</c:v>
                </c:pt>
                <c:pt idx="26">
                  <c:v>0.3362</c:v>
                </c:pt>
                <c:pt idx="27">
                  <c:v>0.30609999999999998</c:v>
                </c:pt>
                <c:pt idx="28">
                  <c:v>0.20830000000000001</c:v>
                </c:pt>
                <c:pt idx="29">
                  <c:v>0.3382</c:v>
                </c:pt>
                <c:pt idx="30">
                  <c:v>0.56069999999999998</c:v>
                </c:pt>
                <c:pt idx="31">
                  <c:v>0.39979999999999999</c:v>
                </c:pt>
                <c:pt idx="32">
                  <c:v>0.68489999999999995</c:v>
                </c:pt>
                <c:pt idx="33">
                  <c:v>0.49840000000000001</c:v>
                </c:pt>
                <c:pt idx="34">
                  <c:v>0.36609999999999998</c:v>
                </c:pt>
                <c:pt idx="35">
                  <c:v>0.25209999999999999</c:v>
                </c:pt>
                <c:pt idx="36">
                  <c:v>0.27389999999999998</c:v>
                </c:pt>
                <c:pt idx="37">
                  <c:v>0.48259999999999997</c:v>
                </c:pt>
                <c:pt idx="38">
                  <c:v>0.18940000000000001</c:v>
                </c:pt>
                <c:pt idx="39" formatCode="0%">
                  <c:v>0</c:v>
                </c:pt>
                <c:pt idx="41">
                  <c:v>0.31419999999999998</c:v>
                </c:pt>
                <c:pt idx="42">
                  <c:v>0.55059999999999998</c:v>
                </c:pt>
                <c:pt idx="43">
                  <c:v>0.26229999999999998</c:v>
                </c:pt>
                <c:pt idx="44">
                  <c:v>0.27700000000000002</c:v>
                </c:pt>
                <c:pt idx="45">
                  <c:v>0.27779999999999999</c:v>
                </c:pt>
                <c:pt idx="46">
                  <c:v>0.2303</c:v>
                </c:pt>
              </c:numCache>
            </c:numRef>
          </c:xVal>
          <c:yVal>
            <c:numRef>
              <c:f>'Payor Mix'!$Q$2:$Q$48</c:f>
              <c:numCache>
                <c:formatCode>General</c:formatCode>
                <c:ptCount val="47"/>
                <c:pt idx="0">
                  <c:v>0.47199999999999998</c:v>
                </c:pt>
                <c:pt idx="1">
                  <c:v>0.79</c:v>
                </c:pt>
                <c:pt idx="2">
                  <c:v>0.48099999999999998</c:v>
                </c:pt>
                <c:pt idx="3">
                  <c:v>0.54500000000000004</c:v>
                </c:pt>
                <c:pt idx="4">
                  <c:v>0.50600000000000001</c:v>
                </c:pt>
                <c:pt idx="5">
                  <c:v>0.66900000000000004</c:v>
                </c:pt>
                <c:pt idx="6">
                  <c:v>0.84199999999999997</c:v>
                </c:pt>
                <c:pt idx="7">
                  <c:v>0.47799999999999998</c:v>
                </c:pt>
                <c:pt idx="8">
                  <c:v>0.85599999999999998</c:v>
                </c:pt>
                <c:pt idx="9">
                  <c:v>0.66700000000000004</c:v>
                </c:pt>
                <c:pt idx="10">
                  <c:v>0.45</c:v>
                </c:pt>
                <c:pt idx="11">
                  <c:v>0.746</c:v>
                </c:pt>
                <c:pt idx="12">
                  <c:v>0.84199999999999997</c:v>
                </c:pt>
                <c:pt idx="13">
                  <c:v>0.57499999999999996</c:v>
                </c:pt>
                <c:pt idx="14">
                  <c:v>0.58199999999999996</c:v>
                </c:pt>
                <c:pt idx="15">
                  <c:v>0.64800000000000002</c:v>
                </c:pt>
                <c:pt idx="16">
                  <c:v>0.91</c:v>
                </c:pt>
                <c:pt idx="17">
                  <c:v>0.54900000000000004</c:v>
                </c:pt>
                <c:pt idx="18">
                  <c:v>0.77500000000000002</c:v>
                </c:pt>
                <c:pt idx="19">
                  <c:v>0.70399999999999996</c:v>
                </c:pt>
                <c:pt idx="20">
                  <c:v>0.67600000000000005</c:v>
                </c:pt>
                <c:pt idx="21">
                  <c:v>0.72199999999999998</c:v>
                </c:pt>
                <c:pt idx="22">
                  <c:v>0.51900000000000002</c:v>
                </c:pt>
                <c:pt idx="23">
                  <c:v>0.82599999999999996</c:v>
                </c:pt>
                <c:pt idx="24">
                  <c:v>1.5169999999999999</c:v>
                </c:pt>
                <c:pt idx="25">
                  <c:v>0.78300000000000003</c:v>
                </c:pt>
                <c:pt idx="26">
                  <c:v>0.63700000000000001</c:v>
                </c:pt>
                <c:pt idx="27">
                  <c:v>0.19500000000000001</c:v>
                </c:pt>
                <c:pt idx="28">
                  <c:v>0.96299999999999997</c:v>
                </c:pt>
                <c:pt idx="29">
                  <c:v>0.39800000000000002</c:v>
                </c:pt>
                <c:pt idx="30">
                  <c:v>0.84499999999999997</c:v>
                </c:pt>
                <c:pt idx="31">
                  <c:v>0.80900000000000005</c:v>
                </c:pt>
                <c:pt idx="32">
                  <c:v>0.63900000000000001</c:v>
                </c:pt>
                <c:pt idx="33">
                  <c:v>0.47899999999999998</c:v>
                </c:pt>
                <c:pt idx="34">
                  <c:v>0.6</c:v>
                </c:pt>
                <c:pt idx="35">
                  <c:v>0.998</c:v>
                </c:pt>
                <c:pt idx="36">
                  <c:v>0.67200000000000004</c:v>
                </c:pt>
                <c:pt idx="37">
                  <c:v>0.34300000000000003</c:v>
                </c:pt>
                <c:pt idx="38">
                  <c:v>0.99399999999999999</c:v>
                </c:pt>
                <c:pt idx="39">
                  <c:v>0.80100000000000005</c:v>
                </c:pt>
                <c:pt idx="40">
                  <c:v>0.503</c:v>
                </c:pt>
                <c:pt idx="41">
                  <c:v>0.94599999999999995</c:v>
                </c:pt>
                <c:pt idx="42">
                  <c:v>0.79800000000000004</c:v>
                </c:pt>
                <c:pt idx="43">
                  <c:v>0.97399999999999998</c:v>
                </c:pt>
                <c:pt idx="44">
                  <c:v>0.90700000000000003</c:v>
                </c:pt>
                <c:pt idx="45">
                  <c:v>0.58699999999999997</c:v>
                </c:pt>
                <c:pt idx="46">
                  <c:v>0.58099999999999996</c:v>
                </c:pt>
              </c:numCache>
            </c:numRef>
          </c:yVal>
          <c:smooth val="0"/>
          <c:extLst>
            <c:ext xmlns:c16="http://schemas.microsoft.com/office/drawing/2014/chart" uri="{C3380CC4-5D6E-409C-BE32-E72D297353CC}">
              <c16:uniqueId val="{00000000-F539-4335-B239-C5743BC3720B}"/>
            </c:ext>
          </c:extLst>
        </c:ser>
        <c:dLbls>
          <c:showLegendKey val="0"/>
          <c:showVal val="0"/>
          <c:showCatName val="0"/>
          <c:showSerName val="0"/>
          <c:showPercent val="0"/>
          <c:showBubbleSize val="0"/>
        </c:dLbls>
        <c:axId val="2139678304"/>
        <c:axId val="2139681696"/>
      </c:scatterChart>
      <c:valAx>
        <c:axId val="213967830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 of Patients with Highmark Insurance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9681696"/>
        <c:crosses val="autoZero"/>
        <c:crossBetween val="midCat"/>
      </c:valAx>
      <c:valAx>
        <c:axId val="2139681696"/>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Care of Continuity Index</a:t>
                </a:r>
              </a:p>
            </c:rich>
          </c:tx>
          <c:layout>
            <c:manualLayout>
              <c:xMode val="edge"/>
              <c:yMode val="edge"/>
              <c:x val="8.5470085470085496E-3"/>
              <c:y val="0.37740606812735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9678304"/>
        <c:crosses val="autoZero"/>
        <c:crossBetween val="midCat"/>
        <c:majorUnit val="0.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Care of Continuity Index Vs UPMC</a:t>
            </a:r>
            <a:r>
              <a:rPr lang="en-US" baseline="0"/>
              <a:t> Insurance Patients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'Payor Mix'!$Q$1</c:f>
              <c:strCache>
                <c:ptCount val="1"/>
                <c:pt idx="0">
                  <c:v>COCI</c:v>
                </c:pt>
              </c:strCache>
            </c:strRef>
          </c:tx>
          <c:spPr>
            <a:ln w="47625" cap="rnd">
              <a:noFill/>
              <a:round/>
            </a:ln>
            <a:effectLst/>
          </c:spPr>
          <c:marker>
            <c:symbol val="circle"/>
            <c:size val="5"/>
            <c:spPr>
              <a:solidFill>
                <a:schemeClr val="accent1"/>
              </a:solidFill>
              <a:ln w="9525">
                <a:solidFill>
                  <a:schemeClr val="accent1"/>
                </a:solidFill>
              </a:ln>
              <a:effectLst/>
            </c:spPr>
          </c:marker>
          <c:xVal>
            <c:numRef>
              <c:f>'Payor Mix'!$J$2:$J$48</c:f>
              <c:numCache>
                <c:formatCode>0.00%</c:formatCode>
                <c:ptCount val="47"/>
                <c:pt idx="0" formatCode="0%">
                  <c:v>0</c:v>
                </c:pt>
                <c:pt idx="1">
                  <c:v>0.10879999999999999</c:v>
                </c:pt>
                <c:pt idx="2">
                  <c:v>5.8799999999999998E-2</c:v>
                </c:pt>
                <c:pt idx="3">
                  <c:v>2.6100000000000002E-2</c:v>
                </c:pt>
                <c:pt idx="4">
                  <c:v>0.1024</c:v>
                </c:pt>
                <c:pt idx="5">
                  <c:v>5.96E-2</c:v>
                </c:pt>
                <c:pt idx="6">
                  <c:v>2.0400000000000001E-2</c:v>
                </c:pt>
                <c:pt idx="7">
                  <c:v>9.2899999999999996E-2</c:v>
                </c:pt>
                <c:pt idx="8">
                  <c:v>0.1045</c:v>
                </c:pt>
                <c:pt idx="9">
                  <c:v>7.7899999999999997E-2</c:v>
                </c:pt>
                <c:pt idx="10">
                  <c:v>0.13639999999999999</c:v>
                </c:pt>
                <c:pt idx="11">
                  <c:v>2.5100000000000001E-2</c:v>
                </c:pt>
                <c:pt idx="12">
                  <c:v>3.4700000000000002E-2</c:v>
                </c:pt>
                <c:pt idx="13">
                  <c:v>8.1000000000000003E-2</c:v>
                </c:pt>
                <c:pt idx="14">
                  <c:v>0</c:v>
                </c:pt>
                <c:pt idx="15">
                  <c:v>7.9399999999999998E-2</c:v>
                </c:pt>
                <c:pt idx="16">
                  <c:v>0</c:v>
                </c:pt>
                <c:pt idx="17">
                  <c:v>0.11749999999999999</c:v>
                </c:pt>
                <c:pt idx="18">
                  <c:v>0.11119999999999999</c:v>
                </c:pt>
                <c:pt idx="19">
                  <c:v>0</c:v>
                </c:pt>
                <c:pt idx="20">
                  <c:v>8.2600000000000007E-2</c:v>
                </c:pt>
                <c:pt idx="21" formatCode="0%">
                  <c:v>0</c:v>
                </c:pt>
                <c:pt idx="22">
                  <c:v>6.5199999999999994E-2</c:v>
                </c:pt>
                <c:pt idx="23">
                  <c:v>0.10979999999999999</c:v>
                </c:pt>
                <c:pt idx="24" formatCode="0%">
                  <c:v>0</c:v>
                </c:pt>
                <c:pt idx="25">
                  <c:v>5.6399999999999999E-2</c:v>
                </c:pt>
                <c:pt idx="26">
                  <c:v>5.0700000000000002E-2</c:v>
                </c:pt>
                <c:pt idx="27">
                  <c:v>8.3799999999999999E-2</c:v>
                </c:pt>
                <c:pt idx="28">
                  <c:v>9.1999999999999998E-2</c:v>
                </c:pt>
                <c:pt idx="29">
                  <c:v>0.14949999999999999</c:v>
                </c:pt>
                <c:pt idx="30">
                  <c:v>1.8499999999999999E-2</c:v>
                </c:pt>
                <c:pt idx="31">
                  <c:v>8.4500000000000006E-2</c:v>
                </c:pt>
                <c:pt idx="32">
                  <c:v>2.3800000000000002E-2</c:v>
                </c:pt>
                <c:pt idx="33" formatCode="0%">
                  <c:v>0</c:v>
                </c:pt>
                <c:pt idx="34">
                  <c:v>3.7600000000000001E-2</c:v>
                </c:pt>
                <c:pt idx="35">
                  <c:v>0.12230000000000001</c:v>
                </c:pt>
                <c:pt idx="36">
                  <c:v>0.128</c:v>
                </c:pt>
                <c:pt idx="37" formatCode="0%">
                  <c:v>0</c:v>
                </c:pt>
                <c:pt idx="38">
                  <c:v>7.8E-2</c:v>
                </c:pt>
                <c:pt idx="39">
                  <c:v>7.1099999999999997E-2</c:v>
                </c:pt>
                <c:pt idx="40" formatCode="0%">
                  <c:v>0</c:v>
                </c:pt>
                <c:pt idx="41">
                  <c:v>9.5000000000000001E-2</c:v>
                </c:pt>
                <c:pt idx="42">
                  <c:v>2.7300000000000001E-2</c:v>
                </c:pt>
                <c:pt idx="43">
                  <c:v>6.3799999999999996E-2</c:v>
                </c:pt>
                <c:pt idx="44">
                  <c:v>0.1421</c:v>
                </c:pt>
                <c:pt idx="45">
                  <c:v>9.6500000000000002E-2</c:v>
                </c:pt>
                <c:pt idx="46">
                  <c:v>7.2099999999999997E-2</c:v>
                </c:pt>
              </c:numCache>
            </c:numRef>
          </c:xVal>
          <c:yVal>
            <c:numRef>
              <c:f>'Payor Mix'!$Q$2:$Q$48</c:f>
              <c:numCache>
                <c:formatCode>General</c:formatCode>
                <c:ptCount val="47"/>
                <c:pt idx="0">
                  <c:v>0.47199999999999998</c:v>
                </c:pt>
                <c:pt idx="1">
                  <c:v>0.79</c:v>
                </c:pt>
                <c:pt idx="2">
                  <c:v>0.48099999999999998</c:v>
                </c:pt>
                <c:pt idx="3">
                  <c:v>0.54500000000000004</c:v>
                </c:pt>
                <c:pt idx="4">
                  <c:v>0.50600000000000001</c:v>
                </c:pt>
                <c:pt idx="5">
                  <c:v>0.66900000000000004</c:v>
                </c:pt>
                <c:pt idx="6">
                  <c:v>0.84199999999999997</c:v>
                </c:pt>
                <c:pt idx="7">
                  <c:v>0.47799999999999998</c:v>
                </c:pt>
                <c:pt idx="8">
                  <c:v>0.85599999999999998</c:v>
                </c:pt>
                <c:pt idx="9">
                  <c:v>0.66700000000000004</c:v>
                </c:pt>
                <c:pt idx="10">
                  <c:v>0.45</c:v>
                </c:pt>
                <c:pt idx="11">
                  <c:v>0.746</c:v>
                </c:pt>
                <c:pt idx="12">
                  <c:v>0.84199999999999997</c:v>
                </c:pt>
                <c:pt idx="13">
                  <c:v>0.57499999999999996</c:v>
                </c:pt>
                <c:pt idx="14">
                  <c:v>0.58199999999999996</c:v>
                </c:pt>
                <c:pt idx="15">
                  <c:v>0.64800000000000002</c:v>
                </c:pt>
                <c:pt idx="16">
                  <c:v>0.91</c:v>
                </c:pt>
                <c:pt idx="17">
                  <c:v>0.54900000000000004</c:v>
                </c:pt>
                <c:pt idx="18">
                  <c:v>0.77500000000000002</c:v>
                </c:pt>
                <c:pt idx="19">
                  <c:v>0.70399999999999996</c:v>
                </c:pt>
                <c:pt idx="20">
                  <c:v>0.67600000000000005</c:v>
                </c:pt>
                <c:pt idx="21">
                  <c:v>0.72199999999999998</c:v>
                </c:pt>
                <c:pt idx="22">
                  <c:v>0.51900000000000002</c:v>
                </c:pt>
                <c:pt idx="23">
                  <c:v>0.82599999999999996</c:v>
                </c:pt>
                <c:pt idx="24">
                  <c:v>1.5169999999999999</c:v>
                </c:pt>
                <c:pt idx="25">
                  <c:v>0.78300000000000003</c:v>
                </c:pt>
                <c:pt idx="26">
                  <c:v>0.63700000000000001</c:v>
                </c:pt>
                <c:pt idx="27">
                  <c:v>0.19500000000000001</c:v>
                </c:pt>
                <c:pt idx="28">
                  <c:v>0.96299999999999997</c:v>
                </c:pt>
                <c:pt idx="29">
                  <c:v>0.39800000000000002</c:v>
                </c:pt>
                <c:pt idx="30">
                  <c:v>0.84499999999999997</c:v>
                </c:pt>
                <c:pt idx="31">
                  <c:v>0.80900000000000005</c:v>
                </c:pt>
                <c:pt idx="32">
                  <c:v>0.63900000000000001</c:v>
                </c:pt>
                <c:pt idx="33">
                  <c:v>0.47899999999999998</c:v>
                </c:pt>
                <c:pt idx="34">
                  <c:v>0.6</c:v>
                </c:pt>
                <c:pt idx="35">
                  <c:v>0.998</c:v>
                </c:pt>
                <c:pt idx="36">
                  <c:v>0.67200000000000004</c:v>
                </c:pt>
                <c:pt idx="37">
                  <c:v>0.34300000000000003</c:v>
                </c:pt>
                <c:pt idx="38">
                  <c:v>0.99399999999999999</c:v>
                </c:pt>
                <c:pt idx="39">
                  <c:v>0.80100000000000005</c:v>
                </c:pt>
                <c:pt idx="40">
                  <c:v>0.503</c:v>
                </c:pt>
                <c:pt idx="41">
                  <c:v>0.94599999999999995</c:v>
                </c:pt>
                <c:pt idx="42">
                  <c:v>0.79800000000000004</c:v>
                </c:pt>
                <c:pt idx="43">
                  <c:v>0.97399999999999998</c:v>
                </c:pt>
                <c:pt idx="44">
                  <c:v>0.90700000000000003</c:v>
                </c:pt>
                <c:pt idx="45">
                  <c:v>0.58699999999999997</c:v>
                </c:pt>
                <c:pt idx="46">
                  <c:v>0.58099999999999996</c:v>
                </c:pt>
              </c:numCache>
            </c:numRef>
          </c:yVal>
          <c:smooth val="0"/>
          <c:extLst>
            <c:ext xmlns:c16="http://schemas.microsoft.com/office/drawing/2014/chart" uri="{C3380CC4-5D6E-409C-BE32-E72D297353CC}">
              <c16:uniqueId val="{00000000-2AB5-4D92-93A0-D4B260D22EF8}"/>
            </c:ext>
          </c:extLst>
        </c:ser>
        <c:dLbls>
          <c:showLegendKey val="0"/>
          <c:showVal val="0"/>
          <c:showCatName val="0"/>
          <c:showSerName val="0"/>
          <c:showPercent val="0"/>
          <c:showBubbleSize val="0"/>
        </c:dLbls>
        <c:axId val="2139702368"/>
        <c:axId val="2139705760"/>
      </c:scatterChart>
      <c:valAx>
        <c:axId val="213970236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 of Patients</a:t>
                </a:r>
                <a:r>
                  <a:rPr lang="en-US" baseline="0"/>
                  <a:t> with UPMC Insurance</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9705760"/>
        <c:crosses val="autoZero"/>
        <c:crossBetween val="midCat"/>
      </c:valAx>
      <c:valAx>
        <c:axId val="2139705760"/>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Care of Continuity Index</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970236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Commerical ER</a:t>
            </a:r>
            <a:r>
              <a:rPr lang="en-US" baseline="0"/>
              <a:t> Rate and Medicare Advantage ER Rate (per 1000) vs Continuity Index</a:t>
            </a:r>
            <a:endParaRPr lang="en-US"/>
          </a:p>
        </c:rich>
      </c:tx>
      <c:overlay val="0"/>
    </c:title>
    <c:autoTitleDeleted val="0"/>
    <c:plotArea>
      <c:layout>
        <c:manualLayout>
          <c:layoutTarget val="inner"/>
          <c:xMode val="edge"/>
          <c:yMode val="edge"/>
          <c:x val="0.14531443569553801"/>
          <c:y val="3.8271027337784799E-2"/>
          <c:w val="0.74810887139107596"/>
          <c:h val="0.91407199748480406"/>
        </c:manualLayout>
      </c:layout>
      <c:scatterChart>
        <c:scatterStyle val="lineMarker"/>
        <c:varyColors val="0"/>
        <c:ser>
          <c:idx val="0"/>
          <c:order val="0"/>
          <c:tx>
            <c:strRef>
              <c:f>'ED Visits'!$C$1</c:f>
              <c:strCache>
                <c:ptCount val="1"/>
                <c:pt idx="0">
                  <c:v>Commerical ER Rate</c:v>
                </c:pt>
              </c:strCache>
            </c:strRef>
          </c:tx>
          <c:spPr>
            <a:ln w="28575">
              <a:noFill/>
            </a:ln>
          </c:spPr>
          <c:trendline>
            <c:trendlineType val="linear"/>
            <c:dispRSqr val="0"/>
            <c:dispEq val="0"/>
          </c:trendline>
          <c:xVal>
            <c:numRef>
              <c:f>'ED Visits'!$B$2:$B$56</c:f>
              <c:numCache>
                <c:formatCode>General</c:formatCode>
                <c:ptCount val="55"/>
                <c:pt idx="0">
                  <c:v>0.47199999999999998</c:v>
                </c:pt>
                <c:pt idx="1">
                  <c:v>0.79</c:v>
                </c:pt>
                <c:pt idx="2">
                  <c:v>0.89200000000000002</c:v>
                </c:pt>
                <c:pt idx="3">
                  <c:v>0.48099999999999998</c:v>
                </c:pt>
                <c:pt idx="4">
                  <c:v>0.54500000000000004</c:v>
                </c:pt>
                <c:pt idx="5">
                  <c:v>0.50600000000000001</c:v>
                </c:pt>
                <c:pt idx="6">
                  <c:v>0.66900000000000004</c:v>
                </c:pt>
                <c:pt idx="7">
                  <c:v>0.84199999999999997</c:v>
                </c:pt>
                <c:pt idx="8">
                  <c:v>0.47799999999999998</c:v>
                </c:pt>
                <c:pt idx="9">
                  <c:v>0.85599999999999998</c:v>
                </c:pt>
                <c:pt idx="10">
                  <c:v>0.66700000000000004</c:v>
                </c:pt>
                <c:pt idx="11">
                  <c:v>0.45</c:v>
                </c:pt>
                <c:pt idx="12">
                  <c:v>0</c:v>
                </c:pt>
                <c:pt idx="13">
                  <c:v>0.746</c:v>
                </c:pt>
                <c:pt idx="14">
                  <c:v>0.84199999999999997</c:v>
                </c:pt>
                <c:pt idx="15">
                  <c:v>0.57499999999999996</c:v>
                </c:pt>
                <c:pt idx="16">
                  <c:v>0.58199999999999996</c:v>
                </c:pt>
                <c:pt idx="17">
                  <c:v>0.64800000000000002</c:v>
                </c:pt>
                <c:pt idx="18">
                  <c:v>0.91</c:v>
                </c:pt>
                <c:pt idx="19">
                  <c:v>0.54900000000000004</c:v>
                </c:pt>
                <c:pt idx="20">
                  <c:v>0.77500000000000002</c:v>
                </c:pt>
                <c:pt idx="21">
                  <c:v>0.70399999999999996</c:v>
                </c:pt>
                <c:pt idx="22">
                  <c:v>0.67600000000000005</c:v>
                </c:pt>
                <c:pt idx="23">
                  <c:v>0.72199999999999998</c:v>
                </c:pt>
                <c:pt idx="24">
                  <c:v>0.51900000000000002</c:v>
                </c:pt>
                <c:pt idx="25">
                  <c:v>0.82599999999999996</c:v>
                </c:pt>
                <c:pt idx="26">
                  <c:v>0.51700000000000002</c:v>
                </c:pt>
                <c:pt idx="27">
                  <c:v>0.92100000000000004</c:v>
                </c:pt>
                <c:pt idx="28">
                  <c:v>0.78300000000000003</c:v>
                </c:pt>
                <c:pt idx="29">
                  <c:v>0.64700000000000002</c:v>
                </c:pt>
                <c:pt idx="30">
                  <c:v>0.63700000000000001</c:v>
                </c:pt>
                <c:pt idx="31">
                  <c:v>0.19500000000000001</c:v>
                </c:pt>
                <c:pt idx="32">
                  <c:v>0.96299999999999997</c:v>
                </c:pt>
                <c:pt idx="33">
                  <c:v>0.39800000000000002</c:v>
                </c:pt>
                <c:pt idx="34">
                  <c:v>0.84499999999999997</c:v>
                </c:pt>
                <c:pt idx="35">
                  <c:v>0.80900000000000005</c:v>
                </c:pt>
                <c:pt idx="36">
                  <c:v>0.63900000000000001</c:v>
                </c:pt>
                <c:pt idx="37">
                  <c:v>0.47899999999999998</c:v>
                </c:pt>
                <c:pt idx="38">
                  <c:v>0.6</c:v>
                </c:pt>
                <c:pt idx="39">
                  <c:v>0.998</c:v>
                </c:pt>
                <c:pt idx="40">
                  <c:v>0.67200000000000004</c:v>
                </c:pt>
                <c:pt idx="41">
                  <c:v>0.34300000000000003</c:v>
                </c:pt>
                <c:pt idx="42">
                  <c:v>0.99399999999999999</c:v>
                </c:pt>
                <c:pt idx="43">
                  <c:v>0.80100000000000005</c:v>
                </c:pt>
                <c:pt idx="44">
                  <c:v>0.503</c:v>
                </c:pt>
                <c:pt idx="45">
                  <c:v>0.94599999999999995</c:v>
                </c:pt>
                <c:pt idx="46">
                  <c:v>0.79800000000000004</c:v>
                </c:pt>
                <c:pt idx="47">
                  <c:v>0.97399999999999998</c:v>
                </c:pt>
                <c:pt idx="48">
                  <c:v>0.90700000000000003</c:v>
                </c:pt>
                <c:pt idx="49">
                  <c:v>0.58699999999999997</c:v>
                </c:pt>
                <c:pt idx="50">
                  <c:v>0.58099999999999996</c:v>
                </c:pt>
                <c:pt idx="51">
                  <c:v>0.52500000000000002</c:v>
                </c:pt>
                <c:pt idx="52">
                  <c:v>0</c:v>
                </c:pt>
                <c:pt idx="53">
                  <c:v>0.34499999999999997</c:v>
                </c:pt>
                <c:pt idx="54">
                  <c:v>0.32500000000000001</c:v>
                </c:pt>
              </c:numCache>
            </c:numRef>
          </c:xVal>
          <c:yVal>
            <c:numRef>
              <c:f>'ED Visits'!$C$2:$C$56</c:f>
              <c:numCache>
                <c:formatCode>General</c:formatCode>
                <c:ptCount val="55"/>
                <c:pt idx="0">
                  <c:v>298</c:v>
                </c:pt>
                <c:pt idx="1">
                  <c:v>140.69999999999999</c:v>
                </c:pt>
                <c:pt idx="3">
                  <c:v>196.2</c:v>
                </c:pt>
                <c:pt idx="4">
                  <c:v>171.4</c:v>
                </c:pt>
                <c:pt idx="5">
                  <c:v>285.7</c:v>
                </c:pt>
                <c:pt idx="6">
                  <c:v>173.99</c:v>
                </c:pt>
                <c:pt idx="7">
                  <c:v>236.4</c:v>
                </c:pt>
                <c:pt idx="8">
                  <c:v>129.9</c:v>
                </c:pt>
                <c:pt idx="9">
                  <c:v>255.3</c:v>
                </c:pt>
                <c:pt idx="10">
                  <c:v>241.3</c:v>
                </c:pt>
                <c:pt idx="11">
                  <c:v>319.39999999999992</c:v>
                </c:pt>
                <c:pt idx="13">
                  <c:v>302.39999999999992</c:v>
                </c:pt>
                <c:pt idx="14">
                  <c:v>206.1</c:v>
                </c:pt>
                <c:pt idx="15">
                  <c:v>152.6</c:v>
                </c:pt>
                <c:pt idx="16">
                  <c:v>235.1</c:v>
                </c:pt>
                <c:pt idx="17">
                  <c:v>194.3</c:v>
                </c:pt>
                <c:pt idx="18">
                  <c:v>139.4</c:v>
                </c:pt>
                <c:pt idx="19">
                  <c:v>328</c:v>
                </c:pt>
                <c:pt idx="20">
                  <c:v>176.6</c:v>
                </c:pt>
                <c:pt idx="21">
                  <c:v>220.2</c:v>
                </c:pt>
                <c:pt idx="22">
                  <c:v>268.10000000000002</c:v>
                </c:pt>
                <c:pt idx="23">
                  <c:v>252.9</c:v>
                </c:pt>
                <c:pt idx="24">
                  <c:v>162.80000000000001</c:v>
                </c:pt>
                <c:pt idx="25">
                  <c:v>277.7</c:v>
                </c:pt>
                <c:pt idx="27">
                  <c:v>311.3</c:v>
                </c:pt>
                <c:pt idx="28">
                  <c:v>246.6</c:v>
                </c:pt>
                <c:pt idx="30">
                  <c:v>287.60000000000002</c:v>
                </c:pt>
                <c:pt idx="31">
                  <c:v>265.89999999999992</c:v>
                </c:pt>
                <c:pt idx="32">
                  <c:v>305.7</c:v>
                </c:pt>
                <c:pt idx="33">
                  <c:v>169.9</c:v>
                </c:pt>
                <c:pt idx="34">
                  <c:v>261.39999999999992</c:v>
                </c:pt>
                <c:pt idx="35">
                  <c:v>251.9</c:v>
                </c:pt>
                <c:pt idx="36">
                  <c:v>190.6</c:v>
                </c:pt>
                <c:pt idx="37">
                  <c:v>262.8</c:v>
                </c:pt>
                <c:pt idx="38">
                  <c:v>218.3</c:v>
                </c:pt>
                <c:pt idx="41">
                  <c:v>318.7</c:v>
                </c:pt>
                <c:pt idx="43">
                  <c:v>202.3</c:v>
                </c:pt>
                <c:pt idx="44">
                  <c:v>360.8</c:v>
                </c:pt>
                <c:pt idx="46">
                  <c:v>132.1</c:v>
                </c:pt>
                <c:pt idx="47">
                  <c:v>247.3</c:v>
                </c:pt>
                <c:pt idx="48">
                  <c:v>291</c:v>
                </c:pt>
                <c:pt idx="49">
                  <c:v>302.60000000000002</c:v>
                </c:pt>
                <c:pt idx="50">
                  <c:v>215.7</c:v>
                </c:pt>
              </c:numCache>
            </c:numRef>
          </c:yVal>
          <c:smooth val="0"/>
          <c:extLst>
            <c:ext xmlns:c16="http://schemas.microsoft.com/office/drawing/2014/chart" uri="{C3380CC4-5D6E-409C-BE32-E72D297353CC}">
              <c16:uniqueId val="{00000000-1BD1-4B52-8D41-3417D2BA70B9}"/>
            </c:ext>
          </c:extLst>
        </c:ser>
        <c:ser>
          <c:idx val="1"/>
          <c:order val="1"/>
          <c:tx>
            <c:strRef>
              <c:f>'ED Visits'!$D$1</c:f>
              <c:strCache>
                <c:ptCount val="1"/>
                <c:pt idx="0">
                  <c:v>Medicare Advantage ER Rate</c:v>
                </c:pt>
              </c:strCache>
            </c:strRef>
          </c:tx>
          <c:spPr>
            <a:ln w="28575">
              <a:noFill/>
            </a:ln>
          </c:spPr>
          <c:xVal>
            <c:numRef>
              <c:f>'ED Visits'!$B$2:$B$56</c:f>
              <c:numCache>
                <c:formatCode>General</c:formatCode>
                <c:ptCount val="55"/>
                <c:pt idx="0">
                  <c:v>0.47199999999999998</c:v>
                </c:pt>
                <c:pt idx="1">
                  <c:v>0.79</c:v>
                </c:pt>
                <c:pt idx="2">
                  <c:v>0.89200000000000002</c:v>
                </c:pt>
                <c:pt idx="3">
                  <c:v>0.48099999999999998</c:v>
                </c:pt>
                <c:pt idx="4">
                  <c:v>0.54500000000000004</c:v>
                </c:pt>
                <c:pt idx="5">
                  <c:v>0.50600000000000001</c:v>
                </c:pt>
                <c:pt idx="6">
                  <c:v>0.66900000000000004</c:v>
                </c:pt>
                <c:pt idx="7">
                  <c:v>0.84199999999999997</c:v>
                </c:pt>
                <c:pt idx="8">
                  <c:v>0.47799999999999998</c:v>
                </c:pt>
                <c:pt idx="9">
                  <c:v>0.85599999999999998</c:v>
                </c:pt>
                <c:pt idx="10">
                  <c:v>0.66700000000000004</c:v>
                </c:pt>
                <c:pt idx="11">
                  <c:v>0.45</c:v>
                </c:pt>
                <c:pt idx="12">
                  <c:v>0</c:v>
                </c:pt>
                <c:pt idx="13">
                  <c:v>0.746</c:v>
                </c:pt>
                <c:pt idx="14">
                  <c:v>0.84199999999999997</c:v>
                </c:pt>
                <c:pt idx="15">
                  <c:v>0.57499999999999996</c:v>
                </c:pt>
                <c:pt idx="16">
                  <c:v>0.58199999999999996</c:v>
                </c:pt>
                <c:pt idx="17">
                  <c:v>0.64800000000000002</c:v>
                </c:pt>
                <c:pt idx="18">
                  <c:v>0.91</c:v>
                </c:pt>
                <c:pt idx="19">
                  <c:v>0.54900000000000004</c:v>
                </c:pt>
                <c:pt idx="20">
                  <c:v>0.77500000000000002</c:v>
                </c:pt>
                <c:pt idx="21">
                  <c:v>0.70399999999999996</c:v>
                </c:pt>
                <c:pt idx="22">
                  <c:v>0.67600000000000005</c:v>
                </c:pt>
                <c:pt idx="23">
                  <c:v>0.72199999999999998</c:v>
                </c:pt>
                <c:pt idx="24">
                  <c:v>0.51900000000000002</c:v>
                </c:pt>
                <c:pt idx="25">
                  <c:v>0.82599999999999996</c:v>
                </c:pt>
                <c:pt idx="26">
                  <c:v>0.51700000000000002</c:v>
                </c:pt>
                <c:pt idx="27">
                  <c:v>0.92100000000000004</c:v>
                </c:pt>
                <c:pt idx="28">
                  <c:v>0.78300000000000003</c:v>
                </c:pt>
                <c:pt idx="29">
                  <c:v>0.64700000000000002</c:v>
                </c:pt>
                <c:pt idx="30">
                  <c:v>0.63700000000000001</c:v>
                </c:pt>
                <c:pt idx="31">
                  <c:v>0.19500000000000001</c:v>
                </c:pt>
                <c:pt idx="32">
                  <c:v>0.96299999999999997</c:v>
                </c:pt>
                <c:pt idx="33">
                  <c:v>0.39800000000000002</c:v>
                </c:pt>
                <c:pt idx="34">
                  <c:v>0.84499999999999997</c:v>
                </c:pt>
                <c:pt idx="35">
                  <c:v>0.80900000000000005</c:v>
                </c:pt>
                <c:pt idx="36">
                  <c:v>0.63900000000000001</c:v>
                </c:pt>
                <c:pt idx="37">
                  <c:v>0.47899999999999998</c:v>
                </c:pt>
                <c:pt idx="38">
                  <c:v>0.6</c:v>
                </c:pt>
                <c:pt idx="39">
                  <c:v>0.998</c:v>
                </c:pt>
                <c:pt idx="40">
                  <c:v>0.67200000000000004</c:v>
                </c:pt>
                <c:pt idx="41">
                  <c:v>0.34300000000000003</c:v>
                </c:pt>
                <c:pt idx="42">
                  <c:v>0.99399999999999999</c:v>
                </c:pt>
                <c:pt idx="43">
                  <c:v>0.80100000000000005</c:v>
                </c:pt>
                <c:pt idx="44">
                  <c:v>0.503</c:v>
                </c:pt>
                <c:pt idx="45">
                  <c:v>0.94599999999999995</c:v>
                </c:pt>
                <c:pt idx="46">
                  <c:v>0.79800000000000004</c:v>
                </c:pt>
                <c:pt idx="47">
                  <c:v>0.97399999999999998</c:v>
                </c:pt>
                <c:pt idx="48">
                  <c:v>0.90700000000000003</c:v>
                </c:pt>
                <c:pt idx="49">
                  <c:v>0.58699999999999997</c:v>
                </c:pt>
                <c:pt idx="50">
                  <c:v>0.58099999999999996</c:v>
                </c:pt>
                <c:pt idx="51">
                  <c:v>0.52500000000000002</c:v>
                </c:pt>
                <c:pt idx="52">
                  <c:v>0</c:v>
                </c:pt>
                <c:pt idx="53">
                  <c:v>0.34499999999999997</c:v>
                </c:pt>
                <c:pt idx="54">
                  <c:v>0.32500000000000001</c:v>
                </c:pt>
              </c:numCache>
            </c:numRef>
          </c:xVal>
          <c:yVal>
            <c:numRef>
              <c:f>'ED Visits'!$D$2:$D$56</c:f>
              <c:numCache>
                <c:formatCode>General</c:formatCode>
                <c:ptCount val="55"/>
                <c:pt idx="0">
                  <c:v>357.1</c:v>
                </c:pt>
                <c:pt idx="1">
                  <c:v>207.3</c:v>
                </c:pt>
                <c:pt idx="3">
                  <c:v>213.6</c:v>
                </c:pt>
                <c:pt idx="4">
                  <c:v>289</c:v>
                </c:pt>
                <c:pt idx="5">
                  <c:v>193.5</c:v>
                </c:pt>
                <c:pt idx="6">
                  <c:v>199.2</c:v>
                </c:pt>
                <c:pt idx="7">
                  <c:v>325</c:v>
                </c:pt>
                <c:pt idx="8">
                  <c:v>175</c:v>
                </c:pt>
                <c:pt idx="9">
                  <c:v>486.7</c:v>
                </c:pt>
                <c:pt idx="10">
                  <c:v>170</c:v>
                </c:pt>
                <c:pt idx="11">
                  <c:v>179.1</c:v>
                </c:pt>
                <c:pt idx="13">
                  <c:v>310.3</c:v>
                </c:pt>
                <c:pt idx="14">
                  <c:v>234.6</c:v>
                </c:pt>
                <c:pt idx="15">
                  <c:v>167.1</c:v>
                </c:pt>
                <c:pt idx="16">
                  <c:v>232.3</c:v>
                </c:pt>
                <c:pt idx="17">
                  <c:v>247.1</c:v>
                </c:pt>
                <c:pt idx="18">
                  <c:v>242.4</c:v>
                </c:pt>
                <c:pt idx="19">
                  <c:v>410.5</c:v>
                </c:pt>
                <c:pt idx="20">
                  <c:v>210.8</c:v>
                </c:pt>
                <c:pt idx="21">
                  <c:v>347.4</c:v>
                </c:pt>
                <c:pt idx="22">
                  <c:v>375</c:v>
                </c:pt>
                <c:pt idx="23">
                  <c:v>424.2</c:v>
                </c:pt>
                <c:pt idx="24">
                  <c:v>213.1</c:v>
                </c:pt>
                <c:pt idx="25">
                  <c:v>290</c:v>
                </c:pt>
                <c:pt idx="27">
                  <c:v>261.89999999999992</c:v>
                </c:pt>
                <c:pt idx="28">
                  <c:v>275.5</c:v>
                </c:pt>
                <c:pt idx="30">
                  <c:v>323.3</c:v>
                </c:pt>
                <c:pt idx="31">
                  <c:v>399.2</c:v>
                </c:pt>
                <c:pt idx="32">
                  <c:v>245.4</c:v>
                </c:pt>
                <c:pt idx="33">
                  <c:v>185.1</c:v>
                </c:pt>
                <c:pt idx="34">
                  <c:v>564.29999999999995</c:v>
                </c:pt>
                <c:pt idx="35">
                  <c:v>294</c:v>
                </c:pt>
                <c:pt idx="36">
                  <c:v>280.89999999999992</c:v>
                </c:pt>
                <c:pt idx="37">
                  <c:v>313.5</c:v>
                </c:pt>
                <c:pt idx="38">
                  <c:v>228.9</c:v>
                </c:pt>
                <c:pt idx="41">
                  <c:v>203</c:v>
                </c:pt>
                <c:pt idx="43">
                  <c:v>217</c:v>
                </c:pt>
                <c:pt idx="44">
                  <c:v>176.7</c:v>
                </c:pt>
                <c:pt idx="46">
                  <c:v>290</c:v>
                </c:pt>
                <c:pt idx="47">
                  <c:v>353.7</c:v>
                </c:pt>
                <c:pt idx="48">
                  <c:v>327</c:v>
                </c:pt>
                <c:pt idx="49">
                  <c:v>275.2</c:v>
                </c:pt>
                <c:pt idx="50">
                  <c:v>342.2</c:v>
                </c:pt>
              </c:numCache>
            </c:numRef>
          </c:yVal>
          <c:smooth val="0"/>
          <c:extLst>
            <c:ext xmlns:c16="http://schemas.microsoft.com/office/drawing/2014/chart" uri="{C3380CC4-5D6E-409C-BE32-E72D297353CC}">
              <c16:uniqueId val="{00000001-1BD1-4B52-8D41-3417D2BA70B9}"/>
            </c:ext>
          </c:extLst>
        </c:ser>
        <c:dLbls>
          <c:showLegendKey val="0"/>
          <c:showVal val="0"/>
          <c:showCatName val="0"/>
          <c:showSerName val="0"/>
          <c:showPercent val="0"/>
          <c:showBubbleSize val="0"/>
        </c:dLbls>
        <c:axId val="2139733248"/>
        <c:axId val="2139736640"/>
      </c:scatterChart>
      <c:valAx>
        <c:axId val="2139733248"/>
        <c:scaling>
          <c:orientation val="minMax"/>
        </c:scaling>
        <c:delete val="0"/>
        <c:axPos val="b"/>
        <c:title>
          <c:tx>
            <c:rich>
              <a:bodyPr/>
              <a:lstStyle/>
              <a:p>
                <a:pPr>
                  <a:defRPr/>
                </a:pPr>
                <a:r>
                  <a:rPr lang="en-US"/>
                  <a:t>Continuity Index</a:t>
                </a:r>
              </a:p>
            </c:rich>
          </c:tx>
          <c:overlay val="0"/>
        </c:title>
        <c:numFmt formatCode="General" sourceLinked="1"/>
        <c:majorTickMark val="out"/>
        <c:minorTickMark val="none"/>
        <c:tickLblPos val="nextTo"/>
        <c:crossAx val="2139736640"/>
        <c:crosses val="autoZero"/>
        <c:crossBetween val="midCat"/>
      </c:valAx>
      <c:valAx>
        <c:axId val="2139736640"/>
        <c:scaling>
          <c:orientation val="minMax"/>
        </c:scaling>
        <c:delete val="0"/>
        <c:axPos val="l"/>
        <c:majorGridlines/>
        <c:title>
          <c:tx>
            <c:rich>
              <a:bodyPr rot="0" vert="horz"/>
              <a:lstStyle/>
              <a:p>
                <a:pPr>
                  <a:defRPr/>
                </a:pPr>
                <a:r>
                  <a:rPr lang="en-US"/>
                  <a:t>ER Rate (per 1000)</a:t>
                </a:r>
              </a:p>
            </c:rich>
          </c:tx>
          <c:overlay val="0"/>
        </c:title>
        <c:numFmt formatCode="General" sourceLinked="1"/>
        <c:majorTickMark val="out"/>
        <c:minorTickMark val="none"/>
        <c:tickLblPos val="nextTo"/>
        <c:crossAx val="2139733248"/>
        <c:crosses val="autoZero"/>
        <c:crossBetween val="midCat"/>
      </c:valAx>
      <c:spPr>
        <a:solidFill>
          <a:schemeClr val="bg1"/>
        </a:solidFill>
      </c:spPr>
    </c:plotArea>
    <c:legend>
      <c:legendPos val="r"/>
      <c:layout>
        <c:manualLayout>
          <c:xMode val="edge"/>
          <c:yMode val="edge"/>
          <c:x val="0.672341752416589"/>
          <c:y val="0.26007945273809102"/>
          <c:w val="0.311027959671552"/>
          <c:h val="0.123917606247389"/>
        </c:manualLayout>
      </c:layout>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8BF155-AFFC-4489-AA6B-BC2F6C9A1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ETDword.dot</Template>
  <TotalTime>6</TotalTime>
  <Pages>36</Pages>
  <Words>5379</Words>
  <Characters>32234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37538</CharactersWithSpaces>
  <SharedDoc>false</SharedDoc>
  <HLinks>
    <vt:vector size="54" baseType="variant">
      <vt:variant>
        <vt:i4>458873</vt:i4>
      </vt:variant>
      <vt:variant>
        <vt:i4>27</vt:i4>
      </vt:variant>
      <vt:variant>
        <vt:i4>0</vt:i4>
      </vt:variant>
      <vt:variant>
        <vt:i4>5</vt:i4>
      </vt:variant>
      <vt:variant>
        <vt:lpwstr>https://www.ncbi.nlm.nih.gov/pmc/articles/PMC3074883/</vt:lpwstr>
      </vt:variant>
      <vt:variant>
        <vt:lpwstr>b12-squmj-07-197</vt:lpwstr>
      </vt:variant>
      <vt:variant>
        <vt:i4>4980855</vt:i4>
      </vt:variant>
      <vt:variant>
        <vt:i4>24</vt:i4>
      </vt:variant>
      <vt:variant>
        <vt:i4>0</vt:i4>
      </vt:variant>
      <vt:variant>
        <vt:i4>5</vt:i4>
      </vt:variant>
      <vt:variant>
        <vt:lpwstr>http://mchp-appserv.cpe.umanitoba.ca/viewConcept.php?printer=Y&amp;conceptID=1443</vt:lpwstr>
      </vt:variant>
      <vt:variant>
        <vt:lpwstr/>
      </vt:variant>
      <vt:variant>
        <vt:i4>720991</vt:i4>
      </vt:variant>
      <vt:variant>
        <vt:i4>21</vt:i4>
      </vt:variant>
      <vt:variant>
        <vt:i4>0</vt:i4>
      </vt:variant>
      <vt:variant>
        <vt:i4>5</vt:i4>
      </vt:variant>
      <vt:variant>
        <vt:lpwstr>https://www.aafp.org/news/practice-professional-issues/20140408continuityofcare.html</vt:lpwstr>
      </vt:variant>
      <vt:variant>
        <vt:lpwstr/>
      </vt:variant>
      <vt:variant>
        <vt:i4>1114216</vt:i4>
      </vt:variant>
      <vt:variant>
        <vt:i4>18</vt:i4>
      </vt:variant>
      <vt:variant>
        <vt:i4>0</vt:i4>
      </vt:variant>
      <vt:variant>
        <vt:i4>5</vt:i4>
      </vt:variant>
      <vt:variant>
        <vt:lpwstr>https://www.ncbi.nlm.nih.gov/pmc/articles/PMC4101051/</vt:lpwstr>
      </vt:variant>
      <vt:variant>
        <vt:lpwstr/>
      </vt:variant>
      <vt:variant>
        <vt:i4>1572934</vt:i4>
      </vt:variant>
      <vt:variant>
        <vt:i4>15</vt:i4>
      </vt:variant>
      <vt:variant>
        <vt:i4>0</vt:i4>
      </vt:variant>
      <vt:variant>
        <vt:i4>5</vt:i4>
      </vt:variant>
      <vt:variant>
        <vt:lpwstr>https://www.aafp.org/about/policies/all/definition-care.html</vt:lpwstr>
      </vt:variant>
      <vt:variant>
        <vt:lpwstr/>
      </vt:variant>
      <vt:variant>
        <vt:i4>5308543</vt:i4>
      </vt:variant>
      <vt:variant>
        <vt:i4>12</vt:i4>
      </vt:variant>
      <vt:variant>
        <vt:i4>0</vt:i4>
      </vt:variant>
      <vt:variant>
        <vt:i4>5</vt:i4>
      </vt:variant>
      <vt:variant>
        <vt:lpwstr>https://www-bmj-com.pitt.idm.oclc.org/content/327/7425/1219.short</vt:lpwstr>
      </vt:variant>
      <vt:variant>
        <vt:lpwstr/>
      </vt:variant>
      <vt:variant>
        <vt:i4>2228343</vt:i4>
      </vt:variant>
      <vt:variant>
        <vt:i4>9</vt:i4>
      </vt:variant>
      <vt:variant>
        <vt:i4>0</vt:i4>
      </vt:variant>
      <vt:variant>
        <vt:i4>5</vt:i4>
      </vt:variant>
      <vt:variant>
        <vt:lpwstr>https://www.primarycareprogress.org/primary-care-case/</vt:lpwstr>
      </vt:variant>
      <vt:variant>
        <vt:lpwstr/>
      </vt:variant>
      <vt:variant>
        <vt:i4>7798796</vt:i4>
      </vt:variant>
      <vt:variant>
        <vt:i4>6</vt:i4>
      </vt:variant>
      <vt:variant>
        <vt:i4>0</vt:i4>
      </vt:variant>
      <vt:variant>
        <vt:i4>5</vt:i4>
      </vt:variant>
      <vt:variant>
        <vt:lpwstr>https://www.pennmedicine.org/updates/blogs/health-and-wellness/2014/march/the-importance-of-primary-care-physicians</vt:lpwstr>
      </vt:variant>
      <vt:variant>
        <vt:lpwstr/>
      </vt:variant>
      <vt:variant>
        <vt:i4>1835067</vt:i4>
      </vt:variant>
      <vt:variant>
        <vt:i4>3</vt:i4>
      </vt:variant>
      <vt:variant>
        <vt:i4>0</vt:i4>
      </vt:variant>
      <vt:variant>
        <vt:i4>5</vt:i4>
      </vt:variant>
      <vt:variant>
        <vt:lpwstr>https://www.aafp.org/about/policies/all/primary-care.html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rlh52</dc:creator>
  <cp:keywords/>
  <dc:description/>
  <cp:lastModifiedBy>Pegher, Joanne</cp:lastModifiedBy>
  <cp:revision>5</cp:revision>
  <cp:lastPrinted>2019-04-23T14:34:00Z</cp:lastPrinted>
  <dcterms:created xsi:type="dcterms:W3CDTF">2019-10-08T16:07:00Z</dcterms:created>
  <dcterms:modified xsi:type="dcterms:W3CDTF">2019-10-08T21:32:00Z</dcterms:modified>
</cp:coreProperties>
</file>