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546064" w:rsidP="00BF2B29">
      <w:pPr>
        <w:ind w:firstLine="0"/>
      </w:pPr>
      <w:r>
        <w:rPr>
          <w:noProof/>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923925</wp:posOffset>
                </wp:positionV>
                <wp:extent cx="5943600" cy="834390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673" w:rsidRDefault="00F60673" w:rsidP="00536110">
                            <w:pPr>
                              <w:spacing w:line="240" w:lineRule="auto"/>
                              <w:ind w:firstLine="0"/>
                              <w:jc w:val="center"/>
                              <w:rPr>
                                <w:b/>
                              </w:rPr>
                            </w:pPr>
                            <w:r>
                              <w:rPr>
                                <w:b/>
                              </w:rPr>
                              <w:t>Association Between Psychiatric Symptoms and Sexual Risk Behaviors in Immigrants and Refugees from Africa Living in Sweden</w:t>
                            </w: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B57E9B">
                            <w:pPr>
                              <w:ind w:firstLine="0"/>
                              <w:jc w:val="center"/>
                            </w:pPr>
                            <w:r>
                              <w:t>by</w:t>
                            </w:r>
                          </w:p>
                          <w:p w:rsidR="00F60673" w:rsidRDefault="00F60673" w:rsidP="00B57E9B">
                            <w:pPr>
                              <w:ind w:firstLine="0"/>
                              <w:jc w:val="center"/>
                            </w:pPr>
                            <w:r>
                              <w:rPr>
                                <w:b/>
                              </w:rPr>
                              <w:t>Simon Yohannes</w:t>
                            </w:r>
                          </w:p>
                          <w:p w:rsidR="00F60673" w:rsidRDefault="00F60673" w:rsidP="0063515A">
                            <w:pPr>
                              <w:spacing w:line="240" w:lineRule="auto"/>
                              <w:ind w:firstLine="0"/>
                              <w:jc w:val="center"/>
                            </w:pPr>
                            <w:r>
                              <w:t xml:space="preserve">BE, Biomedical Engineering, Vanderbilt University, 2013 </w:t>
                            </w:r>
                          </w:p>
                          <w:p w:rsidR="00F60673" w:rsidRPr="00834193" w:rsidRDefault="00F60673" w:rsidP="00536110">
                            <w:pPr>
                              <w:spacing w:line="240" w:lineRule="auto"/>
                              <w:ind w:firstLine="0"/>
                              <w:jc w:val="center"/>
                              <w:rPr>
                                <w:noProof/>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B57E9B">
                            <w:pPr>
                              <w:ind w:firstLine="0"/>
                              <w:jc w:val="center"/>
                            </w:pPr>
                            <w:r>
                              <w:t>Submitted to the Graduate Faculty of</w:t>
                            </w:r>
                          </w:p>
                          <w:p w:rsidR="00F60673" w:rsidRDefault="00F60673" w:rsidP="00B57E9B">
                            <w:pPr>
                              <w:ind w:firstLine="0"/>
                              <w:jc w:val="center"/>
                            </w:pPr>
                            <w:r>
                              <w:t>the Multidisciplinary Master of Public Health Program</w:t>
                            </w:r>
                          </w:p>
                          <w:p w:rsidR="00F60673" w:rsidRDefault="00F60673" w:rsidP="00B57E9B">
                            <w:pPr>
                              <w:ind w:firstLine="0"/>
                              <w:jc w:val="center"/>
                            </w:pPr>
                            <w:r>
                              <w:t xml:space="preserve">Graduate School of Public Health in partial fulfillment </w:t>
                            </w:r>
                          </w:p>
                          <w:p w:rsidR="00F60673" w:rsidRDefault="00F60673" w:rsidP="00B57E9B">
                            <w:pPr>
                              <w:ind w:firstLine="0"/>
                              <w:jc w:val="center"/>
                            </w:pPr>
                            <w:r>
                              <w:t>of the requirements for the degree of</w:t>
                            </w:r>
                          </w:p>
                          <w:p w:rsidR="00F60673" w:rsidRDefault="00F60673" w:rsidP="00536110">
                            <w:pPr>
                              <w:spacing w:line="240" w:lineRule="auto"/>
                              <w:ind w:firstLine="0"/>
                              <w:jc w:val="center"/>
                            </w:pPr>
                            <w:r>
                              <w:t>Master of Public Health</w:t>
                            </w: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Pr="00AB08F3" w:rsidRDefault="00F60673" w:rsidP="00337CC7">
                            <w:pPr>
                              <w:ind w:firstLine="0"/>
                              <w:jc w:val="center"/>
                            </w:pPr>
                            <w:smartTag w:uri="urn:schemas-microsoft-com:office:smarttags" w:element="PlaceType">
                              <w:r w:rsidRPr="00AB08F3">
                                <w:t>University</w:t>
                              </w:r>
                            </w:smartTag>
                            <w:r w:rsidRPr="00AB08F3">
                              <w:t xml:space="preserve"> of Pittsburg</w:t>
                            </w:r>
                            <w:r>
                              <w:t>h</w:t>
                            </w:r>
                          </w:p>
                          <w:p w:rsidR="00F60673" w:rsidRPr="00AB08F3" w:rsidRDefault="00F60673" w:rsidP="00B57E9B">
                            <w:pPr>
                              <w:ind w:firstLine="0"/>
                              <w:jc w:val="center"/>
                              <w:rPr>
                                <w:noProof/>
                              </w:rPr>
                            </w:pPr>
                            <w:r>
                              <w:t>2019</w:t>
                            </w:r>
                          </w:p>
                          <w:p w:rsidR="00F60673" w:rsidRPr="004E3B59" w:rsidRDefault="00F60673"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72.75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uJ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H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" stroked="f">
                <v:textbox inset="0,0,0,0">
                  <w:txbxContent>
                    <w:p w:rsidR="00F60673" w:rsidRDefault="00F60673" w:rsidP="00536110">
                      <w:pPr>
                        <w:spacing w:line="240" w:lineRule="auto"/>
                        <w:ind w:firstLine="0"/>
                        <w:jc w:val="center"/>
                        <w:rPr>
                          <w:b/>
                        </w:rPr>
                      </w:pPr>
                      <w:r>
                        <w:rPr>
                          <w:b/>
                        </w:rPr>
                        <w:t>Association Between Psychiatric Symptoms and Sexual Risk Behaviors in Immigrants and Refugees from Africa Living in Sweden</w:t>
                      </w: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B57E9B">
                      <w:pPr>
                        <w:ind w:firstLine="0"/>
                        <w:jc w:val="center"/>
                      </w:pPr>
                      <w:r>
                        <w:t>by</w:t>
                      </w:r>
                    </w:p>
                    <w:p w:rsidR="00F60673" w:rsidRDefault="00F60673" w:rsidP="00B57E9B">
                      <w:pPr>
                        <w:ind w:firstLine="0"/>
                        <w:jc w:val="center"/>
                      </w:pPr>
                      <w:r>
                        <w:rPr>
                          <w:b/>
                        </w:rPr>
                        <w:t>Simon Yohannes</w:t>
                      </w:r>
                      <w:bookmarkStart w:id="1" w:name="_GoBack"/>
                      <w:bookmarkEnd w:id="1"/>
                    </w:p>
                    <w:p w:rsidR="00F60673" w:rsidRDefault="00F60673" w:rsidP="0063515A">
                      <w:pPr>
                        <w:spacing w:line="240" w:lineRule="auto"/>
                        <w:ind w:firstLine="0"/>
                        <w:jc w:val="center"/>
                      </w:pPr>
                      <w:r>
                        <w:t xml:space="preserve">BE, Biomedical Engineering, Vanderbilt University, 2013 </w:t>
                      </w:r>
                    </w:p>
                    <w:p w:rsidR="00F60673" w:rsidRPr="00834193" w:rsidRDefault="00F60673" w:rsidP="00536110">
                      <w:pPr>
                        <w:spacing w:line="240" w:lineRule="auto"/>
                        <w:ind w:firstLine="0"/>
                        <w:jc w:val="center"/>
                        <w:rPr>
                          <w:noProof/>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536110">
                      <w:pPr>
                        <w:spacing w:line="240" w:lineRule="auto"/>
                        <w:ind w:firstLine="0"/>
                        <w:jc w:val="center"/>
                        <w:rPr>
                          <w:b/>
                        </w:rPr>
                      </w:pPr>
                    </w:p>
                    <w:p w:rsidR="00F60673" w:rsidRDefault="00F60673" w:rsidP="00B57E9B">
                      <w:pPr>
                        <w:ind w:firstLine="0"/>
                        <w:jc w:val="center"/>
                      </w:pPr>
                      <w:r>
                        <w:t>Submitted to the Graduate Faculty of</w:t>
                      </w:r>
                    </w:p>
                    <w:p w:rsidR="00F60673" w:rsidRDefault="00F60673" w:rsidP="00B57E9B">
                      <w:pPr>
                        <w:ind w:firstLine="0"/>
                        <w:jc w:val="center"/>
                      </w:pPr>
                      <w:r>
                        <w:t>the Multidisciplinary Master of Public Health Program</w:t>
                      </w:r>
                    </w:p>
                    <w:p w:rsidR="00F60673" w:rsidRDefault="00F60673" w:rsidP="00B57E9B">
                      <w:pPr>
                        <w:ind w:firstLine="0"/>
                        <w:jc w:val="center"/>
                      </w:pPr>
                      <w:r>
                        <w:t xml:space="preserve">Graduate School of Public Health in partial fulfillment </w:t>
                      </w:r>
                    </w:p>
                    <w:p w:rsidR="00F60673" w:rsidRDefault="00F60673" w:rsidP="00B57E9B">
                      <w:pPr>
                        <w:ind w:firstLine="0"/>
                        <w:jc w:val="center"/>
                      </w:pPr>
                      <w:r>
                        <w:t>of the requirements for the degree of</w:t>
                      </w:r>
                    </w:p>
                    <w:p w:rsidR="00F60673" w:rsidRDefault="00F60673" w:rsidP="00536110">
                      <w:pPr>
                        <w:spacing w:line="240" w:lineRule="auto"/>
                        <w:ind w:firstLine="0"/>
                        <w:jc w:val="center"/>
                      </w:pPr>
                      <w:r>
                        <w:t>Master of Public Health</w:t>
                      </w: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Default="00F60673" w:rsidP="00B57E9B">
                      <w:pPr>
                        <w:spacing w:line="240" w:lineRule="auto"/>
                        <w:ind w:firstLine="0"/>
                        <w:jc w:val="center"/>
                      </w:pPr>
                    </w:p>
                    <w:p w:rsidR="00F60673" w:rsidRPr="00AB08F3" w:rsidRDefault="00F60673" w:rsidP="00337CC7">
                      <w:pPr>
                        <w:ind w:firstLine="0"/>
                        <w:jc w:val="center"/>
                      </w:pPr>
                      <w:smartTag w:uri="urn:schemas-microsoft-com:office:smarttags" w:element="PlaceType">
                        <w:r w:rsidRPr="00AB08F3">
                          <w:t>University</w:t>
                        </w:r>
                      </w:smartTag>
                      <w:r w:rsidRPr="00AB08F3">
                        <w:t xml:space="preserve"> of Pittsburg</w:t>
                      </w:r>
                      <w:r>
                        <w:t>h</w:t>
                      </w:r>
                    </w:p>
                    <w:p w:rsidR="00F60673" w:rsidRPr="00AB08F3" w:rsidRDefault="00F60673" w:rsidP="00B57E9B">
                      <w:pPr>
                        <w:ind w:firstLine="0"/>
                        <w:jc w:val="center"/>
                        <w:rPr>
                          <w:noProof/>
                        </w:rPr>
                      </w:pPr>
                      <w:r>
                        <w:t>2019</w:t>
                      </w:r>
                    </w:p>
                    <w:p w:rsidR="00F60673" w:rsidRPr="004E3B59" w:rsidRDefault="00F60673" w:rsidP="006B1124">
                      <w:pPr>
                        <w:ind w:firstLine="0"/>
                        <w:jc w:val="center"/>
                        <w:rPr>
                          <w:b/>
                        </w:rPr>
                      </w:pPr>
                    </w:p>
                  </w:txbxContent>
                </v:textbox>
                <w10:wrap type="square" anchorx="page" anchory="page"/>
              </v:shape>
            </w:pict>
          </mc:Fallback>
        </mc:AlternateContent>
      </w:r>
    </w:p>
    <w:p w:rsidR="0028782F" w:rsidRPr="007F763B" w:rsidRDefault="00546064" w:rsidP="007F763B">
      <w:pPr>
        <w:pStyle w:val="Noindent"/>
        <w:spacing w:line="240" w:lineRule="auto"/>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margin">
                  <wp:posOffset>301625</wp:posOffset>
                </wp:positionV>
                <wp:extent cx="5943600" cy="7242175"/>
                <wp:effectExtent l="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673" w:rsidRDefault="00F60673"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F60673" w:rsidRDefault="00F60673" w:rsidP="00536110">
                            <w:pPr>
                              <w:spacing w:line="240" w:lineRule="auto"/>
                              <w:ind w:firstLine="0"/>
                              <w:jc w:val="center"/>
                            </w:pPr>
                            <w:r>
                              <w:t>GRADUATE SCHOOL OF PUBLIC HEALTH</w:t>
                            </w: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6A5780">
                            <w:pPr>
                              <w:ind w:firstLine="0"/>
                              <w:jc w:val="center"/>
                            </w:pPr>
                            <w:r>
                              <w:t>This essay is submitted</w:t>
                            </w:r>
                          </w:p>
                          <w:p w:rsidR="00F60673" w:rsidRDefault="00F60673" w:rsidP="006B1124">
                            <w:pPr>
                              <w:ind w:firstLine="0"/>
                              <w:jc w:val="center"/>
                            </w:pPr>
                            <w:r>
                              <w:t>by</w:t>
                            </w:r>
                          </w:p>
                          <w:p w:rsidR="00F60673" w:rsidRDefault="00F60673" w:rsidP="006A5780">
                            <w:pPr>
                              <w:spacing w:line="240" w:lineRule="auto"/>
                              <w:ind w:firstLine="0"/>
                              <w:jc w:val="center"/>
                            </w:pPr>
                            <w:r>
                              <w:t>Simon Yohannes</w:t>
                            </w:r>
                          </w:p>
                          <w:p w:rsidR="00F60673" w:rsidRDefault="00F60673" w:rsidP="006A5780">
                            <w:pPr>
                              <w:spacing w:line="240" w:lineRule="auto"/>
                              <w:ind w:firstLine="0"/>
                              <w:jc w:val="center"/>
                            </w:pPr>
                          </w:p>
                          <w:p w:rsidR="00F60673" w:rsidRDefault="00F60673" w:rsidP="006A5780">
                            <w:pPr>
                              <w:spacing w:line="240" w:lineRule="auto"/>
                              <w:ind w:firstLine="0"/>
                              <w:jc w:val="center"/>
                            </w:pPr>
                            <w:r>
                              <w:t>on</w:t>
                            </w:r>
                          </w:p>
                          <w:p w:rsidR="00F60673" w:rsidRDefault="00F60673" w:rsidP="006A5780">
                            <w:pPr>
                              <w:spacing w:line="240" w:lineRule="auto"/>
                              <w:ind w:firstLine="0"/>
                              <w:jc w:val="center"/>
                            </w:pPr>
                          </w:p>
                          <w:p w:rsidR="00F60673" w:rsidRDefault="00F60673" w:rsidP="006A5780">
                            <w:pPr>
                              <w:ind w:firstLine="0"/>
                              <w:jc w:val="center"/>
                            </w:pPr>
                            <w:r>
                              <w:t>August 1</w:t>
                            </w:r>
                            <w:r w:rsidRPr="0063515A">
                              <w:rPr>
                                <w:vertAlign w:val="superscript"/>
                              </w:rPr>
                              <w:t>st</w:t>
                            </w:r>
                            <w:r>
                              <w:t xml:space="preserve"> 2019 </w:t>
                            </w:r>
                          </w:p>
                          <w:p w:rsidR="00F60673" w:rsidRDefault="00F60673" w:rsidP="006A5780">
                            <w:pPr>
                              <w:ind w:firstLine="0"/>
                              <w:jc w:val="center"/>
                            </w:pPr>
                            <w:r>
                              <w:t>and approved by</w:t>
                            </w:r>
                          </w:p>
                          <w:p w:rsidR="00F60673" w:rsidRDefault="00F60673" w:rsidP="006A5780">
                            <w:pPr>
                              <w:ind w:firstLine="0"/>
                              <w:jc w:val="center"/>
                            </w:pPr>
                          </w:p>
                          <w:p w:rsidR="00F60673" w:rsidRDefault="00F60673" w:rsidP="006109B9">
                            <w:pPr>
                              <w:spacing w:line="240" w:lineRule="auto"/>
                              <w:ind w:firstLine="0"/>
                              <w:jc w:val="center"/>
                            </w:pPr>
                            <w:r w:rsidRPr="000C41D5">
                              <w:rPr>
                                <w:b/>
                              </w:rPr>
                              <w:t>Essay Advisor</w:t>
                            </w:r>
                            <w:r>
                              <w:t>:</w:t>
                            </w:r>
                          </w:p>
                          <w:p w:rsidR="00F60673" w:rsidRDefault="00F60673" w:rsidP="00513630">
                            <w:pPr>
                              <w:spacing w:line="240" w:lineRule="auto"/>
                              <w:ind w:firstLine="0"/>
                              <w:jc w:val="center"/>
                            </w:pPr>
                            <w:r>
                              <w:t>David Finegold, MD</w:t>
                            </w:r>
                          </w:p>
                          <w:p w:rsidR="00F60673" w:rsidRDefault="00F60673" w:rsidP="00513630">
                            <w:pPr>
                              <w:spacing w:line="240" w:lineRule="auto"/>
                              <w:ind w:firstLine="0"/>
                              <w:jc w:val="center"/>
                            </w:pPr>
                            <w:r>
                              <w:t>Program Director, Multidisciplinary MPH</w:t>
                            </w:r>
                          </w:p>
                          <w:p w:rsidR="00F60673" w:rsidRDefault="00F60673" w:rsidP="00513630">
                            <w:pPr>
                              <w:spacing w:line="240" w:lineRule="auto"/>
                              <w:ind w:firstLine="0"/>
                              <w:jc w:val="center"/>
                            </w:pPr>
                            <w:r>
                              <w:t>Professor of Human Genetics</w:t>
                            </w:r>
                          </w:p>
                          <w:p w:rsidR="00F60673" w:rsidRDefault="00F60673" w:rsidP="00513630">
                            <w:pPr>
                              <w:spacing w:line="240" w:lineRule="auto"/>
                              <w:ind w:firstLine="0"/>
                              <w:jc w:val="center"/>
                            </w:pPr>
                            <w:r>
                              <w:t>Graduate School of Public Health</w:t>
                            </w:r>
                          </w:p>
                          <w:p w:rsidR="00F60673" w:rsidRPr="004B2926" w:rsidRDefault="00F60673" w:rsidP="00513630">
                            <w:pPr>
                              <w:spacing w:line="240" w:lineRule="auto"/>
                              <w:ind w:firstLine="0"/>
                              <w:jc w:val="center"/>
                            </w:pPr>
                            <w:r>
                              <w:t>University of Pittsburgh</w:t>
                            </w:r>
                          </w:p>
                          <w:p w:rsidR="00F60673" w:rsidRDefault="00F60673" w:rsidP="006109B9">
                            <w:pPr>
                              <w:spacing w:line="240" w:lineRule="auto"/>
                              <w:ind w:firstLine="0"/>
                              <w:jc w:val="center"/>
                            </w:pPr>
                          </w:p>
                          <w:p w:rsidR="00F60673" w:rsidRDefault="00F60673" w:rsidP="006109B9">
                            <w:pPr>
                              <w:spacing w:line="240" w:lineRule="auto"/>
                              <w:ind w:firstLine="0"/>
                              <w:jc w:val="center"/>
                            </w:pPr>
                          </w:p>
                          <w:p w:rsidR="00F60673" w:rsidRDefault="00F60673" w:rsidP="006109B9">
                            <w:pPr>
                              <w:spacing w:line="240" w:lineRule="auto"/>
                              <w:ind w:firstLine="0"/>
                              <w:jc w:val="center"/>
                              <w:rPr>
                                <w:b/>
                              </w:rPr>
                            </w:pPr>
                            <w:r w:rsidRPr="000C41D5">
                              <w:rPr>
                                <w:b/>
                              </w:rPr>
                              <w:t>Essay Reader:</w:t>
                            </w:r>
                          </w:p>
                          <w:p w:rsidR="00F60673" w:rsidRDefault="00F60673" w:rsidP="00513630">
                            <w:pPr>
                              <w:spacing w:line="240" w:lineRule="auto"/>
                              <w:ind w:firstLine="0"/>
                              <w:jc w:val="center"/>
                            </w:pPr>
                            <w:r>
                              <w:t>Jennifer Steel, PhD</w:t>
                            </w:r>
                          </w:p>
                          <w:p w:rsidR="00F60673" w:rsidRDefault="00F60673" w:rsidP="00513630">
                            <w:pPr>
                              <w:spacing w:line="240" w:lineRule="auto"/>
                              <w:ind w:firstLine="0"/>
                              <w:jc w:val="center"/>
                            </w:pPr>
                            <w:r>
                              <w:t>Associate Professor of Surgery, Psychiatry, and Psychology</w:t>
                            </w:r>
                          </w:p>
                          <w:p w:rsidR="00F60673" w:rsidRDefault="00F60673" w:rsidP="00513630">
                            <w:pPr>
                              <w:spacing w:line="240" w:lineRule="auto"/>
                              <w:ind w:firstLine="0"/>
                              <w:jc w:val="center"/>
                            </w:pPr>
                            <w:r>
                              <w:t>School of Medicine</w:t>
                            </w:r>
                          </w:p>
                          <w:p w:rsidR="00F60673" w:rsidRDefault="00F60673" w:rsidP="00513630">
                            <w:pPr>
                              <w:spacing w:line="240" w:lineRule="auto"/>
                              <w:ind w:firstLine="0"/>
                              <w:jc w:val="center"/>
                            </w:pPr>
                            <w:r>
                              <w:t>University of Pittsburgh</w:t>
                            </w:r>
                          </w:p>
                          <w:p w:rsidR="00F60673" w:rsidRDefault="00F60673" w:rsidP="006109B9">
                            <w:pPr>
                              <w:spacing w:line="240" w:lineRule="auto"/>
                              <w:ind w:firstLine="0"/>
                              <w:jc w:val="center"/>
                              <w:rPr>
                                <w:b/>
                              </w:rPr>
                            </w:pPr>
                          </w:p>
                          <w:p w:rsidR="00F60673" w:rsidRDefault="00F60673" w:rsidP="00030D3B">
                            <w:pPr>
                              <w:spacing w:line="240" w:lineRule="auto"/>
                              <w:ind w:firstLine="0"/>
                            </w:pPr>
                          </w:p>
                          <w:p w:rsidR="00F60673" w:rsidRPr="00936D40" w:rsidRDefault="00F60673" w:rsidP="0063515A">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JrhgIAABg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" stroked="f">
                <v:textbox>
                  <w:txbxContent>
                    <w:p w:rsidR="00F60673" w:rsidRDefault="00F60673"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F60673" w:rsidRDefault="00F60673" w:rsidP="00536110">
                      <w:pPr>
                        <w:spacing w:line="240" w:lineRule="auto"/>
                        <w:ind w:firstLine="0"/>
                        <w:jc w:val="center"/>
                      </w:pPr>
                      <w:r>
                        <w:t>GRADUATE SCHOOL OF PUBLIC HEALTH</w:t>
                      </w: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536110">
                      <w:pPr>
                        <w:spacing w:line="240" w:lineRule="auto"/>
                        <w:ind w:firstLine="0"/>
                        <w:jc w:val="center"/>
                      </w:pPr>
                    </w:p>
                    <w:p w:rsidR="00F60673" w:rsidRDefault="00F60673" w:rsidP="006A5780">
                      <w:pPr>
                        <w:ind w:firstLine="0"/>
                        <w:jc w:val="center"/>
                      </w:pPr>
                      <w:r>
                        <w:t>This essay is submitted</w:t>
                      </w:r>
                    </w:p>
                    <w:p w:rsidR="00F60673" w:rsidRDefault="00F60673" w:rsidP="006B1124">
                      <w:pPr>
                        <w:ind w:firstLine="0"/>
                        <w:jc w:val="center"/>
                      </w:pPr>
                      <w:r>
                        <w:t>by</w:t>
                      </w:r>
                    </w:p>
                    <w:p w:rsidR="00F60673" w:rsidRDefault="00F60673" w:rsidP="006A5780">
                      <w:pPr>
                        <w:spacing w:line="240" w:lineRule="auto"/>
                        <w:ind w:firstLine="0"/>
                        <w:jc w:val="center"/>
                      </w:pPr>
                      <w:r>
                        <w:t>Simon Yohannes</w:t>
                      </w:r>
                    </w:p>
                    <w:p w:rsidR="00F60673" w:rsidRDefault="00F60673" w:rsidP="006A5780">
                      <w:pPr>
                        <w:spacing w:line="240" w:lineRule="auto"/>
                        <w:ind w:firstLine="0"/>
                        <w:jc w:val="center"/>
                      </w:pPr>
                    </w:p>
                    <w:p w:rsidR="00F60673" w:rsidRDefault="00F60673" w:rsidP="006A5780">
                      <w:pPr>
                        <w:spacing w:line="240" w:lineRule="auto"/>
                        <w:ind w:firstLine="0"/>
                        <w:jc w:val="center"/>
                      </w:pPr>
                      <w:r>
                        <w:t>on</w:t>
                      </w:r>
                    </w:p>
                    <w:p w:rsidR="00F60673" w:rsidRDefault="00F60673" w:rsidP="006A5780">
                      <w:pPr>
                        <w:spacing w:line="240" w:lineRule="auto"/>
                        <w:ind w:firstLine="0"/>
                        <w:jc w:val="center"/>
                      </w:pPr>
                    </w:p>
                    <w:p w:rsidR="00F60673" w:rsidRDefault="00F60673" w:rsidP="006A5780">
                      <w:pPr>
                        <w:ind w:firstLine="0"/>
                        <w:jc w:val="center"/>
                      </w:pPr>
                      <w:r>
                        <w:t>August 1</w:t>
                      </w:r>
                      <w:r w:rsidRPr="0063515A">
                        <w:rPr>
                          <w:vertAlign w:val="superscript"/>
                        </w:rPr>
                        <w:t>st</w:t>
                      </w:r>
                      <w:r>
                        <w:t xml:space="preserve"> 2019 </w:t>
                      </w:r>
                    </w:p>
                    <w:p w:rsidR="00F60673" w:rsidRDefault="00F60673" w:rsidP="006A5780">
                      <w:pPr>
                        <w:ind w:firstLine="0"/>
                        <w:jc w:val="center"/>
                      </w:pPr>
                      <w:r>
                        <w:t>and approved by</w:t>
                      </w:r>
                    </w:p>
                    <w:p w:rsidR="00F60673" w:rsidRDefault="00F60673" w:rsidP="006A5780">
                      <w:pPr>
                        <w:ind w:firstLine="0"/>
                        <w:jc w:val="center"/>
                      </w:pPr>
                    </w:p>
                    <w:p w:rsidR="00F60673" w:rsidRDefault="00F60673" w:rsidP="006109B9">
                      <w:pPr>
                        <w:spacing w:line="240" w:lineRule="auto"/>
                        <w:ind w:firstLine="0"/>
                        <w:jc w:val="center"/>
                      </w:pPr>
                      <w:r w:rsidRPr="000C41D5">
                        <w:rPr>
                          <w:b/>
                        </w:rPr>
                        <w:t>Essay Advisor</w:t>
                      </w:r>
                      <w:r>
                        <w:t>:</w:t>
                      </w:r>
                    </w:p>
                    <w:p w:rsidR="00F60673" w:rsidRDefault="00F60673" w:rsidP="00513630">
                      <w:pPr>
                        <w:spacing w:line="240" w:lineRule="auto"/>
                        <w:ind w:firstLine="0"/>
                        <w:jc w:val="center"/>
                      </w:pPr>
                      <w:r>
                        <w:t>David Finegold, MD</w:t>
                      </w:r>
                    </w:p>
                    <w:p w:rsidR="00F60673" w:rsidRDefault="00F60673" w:rsidP="00513630">
                      <w:pPr>
                        <w:spacing w:line="240" w:lineRule="auto"/>
                        <w:ind w:firstLine="0"/>
                        <w:jc w:val="center"/>
                      </w:pPr>
                      <w:r>
                        <w:t>Program Director, Multidisciplinary MPH</w:t>
                      </w:r>
                    </w:p>
                    <w:p w:rsidR="00F60673" w:rsidRDefault="00F60673" w:rsidP="00513630">
                      <w:pPr>
                        <w:spacing w:line="240" w:lineRule="auto"/>
                        <w:ind w:firstLine="0"/>
                        <w:jc w:val="center"/>
                      </w:pPr>
                      <w:r>
                        <w:t>Professor of Human Genetics</w:t>
                      </w:r>
                    </w:p>
                    <w:p w:rsidR="00F60673" w:rsidRDefault="00F60673" w:rsidP="00513630">
                      <w:pPr>
                        <w:spacing w:line="240" w:lineRule="auto"/>
                        <w:ind w:firstLine="0"/>
                        <w:jc w:val="center"/>
                      </w:pPr>
                      <w:r>
                        <w:t>Graduate School of Public Health</w:t>
                      </w:r>
                    </w:p>
                    <w:p w:rsidR="00F60673" w:rsidRPr="004B2926" w:rsidRDefault="00F60673" w:rsidP="00513630">
                      <w:pPr>
                        <w:spacing w:line="240" w:lineRule="auto"/>
                        <w:ind w:firstLine="0"/>
                        <w:jc w:val="center"/>
                      </w:pPr>
                      <w:r>
                        <w:t>University of Pittsburgh</w:t>
                      </w:r>
                    </w:p>
                    <w:p w:rsidR="00F60673" w:rsidRDefault="00F60673" w:rsidP="006109B9">
                      <w:pPr>
                        <w:spacing w:line="240" w:lineRule="auto"/>
                        <w:ind w:firstLine="0"/>
                        <w:jc w:val="center"/>
                      </w:pPr>
                    </w:p>
                    <w:p w:rsidR="00F60673" w:rsidRDefault="00F60673" w:rsidP="006109B9">
                      <w:pPr>
                        <w:spacing w:line="240" w:lineRule="auto"/>
                        <w:ind w:firstLine="0"/>
                        <w:jc w:val="center"/>
                      </w:pPr>
                    </w:p>
                    <w:p w:rsidR="00F60673" w:rsidRDefault="00F60673" w:rsidP="006109B9">
                      <w:pPr>
                        <w:spacing w:line="240" w:lineRule="auto"/>
                        <w:ind w:firstLine="0"/>
                        <w:jc w:val="center"/>
                        <w:rPr>
                          <w:b/>
                        </w:rPr>
                      </w:pPr>
                      <w:r w:rsidRPr="000C41D5">
                        <w:rPr>
                          <w:b/>
                        </w:rPr>
                        <w:t>Essay Reader:</w:t>
                      </w:r>
                    </w:p>
                    <w:p w:rsidR="00F60673" w:rsidRDefault="00F60673" w:rsidP="00513630">
                      <w:pPr>
                        <w:spacing w:line="240" w:lineRule="auto"/>
                        <w:ind w:firstLine="0"/>
                        <w:jc w:val="center"/>
                      </w:pPr>
                      <w:r>
                        <w:t>Jennifer Steel, PhD</w:t>
                      </w:r>
                    </w:p>
                    <w:p w:rsidR="00F60673" w:rsidRDefault="00F60673" w:rsidP="00513630">
                      <w:pPr>
                        <w:spacing w:line="240" w:lineRule="auto"/>
                        <w:ind w:firstLine="0"/>
                        <w:jc w:val="center"/>
                      </w:pPr>
                      <w:r>
                        <w:t>Associate Professor of Surgery, Psychiatry, and Psychology</w:t>
                      </w:r>
                    </w:p>
                    <w:p w:rsidR="00F60673" w:rsidRDefault="00F60673" w:rsidP="00513630">
                      <w:pPr>
                        <w:spacing w:line="240" w:lineRule="auto"/>
                        <w:ind w:firstLine="0"/>
                        <w:jc w:val="center"/>
                      </w:pPr>
                      <w:r>
                        <w:t>School of Medicine</w:t>
                      </w:r>
                    </w:p>
                    <w:p w:rsidR="00F60673" w:rsidRDefault="00F60673" w:rsidP="00513630">
                      <w:pPr>
                        <w:spacing w:line="240" w:lineRule="auto"/>
                        <w:ind w:firstLine="0"/>
                        <w:jc w:val="center"/>
                      </w:pPr>
                      <w:r>
                        <w:t>University of Pittsburgh</w:t>
                      </w:r>
                    </w:p>
                    <w:p w:rsidR="00F60673" w:rsidRDefault="00F60673" w:rsidP="006109B9">
                      <w:pPr>
                        <w:spacing w:line="240" w:lineRule="auto"/>
                        <w:ind w:firstLine="0"/>
                        <w:jc w:val="center"/>
                        <w:rPr>
                          <w:b/>
                        </w:rPr>
                      </w:pPr>
                    </w:p>
                    <w:p w:rsidR="00F60673" w:rsidRDefault="00F60673" w:rsidP="00030D3B">
                      <w:pPr>
                        <w:spacing w:line="240" w:lineRule="auto"/>
                        <w:ind w:firstLine="0"/>
                      </w:pPr>
                    </w:p>
                    <w:p w:rsidR="00F60673" w:rsidRPr="00936D40" w:rsidRDefault="00F60673" w:rsidP="0063515A">
                      <w:pPr>
                        <w:ind w:firstLine="0"/>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673" w:rsidRDefault="00F60673" w:rsidP="006B1124">
                            <w:pPr>
                              <w:ind w:firstLine="0"/>
                              <w:jc w:val="center"/>
                            </w:pPr>
                            <w:r>
                              <w:t>Copyright © by Simon Yohannes</w:t>
                            </w:r>
                          </w:p>
                          <w:p w:rsidR="00F60673" w:rsidRDefault="00F60673" w:rsidP="006B1124">
                            <w:pPr>
                              <w:ind w:firstLine="0"/>
                              <w:jc w:val="center"/>
                            </w:pPr>
                            <w: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XKhw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F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Q1Rc&#10;HoCDLDaaPYAwrAbagGJ4TmDSavsNox5as8bu645YjpF8p0BcZVYUoZfjophe5LCwp5bNqYUoClA1&#10;9hiN05Uf+39nrNi2cNMoZ6WvQZCNiFJ5juogY2i/mNPhqQj9fbqOXs8P2uIH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FLg&#10;RcqHAgAAGAUAAA4AAAAAAAAAAAAAAAAALgIAAGRycy9lMm9Eb2MueG1sUEsBAi0AFAAGAAgAAAAh&#10;ABxfywLbAAAACAEAAA8AAAAAAAAAAAAAAAAA4QQAAGRycy9kb3ducmV2LnhtbFBLBQYAAAAABAAE&#10;APMAAADpBQAAAAA=&#10;" stroked="f">
                <v:textbox>
                  <w:txbxContent>
                    <w:p w:rsidR="00F60673" w:rsidRDefault="00F60673" w:rsidP="006B1124">
                      <w:pPr>
                        <w:ind w:firstLine="0"/>
                        <w:jc w:val="center"/>
                      </w:pPr>
                      <w:r>
                        <w:t>Copyright © by Simon Yohannes</w:t>
                      </w:r>
                    </w:p>
                    <w:p w:rsidR="00F60673" w:rsidRDefault="00F60673" w:rsidP="006B1124">
                      <w:pPr>
                        <w:ind w:firstLine="0"/>
                        <w:jc w:val="center"/>
                      </w:pPr>
                      <w:r>
                        <w:t>2019</w:t>
                      </w:r>
                    </w:p>
                  </w:txbxContent>
                </v:textbox>
                <w10:wrap type="square" anchorx="page" anchory="page"/>
              </v:shape>
            </w:pict>
          </mc:Fallback>
        </mc:AlternateContent>
      </w:r>
      <w:r w:rsidR="002D01B1">
        <w:br w:type="page"/>
      </w:r>
      <w:r w:rsidR="006109B9" w:rsidRPr="007F763B">
        <w:rPr>
          <w:b/>
        </w:rPr>
        <w:lastRenderedPageBreak/>
        <w:t>Abstract</w:t>
      </w:r>
    </w:p>
    <w:p w:rsidR="007F763B" w:rsidRDefault="007F763B" w:rsidP="007F763B">
      <w:pPr>
        <w:pStyle w:val="Noindent"/>
        <w:spacing w:line="240" w:lineRule="auto"/>
      </w:pPr>
    </w:p>
    <w:p w:rsidR="000B3818" w:rsidRDefault="00546064" w:rsidP="000B3818">
      <w:pPr>
        <w:pStyle w:val="Noindent"/>
      </w:pPr>
      <w:r>
        <w:rPr>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margin">
                  <wp:posOffset>-222250</wp:posOffset>
                </wp:positionV>
                <wp:extent cx="5943600" cy="2041525"/>
                <wp:effectExtent l="0" t="0" r="0" b="0"/>
                <wp:wrapSquare wrapText="bothSides"/>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73" w:rsidRDefault="00F60673" w:rsidP="005F1BB6">
                            <w:pPr>
                              <w:ind w:firstLine="0"/>
                              <w:jc w:val="right"/>
                            </w:pPr>
                            <w:r>
                              <w:t>David Finegold, MD</w:t>
                            </w:r>
                          </w:p>
                          <w:p w:rsidR="00F60673" w:rsidRPr="005F1BB6" w:rsidRDefault="00F60673" w:rsidP="005F1BB6">
                            <w:pPr>
                              <w:ind w:firstLine="0"/>
                              <w:jc w:val="right"/>
                            </w:pPr>
                          </w:p>
                          <w:p w:rsidR="00F60673" w:rsidRDefault="00F60673" w:rsidP="007916E7">
                            <w:pPr>
                              <w:spacing w:line="240" w:lineRule="auto"/>
                              <w:ind w:firstLine="0"/>
                              <w:jc w:val="center"/>
                              <w:rPr>
                                <w:b/>
                              </w:rPr>
                            </w:pPr>
                            <w:r>
                              <w:rPr>
                                <w:b/>
                              </w:rPr>
                              <w:t>Association Between Psychiatric Symptoms and Sexual Risk Behaviors in Immigrants and Refugees from Africa Living in Sweden</w:t>
                            </w:r>
                          </w:p>
                          <w:p w:rsidR="00F60673" w:rsidRDefault="00F60673" w:rsidP="000B3818">
                            <w:pPr>
                              <w:spacing w:line="240" w:lineRule="auto"/>
                              <w:ind w:firstLine="0"/>
                              <w:jc w:val="center"/>
                              <w:rPr>
                                <w:b/>
                              </w:rPr>
                            </w:pPr>
                          </w:p>
                          <w:p w:rsidR="00F60673" w:rsidRDefault="00F60673" w:rsidP="000B3818">
                            <w:pPr>
                              <w:ind w:firstLine="0"/>
                              <w:jc w:val="center"/>
                            </w:pPr>
                            <w:r>
                              <w:t xml:space="preserve">Simon Yohannes, MPH </w:t>
                            </w:r>
                          </w:p>
                          <w:p w:rsidR="00F60673" w:rsidRDefault="00F60673" w:rsidP="006B1124">
                            <w:pPr>
                              <w:ind w:firstLine="0"/>
                              <w:jc w:val="center"/>
                            </w:pPr>
                            <w:r>
                              <w:t>University of Pittsburgh, 2019</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mXtgIAAMA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" filled="f" stroked="f">
                <v:textbox>
                  <w:txbxContent>
                    <w:p w:rsidR="00F60673" w:rsidRDefault="00F60673" w:rsidP="005F1BB6">
                      <w:pPr>
                        <w:ind w:firstLine="0"/>
                        <w:jc w:val="right"/>
                      </w:pPr>
                      <w:r>
                        <w:t>David Finegold, MD</w:t>
                      </w:r>
                    </w:p>
                    <w:p w:rsidR="00F60673" w:rsidRPr="005F1BB6" w:rsidRDefault="00F60673" w:rsidP="005F1BB6">
                      <w:pPr>
                        <w:ind w:firstLine="0"/>
                        <w:jc w:val="right"/>
                      </w:pPr>
                    </w:p>
                    <w:p w:rsidR="00F60673" w:rsidRDefault="00F60673" w:rsidP="007916E7">
                      <w:pPr>
                        <w:spacing w:line="240" w:lineRule="auto"/>
                        <w:ind w:firstLine="0"/>
                        <w:jc w:val="center"/>
                        <w:rPr>
                          <w:b/>
                        </w:rPr>
                      </w:pPr>
                      <w:r>
                        <w:rPr>
                          <w:b/>
                        </w:rPr>
                        <w:t>Association Between Psychiatric Symptoms and Sexual Risk Behaviors in Immigrants and Refugees from Africa Living in Sweden</w:t>
                      </w:r>
                    </w:p>
                    <w:p w:rsidR="00F60673" w:rsidRDefault="00F60673" w:rsidP="000B3818">
                      <w:pPr>
                        <w:spacing w:line="240" w:lineRule="auto"/>
                        <w:ind w:firstLine="0"/>
                        <w:jc w:val="center"/>
                        <w:rPr>
                          <w:b/>
                        </w:rPr>
                      </w:pPr>
                    </w:p>
                    <w:p w:rsidR="00F60673" w:rsidRDefault="00F60673" w:rsidP="000B3818">
                      <w:pPr>
                        <w:ind w:firstLine="0"/>
                        <w:jc w:val="center"/>
                      </w:pPr>
                      <w:r>
                        <w:t xml:space="preserve">Simon Yohannes, MPH </w:t>
                      </w:r>
                    </w:p>
                    <w:p w:rsidR="00F60673" w:rsidRDefault="00F60673" w:rsidP="006B1124">
                      <w:pPr>
                        <w:ind w:firstLine="0"/>
                        <w:jc w:val="center"/>
                      </w:pPr>
                      <w:r>
                        <w:t>University of Pittsburgh, 2019</w:t>
                      </w:r>
                      <w:r>
                        <w:br w:type="page"/>
                      </w:r>
                    </w:p>
                  </w:txbxContent>
                </v:textbox>
                <w10:wrap type="square" anchory="margin"/>
              </v:shape>
            </w:pict>
          </mc:Fallback>
        </mc:AlternateContent>
      </w:r>
      <w:r w:rsidR="006109B9" w:rsidRPr="006109B9">
        <w:rPr>
          <w:b/>
        </w:rPr>
        <w:t>Background:</w:t>
      </w:r>
      <w:r w:rsidR="006109B9">
        <w:t xml:space="preserve"> </w:t>
      </w:r>
      <w:r w:rsidR="00E96718">
        <w:t xml:space="preserve">Research </w:t>
      </w:r>
      <w:r w:rsidR="005E402D">
        <w:t xml:space="preserve">reveals </w:t>
      </w:r>
      <w:r w:rsidR="00E96718">
        <w:t>that 1</w:t>
      </w:r>
      <w:r w:rsidR="000B3818">
        <w:t xml:space="preserve"> in 10 refugees have</w:t>
      </w:r>
      <w:r w:rsidR="00C47117">
        <w:t xml:space="preserve"> Post Traumatic Stress Disorder</w:t>
      </w:r>
      <w:r w:rsidR="000B3818">
        <w:t xml:space="preserve"> </w:t>
      </w:r>
      <w:r w:rsidR="00C47117">
        <w:t>(</w:t>
      </w:r>
      <w:r w:rsidR="000B3818">
        <w:t>PTSD</w:t>
      </w:r>
      <w:r w:rsidR="00C47117">
        <w:t>)</w:t>
      </w:r>
      <w:r w:rsidR="000B3818">
        <w:t xml:space="preserve">, and 1 in 20 have depression, but there is little understanding about the predictors of PTSD and depression in refugees and immigrants, and </w:t>
      </w:r>
      <w:r w:rsidR="00C21566">
        <w:t>the</w:t>
      </w:r>
      <w:r w:rsidR="000B3818">
        <w:t xml:space="preserve"> association </w:t>
      </w:r>
      <w:r w:rsidR="00C21566">
        <w:t xml:space="preserve">between </w:t>
      </w:r>
      <w:r w:rsidR="00394278">
        <w:t>psychiatric symptoms and</w:t>
      </w:r>
      <w:r w:rsidR="00C21566">
        <w:t xml:space="preserve"> </w:t>
      </w:r>
      <w:r w:rsidR="000B3818">
        <w:t>sexual risk behavior</w:t>
      </w:r>
      <w:r w:rsidR="003B6890">
        <w:t>s</w:t>
      </w:r>
      <w:r w:rsidR="000B3818">
        <w:t>.</w:t>
      </w:r>
    </w:p>
    <w:p w:rsidR="00373687" w:rsidRDefault="006109B9" w:rsidP="00373687">
      <w:pPr>
        <w:pStyle w:val="Noindent"/>
      </w:pPr>
      <w:r w:rsidRPr="006109B9">
        <w:rPr>
          <w:b/>
        </w:rPr>
        <w:t>Methods:</w:t>
      </w:r>
      <w:r>
        <w:t xml:space="preserve"> </w:t>
      </w:r>
      <w:r w:rsidR="00394278">
        <w:t>Immigrants and refugees from Africa residing in Sweden were interviewed between</w:t>
      </w:r>
      <w:r w:rsidR="000B3818">
        <w:t xml:space="preserve"> 2002-2006</w:t>
      </w:r>
      <w:r w:rsidR="005E402D">
        <w:t>, and the interviews assessed</w:t>
      </w:r>
      <w:r w:rsidR="000B3818">
        <w:t xml:space="preserve"> immigrant and </w:t>
      </w:r>
      <w:r w:rsidR="00C03E81">
        <w:t>refugee’s</w:t>
      </w:r>
      <w:r w:rsidR="000B3818">
        <w:t xml:space="preserve"> health and quality of life. </w:t>
      </w:r>
      <w:r w:rsidR="00373687">
        <w:t>Stratified quota sampling based on the 2001 Swedish census was used to recruit a representative</w:t>
      </w:r>
    </w:p>
    <w:p w:rsidR="00FC20E6" w:rsidRDefault="00373687" w:rsidP="00373687">
      <w:pPr>
        <w:pStyle w:val="Noindent"/>
      </w:pPr>
      <w:r>
        <w:t xml:space="preserve">sample of participants by gender and country of origin. </w:t>
      </w:r>
      <w:r w:rsidR="00394278">
        <w:t xml:space="preserve">The </w:t>
      </w:r>
      <w:r w:rsidR="00FC20E6">
        <w:t>semi-structured interviews</w:t>
      </w:r>
      <w:r w:rsidR="00394278">
        <w:t xml:space="preserve"> included valid and reliable instruments</w:t>
      </w:r>
      <w:r w:rsidR="00FC20E6">
        <w:t xml:space="preserve"> </w:t>
      </w:r>
      <w:r w:rsidR="00394278">
        <w:t xml:space="preserve">that </w:t>
      </w:r>
      <w:r w:rsidR="00FC20E6">
        <w:t>measure</w:t>
      </w:r>
      <w:r w:rsidR="00394278">
        <w:t>d</w:t>
      </w:r>
      <w:r w:rsidR="00FC20E6">
        <w:t xml:space="preserve"> depression, anxiety, PTSD, acculturation, traumatic events, and sexual health. S</w:t>
      </w:r>
      <w:r w:rsidR="000B3818">
        <w:t xml:space="preserve">econdary data analysis was performed at the University of Pittsburgh. </w:t>
      </w:r>
      <w:r w:rsidR="00FC20E6" w:rsidRPr="00FC20E6">
        <w:t>Statistical analyses consist</w:t>
      </w:r>
      <w:r w:rsidR="006B2C08">
        <w:t>ed</w:t>
      </w:r>
      <w:r w:rsidR="00FC20E6" w:rsidRPr="00FC20E6">
        <w:t xml:space="preserve"> </w:t>
      </w:r>
      <w:r w:rsidR="00EA6B83">
        <w:t>of binomial</w:t>
      </w:r>
      <w:r w:rsidR="002C53E7" w:rsidRPr="003D3D78">
        <w:t xml:space="preserve"> regression to examine the predictors of psychiatric symptoms</w:t>
      </w:r>
      <w:r w:rsidR="002C53E7">
        <w:t xml:space="preserve">. </w:t>
      </w:r>
      <w:r w:rsidR="006B2C08">
        <w:t xml:space="preserve">Mann Whitney U test </w:t>
      </w:r>
      <w:r w:rsidR="00FC20E6" w:rsidRPr="00FC20E6">
        <w:t>and Chi-square test</w:t>
      </w:r>
      <w:r w:rsidR="006B2C08">
        <w:t>s</w:t>
      </w:r>
      <w:r w:rsidR="00FC20E6" w:rsidRPr="00FC20E6">
        <w:t xml:space="preserve"> </w:t>
      </w:r>
      <w:r w:rsidR="002C53E7">
        <w:t xml:space="preserve">were performed </w:t>
      </w:r>
      <w:r w:rsidR="00FC20E6" w:rsidRPr="00FC20E6">
        <w:t>to compare sexual risk behavior</w:t>
      </w:r>
      <w:r w:rsidR="003B6890">
        <w:t>s</w:t>
      </w:r>
      <w:r w:rsidR="00FC20E6" w:rsidRPr="00FC20E6">
        <w:t xml:space="preserve"> between refugees with PTSD</w:t>
      </w:r>
      <w:r w:rsidR="00EC180A">
        <w:t>/</w:t>
      </w:r>
      <w:r w:rsidR="00FC20E6" w:rsidRPr="00FC20E6">
        <w:t xml:space="preserve">depression and refugees </w:t>
      </w:r>
      <w:r w:rsidR="00FC20E6" w:rsidRPr="003D3D78">
        <w:t>without PTSD/</w:t>
      </w:r>
      <w:r w:rsidR="00E8775F" w:rsidRPr="003D3D78">
        <w:t>depression.</w:t>
      </w:r>
      <w:r w:rsidR="006B2C08" w:rsidRPr="003D3D78">
        <w:t xml:space="preserve"> </w:t>
      </w:r>
    </w:p>
    <w:p w:rsidR="000B3818" w:rsidRDefault="006109B9" w:rsidP="000B3818">
      <w:pPr>
        <w:pStyle w:val="Noindent"/>
      </w:pPr>
      <w:r w:rsidRPr="006109B9">
        <w:rPr>
          <w:b/>
        </w:rPr>
        <w:t>Results:</w:t>
      </w:r>
      <w:r>
        <w:t xml:space="preserve"> </w:t>
      </w:r>
      <w:r w:rsidR="006B2C08" w:rsidRPr="00373687">
        <w:t>420 participants completed the questionnaires.</w:t>
      </w:r>
      <w:r w:rsidR="006B2C08">
        <w:t xml:space="preserve"> </w:t>
      </w:r>
      <w:r w:rsidR="00373687">
        <w:t xml:space="preserve">Demographic information showed </w:t>
      </w:r>
      <w:r w:rsidR="003D3D78">
        <w:t xml:space="preserve">that most of the participants were from Eastern Africa and a </w:t>
      </w:r>
      <w:r w:rsidR="002C53E7">
        <w:t xml:space="preserve">religious makeup of 51% </w:t>
      </w:r>
      <w:r w:rsidR="003D3D78">
        <w:t>Christians</w:t>
      </w:r>
      <w:r w:rsidR="002C53E7">
        <w:t xml:space="preserve">, 46% </w:t>
      </w:r>
      <w:r w:rsidR="003D3D78">
        <w:t>Muslims</w:t>
      </w:r>
      <w:r w:rsidR="002C53E7">
        <w:t>, and 3% other</w:t>
      </w:r>
      <w:r w:rsidR="003D3D78">
        <w:t xml:space="preserve">. </w:t>
      </w:r>
      <w:r w:rsidR="00EA49C4">
        <w:t>Twenty percent of the sample reported symptoms in the clinical range for depression</w:t>
      </w:r>
      <w:r w:rsidR="009E66C4">
        <w:t>, while PTSD</w:t>
      </w:r>
      <w:r w:rsidR="00EA49C4">
        <w:t xml:space="preserve"> symptomatology and functional impairment was reported by 47%</w:t>
      </w:r>
      <w:r w:rsidR="00611237">
        <w:t xml:space="preserve"> of the </w:t>
      </w:r>
      <w:r w:rsidR="00611237">
        <w:lastRenderedPageBreak/>
        <w:t>participants</w:t>
      </w:r>
      <w:r w:rsidR="00EA49C4">
        <w:t xml:space="preserve">. </w:t>
      </w:r>
      <w:r w:rsidR="000852E0">
        <w:t xml:space="preserve">After adjusting for </w:t>
      </w:r>
      <w:r w:rsidR="009E66C4" w:rsidRPr="00565F78">
        <w:t>age, gender, religion, country of origin, and length of residence in Sweden</w:t>
      </w:r>
      <w:r w:rsidR="009E66C4">
        <w:t xml:space="preserve">, </w:t>
      </w:r>
      <w:r w:rsidR="003802F1" w:rsidRPr="00EA6B83">
        <w:t xml:space="preserve">a </w:t>
      </w:r>
      <w:r w:rsidR="0049000F" w:rsidRPr="00EA6B83">
        <w:t xml:space="preserve">binomial </w:t>
      </w:r>
      <w:r w:rsidR="009E66C4" w:rsidRPr="00EA6B83">
        <w:t>regression model</w:t>
      </w:r>
      <w:r w:rsidR="009E66C4">
        <w:t xml:space="preserve"> </w:t>
      </w:r>
      <w:r w:rsidR="00C06283">
        <w:t>revealed</w:t>
      </w:r>
      <w:r w:rsidR="00611237">
        <w:t xml:space="preserve"> that </w:t>
      </w:r>
      <w:r w:rsidR="009E66C4">
        <w:t xml:space="preserve">acculturation was a predictor for </w:t>
      </w:r>
      <w:r w:rsidR="00611237">
        <w:t>b</w:t>
      </w:r>
      <w:r w:rsidR="000B3818">
        <w:t>oth PTSD [β = -0.</w:t>
      </w:r>
      <w:r w:rsidR="0049000F">
        <w:t>094</w:t>
      </w:r>
      <w:r w:rsidR="000B3818">
        <w:t>, SE = 0.0</w:t>
      </w:r>
      <w:r w:rsidR="0049000F">
        <w:t>36</w:t>
      </w:r>
      <w:r w:rsidR="000B3818">
        <w:t xml:space="preserve">, p </w:t>
      </w:r>
      <w:r w:rsidR="0049000F">
        <w:t>=</w:t>
      </w:r>
      <w:r w:rsidR="000B3818">
        <w:t xml:space="preserve"> 0.0</w:t>
      </w:r>
      <w:r w:rsidR="0049000F">
        <w:t>1</w:t>
      </w:r>
      <w:r w:rsidR="000B3818">
        <w:t>] and depress</w:t>
      </w:r>
      <w:r w:rsidR="0030726D">
        <w:t>ive symptoms</w:t>
      </w:r>
      <w:r w:rsidR="000B3818">
        <w:t xml:space="preserve"> [β = -0.</w:t>
      </w:r>
      <w:r w:rsidR="0049000F">
        <w:t>078</w:t>
      </w:r>
      <w:r w:rsidR="000B3818">
        <w:t>, SE = 0.</w:t>
      </w:r>
      <w:r w:rsidR="0049000F">
        <w:t>036</w:t>
      </w:r>
      <w:r w:rsidR="000B3818">
        <w:t>, p = 0.0</w:t>
      </w:r>
      <w:r w:rsidR="0049000F">
        <w:t>33</w:t>
      </w:r>
      <w:r w:rsidR="000B3818">
        <w:t>]. Females who reported higher levels of depressi</w:t>
      </w:r>
      <w:r w:rsidR="00EC180A">
        <w:t xml:space="preserve">ve symptoms </w:t>
      </w:r>
      <w:r w:rsidR="000B3818">
        <w:t>had a greater number of lifetime sexual partners [U=3844, p= 0.001], regular sexual partners [U=3771, p=0.002] and concurrent partners [</w:t>
      </w:r>
      <w:r w:rsidR="006B2C08">
        <w:t>χ</w:t>
      </w:r>
      <w:r w:rsidR="000B3818" w:rsidRPr="006B2C08">
        <w:rPr>
          <w:vertAlign w:val="superscript"/>
        </w:rPr>
        <w:t>2</w:t>
      </w:r>
      <w:r w:rsidR="000B3818">
        <w:t xml:space="preserve"> = 4.39, p = 0.027]. PTSD and depressi</w:t>
      </w:r>
      <w:r w:rsidR="0030726D">
        <w:t>ve symptoms</w:t>
      </w:r>
      <w:r w:rsidR="000B3818">
        <w:t xml:space="preserve"> were not significant predictors of sexual risk behavior</w:t>
      </w:r>
      <w:r w:rsidR="003B6890">
        <w:t>s</w:t>
      </w:r>
      <w:r w:rsidR="000B3818">
        <w:t xml:space="preserve"> for men.</w:t>
      </w:r>
    </w:p>
    <w:p w:rsidR="006B1124" w:rsidRDefault="006109B9" w:rsidP="000B3818">
      <w:pPr>
        <w:pStyle w:val="Noindent"/>
      </w:pPr>
      <w:r w:rsidRPr="006109B9">
        <w:rPr>
          <w:b/>
        </w:rPr>
        <w:t>Conclusion:</w:t>
      </w:r>
      <w:r>
        <w:t xml:space="preserve"> </w:t>
      </w:r>
      <w:r w:rsidR="00BE5101">
        <w:t>D</w:t>
      </w:r>
      <w:r w:rsidR="000B3818">
        <w:t>epressi</w:t>
      </w:r>
      <w:r w:rsidR="00EA6B83">
        <w:t xml:space="preserve">ve </w:t>
      </w:r>
      <w:r w:rsidR="00BE5101">
        <w:t xml:space="preserve">and PTSD </w:t>
      </w:r>
      <w:r w:rsidR="003802F1">
        <w:t xml:space="preserve">symptoms </w:t>
      </w:r>
      <w:r w:rsidR="00FC20E6">
        <w:t xml:space="preserve">have a </w:t>
      </w:r>
      <w:r w:rsidR="000B3818">
        <w:t>significant association with acculturation and sexual risk behavior</w:t>
      </w:r>
      <w:r w:rsidR="00EA6B83">
        <w:t>s</w:t>
      </w:r>
      <w:r w:rsidR="000B3818">
        <w:t>.</w:t>
      </w:r>
      <w:r w:rsidR="00EC180A">
        <w:t xml:space="preserve"> U</w:t>
      </w:r>
      <w:r w:rsidR="00FC20E6">
        <w:t xml:space="preserve">nderstanding these relationships can </w:t>
      </w:r>
      <w:r w:rsidR="00EC180A">
        <w:t>facilitate</w:t>
      </w:r>
      <w:r w:rsidR="00FC20E6">
        <w:t xml:space="preserve"> the </w:t>
      </w:r>
      <w:r w:rsidR="00EC180A">
        <w:t xml:space="preserve">development of public health interventions to reduce </w:t>
      </w:r>
      <w:r w:rsidR="00FC20E6">
        <w:t>sexual risk behavior</w:t>
      </w:r>
      <w:r w:rsidR="00EA6B83">
        <w:t xml:space="preserve"> in immigrant and refugee populations</w:t>
      </w:r>
      <w:r w:rsidR="00FC20E6">
        <w:t xml:space="preserve">.  </w:t>
      </w:r>
    </w:p>
    <w:p w:rsidR="00074747" w:rsidRPr="00074747" w:rsidRDefault="00074747" w:rsidP="00074747"/>
    <w:p w:rsidR="00AA2C6A" w:rsidRDefault="00AA2C6A" w:rsidP="00AA2C6A"/>
    <w:p w:rsidR="00AA2C6A" w:rsidRPr="00AA2C6A" w:rsidRDefault="00AA2C6A" w:rsidP="00AA2C6A"/>
    <w:p w:rsidR="008A110F" w:rsidRDefault="007916E7" w:rsidP="00656EE6">
      <w:pPr>
        <w:pStyle w:val="Preliminary"/>
      </w:pPr>
      <w:bookmarkStart w:id="0" w:name="_Toc106717784"/>
      <w:r w:rsidRPr="00E36565">
        <w:rPr>
          <w:caps w:val="0"/>
        </w:rPr>
        <w:lastRenderedPageBreak/>
        <w:t>Table</w:t>
      </w:r>
      <w:r>
        <w:rPr>
          <w:caps w:val="0"/>
        </w:rPr>
        <w:t xml:space="preserve"> of Contents</w:t>
      </w:r>
      <w:bookmarkEnd w:id="0"/>
    </w:p>
    <w:p w:rsidR="00663599"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15393980" w:history="1">
        <w:r w:rsidR="00750C35">
          <w:rPr>
            <w:rStyle w:val="Hyperlink"/>
            <w:caps w:val="0"/>
            <w:noProof/>
          </w:rPr>
          <w:t>P</w:t>
        </w:r>
        <w:r w:rsidR="00750C35" w:rsidRPr="00833C24">
          <w:rPr>
            <w:rStyle w:val="Hyperlink"/>
            <w:caps w:val="0"/>
            <w:noProof/>
          </w:rPr>
          <w:t>reface</w:t>
        </w:r>
        <w:r w:rsidR="00750C35">
          <w:rPr>
            <w:caps w:val="0"/>
            <w:noProof/>
            <w:webHidden/>
          </w:rPr>
          <w:tab/>
        </w:r>
        <w:r w:rsidR="00DD555C">
          <w:rPr>
            <w:caps w:val="0"/>
            <w:noProof/>
            <w:webHidden/>
          </w:rPr>
          <w:t>ix</w:t>
        </w:r>
      </w:hyperlink>
    </w:p>
    <w:p w:rsidR="00663599" w:rsidRDefault="00F23759">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5393981" w:history="1">
        <w:r w:rsidR="00750C35" w:rsidRPr="00833C24">
          <w:rPr>
            <w:rStyle w:val="Hyperlink"/>
            <w:caps w:val="0"/>
            <w:noProof/>
          </w:rPr>
          <w:t>1.0</w:t>
        </w:r>
        <w:r w:rsidR="00750C35">
          <w:rPr>
            <w:rFonts w:asciiTheme="minorHAnsi" w:eastAsiaTheme="minorEastAsia" w:hAnsiTheme="minorHAnsi" w:cstheme="minorBidi"/>
            <w:b w:val="0"/>
            <w:caps w:val="0"/>
            <w:noProof/>
            <w:sz w:val="22"/>
            <w:szCs w:val="22"/>
          </w:rPr>
          <w:tab/>
        </w:r>
        <w:r w:rsidR="00750C35">
          <w:rPr>
            <w:rStyle w:val="Hyperlink"/>
            <w:caps w:val="0"/>
            <w:noProof/>
          </w:rPr>
          <w:t>Introduction a</w:t>
        </w:r>
        <w:r w:rsidR="00750C35" w:rsidRPr="00833C24">
          <w:rPr>
            <w:rStyle w:val="Hyperlink"/>
            <w:caps w:val="0"/>
            <w:noProof/>
          </w:rPr>
          <w:t>nd Background</w:t>
        </w:r>
        <w:r w:rsidR="00750C35">
          <w:rPr>
            <w:caps w:val="0"/>
            <w:noProof/>
            <w:webHidden/>
          </w:rPr>
          <w:tab/>
        </w:r>
        <w:r w:rsidR="00663599">
          <w:rPr>
            <w:noProof/>
            <w:webHidden/>
          </w:rPr>
          <w:fldChar w:fldCharType="begin"/>
        </w:r>
        <w:r w:rsidR="00663599">
          <w:rPr>
            <w:noProof/>
            <w:webHidden/>
          </w:rPr>
          <w:instrText xml:space="preserve"> PAGEREF _Toc15393981 \h </w:instrText>
        </w:r>
        <w:r w:rsidR="00663599">
          <w:rPr>
            <w:noProof/>
            <w:webHidden/>
          </w:rPr>
        </w:r>
        <w:r w:rsidR="00663599">
          <w:rPr>
            <w:noProof/>
            <w:webHidden/>
          </w:rPr>
          <w:fldChar w:fldCharType="separate"/>
        </w:r>
        <w:r w:rsidR="00DD555C">
          <w:rPr>
            <w:noProof/>
            <w:webHidden/>
          </w:rPr>
          <w:t>1</w:t>
        </w:r>
        <w:r w:rsidR="00663599">
          <w:rPr>
            <w:noProof/>
            <w:webHidden/>
          </w:rPr>
          <w:fldChar w:fldCharType="end"/>
        </w:r>
      </w:hyperlink>
    </w:p>
    <w:p w:rsidR="00663599" w:rsidRDefault="00F23759">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5393982" w:history="1">
        <w:r w:rsidR="00750C35" w:rsidRPr="00833C24">
          <w:rPr>
            <w:rStyle w:val="Hyperlink"/>
            <w:caps w:val="0"/>
            <w:noProof/>
          </w:rPr>
          <w:t>2.0</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Methods</w:t>
        </w:r>
        <w:r w:rsidR="00750C35">
          <w:rPr>
            <w:caps w:val="0"/>
            <w:noProof/>
            <w:webHidden/>
          </w:rPr>
          <w:tab/>
        </w:r>
        <w:r w:rsidR="00663599">
          <w:rPr>
            <w:noProof/>
            <w:webHidden/>
          </w:rPr>
          <w:fldChar w:fldCharType="begin"/>
        </w:r>
        <w:r w:rsidR="00663599">
          <w:rPr>
            <w:noProof/>
            <w:webHidden/>
          </w:rPr>
          <w:instrText xml:space="preserve"> PAGEREF _Toc15393982 \h </w:instrText>
        </w:r>
        <w:r w:rsidR="00663599">
          <w:rPr>
            <w:noProof/>
            <w:webHidden/>
          </w:rPr>
        </w:r>
        <w:r w:rsidR="00663599">
          <w:rPr>
            <w:noProof/>
            <w:webHidden/>
          </w:rPr>
          <w:fldChar w:fldCharType="separate"/>
        </w:r>
        <w:r w:rsidR="00DD555C">
          <w:rPr>
            <w:noProof/>
            <w:webHidden/>
          </w:rPr>
          <w:t>4</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83" w:history="1">
        <w:r w:rsidR="00750C35" w:rsidRPr="00833C24">
          <w:rPr>
            <w:rStyle w:val="Hyperlink"/>
            <w:caps w:val="0"/>
            <w:noProof/>
          </w:rPr>
          <w:t>2.1</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Design Participant Recruitment</w:t>
        </w:r>
        <w:r w:rsidR="00750C35">
          <w:rPr>
            <w:caps w:val="0"/>
            <w:noProof/>
            <w:webHidden/>
          </w:rPr>
          <w:tab/>
        </w:r>
        <w:r w:rsidR="00663599">
          <w:rPr>
            <w:noProof/>
            <w:webHidden/>
          </w:rPr>
          <w:fldChar w:fldCharType="begin"/>
        </w:r>
        <w:r w:rsidR="00663599">
          <w:rPr>
            <w:noProof/>
            <w:webHidden/>
          </w:rPr>
          <w:instrText xml:space="preserve"> PAGEREF _Toc15393983 \h </w:instrText>
        </w:r>
        <w:r w:rsidR="00663599">
          <w:rPr>
            <w:noProof/>
            <w:webHidden/>
          </w:rPr>
        </w:r>
        <w:r w:rsidR="00663599">
          <w:rPr>
            <w:noProof/>
            <w:webHidden/>
          </w:rPr>
          <w:fldChar w:fldCharType="separate"/>
        </w:r>
        <w:r w:rsidR="00DD555C">
          <w:rPr>
            <w:noProof/>
            <w:webHidden/>
          </w:rPr>
          <w:t>4</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84" w:history="1">
        <w:r w:rsidR="00750C35" w:rsidRPr="00833C24">
          <w:rPr>
            <w:rStyle w:val="Hyperlink"/>
            <w:caps w:val="0"/>
            <w:noProof/>
          </w:rPr>
          <w:t>2.2</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Questionnaires</w:t>
        </w:r>
        <w:r w:rsidR="00750C35">
          <w:rPr>
            <w:caps w:val="0"/>
            <w:noProof/>
            <w:webHidden/>
          </w:rPr>
          <w:tab/>
        </w:r>
        <w:r w:rsidR="00663599">
          <w:rPr>
            <w:noProof/>
            <w:webHidden/>
          </w:rPr>
          <w:fldChar w:fldCharType="begin"/>
        </w:r>
        <w:r w:rsidR="00663599">
          <w:rPr>
            <w:noProof/>
            <w:webHidden/>
          </w:rPr>
          <w:instrText xml:space="preserve"> PAGEREF _Toc15393984 \h </w:instrText>
        </w:r>
        <w:r w:rsidR="00663599">
          <w:rPr>
            <w:noProof/>
            <w:webHidden/>
          </w:rPr>
        </w:r>
        <w:r w:rsidR="00663599">
          <w:rPr>
            <w:noProof/>
            <w:webHidden/>
          </w:rPr>
          <w:fldChar w:fldCharType="separate"/>
        </w:r>
        <w:r w:rsidR="00DD555C">
          <w:rPr>
            <w:noProof/>
            <w:webHidden/>
          </w:rPr>
          <w:t>5</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85" w:history="1">
        <w:r w:rsidR="00750C35" w:rsidRPr="00833C24">
          <w:rPr>
            <w:rStyle w:val="Hyperlink"/>
            <w:caps w:val="0"/>
            <w:noProof/>
          </w:rPr>
          <w:t>2.3</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Statistical Analysis</w:t>
        </w:r>
        <w:r w:rsidR="00750C35">
          <w:rPr>
            <w:caps w:val="0"/>
            <w:noProof/>
            <w:webHidden/>
          </w:rPr>
          <w:tab/>
        </w:r>
        <w:r w:rsidR="00663599">
          <w:rPr>
            <w:noProof/>
            <w:webHidden/>
          </w:rPr>
          <w:fldChar w:fldCharType="begin"/>
        </w:r>
        <w:r w:rsidR="00663599">
          <w:rPr>
            <w:noProof/>
            <w:webHidden/>
          </w:rPr>
          <w:instrText xml:space="preserve"> PAGEREF _Toc15393985 \h </w:instrText>
        </w:r>
        <w:r w:rsidR="00663599">
          <w:rPr>
            <w:noProof/>
            <w:webHidden/>
          </w:rPr>
        </w:r>
        <w:r w:rsidR="00663599">
          <w:rPr>
            <w:noProof/>
            <w:webHidden/>
          </w:rPr>
          <w:fldChar w:fldCharType="separate"/>
        </w:r>
        <w:r w:rsidR="00DD555C">
          <w:rPr>
            <w:noProof/>
            <w:webHidden/>
          </w:rPr>
          <w:t>6</w:t>
        </w:r>
        <w:r w:rsidR="00663599">
          <w:rPr>
            <w:noProof/>
            <w:webHidden/>
          </w:rPr>
          <w:fldChar w:fldCharType="end"/>
        </w:r>
      </w:hyperlink>
    </w:p>
    <w:p w:rsidR="00663599" w:rsidRDefault="00F23759">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5393986" w:history="1">
        <w:r w:rsidR="00750C35" w:rsidRPr="00833C24">
          <w:rPr>
            <w:rStyle w:val="Hyperlink"/>
            <w:caps w:val="0"/>
            <w:noProof/>
          </w:rPr>
          <w:t>3.0</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Results</w:t>
        </w:r>
        <w:r w:rsidR="00750C35">
          <w:rPr>
            <w:caps w:val="0"/>
            <w:noProof/>
            <w:webHidden/>
          </w:rPr>
          <w:tab/>
        </w:r>
        <w:r w:rsidR="00663599">
          <w:rPr>
            <w:noProof/>
            <w:webHidden/>
          </w:rPr>
          <w:fldChar w:fldCharType="begin"/>
        </w:r>
        <w:r w:rsidR="00663599">
          <w:rPr>
            <w:noProof/>
            <w:webHidden/>
          </w:rPr>
          <w:instrText xml:space="preserve"> PAGEREF _Toc15393986 \h </w:instrText>
        </w:r>
        <w:r w:rsidR="00663599">
          <w:rPr>
            <w:noProof/>
            <w:webHidden/>
          </w:rPr>
        </w:r>
        <w:r w:rsidR="00663599">
          <w:rPr>
            <w:noProof/>
            <w:webHidden/>
          </w:rPr>
          <w:fldChar w:fldCharType="separate"/>
        </w:r>
        <w:r w:rsidR="00DD555C">
          <w:rPr>
            <w:noProof/>
            <w:webHidden/>
          </w:rPr>
          <w:t>7</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87" w:history="1">
        <w:r w:rsidR="00750C35" w:rsidRPr="00833C24">
          <w:rPr>
            <w:rStyle w:val="Hyperlink"/>
            <w:caps w:val="0"/>
            <w:noProof/>
          </w:rPr>
          <w:t>3.1</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Demographics</w:t>
        </w:r>
        <w:r w:rsidR="00750C35">
          <w:rPr>
            <w:caps w:val="0"/>
            <w:noProof/>
            <w:webHidden/>
          </w:rPr>
          <w:tab/>
        </w:r>
        <w:r w:rsidR="00663599">
          <w:rPr>
            <w:noProof/>
            <w:webHidden/>
          </w:rPr>
          <w:fldChar w:fldCharType="begin"/>
        </w:r>
        <w:r w:rsidR="00663599">
          <w:rPr>
            <w:noProof/>
            <w:webHidden/>
          </w:rPr>
          <w:instrText xml:space="preserve"> PAGEREF _Toc15393987 \h </w:instrText>
        </w:r>
        <w:r w:rsidR="00663599">
          <w:rPr>
            <w:noProof/>
            <w:webHidden/>
          </w:rPr>
        </w:r>
        <w:r w:rsidR="00663599">
          <w:rPr>
            <w:noProof/>
            <w:webHidden/>
          </w:rPr>
          <w:fldChar w:fldCharType="separate"/>
        </w:r>
        <w:r w:rsidR="00DD555C">
          <w:rPr>
            <w:noProof/>
            <w:webHidden/>
          </w:rPr>
          <w:t>7</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88" w:history="1">
        <w:r w:rsidR="00750C35" w:rsidRPr="00833C24">
          <w:rPr>
            <w:rStyle w:val="Hyperlink"/>
            <w:caps w:val="0"/>
            <w:noProof/>
          </w:rPr>
          <w:t>3.2</w:t>
        </w:r>
        <w:r w:rsidR="00750C35">
          <w:rPr>
            <w:rFonts w:asciiTheme="minorHAnsi" w:eastAsiaTheme="minorEastAsia" w:hAnsiTheme="minorHAnsi" w:cstheme="minorBidi"/>
            <w:b w:val="0"/>
            <w:caps w:val="0"/>
            <w:noProof/>
            <w:sz w:val="22"/>
            <w:szCs w:val="22"/>
          </w:rPr>
          <w:tab/>
        </w:r>
        <w:r w:rsidR="00750C35">
          <w:rPr>
            <w:rStyle w:val="Hyperlink"/>
            <w:caps w:val="0"/>
            <w:noProof/>
          </w:rPr>
          <w:t>Rates o</w:t>
        </w:r>
        <w:r w:rsidR="00750C35" w:rsidRPr="00833C24">
          <w:rPr>
            <w:rStyle w:val="Hyperlink"/>
            <w:caps w:val="0"/>
            <w:noProof/>
          </w:rPr>
          <w:t>f Psychiatric Disorders</w:t>
        </w:r>
        <w:r w:rsidR="00750C35">
          <w:rPr>
            <w:caps w:val="0"/>
            <w:noProof/>
            <w:webHidden/>
          </w:rPr>
          <w:tab/>
        </w:r>
        <w:r w:rsidR="00663599">
          <w:rPr>
            <w:noProof/>
            <w:webHidden/>
          </w:rPr>
          <w:fldChar w:fldCharType="begin"/>
        </w:r>
        <w:r w:rsidR="00663599">
          <w:rPr>
            <w:noProof/>
            <w:webHidden/>
          </w:rPr>
          <w:instrText xml:space="preserve"> PAGEREF _Toc15393988 \h </w:instrText>
        </w:r>
        <w:r w:rsidR="00663599">
          <w:rPr>
            <w:noProof/>
            <w:webHidden/>
          </w:rPr>
        </w:r>
        <w:r w:rsidR="00663599">
          <w:rPr>
            <w:noProof/>
            <w:webHidden/>
          </w:rPr>
          <w:fldChar w:fldCharType="separate"/>
        </w:r>
        <w:r w:rsidR="00DD555C">
          <w:rPr>
            <w:noProof/>
            <w:webHidden/>
          </w:rPr>
          <w:t>8</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89" w:history="1">
        <w:r w:rsidR="00750C35" w:rsidRPr="00833C24">
          <w:rPr>
            <w:rStyle w:val="Hyperlink"/>
            <w:caps w:val="0"/>
            <w:noProof/>
          </w:rPr>
          <w:t>3.3</w:t>
        </w:r>
        <w:r w:rsidR="00750C35">
          <w:rPr>
            <w:rFonts w:asciiTheme="minorHAnsi" w:eastAsiaTheme="minorEastAsia" w:hAnsiTheme="minorHAnsi" w:cstheme="minorBidi"/>
            <w:b w:val="0"/>
            <w:caps w:val="0"/>
            <w:noProof/>
            <w:sz w:val="22"/>
            <w:szCs w:val="22"/>
          </w:rPr>
          <w:tab/>
        </w:r>
        <w:r w:rsidR="00750C35">
          <w:rPr>
            <w:rStyle w:val="Hyperlink"/>
            <w:caps w:val="0"/>
            <w:noProof/>
          </w:rPr>
          <w:t>Acculturation a</w:t>
        </w:r>
        <w:r w:rsidR="00750C35" w:rsidRPr="00833C24">
          <w:rPr>
            <w:rStyle w:val="Hyperlink"/>
            <w:caps w:val="0"/>
            <w:noProof/>
          </w:rPr>
          <w:t>nd Psychiatric Disorders</w:t>
        </w:r>
        <w:r w:rsidR="00750C35">
          <w:rPr>
            <w:caps w:val="0"/>
            <w:noProof/>
            <w:webHidden/>
          </w:rPr>
          <w:tab/>
        </w:r>
        <w:r w:rsidR="00663599">
          <w:rPr>
            <w:noProof/>
            <w:webHidden/>
          </w:rPr>
          <w:fldChar w:fldCharType="begin"/>
        </w:r>
        <w:r w:rsidR="00663599">
          <w:rPr>
            <w:noProof/>
            <w:webHidden/>
          </w:rPr>
          <w:instrText xml:space="preserve"> PAGEREF _Toc15393989 \h </w:instrText>
        </w:r>
        <w:r w:rsidR="00663599">
          <w:rPr>
            <w:noProof/>
            <w:webHidden/>
          </w:rPr>
        </w:r>
        <w:r w:rsidR="00663599">
          <w:rPr>
            <w:noProof/>
            <w:webHidden/>
          </w:rPr>
          <w:fldChar w:fldCharType="separate"/>
        </w:r>
        <w:r w:rsidR="00DD555C">
          <w:rPr>
            <w:noProof/>
            <w:webHidden/>
          </w:rPr>
          <w:t>9</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90" w:history="1">
        <w:r w:rsidR="00750C35" w:rsidRPr="00833C24">
          <w:rPr>
            <w:rStyle w:val="Hyperlink"/>
            <w:caps w:val="0"/>
            <w:noProof/>
          </w:rPr>
          <w:t>3.4</w:t>
        </w:r>
        <w:r w:rsidR="00750C35">
          <w:rPr>
            <w:rFonts w:asciiTheme="minorHAnsi" w:eastAsiaTheme="minorEastAsia" w:hAnsiTheme="minorHAnsi" w:cstheme="minorBidi"/>
            <w:b w:val="0"/>
            <w:caps w:val="0"/>
            <w:noProof/>
            <w:sz w:val="22"/>
            <w:szCs w:val="22"/>
          </w:rPr>
          <w:tab/>
        </w:r>
        <w:r w:rsidR="00750C35">
          <w:rPr>
            <w:rStyle w:val="Hyperlink"/>
            <w:caps w:val="0"/>
            <w:noProof/>
          </w:rPr>
          <w:t>Rates o</w:t>
        </w:r>
        <w:r w:rsidR="00750C35" w:rsidRPr="00833C24">
          <w:rPr>
            <w:rStyle w:val="Hyperlink"/>
            <w:caps w:val="0"/>
            <w:noProof/>
          </w:rPr>
          <w:t>f Sexual Risk Behaviors</w:t>
        </w:r>
        <w:r w:rsidR="00750C35">
          <w:rPr>
            <w:caps w:val="0"/>
            <w:noProof/>
            <w:webHidden/>
          </w:rPr>
          <w:tab/>
        </w:r>
        <w:r w:rsidR="00663599">
          <w:rPr>
            <w:noProof/>
            <w:webHidden/>
          </w:rPr>
          <w:fldChar w:fldCharType="begin"/>
        </w:r>
        <w:r w:rsidR="00663599">
          <w:rPr>
            <w:noProof/>
            <w:webHidden/>
          </w:rPr>
          <w:instrText xml:space="preserve"> PAGEREF _Toc15393990 \h </w:instrText>
        </w:r>
        <w:r w:rsidR="00663599">
          <w:rPr>
            <w:noProof/>
            <w:webHidden/>
          </w:rPr>
        </w:r>
        <w:r w:rsidR="00663599">
          <w:rPr>
            <w:noProof/>
            <w:webHidden/>
          </w:rPr>
          <w:fldChar w:fldCharType="separate"/>
        </w:r>
        <w:r w:rsidR="00DD555C">
          <w:rPr>
            <w:noProof/>
            <w:webHidden/>
          </w:rPr>
          <w:t>10</w:t>
        </w:r>
        <w:r w:rsidR="00663599">
          <w:rPr>
            <w:noProof/>
            <w:webHidden/>
          </w:rPr>
          <w:fldChar w:fldCharType="end"/>
        </w:r>
      </w:hyperlink>
    </w:p>
    <w:p w:rsidR="00663599" w:rsidRDefault="00F23759">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5393991" w:history="1">
        <w:r w:rsidR="00750C35" w:rsidRPr="00833C24">
          <w:rPr>
            <w:rStyle w:val="Hyperlink"/>
            <w:caps w:val="0"/>
            <w:noProof/>
          </w:rPr>
          <w:t>3.5</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Association</w:t>
        </w:r>
        <w:r w:rsidR="00750C35">
          <w:rPr>
            <w:rStyle w:val="Hyperlink"/>
            <w:caps w:val="0"/>
            <w:noProof/>
          </w:rPr>
          <w:t xml:space="preserve"> Between Psychiatric Disorders a</w:t>
        </w:r>
        <w:r w:rsidR="00750C35" w:rsidRPr="00833C24">
          <w:rPr>
            <w:rStyle w:val="Hyperlink"/>
            <w:caps w:val="0"/>
            <w:noProof/>
          </w:rPr>
          <w:t>nd Sexual Risk Behaviors</w:t>
        </w:r>
        <w:r w:rsidR="00750C35">
          <w:rPr>
            <w:caps w:val="0"/>
            <w:noProof/>
            <w:webHidden/>
          </w:rPr>
          <w:tab/>
        </w:r>
        <w:r w:rsidR="00663599">
          <w:rPr>
            <w:noProof/>
            <w:webHidden/>
          </w:rPr>
          <w:fldChar w:fldCharType="begin"/>
        </w:r>
        <w:r w:rsidR="00663599">
          <w:rPr>
            <w:noProof/>
            <w:webHidden/>
          </w:rPr>
          <w:instrText xml:space="preserve"> PAGEREF _Toc15393991 \h </w:instrText>
        </w:r>
        <w:r w:rsidR="00663599">
          <w:rPr>
            <w:noProof/>
            <w:webHidden/>
          </w:rPr>
        </w:r>
        <w:r w:rsidR="00663599">
          <w:rPr>
            <w:noProof/>
            <w:webHidden/>
          </w:rPr>
          <w:fldChar w:fldCharType="separate"/>
        </w:r>
        <w:r w:rsidR="00DD555C">
          <w:rPr>
            <w:noProof/>
            <w:webHidden/>
          </w:rPr>
          <w:t>11</w:t>
        </w:r>
        <w:r w:rsidR="00663599">
          <w:rPr>
            <w:noProof/>
            <w:webHidden/>
          </w:rPr>
          <w:fldChar w:fldCharType="end"/>
        </w:r>
      </w:hyperlink>
    </w:p>
    <w:p w:rsidR="00663599" w:rsidRDefault="00F23759">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5393992" w:history="1">
        <w:r w:rsidR="00750C35" w:rsidRPr="00833C24">
          <w:rPr>
            <w:rStyle w:val="Hyperlink"/>
            <w:caps w:val="0"/>
            <w:noProof/>
          </w:rPr>
          <w:t>4.0</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Discussion</w:t>
        </w:r>
        <w:r w:rsidR="00750C35">
          <w:rPr>
            <w:caps w:val="0"/>
            <w:noProof/>
            <w:webHidden/>
          </w:rPr>
          <w:tab/>
        </w:r>
        <w:r w:rsidR="00663599">
          <w:rPr>
            <w:noProof/>
            <w:webHidden/>
          </w:rPr>
          <w:fldChar w:fldCharType="begin"/>
        </w:r>
        <w:r w:rsidR="00663599">
          <w:rPr>
            <w:noProof/>
            <w:webHidden/>
          </w:rPr>
          <w:instrText xml:space="preserve"> PAGEREF _Toc15393992 \h </w:instrText>
        </w:r>
        <w:r w:rsidR="00663599">
          <w:rPr>
            <w:noProof/>
            <w:webHidden/>
          </w:rPr>
        </w:r>
        <w:r w:rsidR="00663599">
          <w:rPr>
            <w:noProof/>
            <w:webHidden/>
          </w:rPr>
          <w:fldChar w:fldCharType="separate"/>
        </w:r>
        <w:r w:rsidR="00DD555C">
          <w:rPr>
            <w:noProof/>
            <w:webHidden/>
          </w:rPr>
          <w:t>13</w:t>
        </w:r>
        <w:r w:rsidR="00663599">
          <w:rPr>
            <w:noProof/>
            <w:webHidden/>
          </w:rPr>
          <w:fldChar w:fldCharType="end"/>
        </w:r>
      </w:hyperlink>
    </w:p>
    <w:p w:rsidR="00663599" w:rsidRDefault="00F23759">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5393993" w:history="1">
        <w:r w:rsidR="00750C35" w:rsidRPr="00833C24">
          <w:rPr>
            <w:rStyle w:val="Hyperlink"/>
            <w:caps w:val="0"/>
            <w:noProof/>
          </w:rPr>
          <w:t>5.0</w:t>
        </w:r>
        <w:r w:rsidR="00750C35">
          <w:rPr>
            <w:rFonts w:asciiTheme="minorHAnsi" w:eastAsiaTheme="minorEastAsia" w:hAnsiTheme="minorHAnsi" w:cstheme="minorBidi"/>
            <w:b w:val="0"/>
            <w:caps w:val="0"/>
            <w:noProof/>
            <w:sz w:val="22"/>
            <w:szCs w:val="22"/>
          </w:rPr>
          <w:tab/>
        </w:r>
        <w:r w:rsidR="00750C35" w:rsidRPr="00833C24">
          <w:rPr>
            <w:rStyle w:val="Hyperlink"/>
            <w:caps w:val="0"/>
            <w:noProof/>
          </w:rPr>
          <w:t>Conclusions</w:t>
        </w:r>
        <w:r w:rsidR="00750C35">
          <w:rPr>
            <w:caps w:val="0"/>
            <w:noProof/>
            <w:webHidden/>
          </w:rPr>
          <w:tab/>
        </w:r>
        <w:r w:rsidR="00663599">
          <w:rPr>
            <w:noProof/>
            <w:webHidden/>
          </w:rPr>
          <w:fldChar w:fldCharType="begin"/>
        </w:r>
        <w:r w:rsidR="00663599">
          <w:rPr>
            <w:noProof/>
            <w:webHidden/>
          </w:rPr>
          <w:instrText xml:space="preserve"> PAGEREF _Toc15393993 \h </w:instrText>
        </w:r>
        <w:r w:rsidR="00663599">
          <w:rPr>
            <w:noProof/>
            <w:webHidden/>
          </w:rPr>
        </w:r>
        <w:r w:rsidR="00663599">
          <w:rPr>
            <w:noProof/>
            <w:webHidden/>
          </w:rPr>
          <w:fldChar w:fldCharType="separate"/>
        </w:r>
        <w:r w:rsidR="00DD555C">
          <w:rPr>
            <w:noProof/>
            <w:webHidden/>
          </w:rPr>
          <w:t>20</w:t>
        </w:r>
        <w:r w:rsidR="00663599">
          <w:rPr>
            <w:noProof/>
            <w:webHidden/>
          </w:rPr>
          <w:fldChar w:fldCharType="end"/>
        </w:r>
      </w:hyperlink>
    </w:p>
    <w:p w:rsidR="00663599" w:rsidRDefault="00F23759">
      <w:pPr>
        <w:pStyle w:val="TOC1"/>
        <w:tabs>
          <w:tab w:val="right" w:leader="dot" w:pos="9350"/>
        </w:tabs>
        <w:rPr>
          <w:rFonts w:asciiTheme="minorHAnsi" w:eastAsiaTheme="minorEastAsia" w:hAnsiTheme="minorHAnsi" w:cstheme="minorBidi"/>
          <w:b w:val="0"/>
          <w:caps w:val="0"/>
          <w:noProof/>
          <w:sz w:val="22"/>
          <w:szCs w:val="22"/>
        </w:rPr>
      </w:pPr>
      <w:hyperlink w:anchor="_Toc15393994" w:history="1">
        <w:r w:rsidR="00D277AB">
          <w:rPr>
            <w:rStyle w:val="Hyperlink"/>
            <w:caps w:val="0"/>
            <w:noProof/>
          </w:rPr>
          <w:t>B</w:t>
        </w:r>
        <w:r w:rsidR="00D277AB" w:rsidRPr="00833C24">
          <w:rPr>
            <w:rStyle w:val="Hyperlink"/>
            <w:caps w:val="0"/>
            <w:noProof/>
          </w:rPr>
          <w:t>ibliography</w:t>
        </w:r>
        <w:r w:rsidR="00663599">
          <w:rPr>
            <w:noProof/>
            <w:webHidden/>
          </w:rPr>
          <w:tab/>
        </w:r>
        <w:r w:rsidR="00663599">
          <w:rPr>
            <w:noProof/>
            <w:webHidden/>
          </w:rPr>
          <w:fldChar w:fldCharType="begin"/>
        </w:r>
        <w:r w:rsidR="00663599">
          <w:rPr>
            <w:noProof/>
            <w:webHidden/>
          </w:rPr>
          <w:instrText xml:space="preserve"> PAGEREF _Toc15393994 \h </w:instrText>
        </w:r>
        <w:r w:rsidR="00663599">
          <w:rPr>
            <w:noProof/>
            <w:webHidden/>
          </w:rPr>
        </w:r>
        <w:r w:rsidR="00663599">
          <w:rPr>
            <w:noProof/>
            <w:webHidden/>
          </w:rPr>
          <w:fldChar w:fldCharType="separate"/>
        </w:r>
        <w:r w:rsidR="00DD555C">
          <w:rPr>
            <w:noProof/>
            <w:webHidden/>
          </w:rPr>
          <w:t>21</w:t>
        </w:r>
        <w:r w:rsidR="00663599">
          <w:rPr>
            <w:noProof/>
            <w:webHidden/>
          </w:rPr>
          <w:fldChar w:fldCharType="end"/>
        </w:r>
      </w:hyperlink>
    </w:p>
    <w:p w:rsidR="00CB03F9" w:rsidRDefault="00367476" w:rsidP="00035D1E">
      <w:pPr>
        <w:pStyle w:val="Preliminary"/>
      </w:pPr>
      <w:r>
        <w:lastRenderedPageBreak/>
        <w:fldChar w:fldCharType="end"/>
      </w:r>
      <w:r w:rsidR="007916E7">
        <w:rPr>
          <w:caps w:val="0"/>
        </w:rPr>
        <w:t xml:space="preserve">List of </w:t>
      </w:r>
      <w:r w:rsidR="007916E7" w:rsidRPr="00B424B6">
        <w:rPr>
          <w:caps w:val="0"/>
        </w:rPr>
        <w:t>Tables</w:t>
      </w:r>
    </w:p>
    <w:p w:rsidR="000064F7"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5394126" w:history="1">
        <w:r w:rsidR="000064F7" w:rsidRPr="00214377">
          <w:rPr>
            <w:rStyle w:val="Hyperlink"/>
            <w:noProof/>
          </w:rPr>
          <w:t>Table 1. Demographic Characteristics</w:t>
        </w:r>
        <w:r w:rsidR="000064F7">
          <w:rPr>
            <w:noProof/>
            <w:webHidden/>
          </w:rPr>
          <w:tab/>
        </w:r>
        <w:r w:rsidR="000064F7">
          <w:rPr>
            <w:noProof/>
            <w:webHidden/>
          </w:rPr>
          <w:fldChar w:fldCharType="begin"/>
        </w:r>
        <w:r w:rsidR="000064F7">
          <w:rPr>
            <w:noProof/>
            <w:webHidden/>
          </w:rPr>
          <w:instrText xml:space="preserve"> PAGEREF _Toc15394126 \h </w:instrText>
        </w:r>
        <w:r w:rsidR="000064F7">
          <w:rPr>
            <w:noProof/>
            <w:webHidden/>
          </w:rPr>
        </w:r>
        <w:r w:rsidR="000064F7">
          <w:rPr>
            <w:noProof/>
            <w:webHidden/>
          </w:rPr>
          <w:fldChar w:fldCharType="separate"/>
        </w:r>
        <w:r w:rsidR="00DD555C">
          <w:rPr>
            <w:noProof/>
            <w:webHidden/>
          </w:rPr>
          <w:t>8</w:t>
        </w:r>
        <w:r w:rsidR="000064F7">
          <w:rPr>
            <w:noProof/>
            <w:webHidden/>
          </w:rPr>
          <w:fldChar w:fldCharType="end"/>
        </w:r>
      </w:hyperlink>
    </w:p>
    <w:p w:rsidR="000064F7" w:rsidRDefault="00F23759">
      <w:pPr>
        <w:pStyle w:val="TableofFigures"/>
        <w:tabs>
          <w:tab w:val="right" w:leader="dot" w:pos="9350"/>
        </w:tabs>
        <w:rPr>
          <w:rFonts w:asciiTheme="minorHAnsi" w:eastAsiaTheme="minorEastAsia" w:hAnsiTheme="minorHAnsi" w:cstheme="minorBidi"/>
          <w:noProof/>
          <w:sz w:val="22"/>
          <w:szCs w:val="22"/>
        </w:rPr>
      </w:pPr>
      <w:hyperlink w:anchor="_Toc15394127" w:history="1">
        <w:r w:rsidR="000064F7" w:rsidRPr="00214377">
          <w:rPr>
            <w:rStyle w:val="Hyperlink"/>
            <w:noProof/>
          </w:rPr>
          <w:t>Table 2. Binomial Regression for Depression and PTSD Symptoms</w:t>
        </w:r>
        <w:r w:rsidR="000064F7">
          <w:rPr>
            <w:noProof/>
            <w:webHidden/>
          </w:rPr>
          <w:tab/>
        </w:r>
        <w:r w:rsidR="000064F7">
          <w:rPr>
            <w:noProof/>
            <w:webHidden/>
          </w:rPr>
          <w:fldChar w:fldCharType="begin"/>
        </w:r>
        <w:r w:rsidR="000064F7">
          <w:rPr>
            <w:noProof/>
            <w:webHidden/>
          </w:rPr>
          <w:instrText xml:space="preserve"> PAGEREF _Toc15394127 \h </w:instrText>
        </w:r>
        <w:r w:rsidR="000064F7">
          <w:rPr>
            <w:noProof/>
            <w:webHidden/>
          </w:rPr>
        </w:r>
        <w:r w:rsidR="000064F7">
          <w:rPr>
            <w:noProof/>
            <w:webHidden/>
          </w:rPr>
          <w:fldChar w:fldCharType="separate"/>
        </w:r>
        <w:r w:rsidR="00DD555C">
          <w:rPr>
            <w:noProof/>
            <w:webHidden/>
          </w:rPr>
          <w:t>9</w:t>
        </w:r>
        <w:r w:rsidR="000064F7">
          <w:rPr>
            <w:noProof/>
            <w:webHidden/>
          </w:rPr>
          <w:fldChar w:fldCharType="end"/>
        </w:r>
      </w:hyperlink>
    </w:p>
    <w:p w:rsidR="000064F7" w:rsidRDefault="00F23759">
      <w:pPr>
        <w:pStyle w:val="TableofFigures"/>
        <w:tabs>
          <w:tab w:val="right" w:leader="dot" w:pos="9350"/>
        </w:tabs>
        <w:rPr>
          <w:rFonts w:asciiTheme="minorHAnsi" w:eastAsiaTheme="minorEastAsia" w:hAnsiTheme="minorHAnsi" w:cstheme="minorBidi"/>
          <w:noProof/>
          <w:sz w:val="22"/>
          <w:szCs w:val="22"/>
        </w:rPr>
      </w:pPr>
      <w:hyperlink w:anchor="_Toc15394128" w:history="1">
        <w:r w:rsidR="000064F7" w:rsidRPr="00214377">
          <w:rPr>
            <w:rStyle w:val="Hyperlink"/>
            <w:noProof/>
          </w:rPr>
          <w:t>Table 3. Rates of Sexual Risk Behaviors</w:t>
        </w:r>
        <w:r w:rsidR="000064F7">
          <w:rPr>
            <w:noProof/>
            <w:webHidden/>
          </w:rPr>
          <w:tab/>
        </w:r>
        <w:r w:rsidR="000064F7">
          <w:rPr>
            <w:noProof/>
            <w:webHidden/>
          </w:rPr>
          <w:fldChar w:fldCharType="begin"/>
        </w:r>
        <w:r w:rsidR="000064F7">
          <w:rPr>
            <w:noProof/>
            <w:webHidden/>
          </w:rPr>
          <w:instrText xml:space="preserve"> PAGEREF _Toc15394128 \h </w:instrText>
        </w:r>
        <w:r w:rsidR="000064F7">
          <w:rPr>
            <w:noProof/>
            <w:webHidden/>
          </w:rPr>
        </w:r>
        <w:r w:rsidR="000064F7">
          <w:rPr>
            <w:noProof/>
            <w:webHidden/>
          </w:rPr>
          <w:fldChar w:fldCharType="separate"/>
        </w:r>
        <w:r w:rsidR="00DD555C">
          <w:rPr>
            <w:noProof/>
            <w:webHidden/>
          </w:rPr>
          <w:t>10</w:t>
        </w:r>
        <w:r w:rsidR="000064F7">
          <w:rPr>
            <w:noProof/>
            <w:webHidden/>
          </w:rPr>
          <w:fldChar w:fldCharType="end"/>
        </w:r>
      </w:hyperlink>
    </w:p>
    <w:p w:rsidR="00B424B6" w:rsidRDefault="00CB03F9" w:rsidP="00035D1E">
      <w:pPr>
        <w:pStyle w:val="Preliminary"/>
      </w:pPr>
      <w:r>
        <w:lastRenderedPageBreak/>
        <w:fldChar w:fldCharType="end"/>
      </w:r>
      <w:r w:rsidR="007916E7">
        <w:rPr>
          <w:caps w:val="0"/>
        </w:rPr>
        <w:t>List of Figures</w:t>
      </w:r>
    </w:p>
    <w:p w:rsidR="00663599"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5394001" w:history="1">
        <w:r w:rsidR="00663599" w:rsidRPr="00F35843">
          <w:rPr>
            <w:rStyle w:val="Hyperlink"/>
            <w:noProof/>
          </w:rPr>
          <w:t>Figure 1. Association Between Depressive Symptoms and Total Number of Sexual Partners in Females</w:t>
        </w:r>
        <w:bookmarkStart w:id="1" w:name="_GoBack"/>
        <w:bookmarkEnd w:id="1"/>
        <w:r w:rsidR="00663599">
          <w:rPr>
            <w:noProof/>
            <w:webHidden/>
          </w:rPr>
          <w:tab/>
        </w:r>
        <w:r w:rsidR="00663599">
          <w:rPr>
            <w:noProof/>
            <w:webHidden/>
          </w:rPr>
          <w:fldChar w:fldCharType="begin"/>
        </w:r>
        <w:r w:rsidR="00663599">
          <w:rPr>
            <w:noProof/>
            <w:webHidden/>
          </w:rPr>
          <w:instrText xml:space="preserve"> PAGEREF _Toc15394001 \h </w:instrText>
        </w:r>
        <w:r w:rsidR="00663599">
          <w:rPr>
            <w:noProof/>
            <w:webHidden/>
          </w:rPr>
        </w:r>
        <w:r w:rsidR="00663599">
          <w:rPr>
            <w:noProof/>
            <w:webHidden/>
          </w:rPr>
          <w:fldChar w:fldCharType="separate"/>
        </w:r>
        <w:r w:rsidR="00DD555C">
          <w:rPr>
            <w:noProof/>
            <w:webHidden/>
          </w:rPr>
          <w:t>11</w:t>
        </w:r>
        <w:r w:rsidR="00663599">
          <w:rPr>
            <w:noProof/>
            <w:webHidden/>
          </w:rPr>
          <w:fldChar w:fldCharType="end"/>
        </w:r>
      </w:hyperlink>
    </w:p>
    <w:p w:rsidR="00663599" w:rsidRDefault="00F23759">
      <w:pPr>
        <w:pStyle w:val="TableofFigures"/>
        <w:tabs>
          <w:tab w:val="right" w:leader="dot" w:pos="9350"/>
        </w:tabs>
        <w:rPr>
          <w:rFonts w:asciiTheme="minorHAnsi" w:eastAsiaTheme="minorEastAsia" w:hAnsiTheme="minorHAnsi" w:cstheme="minorBidi"/>
          <w:noProof/>
          <w:sz w:val="22"/>
          <w:szCs w:val="22"/>
        </w:rPr>
      </w:pPr>
      <w:hyperlink w:anchor="_Toc15394002" w:history="1">
        <w:r w:rsidR="00663599" w:rsidRPr="00F35843">
          <w:rPr>
            <w:rStyle w:val="Hyperlink"/>
            <w:noProof/>
          </w:rPr>
          <w:t>Figure 2. Association Between Depressive Symptoms and Number of Regular Sexual Partners in Females</w:t>
        </w:r>
        <w:r w:rsidR="00663599">
          <w:rPr>
            <w:noProof/>
            <w:webHidden/>
          </w:rPr>
          <w:tab/>
        </w:r>
        <w:r w:rsidR="00663599">
          <w:rPr>
            <w:noProof/>
            <w:webHidden/>
          </w:rPr>
          <w:fldChar w:fldCharType="begin"/>
        </w:r>
        <w:r w:rsidR="00663599">
          <w:rPr>
            <w:noProof/>
            <w:webHidden/>
          </w:rPr>
          <w:instrText xml:space="preserve"> PAGEREF _Toc15394002 \h </w:instrText>
        </w:r>
        <w:r w:rsidR="00663599">
          <w:rPr>
            <w:noProof/>
            <w:webHidden/>
          </w:rPr>
        </w:r>
        <w:r w:rsidR="00663599">
          <w:rPr>
            <w:noProof/>
            <w:webHidden/>
          </w:rPr>
          <w:fldChar w:fldCharType="separate"/>
        </w:r>
        <w:r w:rsidR="00DD555C">
          <w:rPr>
            <w:noProof/>
            <w:webHidden/>
          </w:rPr>
          <w:t>12</w:t>
        </w:r>
        <w:r w:rsidR="00663599">
          <w:rPr>
            <w:noProof/>
            <w:webHidden/>
          </w:rPr>
          <w:fldChar w:fldCharType="end"/>
        </w:r>
      </w:hyperlink>
    </w:p>
    <w:p w:rsidR="00B424B6" w:rsidRDefault="00B424B6" w:rsidP="00AA2C6A">
      <w:pPr>
        <w:pStyle w:val="Heading"/>
      </w:pPr>
      <w:r>
        <w:lastRenderedPageBreak/>
        <w:fldChar w:fldCharType="end"/>
      </w:r>
      <w:bookmarkStart w:id="2" w:name="_Toc15393980"/>
      <w:r w:rsidR="009C28A7">
        <w:rPr>
          <w:caps w:val="0"/>
        </w:rPr>
        <w:t>Preface</w:t>
      </w:r>
      <w:bookmarkEnd w:id="2"/>
    </w:p>
    <w:p w:rsidR="000B4A3E" w:rsidRDefault="00825528" w:rsidP="00AA2C6A">
      <w:pPr>
        <w:pStyle w:val="Noindent"/>
      </w:pPr>
      <w:r>
        <w:t>A</w:t>
      </w:r>
      <w:r w:rsidR="000B4A3E">
        <w:t xml:space="preserve"> special thanks</w:t>
      </w:r>
      <w:r>
        <w:t xml:space="preserve"> to</w:t>
      </w:r>
      <w:r w:rsidR="000B4A3E">
        <w:t>:</w:t>
      </w:r>
    </w:p>
    <w:p w:rsidR="00145B8D" w:rsidRDefault="000B4A3E" w:rsidP="009C28A7">
      <w:pPr>
        <w:pStyle w:val="Noindent"/>
        <w:ind w:firstLine="720"/>
      </w:pPr>
      <w:r>
        <w:t>My advisor</w:t>
      </w:r>
      <w:r w:rsidR="00145B8D">
        <w:t xml:space="preserve"> </w:t>
      </w:r>
      <w:r>
        <w:t xml:space="preserve">Dr. </w:t>
      </w:r>
      <w:r w:rsidR="00825528">
        <w:t xml:space="preserve">Jennifer </w:t>
      </w:r>
      <w:r w:rsidR="00145B8D">
        <w:t>Steel</w:t>
      </w:r>
      <w:r>
        <w:t xml:space="preserve"> </w:t>
      </w:r>
      <w:r w:rsidR="00145B8D">
        <w:t xml:space="preserve">for </w:t>
      </w:r>
      <w:r w:rsidR="00825528">
        <w:t xml:space="preserve">introducing me to her work with refugee and immigrant populations and </w:t>
      </w:r>
      <w:r w:rsidR="00145B8D">
        <w:t>her continual support of my endeavors throughout my graduate education.</w:t>
      </w:r>
    </w:p>
    <w:p w:rsidR="0018282A" w:rsidRDefault="000B4A3E" w:rsidP="009C28A7">
      <w:pPr>
        <w:pStyle w:val="Noindent"/>
        <w:ind w:firstLine="720"/>
      </w:pPr>
      <w:r>
        <w:t xml:space="preserve">Dr. </w:t>
      </w:r>
      <w:r w:rsidR="00825528">
        <w:t xml:space="preserve">David </w:t>
      </w:r>
      <w:r w:rsidR="00145B8D">
        <w:t xml:space="preserve">Finegold for </w:t>
      </w:r>
      <w:r w:rsidR="0018282A">
        <w:t>introducing me to</w:t>
      </w:r>
      <w:r w:rsidR="00956D74">
        <w:t xml:space="preserve"> the field of </w:t>
      </w:r>
      <w:r w:rsidR="00145B8D">
        <w:t>public health</w:t>
      </w:r>
      <w:r w:rsidR="0018282A">
        <w:t xml:space="preserve"> </w:t>
      </w:r>
      <w:r w:rsidR="0077050C">
        <w:t>and</w:t>
      </w:r>
      <w:r w:rsidR="0018282A">
        <w:t xml:space="preserve"> for providing support and advice throughout my many years schooling. I greatly appreciate it.</w:t>
      </w:r>
      <w:r w:rsidR="00145B8D">
        <w:t xml:space="preserve"> </w:t>
      </w:r>
    </w:p>
    <w:p w:rsidR="00AA2C6A" w:rsidRDefault="0018282A" w:rsidP="009C28A7">
      <w:pPr>
        <w:pStyle w:val="Noindent"/>
        <w:ind w:firstLine="720"/>
      </w:pPr>
      <w:r>
        <w:t xml:space="preserve">A special thanks to my family for the emotional support you have given me throughout my education, I will always be appreciative of you, and I love you </w:t>
      </w:r>
      <w:r w:rsidR="006A48A6">
        <w:t xml:space="preserve">all </w:t>
      </w:r>
      <w:r>
        <w:t xml:space="preserve">dearly. </w:t>
      </w:r>
    </w:p>
    <w:p w:rsidR="00AA2C6A" w:rsidRDefault="00AA2C6A" w:rsidP="00AA2C6A"/>
    <w:p w:rsidR="00AA2C6A" w:rsidRPr="00AA2C6A" w:rsidRDefault="00AA2C6A" w:rsidP="00AA2C6A"/>
    <w:p w:rsidR="00AA2C6A" w:rsidRDefault="00AA2C6A" w:rsidP="00AA2C6A">
      <w:pPr>
        <w:ind w:firstLine="0"/>
      </w:pPr>
    </w:p>
    <w:p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rsidR="006B1124" w:rsidRDefault="009C28A7" w:rsidP="006B1124">
      <w:pPr>
        <w:pStyle w:val="Heading1"/>
      </w:pPr>
      <w:bookmarkStart w:id="3" w:name="_Toc15393981"/>
      <w:r>
        <w:rPr>
          <w:caps w:val="0"/>
        </w:rPr>
        <w:lastRenderedPageBreak/>
        <w:t>Introduction and Background</w:t>
      </w:r>
      <w:bookmarkEnd w:id="3"/>
    </w:p>
    <w:p w:rsidR="00A26CE7" w:rsidRDefault="00E036A3" w:rsidP="00A26CE7">
      <w:pPr>
        <w:pStyle w:val="Noindent"/>
        <w:ind w:firstLine="720"/>
      </w:pPr>
      <w:r>
        <w:t>Un</w:t>
      </w:r>
      <w:r w:rsidR="00EC180A">
        <w:t>treated psychiatric disorders</w:t>
      </w:r>
      <w:r>
        <w:t xml:space="preserve"> </w:t>
      </w:r>
      <w:r w:rsidR="000919BD" w:rsidRPr="000919BD">
        <w:t xml:space="preserve">can contribute to </w:t>
      </w:r>
      <w:r>
        <w:t>poor</w:t>
      </w:r>
      <w:r w:rsidR="000919BD" w:rsidRPr="000919BD">
        <w:t xml:space="preserve"> quality of life, and</w:t>
      </w:r>
      <w:r>
        <w:t xml:space="preserve"> </w:t>
      </w:r>
      <w:r w:rsidR="00EC180A">
        <w:t>poor</w:t>
      </w:r>
      <w:r>
        <w:t xml:space="preserve"> health; Those with </w:t>
      </w:r>
      <w:r w:rsidR="00EC180A">
        <w:t xml:space="preserve">psychiatric disorders </w:t>
      </w:r>
      <w:r>
        <w:t xml:space="preserve">are at higher risk for earlier death, particularly to preventable conditions compared to those without </w:t>
      </w:r>
      <w:r w:rsidR="008D7D32">
        <w:t xml:space="preserve">a diagnosis of a </w:t>
      </w:r>
      <w:r w:rsidR="00EC180A">
        <w:t xml:space="preserve">psychiatric disorder </w:t>
      </w:r>
      <w:r>
        <w:t>(Parks,</w:t>
      </w:r>
      <w:r w:rsidR="00295DEB">
        <w:t xml:space="preserve"> Svendsen, Singer, Foti, &amp; Mauer</w:t>
      </w:r>
      <w:r>
        <w:t xml:space="preserve"> 2006).</w:t>
      </w:r>
      <w:r w:rsidR="000919BD" w:rsidRPr="000919BD">
        <w:t xml:space="preserve"> </w:t>
      </w:r>
      <w:r w:rsidRPr="00E036A3">
        <w:t xml:space="preserve">Those with </w:t>
      </w:r>
      <w:r w:rsidR="00774AA9">
        <w:t xml:space="preserve">psychiatric disorders </w:t>
      </w:r>
      <w:r w:rsidRPr="00E036A3">
        <w:t>lose as much as 20 years of potential life</w:t>
      </w:r>
      <w:r w:rsidR="008D7D32">
        <w:t xml:space="preserve"> </w:t>
      </w:r>
      <w:r w:rsidRPr="00E036A3">
        <w:t>(W</w:t>
      </w:r>
      <w:r w:rsidR="008D7D32">
        <w:t>orld Health Organizations,</w:t>
      </w:r>
      <w:r>
        <w:t xml:space="preserve"> 2015</w:t>
      </w:r>
      <w:r w:rsidRPr="00E036A3">
        <w:t>)</w:t>
      </w:r>
      <w:r>
        <w:t>.</w:t>
      </w:r>
      <w:r w:rsidRPr="00E036A3">
        <w:t xml:space="preserve"> </w:t>
      </w:r>
      <w:r w:rsidR="008E3472">
        <w:t>O</w:t>
      </w:r>
      <w:r>
        <w:t>n</w:t>
      </w:r>
      <w:r w:rsidRPr="00E036A3">
        <w:t xml:space="preserve">e of the less mentioned </w:t>
      </w:r>
      <w:r w:rsidR="00074747">
        <w:t>consequences</w:t>
      </w:r>
      <w:r w:rsidRPr="00E036A3">
        <w:t xml:space="preserve"> of </w:t>
      </w:r>
      <w:r w:rsidR="00395684">
        <w:t xml:space="preserve">psychiatric </w:t>
      </w:r>
      <w:r w:rsidR="004B2926">
        <w:t>disorders</w:t>
      </w:r>
      <w:r w:rsidRPr="00E036A3">
        <w:t xml:space="preserve"> </w:t>
      </w:r>
      <w:r w:rsidR="00007EB2">
        <w:t>are</w:t>
      </w:r>
      <w:r w:rsidRPr="00E036A3">
        <w:t xml:space="preserve"> the higher rates of sexual risk behavior</w:t>
      </w:r>
      <w:r w:rsidR="007F0C94">
        <w:t>s</w:t>
      </w:r>
      <w:r w:rsidRPr="00E036A3">
        <w:t xml:space="preserve"> such as unprotected intercourse, having multiple sexual partners, and </w:t>
      </w:r>
      <w:r w:rsidR="00D642A4">
        <w:t xml:space="preserve">commercial </w:t>
      </w:r>
      <w:r w:rsidRPr="00E036A3">
        <w:t xml:space="preserve">sex </w:t>
      </w:r>
      <w:r w:rsidR="00D642A4">
        <w:t>work</w:t>
      </w:r>
      <w:r w:rsidR="00007EB2">
        <w:t xml:space="preserve"> (Carey,</w:t>
      </w:r>
      <w:r w:rsidR="002C4DF9">
        <w:t xml:space="preserve"> Carey, &amp; Kalichman,</w:t>
      </w:r>
      <w:r w:rsidR="00007EB2">
        <w:t xml:space="preserve"> 1997)</w:t>
      </w:r>
      <w:r w:rsidRPr="00E036A3">
        <w:t xml:space="preserve">. </w:t>
      </w:r>
      <w:r w:rsidR="00A26CE7">
        <w:t xml:space="preserve">For example, a study </w:t>
      </w:r>
      <w:r w:rsidR="00D642A4">
        <w:t>conducted</w:t>
      </w:r>
      <w:r w:rsidR="00A26CE7">
        <w:t xml:space="preserve"> in</w:t>
      </w:r>
      <w:r w:rsidR="00D642A4">
        <w:t xml:space="preserve"> a</w:t>
      </w:r>
      <w:r w:rsidR="00A26CE7">
        <w:t xml:space="preserve"> South African township showed that those with </w:t>
      </w:r>
      <w:r w:rsidR="008D7D32">
        <w:t>Post Traumatic Stress Disorder (</w:t>
      </w:r>
      <w:r w:rsidR="00A26CE7">
        <w:t>PTSD</w:t>
      </w:r>
      <w:r w:rsidR="008D7D32">
        <w:t>)</w:t>
      </w:r>
      <w:r w:rsidR="00A26CE7">
        <w:t xml:space="preserve"> were more likely to exchange sex for money or have sex with someone they knew for less than a day. (Smit</w:t>
      </w:r>
      <w:r w:rsidR="00E15675">
        <w:t xml:space="preserve"> et al.</w:t>
      </w:r>
      <w:r w:rsidR="00A26CE7">
        <w:t xml:space="preserve">, 2006) Another study in a correctional institute in </w:t>
      </w:r>
      <w:r w:rsidR="00D642A4">
        <w:t>the U.S. found</w:t>
      </w:r>
      <w:r w:rsidR="00A26CE7">
        <w:t xml:space="preserve"> that women in a correctional facility with PTSD were more likely to engage in prostitution. (Hutton</w:t>
      </w:r>
      <w:r w:rsidR="00E46EE0">
        <w:t xml:space="preserve"> et al.</w:t>
      </w:r>
      <w:r w:rsidR="00A26CE7">
        <w:t>, 200</w:t>
      </w:r>
      <w:r w:rsidR="00E46EE0">
        <w:t>1</w:t>
      </w:r>
      <w:r w:rsidR="00A26CE7">
        <w:t xml:space="preserve">) </w:t>
      </w:r>
    </w:p>
    <w:p w:rsidR="00580EA7" w:rsidRDefault="007A41AF" w:rsidP="00A26CE7">
      <w:pPr>
        <w:pStyle w:val="Noindent"/>
        <w:ind w:firstLine="720"/>
      </w:pPr>
      <w:r>
        <w:t xml:space="preserve">A particularly vulnerable population with higher rates of </w:t>
      </w:r>
      <w:r w:rsidR="008D7D32">
        <w:t>psychiatric disorder</w:t>
      </w:r>
      <w:r w:rsidR="005C7666">
        <w:t>s</w:t>
      </w:r>
      <w:r>
        <w:t xml:space="preserve"> are refugee and immigrant populations. Due to the inherent </w:t>
      </w:r>
      <w:r w:rsidR="00D642A4">
        <w:t>exposure to trauma prior to emigration and the stress of migration</w:t>
      </w:r>
      <w:r>
        <w:t xml:space="preserve">, immigrants and refugees have a higher risk of </w:t>
      </w:r>
      <w:r w:rsidR="00395684">
        <w:t>psychiatric disorders</w:t>
      </w:r>
      <w:r w:rsidR="00D642A4">
        <w:t xml:space="preserve"> </w:t>
      </w:r>
      <w:r>
        <w:t xml:space="preserve">when compared to their non-immigrant and non-refugee counterparts. (Furnham &amp; Bochner, 1986; Iglesias, </w:t>
      </w:r>
      <w:r w:rsidR="00E46EE0">
        <w:t>Robertson, Johansson Engfeldt, &amp; Sundquist</w:t>
      </w:r>
      <w:r>
        <w:t>, 2003; Porter &amp; Haslam, 2005)</w:t>
      </w:r>
      <w:r w:rsidR="00580EA7">
        <w:t xml:space="preserve">. </w:t>
      </w:r>
      <w:r w:rsidR="00580EA7" w:rsidRPr="000919BD">
        <w:t xml:space="preserve">Findings from a recent meta-analysis suggest that one in ten refugees who have resettled in western </w:t>
      </w:r>
      <w:r w:rsidR="00580EA7" w:rsidRPr="000919BD">
        <w:lastRenderedPageBreak/>
        <w:t xml:space="preserve">countries have </w:t>
      </w:r>
      <w:r w:rsidR="00074747">
        <w:t>PTSD</w:t>
      </w:r>
      <w:r w:rsidR="00580EA7">
        <w:t xml:space="preserve"> (Fazel</w:t>
      </w:r>
      <w:r w:rsidR="002C4DF9">
        <w:t xml:space="preserve"> et al.</w:t>
      </w:r>
      <w:r w:rsidR="00580EA7">
        <w:t>, 2005)</w:t>
      </w:r>
      <w:r w:rsidR="00580EA7" w:rsidRPr="000919BD">
        <w:t>. Furthermore, specific pre-migration trauma experiences such as death of loved ones, personal experience of torture, exposure to combat, rape during wartime, and natural disasters have been shown to affect an individual’s psychological and sexual functioning</w:t>
      </w:r>
      <w:r w:rsidR="00580EA7">
        <w:t xml:space="preserve"> (Mollica</w:t>
      </w:r>
      <w:r w:rsidR="00295DEB">
        <w:t xml:space="preserve"> et al.</w:t>
      </w:r>
      <w:r w:rsidR="00580EA7">
        <w:t>, 2001)</w:t>
      </w:r>
      <w:r w:rsidR="00580EA7" w:rsidRPr="000919BD">
        <w:t>.</w:t>
      </w:r>
      <w:r>
        <w:t xml:space="preserve"> </w:t>
      </w:r>
    </w:p>
    <w:p w:rsidR="00A26CE7" w:rsidRDefault="00A26CE7" w:rsidP="00A26CE7">
      <w:pPr>
        <w:pStyle w:val="Noindent"/>
        <w:ind w:firstLine="720"/>
      </w:pPr>
      <w:r>
        <w:t xml:space="preserve">Given that sexual risk behaviors are more </w:t>
      </w:r>
      <w:r w:rsidR="00774AA9">
        <w:t>common</w:t>
      </w:r>
      <w:r>
        <w:t xml:space="preserve"> in persons with </w:t>
      </w:r>
      <w:r w:rsidR="005C7666">
        <w:t>psychiatric disorders</w:t>
      </w:r>
      <w:r>
        <w:t>, it would be logical to assume that populations at higher risk of</w:t>
      </w:r>
      <w:r w:rsidR="005C7666">
        <w:t xml:space="preserve"> psychiatric disorders </w:t>
      </w:r>
      <w:r>
        <w:t xml:space="preserve">would </w:t>
      </w:r>
      <w:r w:rsidR="00A91D84">
        <w:t xml:space="preserve">engage in greater </w:t>
      </w:r>
      <w:r>
        <w:t xml:space="preserve">sexual risk behaviors. </w:t>
      </w:r>
      <w:r w:rsidR="00051DAD">
        <w:t>Unfortunately, the current research on th</w:t>
      </w:r>
      <w:r w:rsidR="00580EA7">
        <w:t xml:space="preserve">e intersection between </w:t>
      </w:r>
      <w:r w:rsidR="00774AA9">
        <w:t>psychiatric disorders</w:t>
      </w:r>
      <w:r w:rsidR="00580EA7">
        <w:t>, immigration, and sexual risk behaviors i</w:t>
      </w:r>
      <w:r w:rsidR="00051DAD">
        <w:t>s lacking.</w:t>
      </w:r>
      <w:r w:rsidR="00580EA7">
        <w:t xml:space="preserve"> </w:t>
      </w:r>
      <w:r w:rsidR="00580EA7" w:rsidRPr="000919BD">
        <w:t>A study conducted in Sweden suggests an association among history of trauma, psychological sequelae and sexual risk behavior</w:t>
      </w:r>
      <w:r w:rsidR="007F0C94">
        <w:t>s</w:t>
      </w:r>
      <w:r w:rsidR="00622641">
        <w:t>.</w:t>
      </w:r>
      <w:r w:rsidR="00580EA7" w:rsidRPr="000919BD">
        <w:t xml:space="preserve"> Of 44 persons involuntarily committed under the Communicable Disease Act (e.g. persons engaging in sexual risk behavior</w:t>
      </w:r>
      <w:r w:rsidR="007F0C94">
        <w:t>s</w:t>
      </w:r>
      <w:r w:rsidR="00580EA7" w:rsidRPr="000919BD">
        <w:t>), a disproportionate number of persons (43%) were foreigners, primarily from African countries</w:t>
      </w:r>
      <w:r w:rsidR="00580EA7">
        <w:t xml:space="preserve"> (Sylvan, 1998)</w:t>
      </w:r>
      <w:r w:rsidR="00580EA7" w:rsidRPr="000919BD">
        <w:t>.</w:t>
      </w:r>
      <w:r w:rsidR="00051DAD">
        <w:t xml:space="preserve"> </w:t>
      </w:r>
      <w:r w:rsidR="00E77FF4">
        <w:t xml:space="preserve">One recent study found </w:t>
      </w:r>
      <w:r w:rsidR="00A443A8">
        <w:t xml:space="preserve">that Latina immigrants living in </w:t>
      </w:r>
      <w:r w:rsidR="00622641">
        <w:t>Miami-Dade County</w:t>
      </w:r>
      <w:r w:rsidR="00A443A8">
        <w:t xml:space="preserve"> </w:t>
      </w:r>
      <w:r w:rsidR="00A443A8" w:rsidRPr="00A443A8">
        <w:t>were significantly more likely to engage in risky sexual behavior</w:t>
      </w:r>
      <w:r w:rsidR="00A443A8">
        <w:t>s</w:t>
      </w:r>
      <w:r w:rsidR="00A443A8" w:rsidRPr="00A443A8">
        <w:t xml:space="preserve"> </w:t>
      </w:r>
      <w:r w:rsidR="00A443A8">
        <w:t xml:space="preserve">but </w:t>
      </w:r>
      <w:r w:rsidR="00E77FF4" w:rsidRPr="00E77FF4">
        <w:t>the</w:t>
      </w:r>
      <w:r w:rsidR="00A443A8">
        <w:t>re was a</w:t>
      </w:r>
      <w:r w:rsidR="00E77FF4" w:rsidRPr="00E77FF4">
        <w:t xml:space="preserve"> lack of statistical significance found in the association between depression and risky sexual behavior</w:t>
      </w:r>
      <w:r w:rsidR="00580EA7">
        <w:t xml:space="preserve"> (Kim, 2019</w:t>
      </w:r>
      <w:r w:rsidR="00622641">
        <w:t>). Kim et. al cite a small sample size and a lack of statistical power that may have led to these non-significant findings. A</w:t>
      </w:r>
      <w:r w:rsidR="00E77FF4" w:rsidRPr="00E77FF4">
        <w:t xml:space="preserve"> relationship </w:t>
      </w:r>
      <w:r w:rsidR="00A443A8">
        <w:t xml:space="preserve">between depression and sexual risk behaviors </w:t>
      </w:r>
      <w:r w:rsidR="00622641">
        <w:t xml:space="preserve">have been found in other </w:t>
      </w:r>
      <w:r w:rsidR="00A443A8">
        <w:t>populations</w:t>
      </w:r>
      <w:r w:rsidR="00E77FF4" w:rsidRPr="00E77FF4">
        <w:t>, such as adolescents</w:t>
      </w:r>
      <w:r w:rsidR="00622641">
        <w:t xml:space="preserve"> </w:t>
      </w:r>
      <w:r w:rsidR="00580EA7">
        <w:t>(Schuster</w:t>
      </w:r>
      <w:r w:rsidR="00772CF5">
        <w:t>, Mermelstein</w:t>
      </w:r>
      <w:r w:rsidR="0057515A">
        <w:t>, &amp; Wakschlag</w:t>
      </w:r>
      <w:r w:rsidR="00580EA7">
        <w:t xml:space="preserve">, 2013) </w:t>
      </w:r>
      <w:r w:rsidR="00E77FF4" w:rsidRPr="00E77FF4">
        <w:t>and men who have sex with men</w:t>
      </w:r>
      <w:r w:rsidR="00580EA7">
        <w:t xml:space="preserve"> (Brown</w:t>
      </w:r>
      <w:r w:rsidR="00232326">
        <w:t xml:space="preserve"> et al.</w:t>
      </w:r>
      <w:r w:rsidR="00580EA7">
        <w:t>, 2006)</w:t>
      </w:r>
      <w:r w:rsidR="00E77FF4" w:rsidRPr="00E77FF4">
        <w:t>.</w:t>
      </w:r>
      <w:r w:rsidR="00A443A8">
        <w:t xml:space="preserve"> </w:t>
      </w:r>
    </w:p>
    <w:p w:rsidR="00373687" w:rsidRPr="000D19DF" w:rsidRDefault="00CE1ACA" w:rsidP="00373687">
      <w:pPr>
        <w:pStyle w:val="Noindent"/>
        <w:ind w:firstLine="720"/>
      </w:pPr>
      <w:r>
        <w:t>Due to the lack of research, a</w:t>
      </w:r>
      <w:r w:rsidR="00E036A3" w:rsidRPr="000919BD">
        <w:t xml:space="preserve"> better understanding of the </w:t>
      </w:r>
      <w:r w:rsidR="00395684">
        <w:t>psychiatric disorders</w:t>
      </w:r>
      <w:r w:rsidR="00E036A3" w:rsidRPr="000919BD">
        <w:t xml:space="preserve"> and sexual health of immigrants and refugees is </w:t>
      </w:r>
      <w:r>
        <w:t xml:space="preserve">needed. This is </w:t>
      </w:r>
      <w:r w:rsidR="00E036A3" w:rsidRPr="000919BD">
        <w:t>a public health concern that warrants greater attention</w:t>
      </w:r>
      <w:r>
        <w:t xml:space="preserve"> and is not being adequately addressed in the literature</w:t>
      </w:r>
      <w:r w:rsidR="00E036A3" w:rsidRPr="000919BD">
        <w:t xml:space="preserve">. </w:t>
      </w:r>
      <w:r w:rsidR="00E036A3">
        <w:t>I</w:t>
      </w:r>
      <w:r w:rsidR="000919BD" w:rsidRPr="000919BD">
        <w:t xml:space="preserve">n this study we aim to investigate </w:t>
      </w:r>
      <w:r w:rsidR="00373687">
        <w:t xml:space="preserve">the demographic information in this population, rates of psychiatric disorders in this population, </w:t>
      </w:r>
      <w:r w:rsidR="00373687">
        <w:lastRenderedPageBreak/>
        <w:t xml:space="preserve">acculturation and its associations with psychiatric disorders, rates of sexual risk behaviors, and finally psychiatric symptoms and its association with sexual risk behaviors </w:t>
      </w:r>
    </w:p>
    <w:p w:rsidR="00CE1ACA" w:rsidRPr="00CE1ACA" w:rsidRDefault="00CE1ACA" w:rsidP="00CE1ACA">
      <w:pPr>
        <w:pStyle w:val="Noindent"/>
        <w:ind w:firstLine="720"/>
      </w:pPr>
    </w:p>
    <w:p w:rsidR="0077050C" w:rsidRDefault="009C28A7" w:rsidP="00B917F0">
      <w:pPr>
        <w:pStyle w:val="Heading1"/>
      </w:pPr>
      <w:bookmarkStart w:id="4" w:name="_Toc15393982"/>
      <w:r>
        <w:rPr>
          <w:caps w:val="0"/>
        </w:rPr>
        <w:lastRenderedPageBreak/>
        <w:t>Methods</w:t>
      </w:r>
      <w:bookmarkEnd w:id="4"/>
    </w:p>
    <w:p w:rsidR="0077050C" w:rsidRDefault="0077050C" w:rsidP="0077050C">
      <w:pPr>
        <w:pStyle w:val="Noindent"/>
        <w:ind w:firstLine="720"/>
      </w:pPr>
      <w:r w:rsidRPr="009C1CBB">
        <w:t xml:space="preserve">This study was </w:t>
      </w:r>
      <w:r w:rsidR="00D43F5F">
        <w:t>performed between</w:t>
      </w:r>
      <w:r w:rsidRPr="009C1CBB">
        <w:t xml:space="preserve"> October 2002 </w:t>
      </w:r>
      <w:r w:rsidR="00D43F5F">
        <w:t>until</w:t>
      </w:r>
      <w:r w:rsidRPr="009C1CBB">
        <w:t xml:space="preserve"> April 2005. Th</w:t>
      </w:r>
      <w:r w:rsidR="00CE5471">
        <w:t>is study aimed</w:t>
      </w:r>
      <w:r w:rsidRPr="009C1CBB">
        <w:t xml:space="preserve"> to </w:t>
      </w:r>
      <w:r w:rsidR="00CE5471">
        <w:t xml:space="preserve">understand </w:t>
      </w:r>
      <w:r w:rsidRPr="009C1CBB">
        <w:t xml:space="preserve">how psychosocial factors </w:t>
      </w:r>
      <w:r w:rsidR="00CE5471">
        <w:t xml:space="preserve">affect </w:t>
      </w:r>
      <w:r w:rsidR="00395684">
        <w:t>psychiatric disorders</w:t>
      </w:r>
      <w:r w:rsidRPr="009C1CBB">
        <w:t xml:space="preserve">, sexual health, and </w:t>
      </w:r>
      <w:r w:rsidR="00CE5471">
        <w:t xml:space="preserve">the </w:t>
      </w:r>
      <w:r w:rsidRPr="009C1CBB">
        <w:t xml:space="preserve">quality of life of immigrants and refugees </w:t>
      </w:r>
      <w:r w:rsidR="00CE5471">
        <w:t>from Africa who live</w:t>
      </w:r>
      <w:r w:rsidRPr="009C1CBB">
        <w:t xml:space="preserve"> in Sweden. </w:t>
      </w:r>
      <w:r w:rsidR="0019680A">
        <w:t>Ethical a</w:t>
      </w:r>
      <w:r w:rsidRPr="009C1CBB">
        <w:t xml:space="preserve">pproval was </w:t>
      </w:r>
      <w:r w:rsidR="00CE5471" w:rsidRPr="009C1CBB">
        <w:t>attained</w:t>
      </w:r>
      <w:r w:rsidRPr="009C1CBB">
        <w:t xml:space="preserve"> from the National Institutional Review Board in Sweden</w:t>
      </w:r>
      <w:r w:rsidR="00D43F5F">
        <w:t>.</w:t>
      </w:r>
      <w:r w:rsidRPr="009C1CBB">
        <w:t xml:space="preserve"> The secondary data analyses </w:t>
      </w:r>
      <w:r w:rsidR="00D43F5F">
        <w:t xml:space="preserve">performed in this essay was </w:t>
      </w:r>
      <w:r w:rsidRPr="009C1CBB">
        <w:t>approved by the University of Pittsburgh Institutional Review Board.</w:t>
      </w:r>
    </w:p>
    <w:p w:rsidR="0077050C" w:rsidRDefault="009C28A7" w:rsidP="002706BA">
      <w:pPr>
        <w:pStyle w:val="Heading2"/>
      </w:pPr>
      <w:bookmarkStart w:id="5" w:name="_Toc15393983"/>
      <w:r>
        <w:rPr>
          <w:caps w:val="0"/>
        </w:rPr>
        <w:t>Design Participant Recruitment</w:t>
      </w:r>
      <w:bookmarkEnd w:id="5"/>
    </w:p>
    <w:p w:rsidR="0077050C" w:rsidRPr="0077050C" w:rsidRDefault="0019680A" w:rsidP="007F5A44">
      <w:pPr>
        <w:pStyle w:val="Noindent"/>
        <w:ind w:firstLine="720"/>
      </w:pPr>
      <w:r>
        <w:t>Th</w:t>
      </w:r>
      <w:r w:rsidR="006E5352">
        <w:t>is</w:t>
      </w:r>
      <w:r>
        <w:t xml:space="preserve"> study was a cross-sectional design </w:t>
      </w:r>
      <w:r w:rsidR="006E5352">
        <w:t xml:space="preserve">with </w:t>
      </w:r>
      <w:r w:rsidR="008030D3">
        <w:t>subjects</w:t>
      </w:r>
      <w:r w:rsidR="008D646D">
        <w:t xml:space="preserve"> of the study</w:t>
      </w:r>
      <w:r>
        <w:t xml:space="preserve"> </w:t>
      </w:r>
      <w:r w:rsidR="0077050C" w:rsidRPr="00637A7C">
        <w:t>recruited</w:t>
      </w:r>
      <w:r w:rsidR="0077050C">
        <w:t xml:space="preserve"> based on</w:t>
      </w:r>
      <w:r w:rsidR="0077050C" w:rsidRPr="00637A7C">
        <w:t xml:space="preserve"> non-probability stratified quota sampling</w:t>
      </w:r>
      <w:r w:rsidR="0077050C">
        <w:t xml:space="preserve"> using the census of the 2001 Swedish population</w:t>
      </w:r>
      <w:r w:rsidR="0077050C" w:rsidRPr="00637A7C">
        <w:t>.</w:t>
      </w:r>
      <w:r w:rsidR="00825528">
        <w:t xml:space="preserve"> R</w:t>
      </w:r>
      <w:r w:rsidR="0077050C">
        <w:t>efugees and immigrants</w:t>
      </w:r>
      <w:r w:rsidR="0077050C" w:rsidRPr="00637A7C">
        <w:t xml:space="preserve"> from </w:t>
      </w:r>
      <w:r w:rsidR="006E5352">
        <w:t xml:space="preserve">African </w:t>
      </w:r>
      <w:r w:rsidR="00EB5F8C">
        <w:t>cou</w:t>
      </w:r>
      <w:r w:rsidR="0077050C">
        <w:t>ntries</w:t>
      </w:r>
      <w:r w:rsidR="006E5352">
        <w:t xml:space="preserve"> </w:t>
      </w:r>
      <w:r w:rsidR="00825528">
        <w:t>that</w:t>
      </w:r>
      <w:r w:rsidR="0077050C">
        <w:t xml:space="preserve"> made </w:t>
      </w:r>
      <w:r w:rsidR="0077050C" w:rsidRPr="00637A7C">
        <w:t>at least one percent of the</w:t>
      </w:r>
      <w:r w:rsidR="00825528">
        <w:t xml:space="preserve"> entire</w:t>
      </w:r>
      <w:r w:rsidR="006E5352">
        <w:t xml:space="preserve"> refugee and</w:t>
      </w:r>
      <w:r w:rsidR="0077050C" w:rsidRPr="00637A7C">
        <w:t xml:space="preserve"> immigrant population </w:t>
      </w:r>
      <w:r w:rsidR="006E5352">
        <w:t xml:space="preserve">from Africa living </w:t>
      </w:r>
      <w:r w:rsidR="0077050C" w:rsidRPr="00637A7C">
        <w:t xml:space="preserve">in Sweden were </w:t>
      </w:r>
      <w:r w:rsidR="00825528">
        <w:t>able to enroll in the study</w:t>
      </w:r>
      <w:r w:rsidR="0077050C" w:rsidRPr="00637A7C">
        <w:t xml:space="preserve">. </w:t>
      </w:r>
      <w:r w:rsidR="0077050C">
        <w:t xml:space="preserve">Participants </w:t>
      </w:r>
      <w:r w:rsidR="00F638BB">
        <w:t>were required to be</w:t>
      </w:r>
      <w:r w:rsidR="0077050C" w:rsidRPr="00637A7C">
        <w:t xml:space="preserve"> 16 years of age</w:t>
      </w:r>
      <w:r w:rsidR="00F638BB">
        <w:t xml:space="preserve"> or older</w:t>
      </w:r>
      <w:r w:rsidR="0077050C" w:rsidRPr="00637A7C">
        <w:t xml:space="preserve">, </w:t>
      </w:r>
      <w:r w:rsidR="00F638BB">
        <w:t>residing</w:t>
      </w:r>
      <w:r w:rsidR="0077050C" w:rsidRPr="00637A7C">
        <w:t xml:space="preserve"> in Sweden, and </w:t>
      </w:r>
      <w:r w:rsidR="0077050C">
        <w:t xml:space="preserve">either </w:t>
      </w:r>
      <w:r w:rsidR="0077050C" w:rsidRPr="00637A7C">
        <w:t>a</w:t>
      </w:r>
      <w:r w:rsidR="006E5352">
        <w:t>n</w:t>
      </w:r>
      <w:r w:rsidR="0077050C" w:rsidRPr="00637A7C">
        <w:t xml:space="preserve"> immigrant</w:t>
      </w:r>
      <w:r w:rsidR="00F638BB">
        <w:t xml:space="preserve"> or refugee</w:t>
      </w:r>
      <w:r w:rsidR="0077050C" w:rsidRPr="00637A7C">
        <w:t xml:space="preserve">. </w:t>
      </w:r>
      <w:r w:rsidR="0077050C">
        <w:t xml:space="preserve">Community leaders of African communities were contacted and asked for assistance in recruitment of participants. </w:t>
      </w:r>
      <w:r w:rsidR="0077050C" w:rsidRPr="00637A7C">
        <w:t>Both documented and undocumented participants were recruited.</w:t>
      </w:r>
      <w:r w:rsidR="00F638BB">
        <w:t xml:space="preserve"> P</w:t>
      </w:r>
      <w:r w:rsidR="0077050C" w:rsidRPr="00637A7C">
        <w:t>articipants were compensated with a gift c</w:t>
      </w:r>
      <w:r w:rsidR="006E5352">
        <w:t>ard</w:t>
      </w:r>
      <w:r w:rsidR="0077050C" w:rsidRPr="00637A7C">
        <w:t xml:space="preserve"> to a food or clothing stor</w:t>
      </w:r>
      <w:r w:rsidR="00F638BB">
        <w:t xml:space="preserve">e. </w:t>
      </w:r>
      <w:r w:rsidR="006E5352">
        <w:t xml:space="preserve">Those who helped </w:t>
      </w:r>
      <w:r w:rsidR="0077050C" w:rsidRPr="00637A7C">
        <w:t>with recruit</w:t>
      </w:r>
      <w:r w:rsidR="006E5352">
        <w:t>ing participants</w:t>
      </w:r>
      <w:r w:rsidR="0077050C" w:rsidRPr="00637A7C">
        <w:t xml:space="preserve"> </w:t>
      </w:r>
      <w:r w:rsidR="00F638BB">
        <w:t xml:space="preserve">and the translators </w:t>
      </w:r>
      <w:r w:rsidR="006E5352">
        <w:t xml:space="preserve">who helped in the study </w:t>
      </w:r>
      <w:r w:rsidR="00F638BB">
        <w:t xml:space="preserve">were </w:t>
      </w:r>
      <w:r w:rsidR="009635B5">
        <w:t xml:space="preserve">financially </w:t>
      </w:r>
      <w:r w:rsidR="00F638BB">
        <w:t xml:space="preserve">compensated as well. </w:t>
      </w:r>
    </w:p>
    <w:p w:rsidR="002706BA" w:rsidRDefault="009C28A7" w:rsidP="002706BA">
      <w:pPr>
        <w:pStyle w:val="Heading2"/>
      </w:pPr>
      <w:bookmarkStart w:id="6" w:name="_Toc15393984"/>
      <w:r>
        <w:rPr>
          <w:caps w:val="0"/>
        </w:rPr>
        <w:lastRenderedPageBreak/>
        <w:t>Questionnaires</w:t>
      </w:r>
      <w:bookmarkEnd w:id="6"/>
    </w:p>
    <w:p w:rsidR="00BB4DD3" w:rsidRDefault="002F0EAD" w:rsidP="00BB4DD3">
      <w:pPr>
        <w:pStyle w:val="Noindent"/>
        <w:ind w:firstLine="720"/>
      </w:pPr>
      <w:r>
        <w:t>I</w:t>
      </w:r>
      <w:r w:rsidR="00C74A5D">
        <w:t xml:space="preserve">nterviews </w:t>
      </w:r>
      <w:r w:rsidR="00722D4C">
        <w:t>utiliz</w:t>
      </w:r>
      <w:r>
        <w:t>ed</w:t>
      </w:r>
      <w:r w:rsidR="00722D4C">
        <w:t xml:space="preserve"> </w:t>
      </w:r>
      <w:r w:rsidR="00C74A5D">
        <w:t>questionnaires</w:t>
      </w:r>
      <w:r w:rsidR="009D30E3">
        <w:t xml:space="preserve"> that were </w:t>
      </w:r>
      <w:r w:rsidR="00722D4C">
        <w:t>performed</w:t>
      </w:r>
      <w:r w:rsidR="00C74A5D">
        <w:t xml:space="preserve"> with all </w:t>
      </w:r>
      <w:r w:rsidR="008030D3">
        <w:t>subjects</w:t>
      </w:r>
      <w:r>
        <w:t xml:space="preserve"> of the study</w:t>
      </w:r>
      <w:r w:rsidR="00722D4C">
        <w:t xml:space="preserve">. </w:t>
      </w:r>
      <w:r w:rsidR="009D30E3">
        <w:t>A majority of t</w:t>
      </w:r>
      <w:r w:rsidR="00722D4C">
        <w:t xml:space="preserve">hese </w:t>
      </w:r>
      <w:r w:rsidR="009D30E3">
        <w:t>questionnaires</w:t>
      </w:r>
      <w:r w:rsidR="00722D4C">
        <w:t xml:space="preserve"> </w:t>
      </w:r>
      <w:r w:rsidR="009D30E3">
        <w:t>were previously</w:t>
      </w:r>
      <w:r w:rsidR="00C74A5D">
        <w:t xml:space="preserve"> validated with immigrant and refugee populations</w:t>
      </w:r>
      <w:r>
        <w:t xml:space="preserve"> in other studies</w:t>
      </w:r>
      <w:r w:rsidR="00C74A5D">
        <w:t xml:space="preserve">. </w:t>
      </w:r>
      <w:r w:rsidR="0019680A">
        <w:t>Th</w:t>
      </w:r>
      <w:r w:rsidR="009D30E3">
        <w:t>es</w:t>
      </w:r>
      <w:r w:rsidR="0019680A">
        <w:t xml:space="preserve">e questionnaires included: </w:t>
      </w:r>
    </w:p>
    <w:p w:rsidR="00BB4DD3" w:rsidRDefault="00C74A5D" w:rsidP="00BB4DD3">
      <w:pPr>
        <w:pStyle w:val="Noindent"/>
        <w:ind w:firstLine="720"/>
      </w:pPr>
      <w:r>
        <w:t xml:space="preserve">The Cultural Life Style </w:t>
      </w:r>
      <w:r w:rsidR="00074747">
        <w:t>Inventory</w:t>
      </w:r>
      <w:r w:rsidR="003056D8">
        <w:t xml:space="preserve"> (CLSI)</w:t>
      </w:r>
      <w:r w:rsidR="00074747">
        <w:t xml:space="preserve"> was</w:t>
      </w:r>
      <w:r>
        <w:t xml:space="preserve"> </w:t>
      </w:r>
      <w:r w:rsidR="003056D8">
        <w:t xml:space="preserve">employed </w:t>
      </w:r>
      <w:r>
        <w:t>to measure acculturation</w:t>
      </w:r>
      <w:r w:rsidR="00074747">
        <w:t xml:space="preserve"> </w:t>
      </w:r>
      <w:r w:rsidR="003056D8">
        <w:t xml:space="preserve">levels </w:t>
      </w:r>
      <w:r w:rsidR="00074747">
        <w:t>(Mendoza, 1989)</w:t>
      </w:r>
      <w:r>
        <w:t>. Th</w:t>
      </w:r>
      <w:r w:rsidR="008030D3">
        <w:t>e</w:t>
      </w:r>
      <w:r>
        <w:t xml:space="preserve"> </w:t>
      </w:r>
      <w:r w:rsidR="003056D8">
        <w:t>CLSI</w:t>
      </w:r>
      <w:r>
        <w:t xml:space="preserve"> </w:t>
      </w:r>
      <w:r w:rsidR="003056D8">
        <w:t xml:space="preserve">reports </w:t>
      </w:r>
      <w:r>
        <w:t>a total acculturation score and three sub</w:t>
      </w:r>
      <w:r w:rsidR="00D40405">
        <w:t xml:space="preserve">scale </w:t>
      </w:r>
      <w:r>
        <w:t xml:space="preserve">scores </w:t>
      </w:r>
      <w:r w:rsidR="00D40405">
        <w:t xml:space="preserve">reflecting acculturation </w:t>
      </w:r>
      <w:r>
        <w:t xml:space="preserve">based on </w:t>
      </w:r>
      <w:r w:rsidR="003056D8">
        <w:t xml:space="preserve">social integration, </w:t>
      </w:r>
      <w:r>
        <w:t>language acquisition,</w:t>
      </w:r>
      <w:r w:rsidR="003056D8">
        <w:t xml:space="preserve"> </w:t>
      </w:r>
      <w:r>
        <w:t>and adoption of host country customs and</w:t>
      </w:r>
      <w:r w:rsidR="00D40405">
        <w:t xml:space="preserve"> traditions</w:t>
      </w:r>
      <w:r>
        <w:t>.</w:t>
      </w:r>
      <w:r w:rsidR="00D40405">
        <w:t xml:space="preserve"> </w:t>
      </w:r>
      <w:r w:rsidR="00D40405" w:rsidRPr="00D40405">
        <w:t>Th</w:t>
      </w:r>
      <w:r w:rsidR="003056D8">
        <w:t>e CLSI</w:t>
      </w:r>
      <w:r w:rsidR="00D40405" w:rsidRPr="00D40405">
        <w:t xml:space="preserve"> </w:t>
      </w:r>
      <w:r w:rsidR="008030D3">
        <w:t>has  previously</w:t>
      </w:r>
      <w:r w:rsidR="00D40405" w:rsidRPr="00D40405">
        <w:t xml:space="preserve"> </w:t>
      </w:r>
      <w:r w:rsidR="008030D3">
        <w:t xml:space="preserve">been </w:t>
      </w:r>
      <w:r w:rsidR="00BA0C63">
        <w:t>shown</w:t>
      </w:r>
      <w:r w:rsidR="003056D8">
        <w:t xml:space="preserve"> </w:t>
      </w:r>
      <w:r w:rsidR="008030D3">
        <w:t xml:space="preserve">to be </w:t>
      </w:r>
      <w:r w:rsidR="002F0EAD">
        <w:t>reliable</w:t>
      </w:r>
      <w:r w:rsidR="003056D8">
        <w:t xml:space="preserve"> and valid when used in o</w:t>
      </w:r>
      <w:r w:rsidR="00D40405" w:rsidRPr="00D40405">
        <w:t>ther immigrant populations</w:t>
      </w:r>
      <w:r w:rsidR="003056D8">
        <w:t xml:space="preserve"> </w:t>
      </w:r>
      <w:r w:rsidR="00D40405" w:rsidRPr="00D40405">
        <w:t>(Ghaffarian, 1998; Lessenger, 1997; Walters, 1999).</w:t>
      </w:r>
      <w:r>
        <w:t xml:space="preserve"> </w:t>
      </w:r>
    </w:p>
    <w:p w:rsidR="00C74A5D" w:rsidRDefault="00C74A5D" w:rsidP="00104B9B">
      <w:pPr>
        <w:pStyle w:val="Noindent"/>
        <w:ind w:firstLine="720"/>
      </w:pPr>
      <w:r>
        <w:t xml:space="preserve">The Harvard Trauma Questionnaire (HTQ) was </w:t>
      </w:r>
      <w:r w:rsidR="00BB4DD3">
        <w:t>used</w:t>
      </w:r>
      <w:r>
        <w:t xml:space="preserve"> to measure</w:t>
      </w:r>
      <w:r w:rsidR="00BB4DD3">
        <w:t xml:space="preserve"> </w:t>
      </w:r>
      <w:r>
        <w:t>trauma and PTSD symptoms</w:t>
      </w:r>
      <w:r w:rsidR="00074747">
        <w:t xml:space="preserve"> (Mollica, et al., 1996)</w:t>
      </w:r>
      <w:r>
        <w:t xml:space="preserve">. The HTQ has </w:t>
      </w:r>
      <w:r w:rsidR="00BA0C63">
        <w:t xml:space="preserve">also </w:t>
      </w:r>
      <w:r>
        <w:t xml:space="preserve">been </w:t>
      </w:r>
      <w:r w:rsidR="00D975A0">
        <w:t>shown to be valid</w:t>
      </w:r>
      <w:r>
        <w:t xml:space="preserve"> among </w:t>
      </w:r>
      <w:r w:rsidR="00D975A0">
        <w:t>different immigrant and</w:t>
      </w:r>
      <w:r>
        <w:t xml:space="preserve"> refugee populations (Mollica, et al., 1996). </w:t>
      </w:r>
      <w:r w:rsidR="00074747">
        <w:t>Post-Traumatic Stress Disorder</w:t>
      </w:r>
      <w:r w:rsidR="005B6C3E">
        <w:t xml:space="preserve"> i</w:t>
      </w:r>
      <w:r>
        <w:t xml:space="preserve">tems on the HTQ </w:t>
      </w:r>
      <w:r w:rsidR="005B6C3E">
        <w:t xml:space="preserve">incorporate </w:t>
      </w:r>
      <w:r>
        <w:t xml:space="preserve">diagnostic criteria </w:t>
      </w:r>
      <w:r w:rsidR="005B6C3E">
        <w:t xml:space="preserve">from </w:t>
      </w:r>
      <w:r>
        <w:t>the</w:t>
      </w:r>
      <w:r w:rsidR="00BB4DD3">
        <w:t xml:space="preserve"> </w:t>
      </w:r>
      <w:r>
        <w:t>Diagnostic and Statistical Manual of Mental Disorders, Fourth Edition (DSM-IV) (American Psychiatric Association, 1994).</w:t>
      </w:r>
      <w:r w:rsidR="0077050C">
        <w:t xml:space="preserve"> </w:t>
      </w:r>
      <w:r w:rsidR="00D975A0">
        <w:t xml:space="preserve">Notably, </w:t>
      </w:r>
      <w:r>
        <w:t>the PTSD duration criterion for the DSM-IV</w:t>
      </w:r>
      <w:r w:rsidR="00D975A0">
        <w:t xml:space="preserve"> assesses symptoms which occur in the last month. This may not entirely correlate with the HTQ, which assesses PTSD symptoms based on DSM-IV criteria that have occurred in the past week</w:t>
      </w:r>
      <w:r>
        <w:t>.</w:t>
      </w:r>
    </w:p>
    <w:p w:rsidR="00C74A5D" w:rsidRDefault="00C74A5D" w:rsidP="00104B9B">
      <w:pPr>
        <w:pStyle w:val="Noindent"/>
        <w:ind w:firstLine="720"/>
      </w:pPr>
      <w:r>
        <w:t xml:space="preserve">The Hopkins Symptom Checklist (HSCL-25) is </w:t>
      </w:r>
      <w:r w:rsidR="00104B9B">
        <w:t>used to asse</w:t>
      </w:r>
      <w:r w:rsidR="00957E67">
        <w:t>s</w:t>
      </w:r>
      <w:r w:rsidR="00104B9B">
        <w:t>s symptoms of anxiety and depression</w:t>
      </w:r>
      <w:r w:rsidR="009A1CD8">
        <w:t xml:space="preserve"> (Derogatis, Lipman, Rickels, Uhlenhuth, &amp; Covi, 1974)</w:t>
      </w:r>
      <w:r>
        <w:t xml:space="preserve">. HSCL-25 correlate with </w:t>
      </w:r>
      <w:r w:rsidR="003E1C8B">
        <w:t xml:space="preserve">major depressive disorder </w:t>
      </w:r>
      <w:r>
        <w:t xml:space="preserve">and </w:t>
      </w:r>
      <w:r w:rsidR="003E1C8B">
        <w:t xml:space="preserve">severe emotional distress </w:t>
      </w:r>
      <w:r>
        <w:t xml:space="preserve">(Harvard Program in Refugee Trauma, 1998). HSCL-25 total scores, </w:t>
      </w:r>
      <w:r w:rsidR="003E1C8B">
        <w:t>anxiety subscale scores</w:t>
      </w:r>
      <w:r>
        <w:t xml:space="preserve">, and </w:t>
      </w:r>
      <w:r w:rsidR="003E1C8B">
        <w:t>depression subscale scores over</w:t>
      </w:r>
      <w:r>
        <w:t xml:space="preserve"> 1.75 </w:t>
      </w:r>
      <w:r w:rsidR="00104B9B">
        <w:t>are</w:t>
      </w:r>
      <w:r>
        <w:t xml:space="preserve"> positive for unspecified emotional distress, anxiety, </w:t>
      </w:r>
      <w:r w:rsidR="003E1C8B">
        <w:t xml:space="preserve">and depression, </w:t>
      </w:r>
      <w:r>
        <w:t>respectively (</w:t>
      </w:r>
      <w:r w:rsidR="00D40405">
        <w:t>Harvard Trauma Manual: Bosnia-Herzegovina Version, 1998</w:t>
      </w:r>
      <w:r>
        <w:t xml:space="preserve">). </w:t>
      </w:r>
    </w:p>
    <w:p w:rsidR="0077050C" w:rsidRPr="009300C5" w:rsidRDefault="006C2B1E" w:rsidP="0077050C">
      <w:pPr>
        <w:pStyle w:val="Noindent"/>
        <w:ind w:firstLine="720"/>
      </w:pPr>
      <w:r>
        <w:lastRenderedPageBreak/>
        <w:t>The Family Health International (FHI) HIV/AIDS/STD Behavioral Surveillance Survey was modified and used to assess the sexual risk behaviors of participants in the study</w:t>
      </w:r>
      <w:r w:rsidR="00DE32BE">
        <w:t xml:space="preserve"> (Family Health International, 2000)</w:t>
      </w:r>
      <w:r>
        <w:t xml:space="preserve">. </w:t>
      </w:r>
      <w:r w:rsidR="00CE6098">
        <w:t>This</w:t>
      </w:r>
      <w:r w:rsidR="00DE32BE">
        <w:t xml:space="preserve"> survey</w:t>
      </w:r>
      <w:r w:rsidR="00CE6098">
        <w:t xml:space="preserve"> has been </w:t>
      </w:r>
      <w:r w:rsidR="00DE32BE">
        <w:t xml:space="preserve">used in other studies to understand sexual behavior on a population </w:t>
      </w:r>
      <w:r w:rsidR="004E40C2">
        <w:t>level and</w:t>
      </w:r>
      <w:r w:rsidR="00DE32BE">
        <w:t xml:space="preserve"> is a public health tool used to monitor sexual risk</w:t>
      </w:r>
      <w:r w:rsidR="007F0C94">
        <w:t xml:space="preserve"> behavior</w:t>
      </w:r>
      <w:r w:rsidR="00DE32BE">
        <w:t xml:space="preserve"> trends over time (Mills</w:t>
      </w:r>
      <w:r w:rsidR="00C3418B">
        <w:t xml:space="preserve"> et al.</w:t>
      </w:r>
      <w:r w:rsidR="00DE32BE">
        <w:t>, 1998)</w:t>
      </w:r>
      <w:r w:rsidR="009C28A7">
        <w:t>.</w:t>
      </w:r>
    </w:p>
    <w:p w:rsidR="00562B30" w:rsidRDefault="009C28A7" w:rsidP="00562B30">
      <w:pPr>
        <w:pStyle w:val="Heading2"/>
      </w:pPr>
      <w:bookmarkStart w:id="7" w:name="_Toc15393985"/>
      <w:r>
        <w:rPr>
          <w:caps w:val="0"/>
        </w:rPr>
        <w:t>Statistical Analysis</w:t>
      </w:r>
      <w:bookmarkEnd w:id="7"/>
    </w:p>
    <w:p w:rsidR="00D13419" w:rsidRPr="00D13419" w:rsidRDefault="00D13419" w:rsidP="00D13419">
      <w:r w:rsidRPr="00D13419">
        <w:t xml:space="preserve">Secondary data analysis was performed at the University of Pittsburgh. </w:t>
      </w:r>
      <w:r>
        <w:t xml:space="preserve">Descriptive statistics using SPSS was used to determine </w:t>
      </w:r>
      <w:r w:rsidR="004E40C2">
        <w:t xml:space="preserve">demographic information and the </w:t>
      </w:r>
      <w:r w:rsidR="009F36ED">
        <w:t>rates</w:t>
      </w:r>
      <w:r>
        <w:t xml:space="preserve"> of </w:t>
      </w:r>
      <w:r w:rsidR="009F36ED">
        <w:t>psychiatric disorders</w:t>
      </w:r>
      <w:r w:rsidR="004E40C2">
        <w:t xml:space="preserve">. </w:t>
      </w:r>
      <w:r w:rsidR="00937F45">
        <w:t>Linear regression was performed to test the predictors of PTSD and depressive symptoms.</w:t>
      </w:r>
      <w:r w:rsidR="004E40C2">
        <w:t xml:space="preserve"> Two-sided t-tests were </w:t>
      </w:r>
      <w:r w:rsidR="00222AEC">
        <w:t>performed</w:t>
      </w:r>
      <w:r w:rsidR="004E40C2">
        <w:t xml:space="preserve"> to understand if there was a significant difference in acculturation levels between participants with a </w:t>
      </w:r>
      <w:r w:rsidR="00937F45">
        <w:t xml:space="preserve">probable </w:t>
      </w:r>
      <w:r w:rsidR="004E40C2">
        <w:t xml:space="preserve">diagnosis of depression and without depression and participants with a </w:t>
      </w:r>
      <w:r w:rsidR="00937F45">
        <w:t xml:space="preserve">probable </w:t>
      </w:r>
      <w:r w:rsidR="004E40C2">
        <w:t>diagnosis of PTSD and without</w:t>
      </w:r>
      <w:r w:rsidR="009A1CD8">
        <w:t xml:space="preserve"> PTSD</w:t>
      </w:r>
      <w:r w:rsidR="004E40C2">
        <w:t>.</w:t>
      </w:r>
      <w:r w:rsidR="00937F45">
        <w:t xml:space="preserve"> The cutoffs for probable diagnosis for </w:t>
      </w:r>
      <w:r w:rsidR="009A1CD8">
        <w:t>depression</w:t>
      </w:r>
      <w:r w:rsidR="00937F45">
        <w:t xml:space="preserve"> were performed using the HCL-25 and cutoffs for probable PTSD</w:t>
      </w:r>
      <w:r w:rsidR="004E40C2">
        <w:t xml:space="preserve"> </w:t>
      </w:r>
      <w:r w:rsidR="00937F45">
        <w:t>diagnosis was performed using the HTQ</w:t>
      </w:r>
      <w:r w:rsidR="004E40C2" w:rsidRPr="00D13419">
        <w:t xml:space="preserve">. </w:t>
      </w:r>
      <w:r w:rsidR="004E40C2">
        <w:t xml:space="preserve">Descriptive statistics were used to determine rates of sexual risk behaviors. </w:t>
      </w:r>
      <w:r w:rsidR="004E40C2" w:rsidRPr="00D13419">
        <w:t>Chi-square test</w:t>
      </w:r>
      <w:r w:rsidR="00E8775F">
        <w:t>s</w:t>
      </w:r>
      <w:r w:rsidR="004E40C2" w:rsidRPr="00D13419">
        <w:t xml:space="preserve"> </w:t>
      </w:r>
      <w:r w:rsidR="00E8775F">
        <w:t xml:space="preserve">and Mann-Whitney U tests were </w:t>
      </w:r>
      <w:r w:rsidR="00074747">
        <w:t>performed</w:t>
      </w:r>
      <w:r w:rsidR="004E40C2">
        <w:t xml:space="preserve"> </w:t>
      </w:r>
      <w:r w:rsidR="004E40C2" w:rsidRPr="00D13419">
        <w:t>to compare sexual risk behavior</w:t>
      </w:r>
      <w:r w:rsidR="007F0C94">
        <w:t>s</w:t>
      </w:r>
      <w:r w:rsidR="004E40C2" w:rsidRPr="00D13419">
        <w:t xml:space="preserve"> between refugees with PTSD/depression and refugees without PTSD/depression. </w:t>
      </w:r>
    </w:p>
    <w:p w:rsidR="00562B30" w:rsidRDefault="009C28A7" w:rsidP="00562B30">
      <w:pPr>
        <w:pStyle w:val="Heading1"/>
      </w:pPr>
      <w:bookmarkStart w:id="8" w:name="_Toc15393986"/>
      <w:r>
        <w:rPr>
          <w:caps w:val="0"/>
        </w:rPr>
        <w:lastRenderedPageBreak/>
        <w:t>Results</w:t>
      </w:r>
      <w:bookmarkEnd w:id="8"/>
    </w:p>
    <w:p w:rsidR="000D19DF" w:rsidRPr="000D19DF" w:rsidRDefault="00DE32BE" w:rsidP="009F6DAA">
      <w:pPr>
        <w:pStyle w:val="Noindent"/>
        <w:ind w:firstLine="720"/>
      </w:pPr>
      <w:r>
        <w:t xml:space="preserve">This section </w:t>
      </w:r>
      <w:r w:rsidR="00FC59D3">
        <w:t>consist</w:t>
      </w:r>
      <w:r w:rsidR="008904B5">
        <w:t>s</w:t>
      </w:r>
      <w:r w:rsidR="00FC59D3">
        <w:t xml:space="preserve"> of the main </w:t>
      </w:r>
      <w:r w:rsidR="008904B5">
        <w:t>results</w:t>
      </w:r>
      <w:r w:rsidR="00FC59D3">
        <w:t xml:space="preserve"> of the </w:t>
      </w:r>
      <w:r w:rsidR="008904B5">
        <w:t>study which includes</w:t>
      </w:r>
      <w:r w:rsidR="00FC59D3">
        <w:t xml:space="preserve">, 1) demographic information, 2) </w:t>
      </w:r>
      <w:r w:rsidR="00DF2054">
        <w:t>rates of psychiatric disorders</w:t>
      </w:r>
      <w:r w:rsidR="00FC59D3">
        <w:t xml:space="preserve">, 3) acculturation and its associations with </w:t>
      </w:r>
      <w:r w:rsidR="00DF2054">
        <w:t>psychiatric disorders</w:t>
      </w:r>
      <w:r w:rsidR="00FC59D3">
        <w:t xml:space="preserve">, 4) </w:t>
      </w:r>
      <w:r w:rsidR="00DF2054">
        <w:t>rates</w:t>
      </w:r>
      <w:r w:rsidR="00FC59D3">
        <w:t xml:space="preserve"> of sexual risk behaviors, 5) </w:t>
      </w:r>
      <w:r w:rsidR="00C1025C">
        <w:t xml:space="preserve">psychiatric symptoms and its </w:t>
      </w:r>
      <w:r w:rsidR="00FC59D3">
        <w:t xml:space="preserve">association with sexual risk behaviors </w:t>
      </w:r>
    </w:p>
    <w:p w:rsidR="00FE6D46" w:rsidRDefault="009C28A7" w:rsidP="00104B9B">
      <w:pPr>
        <w:pStyle w:val="Heading2"/>
      </w:pPr>
      <w:bookmarkStart w:id="9" w:name="_Toc15393987"/>
      <w:r>
        <w:rPr>
          <w:caps w:val="0"/>
        </w:rPr>
        <w:t>Demographics</w:t>
      </w:r>
      <w:bookmarkEnd w:id="9"/>
    </w:p>
    <w:p w:rsidR="000D19DF" w:rsidRDefault="00622641" w:rsidP="000D19DF">
      <w:pPr>
        <w:pStyle w:val="Noindent"/>
        <w:ind w:firstLine="720"/>
      </w:pPr>
      <w:r w:rsidRPr="00637A7C">
        <w:t>In total, 420 people participated in this study</w:t>
      </w:r>
      <w:r w:rsidR="000D19DF">
        <w:t xml:space="preserve">, whose demographic characteristics are outlined in Table 1. The ages of the participants ranged from 16-80 years old, with an average age of 33. 52% of the participants were male, and 48% were female. </w:t>
      </w:r>
      <w:r w:rsidR="00B20E1A">
        <w:t xml:space="preserve">Using the United Nations regional definitions (United Nations, 2000), </w:t>
      </w:r>
      <w:r w:rsidR="007364D8">
        <w:t>a</w:t>
      </w:r>
      <w:r w:rsidR="000D19DF">
        <w:t xml:space="preserve"> </w:t>
      </w:r>
      <w:r w:rsidR="007364D8">
        <w:t>majority o</w:t>
      </w:r>
      <w:r w:rsidR="000B576C">
        <w:t>f the study participants were those from Eastern Africa</w:t>
      </w:r>
      <w:r w:rsidR="00B20E1A">
        <w:t xml:space="preserve"> (72%)</w:t>
      </w:r>
      <w:r w:rsidR="000B576C">
        <w:t xml:space="preserve"> </w:t>
      </w:r>
      <w:r w:rsidR="00B20E1A">
        <w:t xml:space="preserve">with </w:t>
      </w:r>
      <w:r w:rsidR="000B576C">
        <w:t>Somalia (30%), Ethiopia (19%), and Eritrea (9%)</w:t>
      </w:r>
      <w:r w:rsidR="00B20E1A">
        <w:t xml:space="preserve"> being the highest countr</w:t>
      </w:r>
      <w:r w:rsidR="006726E2">
        <w:t>ies</w:t>
      </w:r>
      <w:r w:rsidR="00B20E1A">
        <w:t xml:space="preserve"> of origin </w:t>
      </w:r>
      <w:r w:rsidR="006726E2">
        <w:t>in</w:t>
      </w:r>
      <w:r w:rsidR="00B20E1A">
        <w:t xml:space="preserve"> the study. Participants with a high school education made</w:t>
      </w:r>
      <w:r w:rsidR="007364D8">
        <w:t xml:space="preserve"> up</w:t>
      </w:r>
      <w:r w:rsidR="00B20E1A">
        <w:t xml:space="preserve"> </w:t>
      </w:r>
      <w:r w:rsidR="000B576C">
        <w:t xml:space="preserve">49% of the </w:t>
      </w:r>
      <w:r w:rsidR="00B20E1A">
        <w:t>study</w:t>
      </w:r>
      <w:r w:rsidR="000B576C">
        <w:t xml:space="preserve">, and 31% of the participants had a degree beyond high school. The religious makeup of the participants was </w:t>
      </w:r>
      <w:r w:rsidR="007364D8">
        <w:t>nearly</w:t>
      </w:r>
      <w:r w:rsidR="000B576C">
        <w:t xml:space="preserve"> equal between Christians (51%) and Muslims (46%). </w:t>
      </w:r>
    </w:p>
    <w:p w:rsidR="000B576C" w:rsidRDefault="000B576C" w:rsidP="000B576C"/>
    <w:p w:rsidR="000B576C" w:rsidRDefault="000B576C" w:rsidP="000B576C"/>
    <w:p w:rsidR="000B576C" w:rsidRDefault="000B576C" w:rsidP="000B576C"/>
    <w:p w:rsidR="000B576C" w:rsidRPr="000B576C" w:rsidRDefault="000B576C" w:rsidP="000B576C"/>
    <w:p w:rsidR="000B576C" w:rsidRDefault="000B576C" w:rsidP="000B576C">
      <w:pPr>
        <w:pStyle w:val="Caption"/>
        <w:keepNext/>
        <w:ind w:firstLine="0"/>
        <w:jc w:val="center"/>
      </w:pPr>
      <w:bookmarkStart w:id="10" w:name="_Toc15394126"/>
      <w:r>
        <w:lastRenderedPageBreak/>
        <w:t xml:space="preserve">Table </w:t>
      </w:r>
      <w:r w:rsidR="00D97CBF">
        <w:rPr>
          <w:noProof/>
        </w:rPr>
        <w:fldChar w:fldCharType="begin"/>
      </w:r>
      <w:r w:rsidR="00D97CBF">
        <w:rPr>
          <w:noProof/>
        </w:rPr>
        <w:instrText xml:space="preserve"> SEQ Table \* ARABIC </w:instrText>
      </w:r>
      <w:r w:rsidR="00D97CBF">
        <w:rPr>
          <w:noProof/>
        </w:rPr>
        <w:fldChar w:fldCharType="separate"/>
      </w:r>
      <w:r w:rsidR="00546064">
        <w:rPr>
          <w:noProof/>
        </w:rPr>
        <w:t>1</w:t>
      </w:r>
      <w:r w:rsidR="00D97CBF">
        <w:rPr>
          <w:noProof/>
        </w:rPr>
        <w:fldChar w:fldCharType="end"/>
      </w:r>
      <w:r>
        <w:t xml:space="preserve">. </w:t>
      </w:r>
      <w:r w:rsidRPr="009C28A7">
        <w:t>Demographic Characteristics</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665"/>
        <w:gridCol w:w="1665"/>
        <w:gridCol w:w="1143"/>
      </w:tblGrid>
      <w:tr w:rsidR="000B576C" w:rsidTr="0096233E">
        <w:trPr>
          <w:jc w:val="center"/>
        </w:trPr>
        <w:tc>
          <w:tcPr>
            <w:tcW w:w="0" w:type="auto"/>
            <w:shd w:val="clear" w:color="auto" w:fill="auto"/>
          </w:tcPr>
          <w:p w:rsidR="000B576C" w:rsidRDefault="000B576C" w:rsidP="009300C5">
            <w:pPr>
              <w:spacing w:line="240" w:lineRule="auto"/>
              <w:ind w:firstLine="0"/>
              <w:jc w:val="center"/>
            </w:pPr>
          </w:p>
        </w:tc>
        <w:tc>
          <w:tcPr>
            <w:tcW w:w="0" w:type="auto"/>
            <w:shd w:val="clear" w:color="auto" w:fill="auto"/>
          </w:tcPr>
          <w:p w:rsidR="000B576C" w:rsidRDefault="000B576C" w:rsidP="009300C5">
            <w:pPr>
              <w:spacing w:line="240" w:lineRule="auto"/>
              <w:ind w:firstLine="0"/>
              <w:jc w:val="center"/>
            </w:pPr>
            <w:r>
              <w:t>Male</w:t>
            </w:r>
          </w:p>
          <w:p w:rsidR="000B576C" w:rsidRDefault="000B576C" w:rsidP="009300C5">
            <w:pPr>
              <w:spacing w:line="240" w:lineRule="auto"/>
              <w:ind w:firstLine="0"/>
              <w:jc w:val="center"/>
            </w:pPr>
            <w:r>
              <w:t>N = 219 (52%)</w:t>
            </w:r>
          </w:p>
        </w:tc>
        <w:tc>
          <w:tcPr>
            <w:tcW w:w="0" w:type="auto"/>
            <w:shd w:val="clear" w:color="auto" w:fill="auto"/>
          </w:tcPr>
          <w:p w:rsidR="000B576C" w:rsidRDefault="000B576C" w:rsidP="009300C5">
            <w:pPr>
              <w:spacing w:line="240" w:lineRule="auto"/>
              <w:ind w:firstLine="0"/>
              <w:jc w:val="center"/>
            </w:pPr>
            <w:r>
              <w:t>Female</w:t>
            </w:r>
          </w:p>
          <w:p w:rsidR="000B576C" w:rsidRDefault="000B576C" w:rsidP="009300C5">
            <w:pPr>
              <w:spacing w:line="240" w:lineRule="auto"/>
              <w:ind w:firstLine="0"/>
              <w:jc w:val="center"/>
            </w:pPr>
            <w:r>
              <w:t>N = 201 (48%)</w:t>
            </w:r>
          </w:p>
        </w:tc>
        <w:tc>
          <w:tcPr>
            <w:tcW w:w="0" w:type="auto"/>
          </w:tcPr>
          <w:p w:rsidR="000B576C" w:rsidRDefault="000B576C" w:rsidP="009300C5">
            <w:pPr>
              <w:spacing w:line="240" w:lineRule="auto"/>
              <w:ind w:firstLine="0"/>
              <w:jc w:val="center"/>
            </w:pPr>
            <w:r>
              <w:t>Total (%)</w:t>
            </w:r>
          </w:p>
          <w:p w:rsidR="000B576C" w:rsidRDefault="000B576C" w:rsidP="009300C5">
            <w:pPr>
              <w:spacing w:line="240" w:lineRule="auto"/>
              <w:ind w:firstLine="0"/>
              <w:jc w:val="center"/>
            </w:pPr>
            <w:r>
              <w:t>N = 420</w:t>
            </w:r>
          </w:p>
        </w:tc>
      </w:tr>
      <w:tr w:rsidR="000B576C" w:rsidTr="0096233E">
        <w:trPr>
          <w:jc w:val="center"/>
        </w:trPr>
        <w:tc>
          <w:tcPr>
            <w:tcW w:w="0" w:type="auto"/>
            <w:shd w:val="clear" w:color="auto" w:fill="auto"/>
          </w:tcPr>
          <w:p w:rsidR="000B576C" w:rsidRPr="00D97C79" w:rsidRDefault="000B576C" w:rsidP="009300C5">
            <w:pPr>
              <w:spacing w:line="240" w:lineRule="auto"/>
              <w:ind w:firstLine="0"/>
              <w:jc w:val="left"/>
              <w:rPr>
                <w:b/>
              </w:rPr>
            </w:pPr>
            <w:r w:rsidRPr="00D97C79">
              <w:rPr>
                <w:b/>
              </w:rPr>
              <w:t>Age</w:t>
            </w:r>
            <w:r w:rsidR="00D97C79" w:rsidRPr="00D97C79">
              <w:rPr>
                <w:b/>
              </w:rPr>
              <w:t xml:space="preserve"> (years)</w:t>
            </w:r>
          </w:p>
          <w:p w:rsidR="00D97C79" w:rsidRDefault="00D97C79" w:rsidP="009300C5">
            <w:pPr>
              <w:spacing w:line="240" w:lineRule="auto"/>
              <w:ind w:firstLine="0"/>
              <w:jc w:val="left"/>
            </w:pPr>
            <w:r>
              <w:t>Mean</w:t>
            </w:r>
          </w:p>
          <w:p w:rsidR="00D97C79" w:rsidRDefault="00D97C79" w:rsidP="009300C5">
            <w:pPr>
              <w:spacing w:line="240" w:lineRule="auto"/>
              <w:ind w:firstLine="0"/>
              <w:jc w:val="left"/>
            </w:pPr>
            <w:r>
              <w:t>Range</w:t>
            </w:r>
          </w:p>
        </w:tc>
        <w:tc>
          <w:tcPr>
            <w:tcW w:w="0" w:type="auto"/>
            <w:shd w:val="clear" w:color="auto" w:fill="auto"/>
          </w:tcPr>
          <w:p w:rsidR="00D97C79" w:rsidRDefault="00D97C79" w:rsidP="009300C5">
            <w:pPr>
              <w:spacing w:line="240" w:lineRule="auto"/>
              <w:ind w:firstLine="0"/>
              <w:jc w:val="center"/>
            </w:pPr>
          </w:p>
          <w:p w:rsidR="000B576C" w:rsidRDefault="00D97C79" w:rsidP="009300C5">
            <w:pPr>
              <w:spacing w:line="240" w:lineRule="auto"/>
              <w:ind w:firstLine="0"/>
              <w:jc w:val="center"/>
            </w:pPr>
            <w:r>
              <w:t>32</w:t>
            </w:r>
          </w:p>
          <w:p w:rsidR="00D97C79" w:rsidRDefault="00D97C79" w:rsidP="009300C5">
            <w:pPr>
              <w:spacing w:line="240" w:lineRule="auto"/>
              <w:ind w:firstLine="0"/>
              <w:jc w:val="center"/>
            </w:pPr>
            <w:r>
              <w:t>16-65</w:t>
            </w:r>
          </w:p>
        </w:tc>
        <w:tc>
          <w:tcPr>
            <w:tcW w:w="0" w:type="auto"/>
            <w:shd w:val="clear" w:color="auto" w:fill="auto"/>
          </w:tcPr>
          <w:p w:rsidR="000B576C" w:rsidRDefault="000B576C" w:rsidP="009300C5">
            <w:pPr>
              <w:spacing w:line="240" w:lineRule="auto"/>
              <w:ind w:firstLine="0"/>
              <w:jc w:val="center"/>
            </w:pPr>
          </w:p>
          <w:p w:rsidR="00D97C79" w:rsidRDefault="00D97C79" w:rsidP="009300C5">
            <w:pPr>
              <w:spacing w:line="240" w:lineRule="auto"/>
              <w:ind w:firstLine="0"/>
              <w:jc w:val="center"/>
            </w:pPr>
            <w:r>
              <w:t>34</w:t>
            </w:r>
          </w:p>
          <w:p w:rsidR="00D97C79" w:rsidRDefault="00D97C79" w:rsidP="009300C5">
            <w:pPr>
              <w:spacing w:line="240" w:lineRule="auto"/>
              <w:ind w:firstLine="0"/>
              <w:jc w:val="center"/>
            </w:pPr>
            <w:r>
              <w:t>16-80</w:t>
            </w:r>
          </w:p>
        </w:tc>
        <w:tc>
          <w:tcPr>
            <w:tcW w:w="0" w:type="auto"/>
          </w:tcPr>
          <w:p w:rsidR="000B576C" w:rsidRDefault="000B576C" w:rsidP="009300C5">
            <w:pPr>
              <w:spacing w:line="240" w:lineRule="auto"/>
              <w:ind w:firstLine="0"/>
              <w:jc w:val="center"/>
            </w:pPr>
          </w:p>
          <w:p w:rsidR="00D97C79" w:rsidRDefault="00D97C79" w:rsidP="009300C5">
            <w:pPr>
              <w:spacing w:line="240" w:lineRule="auto"/>
              <w:ind w:firstLine="0"/>
              <w:jc w:val="center"/>
            </w:pPr>
            <w:r>
              <w:t>33</w:t>
            </w:r>
          </w:p>
          <w:p w:rsidR="00D97C79" w:rsidRDefault="00D97C79" w:rsidP="009300C5">
            <w:pPr>
              <w:spacing w:line="240" w:lineRule="auto"/>
              <w:ind w:firstLine="0"/>
              <w:jc w:val="center"/>
            </w:pPr>
            <w:r>
              <w:t>16-80</w:t>
            </w:r>
          </w:p>
        </w:tc>
      </w:tr>
      <w:tr w:rsidR="000B576C" w:rsidTr="0096233E">
        <w:trPr>
          <w:jc w:val="center"/>
        </w:trPr>
        <w:tc>
          <w:tcPr>
            <w:tcW w:w="0" w:type="auto"/>
            <w:shd w:val="clear" w:color="auto" w:fill="auto"/>
          </w:tcPr>
          <w:p w:rsidR="000B576C" w:rsidRPr="00D97C79" w:rsidRDefault="000B576C" w:rsidP="009300C5">
            <w:pPr>
              <w:spacing w:line="240" w:lineRule="auto"/>
              <w:ind w:firstLine="0"/>
              <w:jc w:val="left"/>
              <w:rPr>
                <w:b/>
              </w:rPr>
            </w:pPr>
            <w:r w:rsidRPr="00D97C79">
              <w:rPr>
                <w:b/>
              </w:rPr>
              <w:t>Years Living in Sweden</w:t>
            </w:r>
          </w:p>
          <w:p w:rsidR="00D97C79" w:rsidRDefault="00D97C79" w:rsidP="009300C5">
            <w:pPr>
              <w:spacing w:line="240" w:lineRule="auto"/>
              <w:ind w:firstLine="0"/>
              <w:jc w:val="left"/>
            </w:pPr>
            <w:r>
              <w:t>Mean</w:t>
            </w:r>
          </w:p>
          <w:p w:rsidR="00D97C79" w:rsidRDefault="00D97C79" w:rsidP="009300C5">
            <w:pPr>
              <w:spacing w:line="240" w:lineRule="auto"/>
              <w:ind w:firstLine="0"/>
              <w:jc w:val="left"/>
            </w:pPr>
            <w:r>
              <w:t>Range</w:t>
            </w:r>
          </w:p>
        </w:tc>
        <w:tc>
          <w:tcPr>
            <w:tcW w:w="0" w:type="auto"/>
            <w:shd w:val="clear" w:color="auto" w:fill="auto"/>
          </w:tcPr>
          <w:p w:rsidR="000B576C" w:rsidRDefault="000B576C" w:rsidP="009300C5">
            <w:pPr>
              <w:spacing w:line="240" w:lineRule="auto"/>
              <w:ind w:firstLine="0"/>
              <w:jc w:val="center"/>
            </w:pPr>
          </w:p>
          <w:p w:rsidR="00D97C79" w:rsidRDefault="00D97C79" w:rsidP="009300C5">
            <w:pPr>
              <w:spacing w:line="240" w:lineRule="auto"/>
              <w:ind w:firstLine="0"/>
              <w:jc w:val="center"/>
            </w:pPr>
            <w:r>
              <w:t>6.4</w:t>
            </w:r>
          </w:p>
          <w:p w:rsidR="00D97C79" w:rsidRDefault="00D97C79" w:rsidP="009300C5">
            <w:pPr>
              <w:spacing w:line="240" w:lineRule="auto"/>
              <w:ind w:firstLine="0"/>
              <w:jc w:val="center"/>
            </w:pPr>
            <w:r>
              <w:t>0.2-33</w:t>
            </w:r>
          </w:p>
          <w:p w:rsidR="00D97C79" w:rsidRDefault="00D97C79" w:rsidP="009300C5">
            <w:pPr>
              <w:spacing w:line="240" w:lineRule="auto"/>
              <w:ind w:firstLine="0"/>
              <w:jc w:val="center"/>
            </w:pPr>
          </w:p>
        </w:tc>
        <w:tc>
          <w:tcPr>
            <w:tcW w:w="0" w:type="auto"/>
            <w:shd w:val="clear" w:color="auto" w:fill="auto"/>
          </w:tcPr>
          <w:p w:rsidR="000B576C" w:rsidRDefault="000B576C" w:rsidP="009300C5">
            <w:pPr>
              <w:spacing w:line="240" w:lineRule="auto"/>
              <w:ind w:firstLine="0"/>
              <w:jc w:val="center"/>
            </w:pPr>
          </w:p>
          <w:p w:rsidR="00D97C79" w:rsidRDefault="00D97C79" w:rsidP="009300C5">
            <w:pPr>
              <w:spacing w:line="240" w:lineRule="auto"/>
              <w:ind w:firstLine="0"/>
              <w:jc w:val="center"/>
            </w:pPr>
            <w:r>
              <w:t>8.4</w:t>
            </w:r>
          </w:p>
          <w:p w:rsidR="00D97C79" w:rsidRDefault="00D97C79" w:rsidP="009300C5">
            <w:pPr>
              <w:spacing w:line="240" w:lineRule="auto"/>
              <w:ind w:firstLine="0"/>
              <w:jc w:val="center"/>
            </w:pPr>
            <w:r>
              <w:t>0.4-42</w:t>
            </w:r>
          </w:p>
        </w:tc>
        <w:tc>
          <w:tcPr>
            <w:tcW w:w="0" w:type="auto"/>
          </w:tcPr>
          <w:p w:rsidR="000B576C" w:rsidRDefault="000B576C" w:rsidP="009300C5">
            <w:pPr>
              <w:spacing w:line="240" w:lineRule="auto"/>
              <w:ind w:firstLine="0"/>
              <w:jc w:val="center"/>
            </w:pPr>
          </w:p>
          <w:p w:rsidR="00D97C79" w:rsidRDefault="00D97C79" w:rsidP="009300C5">
            <w:pPr>
              <w:spacing w:line="240" w:lineRule="auto"/>
              <w:ind w:firstLine="0"/>
              <w:jc w:val="center"/>
            </w:pPr>
            <w:r>
              <w:t>7.3</w:t>
            </w:r>
          </w:p>
          <w:p w:rsidR="00D97C79" w:rsidRDefault="00D97C79" w:rsidP="009300C5">
            <w:pPr>
              <w:spacing w:line="240" w:lineRule="auto"/>
              <w:ind w:firstLine="0"/>
              <w:jc w:val="center"/>
            </w:pPr>
            <w:r>
              <w:t>0.2-42</w:t>
            </w:r>
          </w:p>
        </w:tc>
      </w:tr>
      <w:tr w:rsidR="000B576C" w:rsidTr="0096233E">
        <w:trPr>
          <w:jc w:val="center"/>
        </w:trPr>
        <w:tc>
          <w:tcPr>
            <w:tcW w:w="0" w:type="auto"/>
            <w:shd w:val="clear" w:color="auto" w:fill="auto"/>
          </w:tcPr>
          <w:p w:rsidR="000B576C" w:rsidRPr="00D97C79" w:rsidRDefault="000B576C" w:rsidP="009300C5">
            <w:pPr>
              <w:spacing w:line="240" w:lineRule="auto"/>
              <w:ind w:firstLine="0"/>
              <w:jc w:val="left"/>
              <w:rPr>
                <w:b/>
              </w:rPr>
            </w:pPr>
            <w:r w:rsidRPr="00D97C79">
              <w:rPr>
                <w:b/>
              </w:rPr>
              <w:t>Region of Origin</w:t>
            </w:r>
            <w:r w:rsidR="0042722A">
              <w:rPr>
                <w:b/>
              </w:rPr>
              <w:t xml:space="preserve"> (n, %)</w:t>
            </w:r>
          </w:p>
          <w:p w:rsidR="00D97C79" w:rsidRDefault="00D97C79" w:rsidP="009300C5">
            <w:pPr>
              <w:spacing w:line="240" w:lineRule="auto"/>
              <w:ind w:firstLine="0"/>
              <w:jc w:val="left"/>
            </w:pPr>
            <w:r>
              <w:t>Eastern Africa</w:t>
            </w:r>
          </w:p>
          <w:p w:rsidR="00D97C79" w:rsidRDefault="00D97C79" w:rsidP="009300C5">
            <w:pPr>
              <w:spacing w:line="240" w:lineRule="auto"/>
              <w:ind w:firstLine="0"/>
              <w:jc w:val="left"/>
            </w:pPr>
            <w:r>
              <w:t>Middle Africa</w:t>
            </w:r>
          </w:p>
          <w:p w:rsidR="00D97C79" w:rsidRDefault="00D97C79" w:rsidP="009300C5">
            <w:pPr>
              <w:spacing w:line="240" w:lineRule="auto"/>
              <w:ind w:firstLine="0"/>
              <w:jc w:val="left"/>
            </w:pPr>
            <w:r>
              <w:t>Northern Africa</w:t>
            </w:r>
          </w:p>
          <w:p w:rsidR="00D97C79" w:rsidRDefault="00D97C79" w:rsidP="009300C5">
            <w:pPr>
              <w:spacing w:line="240" w:lineRule="auto"/>
              <w:ind w:firstLine="0"/>
              <w:jc w:val="left"/>
            </w:pPr>
            <w:r>
              <w:t>Southern Africa</w:t>
            </w:r>
          </w:p>
          <w:p w:rsidR="00D97C79" w:rsidRDefault="00D97C79" w:rsidP="009300C5">
            <w:pPr>
              <w:spacing w:line="240" w:lineRule="auto"/>
              <w:ind w:firstLine="0"/>
              <w:jc w:val="left"/>
            </w:pPr>
            <w:r>
              <w:t>Western Africa</w:t>
            </w:r>
          </w:p>
        </w:tc>
        <w:tc>
          <w:tcPr>
            <w:tcW w:w="0" w:type="auto"/>
            <w:shd w:val="clear" w:color="auto" w:fill="auto"/>
          </w:tcPr>
          <w:p w:rsidR="000B576C" w:rsidRDefault="000B576C" w:rsidP="009300C5">
            <w:pPr>
              <w:spacing w:line="240" w:lineRule="auto"/>
              <w:ind w:firstLine="0"/>
              <w:jc w:val="center"/>
            </w:pPr>
          </w:p>
          <w:p w:rsidR="00D97C79" w:rsidRDefault="00D97C79" w:rsidP="009300C5">
            <w:pPr>
              <w:spacing w:line="240" w:lineRule="auto"/>
              <w:ind w:firstLine="0"/>
              <w:jc w:val="center"/>
            </w:pPr>
            <w:r>
              <w:t>154 (71)</w:t>
            </w:r>
          </w:p>
          <w:p w:rsidR="00D97C79" w:rsidRDefault="00D97C79" w:rsidP="009300C5">
            <w:pPr>
              <w:spacing w:line="240" w:lineRule="auto"/>
              <w:ind w:firstLine="0"/>
              <w:jc w:val="center"/>
            </w:pPr>
            <w:r>
              <w:t>6 (3)</w:t>
            </w:r>
          </w:p>
          <w:p w:rsidR="00D97C79" w:rsidRDefault="00D97C79" w:rsidP="009300C5">
            <w:pPr>
              <w:spacing w:line="240" w:lineRule="auto"/>
              <w:ind w:firstLine="0"/>
              <w:jc w:val="center"/>
            </w:pPr>
            <w:r>
              <w:t>20 (9)</w:t>
            </w:r>
          </w:p>
          <w:p w:rsidR="00D97C79" w:rsidRDefault="00D97C79" w:rsidP="009300C5">
            <w:pPr>
              <w:spacing w:line="240" w:lineRule="auto"/>
              <w:ind w:firstLine="0"/>
              <w:jc w:val="center"/>
            </w:pPr>
            <w:r>
              <w:t>5 (</w:t>
            </w:r>
            <w:r w:rsidR="00FD364E">
              <w:t>2</w:t>
            </w:r>
            <w:r>
              <w:t>)</w:t>
            </w:r>
          </w:p>
          <w:p w:rsidR="00D97C79" w:rsidRDefault="00D97C79" w:rsidP="009300C5">
            <w:pPr>
              <w:spacing w:line="240" w:lineRule="auto"/>
              <w:ind w:firstLine="0"/>
              <w:jc w:val="center"/>
            </w:pPr>
            <w:r>
              <w:t>34 (16)</w:t>
            </w:r>
          </w:p>
        </w:tc>
        <w:tc>
          <w:tcPr>
            <w:tcW w:w="0" w:type="auto"/>
            <w:shd w:val="clear" w:color="auto" w:fill="auto"/>
          </w:tcPr>
          <w:p w:rsidR="000B576C" w:rsidRDefault="000B576C" w:rsidP="009300C5">
            <w:pPr>
              <w:spacing w:line="240" w:lineRule="auto"/>
              <w:ind w:firstLine="0"/>
              <w:jc w:val="center"/>
            </w:pPr>
          </w:p>
          <w:p w:rsidR="00D97C79" w:rsidRDefault="00D97C79" w:rsidP="009300C5">
            <w:pPr>
              <w:spacing w:line="240" w:lineRule="auto"/>
              <w:ind w:firstLine="0"/>
              <w:jc w:val="center"/>
            </w:pPr>
            <w:r>
              <w:t>149 (75)</w:t>
            </w:r>
          </w:p>
          <w:p w:rsidR="00D97C79" w:rsidRDefault="00D97C79" w:rsidP="009300C5">
            <w:pPr>
              <w:spacing w:line="240" w:lineRule="auto"/>
              <w:ind w:firstLine="0"/>
              <w:jc w:val="center"/>
            </w:pPr>
            <w:r>
              <w:t>6 (3)</w:t>
            </w:r>
          </w:p>
          <w:p w:rsidR="00D97C79" w:rsidRDefault="00D97C79" w:rsidP="009300C5">
            <w:pPr>
              <w:spacing w:line="240" w:lineRule="auto"/>
              <w:ind w:firstLine="0"/>
              <w:jc w:val="center"/>
            </w:pPr>
            <w:r>
              <w:t>11 (5)</w:t>
            </w:r>
          </w:p>
          <w:p w:rsidR="00D97C79" w:rsidRDefault="00D97C79" w:rsidP="009300C5">
            <w:pPr>
              <w:spacing w:line="240" w:lineRule="auto"/>
              <w:ind w:firstLine="0"/>
              <w:jc w:val="center"/>
            </w:pPr>
            <w:r>
              <w:t>5 (2)</w:t>
            </w:r>
          </w:p>
          <w:p w:rsidR="00D97C79" w:rsidRDefault="00D97C79" w:rsidP="009300C5">
            <w:pPr>
              <w:spacing w:line="240" w:lineRule="auto"/>
              <w:ind w:firstLine="0"/>
              <w:jc w:val="center"/>
            </w:pPr>
            <w:r>
              <w:t>30 (15)</w:t>
            </w:r>
          </w:p>
        </w:tc>
        <w:tc>
          <w:tcPr>
            <w:tcW w:w="0" w:type="auto"/>
          </w:tcPr>
          <w:p w:rsidR="000B576C" w:rsidRDefault="000B576C" w:rsidP="009300C5">
            <w:pPr>
              <w:spacing w:line="240" w:lineRule="auto"/>
              <w:ind w:firstLine="0"/>
              <w:jc w:val="center"/>
            </w:pPr>
          </w:p>
          <w:p w:rsidR="00D97C79" w:rsidRDefault="00D97C79" w:rsidP="009300C5">
            <w:pPr>
              <w:spacing w:line="240" w:lineRule="auto"/>
              <w:ind w:firstLine="0"/>
              <w:jc w:val="center"/>
            </w:pPr>
            <w:r>
              <w:t>301 (72)</w:t>
            </w:r>
          </w:p>
          <w:p w:rsidR="00D97C79" w:rsidRDefault="00D97C79" w:rsidP="009300C5">
            <w:pPr>
              <w:spacing w:line="240" w:lineRule="auto"/>
              <w:ind w:firstLine="0"/>
              <w:jc w:val="center"/>
            </w:pPr>
            <w:r>
              <w:t>12 (3)</w:t>
            </w:r>
          </w:p>
          <w:p w:rsidR="00D97C79" w:rsidRDefault="00D97C79" w:rsidP="009300C5">
            <w:pPr>
              <w:spacing w:line="240" w:lineRule="auto"/>
              <w:ind w:firstLine="0"/>
              <w:jc w:val="center"/>
            </w:pPr>
            <w:r>
              <w:t>31 (7)</w:t>
            </w:r>
          </w:p>
          <w:p w:rsidR="00D97C79" w:rsidRDefault="00D97C79" w:rsidP="009300C5">
            <w:pPr>
              <w:spacing w:line="240" w:lineRule="auto"/>
              <w:ind w:firstLine="0"/>
              <w:jc w:val="center"/>
            </w:pPr>
            <w:r>
              <w:t>10 (2)</w:t>
            </w:r>
          </w:p>
          <w:p w:rsidR="00D97C79" w:rsidRDefault="00D97C79" w:rsidP="009300C5">
            <w:pPr>
              <w:spacing w:line="240" w:lineRule="auto"/>
              <w:ind w:firstLine="0"/>
              <w:jc w:val="center"/>
            </w:pPr>
            <w:r>
              <w:t>64 (15)</w:t>
            </w:r>
          </w:p>
        </w:tc>
      </w:tr>
      <w:tr w:rsidR="000B576C" w:rsidTr="0096233E">
        <w:trPr>
          <w:jc w:val="center"/>
        </w:trPr>
        <w:tc>
          <w:tcPr>
            <w:tcW w:w="0" w:type="auto"/>
            <w:shd w:val="clear" w:color="auto" w:fill="auto"/>
          </w:tcPr>
          <w:p w:rsidR="000B576C" w:rsidRPr="00D97C79" w:rsidRDefault="00D97C79" w:rsidP="009300C5">
            <w:pPr>
              <w:spacing w:line="240" w:lineRule="auto"/>
              <w:ind w:firstLine="0"/>
              <w:jc w:val="left"/>
              <w:rPr>
                <w:b/>
              </w:rPr>
            </w:pPr>
            <w:r>
              <w:rPr>
                <w:b/>
              </w:rPr>
              <w:t xml:space="preserve">Highest </w:t>
            </w:r>
            <w:r w:rsidR="00B20E1A" w:rsidRPr="00D97C79">
              <w:rPr>
                <w:b/>
              </w:rPr>
              <w:t>Education</w:t>
            </w:r>
            <w:r>
              <w:rPr>
                <w:b/>
              </w:rPr>
              <w:t xml:space="preserve"> Completed</w:t>
            </w:r>
            <w:r w:rsidR="00FD364E">
              <w:rPr>
                <w:b/>
              </w:rPr>
              <w:t xml:space="preserve"> (n,%)</w:t>
            </w:r>
            <w:r>
              <w:rPr>
                <w:b/>
              </w:rPr>
              <w:t xml:space="preserve"> </w:t>
            </w:r>
          </w:p>
          <w:p w:rsidR="00D97C79" w:rsidRDefault="00D97C79" w:rsidP="009300C5">
            <w:pPr>
              <w:spacing w:line="240" w:lineRule="auto"/>
              <w:ind w:firstLine="0"/>
              <w:jc w:val="left"/>
            </w:pPr>
            <w:r>
              <w:t xml:space="preserve">Primary </w:t>
            </w:r>
          </w:p>
          <w:p w:rsidR="00D97C79" w:rsidRDefault="00D97C79" w:rsidP="009300C5">
            <w:pPr>
              <w:spacing w:line="240" w:lineRule="auto"/>
              <w:ind w:firstLine="0"/>
              <w:jc w:val="left"/>
            </w:pPr>
            <w:r>
              <w:t>Secondary</w:t>
            </w:r>
          </w:p>
          <w:p w:rsidR="00D97C79" w:rsidRDefault="00D97C79" w:rsidP="009300C5">
            <w:pPr>
              <w:spacing w:line="240" w:lineRule="auto"/>
              <w:ind w:firstLine="0"/>
              <w:jc w:val="left"/>
            </w:pPr>
            <w:r>
              <w:t>High School or Equivalent</w:t>
            </w:r>
          </w:p>
          <w:p w:rsidR="00D97C79" w:rsidRDefault="00D97C79" w:rsidP="009300C5">
            <w:pPr>
              <w:spacing w:line="240" w:lineRule="auto"/>
              <w:ind w:firstLine="0"/>
              <w:jc w:val="left"/>
            </w:pPr>
            <w:r>
              <w:t>Some College</w:t>
            </w:r>
          </w:p>
          <w:p w:rsidR="00D97C79" w:rsidRDefault="00D97C79" w:rsidP="009300C5">
            <w:pPr>
              <w:spacing w:line="240" w:lineRule="auto"/>
              <w:ind w:firstLine="0"/>
              <w:jc w:val="left"/>
            </w:pPr>
            <w:r>
              <w:t>College Degree</w:t>
            </w:r>
          </w:p>
          <w:p w:rsidR="00D97C79" w:rsidRDefault="00D97C79" w:rsidP="009300C5">
            <w:pPr>
              <w:spacing w:line="240" w:lineRule="auto"/>
              <w:ind w:firstLine="0"/>
              <w:jc w:val="left"/>
            </w:pPr>
            <w:r>
              <w:t>Graduate/Professional Degree</w:t>
            </w:r>
          </w:p>
        </w:tc>
        <w:tc>
          <w:tcPr>
            <w:tcW w:w="0" w:type="auto"/>
            <w:shd w:val="clear" w:color="auto" w:fill="auto"/>
          </w:tcPr>
          <w:p w:rsidR="000B576C" w:rsidRDefault="000B576C" w:rsidP="009300C5">
            <w:pPr>
              <w:spacing w:line="240" w:lineRule="auto"/>
              <w:ind w:firstLine="0"/>
              <w:jc w:val="center"/>
            </w:pPr>
          </w:p>
          <w:p w:rsidR="00D97C79" w:rsidRDefault="00D97C79" w:rsidP="009300C5">
            <w:pPr>
              <w:spacing w:line="240" w:lineRule="auto"/>
              <w:ind w:firstLine="0"/>
              <w:jc w:val="center"/>
            </w:pPr>
            <w:r>
              <w:t>18 (9)</w:t>
            </w:r>
          </w:p>
          <w:p w:rsidR="00D97C79" w:rsidRDefault="00D97C79" w:rsidP="009300C5">
            <w:pPr>
              <w:spacing w:line="240" w:lineRule="auto"/>
              <w:ind w:firstLine="0"/>
              <w:jc w:val="center"/>
            </w:pPr>
            <w:r>
              <w:t>20 (9)</w:t>
            </w:r>
          </w:p>
          <w:p w:rsidR="00D97C79" w:rsidRDefault="00D97C79" w:rsidP="009300C5">
            <w:pPr>
              <w:spacing w:line="240" w:lineRule="auto"/>
              <w:ind w:firstLine="0"/>
              <w:jc w:val="center"/>
            </w:pPr>
            <w:r>
              <w:t>81 (38)</w:t>
            </w:r>
          </w:p>
          <w:p w:rsidR="00D97C79" w:rsidRDefault="00B06B4B" w:rsidP="009300C5">
            <w:pPr>
              <w:spacing w:line="240" w:lineRule="auto"/>
              <w:ind w:firstLine="0"/>
              <w:jc w:val="center"/>
            </w:pPr>
            <w:r>
              <w:t>23 (11)</w:t>
            </w:r>
          </w:p>
          <w:p w:rsidR="00B06B4B" w:rsidRDefault="00B06B4B" w:rsidP="009300C5">
            <w:pPr>
              <w:spacing w:line="240" w:lineRule="auto"/>
              <w:ind w:firstLine="0"/>
              <w:jc w:val="center"/>
            </w:pPr>
            <w:r>
              <w:t>39 (18)</w:t>
            </w:r>
          </w:p>
          <w:p w:rsidR="00B06B4B" w:rsidRDefault="00B06B4B" w:rsidP="009300C5">
            <w:pPr>
              <w:spacing w:line="240" w:lineRule="auto"/>
              <w:ind w:firstLine="0"/>
              <w:jc w:val="center"/>
            </w:pPr>
            <w:r>
              <w:t>31 (15)</w:t>
            </w:r>
          </w:p>
        </w:tc>
        <w:tc>
          <w:tcPr>
            <w:tcW w:w="0" w:type="auto"/>
            <w:shd w:val="clear" w:color="auto" w:fill="auto"/>
          </w:tcPr>
          <w:p w:rsidR="000B576C" w:rsidRDefault="000B576C" w:rsidP="009300C5">
            <w:pPr>
              <w:spacing w:line="240" w:lineRule="auto"/>
              <w:ind w:firstLine="0"/>
              <w:jc w:val="center"/>
            </w:pPr>
          </w:p>
          <w:p w:rsidR="00B06B4B" w:rsidRDefault="00B06B4B" w:rsidP="009300C5">
            <w:pPr>
              <w:spacing w:line="240" w:lineRule="auto"/>
              <w:ind w:firstLine="0"/>
              <w:jc w:val="center"/>
            </w:pPr>
            <w:r>
              <w:t>17 (9)</w:t>
            </w:r>
          </w:p>
          <w:p w:rsidR="00B06B4B" w:rsidRDefault="00B06B4B" w:rsidP="009300C5">
            <w:pPr>
              <w:spacing w:line="240" w:lineRule="auto"/>
              <w:ind w:firstLine="0"/>
              <w:jc w:val="center"/>
            </w:pPr>
            <w:r>
              <w:t>25 (13)</w:t>
            </w:r>
          </w:p>
          <w:p w:rsidR="00B06B4B" w:rsidRDefault="00B06B4B" w:rsidP="009300C5">
            <w:pPr>
              <w:spacing w:line="240" w:lineRule="auto"/>
              <w:ind w:firstLine="0"/>
              <w:jc w:val="center"/>
            </w:pPr>
            <w:r>
              <w:t>70 (37)</w:t>
            </w:r>
          </w:p>
          <w:p w:rsidR="00B06B4B" w:rsidRDefault="00B06B4B" w:rsidP="009300C5">
            <w:pPr>
              <w:spacing w:line="240" w:lineRule="auto"/>
              <w:ind w:firstLine="0"/>
              <w:jc w:val="center"/>
            </w:pPr>
            <w:r>
              <w:t>21 (11)</w:t>
            </w:r>
          </w:p>
          <w:p w:rsidR="00B06B4B" w:rsidRDefault="00B06B4B" w:rsidP="009300C5">
            <w:pPr>
              <w:spacing w:line="240" w:lineRule="auto"/>
              <w:ind w:firstLine="0"/>
              <w:jc w:val="center"/>
            </w:pPr>
            <w:r>
              <w:t>39 (21)</w:t>
            </w:r>
          </w:p>
          <w:p w:rsidR="00B06B4B" w:rsidRDefault="00B06B4B" w:rsidP="009300C5">
            <w:pPr>
              <w:spacing w:line="240" w:lineRule="auto"/>
              <w:ind w:firstLine="0"/>
              <w:jc w:val="center"/>
            </w:pPr>
            <w:r>
              <w:t>13 (7)</w:t>
            </w:r>
          </w:p>
        </w:tc>
        <w:tc>
          <w:tcPr>
            <w:tcW w:w="0" w:type="auto"/>
          </w:tcPr>
          <w:p w:rsidR="000B576C" w:rsidRDefault="000B576C" w:rsidP="009300C5">
            <w:pPr>
              <w:spacing w:line="240" w:lineRule="auto"/>
              <w:ind w:firstLine="0"/>
              <w:jc w:val="center"/>
            </w:pPr>
          </w:p>
          <w:p w:rsidR="00B06B4B" w:rsidRDefault="00B06B4B" w:rsidP="009300C5">
            <w:pPr>
              <w:spacing w:line="240" w:lineRule="auto"/>
              <w:ind w:firstLine="0"/>
              <w:jc w:val="center"/>
            </w:pPr>
            <w:r>
              <w:t>35 (9)</w:t>
            </w:r>
          </w:p>
          <w:p w:rsidR="00B06B4B" w:rsidRDefault="00B06B4B" w:rsidP="009300C5">
            <w:pPr>
              <w:spacing w:line="240" w:lineRule="auto"/>
              <w:ind w:firstLine="0"/>
              <w:jc w:val="center"/>
            </w:pPr>
            <w:r>
              <w:t>45 (11)</w:t>
            </w:r>
          </w:p>
          <w:p w:rsidR="00B06B4B" w:rsidRDefault="00B06B4B" w:rsidP="009300C5">
            <w:pPr>
              <w:spacing w:line="240" w:lineRule="auto"/>
              <w:ind w:firstLine="0"/>
              <w:jc w:val="center"/>
            </w:pPr>
            <w:r>
              <w:t>151 (38)</w:t>
            </w:r>
          </w:p>
          <w:p w:rsidR="00B06B4B" w:rsidRDefault="00B06B4B" w:rsidP="009300C5">
            <w:pPr>
              <w:spacing w:line="240" w:lineRule="auto"/>
              <w:ind w:firstLine="0"/>
              <w:jc w:val="center"/>
            </w:pPr>
            <w:r>
              <w:t>44 (11)</w:t>
            </w:r>
          </w:p>
          <w:p w:rsidR="00B06B4B" w:rsidRDefault="00B06B4B" w:rsidP="009300C5">
            <w:pPr>
              <w:spacing w:line="240" w:lineRule="auto"/>
              <w:ind w:firstLine="0"/>
              <w:jc w:val="center"/>
            </w:pPr>
            <w:r>
              <w:t>78 (20)</w:t>
            </w:r>
          </w:p>
          <w:p w:rsidR="00B06B4B" w:rsidRDefault="00B06B4B" w:rsidP="009300C5">
            <w:pPr>
              <w:spacing w:line="240" w:lineRule="auto"/>
              <w:ind w:firstLine="0"/>
              <w:jc w:val="center"/>
            </w:pPr>
            <w:r>
              <w:t>44 (11)</w:t>
            </w:r>
          </w:p>
        </w:tc>
      </w:tr>
      <w:tr w:rsidR="00B20E1A" w:rsidTr="0096233E">
        <w:trPr>
          <w:jc w:val="center"/>
        </w:trPr>
        <w:tc>
          <w:tcPr>
            <w:tcW w:w="0" w:type="auto"/>
            <w:shd w:val="clear" w:color="auto" w:fill="auto"/>
          </w:tcPr>
          <w:p w:rsidR="00B20E1A" w:rsidRDefault="00B20E1A" w:rsidP="009300C5">
            <w:pPr>
              <w:spacing w:line="240" w:lineRule="auto"/>
              <w:ind w:firstLine="0"/>
              <w:jc w:val="left"/>
              <w:rPr>
                <w:b/>
              </w:rPr>
            </w:pPr>
            <w:r w:rsidRPr="00D97C79">
              <w:rPr>
                <w:b/>
              </w:rPr>
              <w:t>Religion</w:t>
            </w:r>
            <w:r w:rsidR="00FD364E">
              <w:rPr>
                <w:b/>
              </w:rPr>
              <w:t xml:space="preserve"> (n,%)</w:t>
            </w:r>
          </w:p>
          <w:p w:rsidR="00D97C79" w:rsidRDefault="00D97C79" w:rsidP="009300C5">
            <w:pPr>
              <w:spacing w:line="240" w:lineRule="auto"/>
              <w:ind w:firstLine="0"/>
              <w:jc w:val="left"/>
            </w:pPr>
            <w:r>
              <w:t>Christianity</w:t>
            </w:r>
          </w:p>
          <w:p w:rsidR="00D97C79" w:rsidRDefault="00D97C79" w:rsidP="009300C5">
            <w:pPr>
              <w:spacing w:line="240" w:lineRule="auto"/>
              <w:ind w:firstLine="0"/>
              <w:jc w:val="left"/>
            </w:pPr>
            <w:r>
              <w:t>Islam</w:t>
            </w:r>
          </w:p>
          <w:p w:rsidR="00D97C79" w:rsidRPr="00D97C79" w:rsidRDefault="00D97C79" w:rsidP="009300C5">
            <w:pPr>
              <w:spacing w:line="240" w:lineRule="auto"/>
              <w:ind w:firstLine="0"/>
              <w:jc w:val="left"/>
            </w:pPr>
            <w:r>
              <w:t>Other</w:t>
            </w:r>
          </w:p>
        </w:tc>
        <w:tc>
          <w:tcPr>
            <w:tcW w:w="0" w:type="auto"/>
            <w:shd w:val="clear" w:color="auto" w:fill="auto"/>
          </w:tcPr>
          <w:p w:rsidR="00B20E1A" w:rsidRDefault="00B20E1A" w:rsidP="009300C5">
            <w:pPr>
              <w:spacing w:line="240" w:lineRule="auto"/>
              <w:ind w:firstLine="0"/>
              <w:jc w:val="center"/>
            </w:pPr>
          </w:p>
          <w:p w:rsidR="00B06B4B" w:rsidRDefault="00B06B4B" w:rsidP="009300C5">
            <w:pPr>
              <w:spacing w:line="240" w:lineRule="auto"/>
              <w:ind w:firstLine="0"/>
              <w:jc w:val="center"/>
            </w:pPr>
            <w:r>
              <w:t>108 (49)</w:t>
            </w:r>
          </w:p>
          <w:p w:rsidR="00B06B4B" w:rsidRDefault="00B06B4B" w:rsidP="009300C5">
            <w:pPr>
              <w:spacing w:line="240" w:lineRule="auto"/>
              <w:ind w:firstLine="0"/>
              <w:jc w:val="center"/>
            </w:pPr>
            <w:r>
              <w:t>100 (46)</w:t>
            </w:r>
          </w:p>
          <w:p w:rsidR="00B06B4B" w:rsidRDefault="00B06B4B" w:rsidP="009300C5">
            <w:pPr>
              <w:spacing w:line="240" w:lineRule="auto"/>
              <w:ind w:firstLine="0"/>
              <w:jc w:val="center"/>
            </w:pPr>
            <w:r>
              <w:t>11 (5)</w:t>
            </w:r>
          </w:p>
        </w:tc>
        <w:tc>
          <w:tcPr>
            <w:tcW w:w="0" w:type="auto"/>
            <w:shd w:val="clear" w:color="auto" w:fill="auto"/>
          </w:tcPr>
          <w:p w:rsidR="00B20E1A" w:rsidRDefault="00B20E1A" w:rsidP="009300C5">
            <w:pPr>
              <w:spacing w:line="240" w:lineRule="auto"/>
              <w:ind w:firstLine="0"/>
              <w:jc w:val="center"/>
            </w:pPr>
          </w:p>
          <w:p w:rsidR="00B06B4B" w:rsidRDefault="00B06B4B" w:rsidP="009300C5">
            <w:pPr>
              <w:spacing w:line="240" w:lineRule="auto"/>
              <w:ind w:firstLine="0"/>
              <w:jc w:val="center"/>
            </w:pPr>
            <w:r>
              <w:t>105 (52)</w:t>
            </w:r>
          </w:p>
          <w:p w:rsidR="00B06B4B" w:rsidRDefault="00B06B4B" w:rsidP="009300C5">
            <w:pPr>
              <w:spacing w:line="240" w:lineRule="auto"/>
              <w:ind w:firstLine="0"/>
              <w:jc w:val="center"/>
            </w:pPr>
            <w:r>
              <w:t>92 (46)</w:t>
            </w:r>
          </w:p>
          <w:p w:rsidR="00B06B4B" w:rsidRDefault="00B06B4B" w:rsidP="009300C5">
            <w:pPr>
              <w:spacing w:line="240" w:lineRule="auto"/>
              <w:ind w:firstLine="0"/>
              <w:jc w:val="center"/>
            </w:pPr>
            <w:r>
              <w:t>4 (2)</w:t>
            </w:r>
          </w:p>
        </w:tc>
        <w:tc>
          <w:tcPr>
            <w:tcW w:w="0" w:type="auto"/>
          </w:tcPr>
          <w:p w:rsidR="00B20E1A" w:rsidRDefault="00B20E1A" w:rsidP="009300C5">
            <w:pPr>
              <w:spacing w:line="240" w:lineRule="auto"/>
              <w:ind w:firstLine="0"/>
              <w:jc w:val="center"/>
            </w:pPr>
          </w:p>
          <w:p w:rsidR="00B06B4B" w:rsidRDefault="00B06B4B" w:rsidP="009300C5">
            <w:pPr>
              <w:spacing w:line="240" w:lineRule="auto"/>
              <w:ind w:firstLine="0"/>
              <w:jc w:val="center"/>
            </w:pPr>
            <w:r>
              <w:t>213 (51)</w:t>
            </w:r>
          </w:p>
          <w:p w:rsidR="00B06B4B" w:rsidRDefault="00B06B4B" w:rsidP="009300C5">
            <w:pPr>
              <w:spacing w:line="240" w:lineRule="auto"/>
              <w:ind w:firstLine="0"/>
              <w:jc w:val="center"/>
            </w:pPr>
            <w:r>
              <w:t>192 (46)</w:t>
            </w:r>
          </w:p>
          <w:p w:rsidR="00B06B4B" w:rsidRDefault="00B06B4B" w:rsidP="009300C5">
            <w:pPr>
              <w:spacing w:line="240" w:lineRule="auto"/>
              <w:ind w:firstLine="0"/>
              <w:jc w:val="center"/>
            </w:pPr>
            <w:r>
              <w:t>15 (3)</w:t>
            </w:r>
          </w:p>
        </w:tc>
      </w:tr>
    </w:tbl>
    <w:p w:rsidR="000B576C" w:rsidRPr="000B576C" w:rsidRDefault="000B576C" w:rsidP="00D97C79">
      <w:pPr>
        <w:spacing w:line="240" w:lineRule="auto"/>
      </w:pPr>
    </w:p>
    <w:p w:rsidR="00FE6D46" w:rsidRDefault="00774AA9" w:rsidP="00104B9B">
      <w:pPr>
        <w:pStyle w:val="Heading2"/>
      </w:pPr>
      <w:bookmarkStart w:id="11" w:name="_Toc15393988"/>
      <w:r>
        <w:rPr>
          <w:caps w:val="0"/>
        </w:rPr>
        <w:t>Rates</w:t>
      </w:r>
      <w:r w:rsidR="009C28A7">
        <w:rPr>
          <w:caps w:val="0"/>
        </w:rPr>
        <w:t xml:space="preserve"> of </w:t>
      </w:r>
      <w:r>
        <w:rPr>
          <w:caps w:val="0"/>
        </w:rPr>
        <w:t>Psychiatric Disorders</w:t>
      </w:r>
      <w:bookmarkEnd w:id="11"/>
    </w:p>
    <w:p w:rsidR="00F54701" w:rsidRDefault="00164BE3" w:rsidP="00F54701">
      <w:pPr>
        <w:pStyle w:val="Noindent"/>
        <w:ind w:firstLine="720"/>
      </w:pPr>
      <w:r>
        <w:t xml:space="preserve">Twenty percent of the sample reported symptoms in the clinical range for depression using </w:t>
      </w:r>
      <w:r w:rsidR="00F54701">
        <w:t xml:space="preserve">the </w:t>
      </w:r>
      <w:r w:rsidR="00233E9F">
        <w:t>Hopkins Symptoms Checklist</w:t>
      </w:r>
      <w:r w:rsidR="00F54701">
        <w:t xml:space="preserve">. </w:t>
      </w:r>
      <w:r w:rsidR="00B54624">
        <w:t xml:space="preserve">Post-Traumatic </w:t>
      </w:r>
      <w:r w:rsidR="00F54701">
        <w:t>S</w:t>
      </w:r>
      <w:r w:rsidR="00B54624">
        <w:t xml:space="preserve">tress </w:t>
      </w:r>
      <w:r w:rsidR="00F54701">
        <w:t>D</w:t>
      </w:r>
      <w:r w:rsidR="00B54624">
        <w:t>isorder</w:t>
      </w:r>
      <w:r w:rsidR="00F54701">
        <w:t xml:space="preserve"> symptomatology and functional impairment was reported by 47% of the participants</w:t>
      </w:r>
      <w:r w:rsidR="00E671CE">
        <w:t xml:space="preserve">. </w:t>
      </w:r>
      <w:r w:rsidR="0096096B">
        <w:t xml:space="preserve">A </w:t>
      </w:r>
      <w:r w:rsidR="007C46C6">
        <w:t>binomial regression</w:t>
      </w:r>
      <w:r w:rsidR="00784B7A">
        <w:t xml:space="preserve"> </w:t>
      </w:r>
      <w:r w:rsidR="00565F78" w:rsidRPr="00565F78">
        <w:t xml:space="preserve">model with age, gender, religion, country of origin, and length of residence in Sweden were entered into a </w:t>
      </w:r>
      <w:r w:rsidR="00565F78" w:rsidRPr="00565F78">
        <w:lastRenderedPageBreak/>
        <w:t>multivariate model and</w:t>
      </w:r>
      <w:r w:rsidR="000E5418">
        <w:t xml:space="preserve"> a </w:t>
      </w:r>
      <w:r w:rsidR="000E5418" w:rsidRPr="0077639E">
        <w:t xml:space="preserve">shorter </w:t>
      </w:r>
      <w:r w:rsidR="00565F78" w:rsidRPr="0077639E">
        <w:t>duration of residence in Sweden was found to be a significant predictor of PTSD</w:t>
      </w:r>
      <w:r w:rsidR="00D3668B" w:rsidRPr="0077639E">
        <w:t xml:space="preserve"> symptoms</w:t>
      </w:r>
      <w:r w:rsidR="00565F78" w:rsidRPr="0077639E">
        <w:t xml:space="preserve"> and depressi</w:t>
      </w:r>
      <w:r w:rsidR="00D3668B" w:rsidRPr="0077639E">
        <w:t>ve symptoms</w:t>
      </w:r>
      <w:r w:rsidR="00EA4FF6" w:rsidRPr="0077639E">
        <w:t>, as seen in Table 2</w:t>
      </w:r>
      <w:r w:rsidR="00565F78" w:rsidRPr="0077639E">
        <w:t>.</w:t>
      </w:r>
      <w:r w:rsidR="00565F78" w:rsidRPr="00565F78">
        <w:t xml:space="preserve"> </w:t>
      </w:r>
    </w:p>
    <w:p w:rsidR="00EA4FF6" w:rsidRPr="009300C5" w:rsidRDefault="00EA4FF6" w:rsidP="00EA4FF6">
      <w:pPr>
        <w:spacing w:line="240" w:lineRule="auto"/>
      </w:pPr>
    </w:p>
    <w:p w:rsidR="00EA4FF6" w:rsidRPr="009300C5" w:rsidRDefault="00EA4FF6" w:rsidP="00EA4FF6">
      <w:pPr>
        <w:pStyle w:val="Caption"/>
        <w:ind w:firstLine="270"/>
        <w:jc w:val="center"/>
      </w:pPr>
      <w:bookmarkStart w:id="12" w:name="_Toc15394127"/>
      <w:r>
        <w:t xml:space="preserve">Table </w:t>
      </w:r>
      <w:r w:rsidR="00D97CBF">
        <w:rPr>
          <w:noProof/>
        </w:rPr>
        <w:fldChar w:fldCharType="begin"/>
      </w:r>
      <w:r w:rsidR="00D97CBF">
        <w:rPr>
          <w:noProof/>
        </w:rPr>
        <w:instrText xml:space="preserve"> SEQ Table \* ARABIC </w:instrText>
      </w:r>
      <w:r w:rsidR="00D97CBF">
        <w:rPr>
          <w:noProof/>
        </w:rPr>
        <w:fldChar w:fldCharType="separate"/>
      </w:r>
      <w:r w:rsidR="00546064">
        <w:rPr>
          <w:noProof/>
        </w:rPr>
        <w:t>2</w:t>
      </w:r>
      <w:r w:rsidR="00D97CBF">
        <w:rPr>
          <w:noProof/>
        </w:rPr>
        <w:fldChar w:fldCharType="end"/>
      </w:r>
      <w:r>
        <w:t>. Binomial Regression</w:t>
      </w:r>
      <w:r w:rsidR="00604998">
        <w:t xml:space="preserve"> for</w:t>
      </w:r>
      <w:r>
        <w:t xml:space="preserve"> </w:t>
      </w:r>
      <w:r w:rsidR="002E3FA7">
        <w:t xml:space="preserve">Depression </w:t>
      </w:r>
      <w:r w:rsidR="00604998">
        <w:t xml:space="preserve">and PTSD </w:t>
      </w:r>
      <w:r w:rsidR="002E3FA7">
        <w:t>Symptoms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990"/>
        <w:gridCol w:w="1080"/>
        <w:gridCol w:w="900"/>
        <w:gridCol w:w="852"/>
        <w:gridCol w:w="810"/>
        <w:gridCol w:w="858"/>
      </w:tblGrid>
      <w:tr w:rsidR="00604998" w:rsidTr="00604998">
        <w:trPr>
          <w:jc w:val="center"/>
        </w:trPr>
        <w:tc>
          <w:tcPr>
            <w:tcW w:w="2707" w:type="dxa"/>
            <w:shd w:val="clear" w:color="auto" w:fill="auto"/>
          </w:tcPr>
          <w:p w:rsidR="00604998" w:rsidRDefault="00604998" w:rsidP="00F20FAC">
            <w:pPr>
              <w:spacing w:line="240" w:lineRule="auto"/>
              <w:ind w:firstLine="0"/>
              <w:jc w:val="center"/>
            </w:pPr>
          </w:p>
        </w:tc>
        <w:tc>
          <w:tcPr>
            <w:tcW w:w="2970" w:type="dxa"/>
            <w:gridSpan w:val="3"/>
            <w:shd w:val="clear" w:color="auto" w:fill="auto"/>
          </w:tcPr>
          <w:p w:rsidR="00604998" w:rsidRPr="00604998" w:rsidRDefault="00604998" w:rsidP="00F20FAC">
            <w:pPr>
              <w:spacing w:line="240" w:lineRule="auto"/>
              <w:ind w:firstLine="0"/>
              <w:jc w:val="center"/>
              <w:rPr>
                <w:b/>
                <w:sz w:val="28"/>
              </w:rPr>
            </w:pPr>
            <w:r w:rsidRPr="00604998">
              <w:rPr>
                <w:b/>
                <w:sz w:val="28"/>
              </w:rPr>
              <w:t>Depressive Symptoms</w:t>
            </w:r>
          </w:p>
        </w:tc>
        <w:tc>
          <w:tcPr>
            <w:tcW w:w="2520" w:type="dxa"/>
            <w:gridSpan w:val="3"/>
          </w:tcPr>
          <w:p w:rsidR="00604998" w:rsidRPr="00604998" w:rsidRDefault="00604998" w:rsidP="00F20FAC">
            <w:pPr>
              <w:spacing w:line="240" w:lineRule="auto"/>
              <w:ind w:firstLine="0"/>
              <w:jc w:val="center"/>
              <w:rPr>
                <w:b/>
                <w:sz w:val="28"/>
              </w:rPr>
            </w:pPr>
            <w:r w:rsidRPr="00604998">
              <w:rPr>
                <w:b/>
                <w:sz w:val="28"/>
              </w:rPr>
              <w:t>PTSD Symptoms</w:t>
            </w:r>
          </w:p>
        </w:tc>
      </w:tr>
      <w:tr w:rsidR="00604998" w:rsidTr="00604998">
        <w:trPr>
          <w:jc w:val="center"/>
        </w:trPr>
        <w:tc>
          <w:tcPr>
            <w:tcW w:w="2707" w:type="dxa"/>
            <w:shd w:val="clear" w:color="auto" w:fill="auto"/>
          </w:tcPr>
          <w:p w:rsidR="00604998" w:rsidRDefault="00604998" w:rsidP="00C50F6E">
            <w:pPr>
              <w:spacing w:line="360" w:lineRule="auto"/>
              <w:ind w:firstLine="0"/>
              <w:jc w:val="center"/>
            </w:pPr>
          </w:p>
        </w:tc>
        <w:tc>
          <w:tcPr>
            <w:tcW w:w="990" w:type="dxa"/>
            <w:shd w:val="clear" w:color="auto" w:fill="auto"/>
          </w:tcPr>
          <w:p w:rsidR="00604998" w:rsidRDefault="00604998" w:rsidP="00C50F6E">
            <w:pPr>
              <w:spacing w:line="360" w:lineRule="auto"/>
              <w:ind w:firstLine="0"/>
              <w:jc w:val="center"/>
            </w:pPr>
            <w:r>
              <w:t>B</w:t>
            </w:r>
          </w:p>
        </w:tc>
        <w:tc>
          <w:tcPr>
            <w:tcW w:w="1080" w:type="dxa"/>
            <w:shd w:val="clear" w:color="auto" w:fill="auto"/>
          </w:tcPr>
          <w:p w:rsidR="00604998" w:rsidRDefault="00604998" w:rsidP="00C50F6E">
            <w:pPr>
              <w:spacing w:line="360" w:lineRule="auto"/>
              <w:ind w:firstLine="0"/>
              <w:jc w:val="center"/>
            </w:pPr>
            <w:r>
              <w:t>SE</w:t>
            </w:r>
          </w:p>
        </w:tc>
        <w:tc>
          <w:tcPr>
            <w:tcW w:w="900" w:type="dxa"/>
          </w:tcPr>
          <w:p w:rsidR="00604998" w:rsidRDefault="00604998" w:rsidP="00C50F6E">
            <w:pPr>
              <w:spacing w:line="360" w:lineRule="auto"/>
              <w:ind w:firstLine="0"/>
              <w:jc w:val="center"/>
            </w:pPr>
            <w:r>
              <w:t>p</w:t>
            </w:r>
          </w:p>
        </w:tc>
        <w:tc>
          <w:tcPr>
            <w:tcW w:w="852" w:type="dxa"/>
          </w:tcPr>
          <w:p w:rsidR="00604998" w:rsidRDefault="00604998" w:rsidP="00C50F6E">
            <w:pPr>
              <w:spacing w:line="360" w:lineRule="auto"/>
              <w:ind w:firstLine="0"/>
              <w:jc w:val="center"/>
            </w:pPr>
            <w:r>
              <w:t>B</w:t>
            </w:r>
          </w:p>
        </w:tc>
        <w:tc>
          <w:tcPr>
            <w:tcW w:w="810" w:type="dxa"/>
          </w:tcPr>
          <w:p w:rsidR="00604998" w:rsidRDefault="00604998" w:rsidP="00C50F6E">
            <w:pPr>
              <w:spacing w:line="360" w:lineRule="auto"/>
              <w:ind w:firstLine="0"/>
              <w:jc w:val="center"/>
            </w:pPr>
            <w:r>
              <w:t>SE</w:t>
            </w:r>
          </w:p>
        </w:tc>
        <w:tc>
          <w:tcPr>
            <w:tcW w:w="858" w:type="dxa"/>
          </w:tcPr>
          <w:p w:rsidR="00604998" w:rsidRDefault="00604998" w:rsidP="00C50F6E">
            <w:pPr>
              <w:spacing w:line="360" w:lineRule="auto"/>
              <w:ind w:firstLine="0"/>
              <w:jc w:val="center"/>
            </w:pPr>
            <w:r>
              <w:t>p</w:t>
            </w:r>
          </w:p>
        </w:tc>
      </w:tr>
      <w:tr w:rsidR="00604998" w:rsidTr="00604998">
        <w:trPr>
          <w:jc w:val="center"/>
        </w:trPr>
        <w:tc>
          <w:tcPr>
            <w:tcW w:w="2707" w:type="dxa"/>
            <w:shd w:val="clear" w:color="auto" w:fill="auto"/>
          </w:tcPr>
          <w:p w:rsidR="00604998" w:rsidRDefault="00604998" w:rsidP="00C50F6E">
            <w:pPr>
              <w:spacing w:line="360" w:lineRule="auto"/>
              <w:ind w:firstLine="0"/>
              <w:jc w:val="left"/>
            </w:pPr>
            <w:r>
              <w:rPr>
                <w:b/>
              </w:rPr>
              <w:t>Gender</w:t>
            </w:r>
          </w:p>
        </w:tc>
        <w:tc>
          <w:tcPr>
            <w:tcW w:w="990" w:type="dxa"/>
            <w:shd w:val="clear" w:color="auto" w:fill="auto"/>
          </w:tcPr>
          <w:p w:rsidR="00604998" w:rsidRDefault="00604998" w:rsidP="00C50F6E">
            <w:pPr>
              <w:spacing w:line="360" w:lineRule="auto"/>
              <w:ind w:firstLine="0"/>
              <w:jc w:val="center"/>
            </w:pPr>
            <w:r>
              <w:t>-0.48</w:t>
            </w:r>
          </w:p>
        </w:tc>
        <w:tc>
          <w:tcPr>
            <w:tcW w:w="1080" w:type="dxa"/>
            <w:shd w:val="clear" w:color="auto" w:fill="auto"/>
          </w:tcPr>
          <w:p w:rsidR="00604998" w:rsidRDefault="00604998" w:rsidP="00C50F6E">
            <w:pPr>
              <w:spacing w:line="360" w:lineRule="auto"/>
              <w:ind w:firstLine="0"/>
              <w:jc w:val="center"/>
            </w:pPr>
            <w:r>
              <w:t>0.394</w:t>
            </w:r>
          </w:p>
        </w:tc>
        <w:tc>
          <w:tcPr>
            <w:tcW w:w="900" w:type="dxa"/>
          </w:tcPr>
          <w:p w:rsidR="00604998" w:rsidRDefault="00604998" w:rsidP="00C50F6E">
            <w:pPr>
              <w:spacing w:line="360" w:lineRule="auto"/>
              <w:ind w:firstLine="0"/>
              <w:jc w:val="center"/>
            </w:pPr>
            <w:r>
              <w:t>0.224</w:t>
            </w:r>
          </w:p>
        </w:tc>
        <w:tc>
          <w:tcPr>
            <w:tcW w:w="852" w:type="dxa"/>
          </w:tcPr>
          <w:p w:rsidR="00604998" w:rsidRDefault="00604998" w:rsidP="00C50F6E">
            <w:pPr>
              <w:spacing w:line="360" w:lineRule="auto"/>
              <w:ind w:firstLine="0"/>
              <w:jc w:val="center"/>
            </w:pPr>
            <w:r>
              <w:t>-0.77</w:t>
            </w:r>
          </w:p>
        </w:tc>
        <w:tc>
          <w:tcPr>
            <w:tcW w:w="810" w:type="dxa"/>
          </w:tcPr>
          <w:p w:rsidR="00604998" w:rsidRDefault="00604998" w:rsidP="00C50F6E">
            <w:pPr>
              <w:spacing w:line="360" w:lineRule="auto"/>
              <w:ind w:firstLine="0"/>
              <w:jc w:val="center"/>
            </w:pPr>
            <w:r>
              <w:t>0.355</w:t>
            </w:r>
          </w:p>
        </w:tc>
        <w:tc>
          <w:tcPr>
            <w:tcW w:w="858" w:type="dxa"/>
          </w:tcPr>
          <w:p w:rsidR="00604998" w:rsidRDefault="00604998" w:rsidP="00C50F6E">
            <w:pPr>
              <w:spacing w:line="360" w:lineRule="auto"/>
              <w:ind w:firstLine="0"/>
              <w:jc w:val="center"/>
            </w:pPr>
            <w:r>
              <w:t>0.829</w:t>
            </w:r>
          </w:p>
        </w:tc>
      </w:tr>
      <w:tr w:rsidR="00604998" w:rsidTr="00604998">
        <w:trPr>
          <w:jc w:val="center"/>
        </w:trPr>
        <w:tc>
          <w:tcPr>
            <w:tcW w:w="2707" w:type="dxa"/>
            <w:shd w:val="clear" w:color="auto" w:fill="auto"/>
          </w:tcPr>
          <w:p w:rsidR="00604998" w:rsidRDefault="00604998" w:rsidP="00C50F6E">
            <w:pPr>
              <w:spacing w:line="360" w:lineRule="auto"/>
              <w:ind w:firstLine="0"/>
              <w:jc w:val="left"/>
            </w:pPr>
            <w:r>
              <w:rPr>
                <w:b/>
              </w:rPr>
              <w:t>Age</w:t>
            </w:r>
          </w:p>
        </w:tc>
        <w:tc>
          <w:tcPr>
            <w:tcW w:w="990" w:type="dxa"/>
            <w:shd w:val="clear" w:color="auto" w:fill="auto"/>
          </w:tcPr>
          <w:p w:rsidR="00604998" w:rsidRDefault="00604998" w:rsidP="00C50F6E">
            <w:pPr>
              <w:spacing w:line="360" w:lineRule="auto"/>
              <w:ind w:firstLine="0"/>
              <w:jc w:val="center"/>
            </w:pPr>
            <w:r>
              <w:t>0.21</w:t>
            </w:r>
          </w:p>
        </w:tc>
        <w:tc>
          <w:tcPr>
            <w:tcW w:w="1080" w:type="dxa"/>
            <w:shd w:val="clear" w:color="auto" w:fill="auto"/>
          </w:tcPr>
          <w:p w:rsidR="00604998" w:rsidRDefault="00604998" w:rsidP="00C50F6E">
            <w:pPr>
              <w:spacing w:line="360" w:lineRule="auto"/>
              <w:ind w:firstLine="0"/>
              <w:jc w:val="center"/>
            </w:pPr>
            <w:r>
              <w:t>0.02</w:t>
            </w:r>
          </w:p>
        </w:tc>
        <w:tc>
          <w:tcPr>
            <w:tcW w:w="900" w:type="dxa"/>
          </w:tcPr>
          <w:p w:rsidR="00604998" w:rsidRDefault="00604998" w:rsidP="00C50F6E">
            <w:pPr>
              <w:spacing w:line="360" w:lineRule="auto"/>
              <w:ind w:firstLine="0"/>
              <w:jc w:val="center"/>
            </w:pPr>
            <w:r>
              <w:t>0.299</w:t>
            </w:r>
          </w:p>
        </w:tc>
        <w:tc>
          <w:tcPr>
            <w:tcW w:w="852" w:type="dxa"/>
          </w:tcPr>
          <w:p w:rsidR="00604998" w:rsidRDefault="00604998" w:rsidP="00C50F6E">
            <w:pPr>
              <w:spacing w:line="360" w:lineRule="auto"/>
              <w:ind w:firstLine="0"/>
              <w:jc w:val="center"/>
            </w:pPr>
            <w:r>
              <w:t>0.039</w:t>
            </w:r>
          </w:p>
        </w:tc>
        <w:tc>
          <w:tcPr>
            <w:tcW w:w="810" w:type="dxa"/>
          </w:tcPr>
          <w:p w:rsidR="00604998" w:rsidRDefault="00604998" w:rsidP="00C50F6E">
            <w:pPr>
              <w:spacing w:line="360" w:lineRule="auto"/>
              <w:ind w:firstLine="0"/>
              <w:jc w:val="center"/>
            </w:pPr>
            <w:r>
              <w:t>0.015</w:t>
            </w:r>
          </w:p>
        </w:tc>
        <w:tc>
          <w:tcPr>
            <w:tcW w:w="858" w:type="dxa"/>
          </w:tcPr>
          <w:p w:rsidR="00604998" w:rsidRDefault="00604998" w:rsidP="00C50F6E">
            <w:pPr>
              <w:spacing w:line="360" w:lineRule="auto"/>
              <w:ind w:firstLine="0"/>
              <w:jc w:val="center"/>
            </w:pPr>
            <w:r>
              <w:t>0.011</w:t>
            </w:r>
          </w:p>
        </w:tc>
      </w:tr>
      <w:tr w:rsidR="00604998" w:rsidTr="00604998">
        <w:trPr>
          <w:jc w:val="center"/>
        </w:trPr>
        <w:tc>
          <w:tcPr>
            <w:tcW w:w="2707" w:type="dxa"/>
            <w:shd w:val="clear" w:color="auto" w:fill="auto"/>
          </w:tcPr>
          <w:p w:rsidR="00604998" w:rsidRDefault="00604998" w:rsidP="00C50F6E">
            <w:pPr>
              <w:spacing w:line="360" w:lineRule="auto"/>
              <w:ind w:firstLine="0"/>
              <w:jc w:val="left"/>
            </w:pPr>
            <w:r>
              <w:rPr>
                <w:b/>
              </w:rPr>
              <w:t>Education Level</w:t>
            </w:r>
          </w:p>
        </w:tc>
        <w:tc>
          <w:tcPr>
            <w:tcW w:w="990" w:type="dxa"/>
            <w:shd w:val="clear" w:color="auto" w:fill="auto"/>
          </w:tcPr>
          <w:p w:rsidR="00604998" w:rsidRDefault="00604998" w:rsidP="00C50F6E">
            <w:pPr>
              <w:spacing w:line="360" w:lineRule="auto"/>
              <w:ind w:firstLine="0"/>
              <w:jc w:val="center"/>
            </w:pPr>
            <w:r>
              <w:t>0.734</w:t>
            </w:r>
          </w:p>
        </w:tc>
        <w:tc>
          <w:tcPr>
            <w:tcW w:w="1080" w:type="dxa"/>
            <w:shd w:val="clear" w:color="auto" w:fill="auto"/>
          </w:tcPr>
          <w:p w:rsidR="00604998" w:rsidRDefault="00604998" w:rsidP="00C50F6E">
            <w:pPr>
              <w:spacing w:line="360" w:lineRule="auto"/>
              <w:ind w:firstLine="0"/>
              <w:jc w:val="center"/>
            </w:pPr>
            <w:r>
              <w:t>0.492</w:t>
            </w:r>
          </w:p>
        </w:tc>
        <w:tc>
          <w:tcPr>
            <w:tcW w:w="900" w:type="dxa"/>
          </w:tcPr>
          <w:p w:rsidR="00604998" w:rsidRDefault="00604998" w:rsidP="00C50F6E">
            <w:pPr>
              <w:spacing w:line="360" w:lineRule="auto"/>
              <w:ind w:firstLine="0"/>
              <w:jc w:val="center"/>
            </w:pPr>
            <w:r>
              <w:t>0.136</w:t>
            </w:r>
          </w:p>
        </w:tc>
        <w:tc>
          <w:tcPr>
            <w:tcW w:w="852" w:type="dxa"/>
          </w:tcPr>
          <w:p w:rsidR="00604998" w:rsidRDefault="00604998" w:rsidP="00C50F6E">
            <w:pPr>
              <w:spacing w:line="360" w:lineRule="auto"/>
              <w:ind w:firstLine="0"/>
              <w:jc w:val="center"/>
            </w:pPr>
            <w:r>
              <w:t>-0.500</w:t>
            </w:r>
          </w:p>
        </w:tc>
        <w:tc>
          <w:tcPr>
            <w:tcW w:w="810" w:type="dxa"/>
          </w:tcPr>
          <w:p w:rsidR="00604998" w:rsidRDefault="00604998" w:rsidP="00C50F6E">
            <w:pPr>
              <w:spacing w:line="360" w:lineRule="auto"/>
              <w:ind w:firstLine="0"/>
              <w:jc w:val="center"/>
            </w:pPr>
            <w:r>
              <w:t>0.420</w:t>
            </w:r>
          </w:p>
        </w:tc>
        <w:tc>
          <w:tcPr>
            <w:tcW w:w="858" w:type="dxa"/>
          </w:tcPr>
          <w:p w:rsidR="00604998" w:rsidRDefault="00604998" w:rsidP="00C50F6E">
            <w:pPr>
              <w:spacing w:line="360" w:lineRule="auto"/>
              <w:ind w:firstLine="0"/>
              <w:jc w:val="center"/>
            </w:pPr>
            <w:r>
              <w:t>0.235</w:t>
            </w:r>
          </w:p>
        </w:tc>
      </w:tr>
      <w:tr w:rsidR="00604998" w:rsidTr="00604998">
        <w:trPr>
          <w:jc w:val="center"/>
        </w:trPr>
        <w:tc>
          <w:tcPr>
            <w:tcW w:w="2707" w:type="dxa"/>
            <w:shd w:val="clear" w:color="auto" w:fill="auto"/>
          </w:tcPr>
          <w:p w:rsidR="00604998" w:rsidRDefault="00604998" w:rsidP="00C50F6E">
            <w:pPr>
              <w:spacing w:line="360" w:lineRule="auto"/>
              <w:ind w:firstLine="0"/>
              <w:jc w:val="left"/>
            </w:pPr>
            <w:r>
              <w:rPr>
                <w:b/>
              </w:rPr>
              <w:t>Time Living in Sweden</w:t>
            </w:r>
          </w:p>
        </w:tc>
        <w:tc>
          <w:tcPr>
            <w:tcW w:w="990" w:type="dxa"/>
            <w:shd w:val="clear" w:color="auto" w:fill="auto"/>
          </w:tcPr>
          <w:p w:rsidR="00604998" w:rsidRDefault="00604998" w:rsidP="00C50F6E">
            <w:pPr>
              <w:spacing w:line="360" w:lineRule="auto"/>
              <w:ind w:firstLine="0"/>
              <w:jc w:val="center"/>
            </w:pPr>
            <w:r>
              <w:t>-0.78</w:t>
            </w:r>
          </w:p>
        </w:tc>
        <w:tc>
          <w:tcPr>
            <w:tcW w:w="1080" w:type="dxa"/>
            <w:shd w:val="clear" w:color="auto" w:fill="auto"/>
          </w:tcPr>
          <w:p w:rsidR="00604998" w:rsidRDefault="00604998" w:rsidP="00C50F6E">
            <w:pPr>
              <w:spacing w:line="360" w:lineRule="auto"/>
              <w:ind w:firstLine="0"/>
              <w:jc w:val="center"/>
            </w:pPr>
            <w:r>
              <w:t>0.36</w:t>
            </w:r>
          </w:p>
        </w:tc>
        <w:tc>
          <w:tcPr>
            <w:tcW w:w="900" w:type="dxa"/>
          </w:tcPr>
          <w:p w:rsidR="00604998" w:rsidRDefault="00604998" w:rsidP="00C50F6E">
            <w:pPr>
              <w:spacing w:line="360" w:lineRule="auto"/>
              <w:ind w:firstLine="0"/>
              <w:jc w:val="center"/>
            </w:pPr>
            <w:r>
              <w:t>0.33</w:t>
            </w:r>
          </w:p>
        </w:tc>
        <w:tc>
          <w:tcPr>
            <w:tcW w:w="852" w:type="dxa"/>
          </w:tcPr>
          <w:p w:rsidR="00604998" w:rsidRDefault="00604998" w:rsidP="00C50F6E">
            <w:pPr>
              <w:spacing w:line="360" w:lineRule="auto"/>
              <w:ind w:firstLine="0"/>
              <w:jc w:val="center"/>
            </w:pPr>
            <w:r>
              <w:t>-0.094</w:t>
            </w:r>
          </w:p>
        </w:tc>
        <w:tc>
          <w:tcPr>
            <w:tcW w:w="810" w:type="dxa"/>
          </w:tcPr>
          <w:p w:rsidR="00604998" w:rsidRDefault="00604998" w:rsidP="00C50F6E">
            <w:pPr>
              <w:spacing w:line="360" w:lineRule="auto"/>
              <w:ind w:firstLine="0"/>
              <w:jc w:val="center"/>
            </w:pPr>
            <w:r>
              <w:t>0.036</w:t>
            </w:r>
          </w:p>
        </w:tc>
        <w:tc>
          <w:tcPr>
            <w:tcW w:w="858" w:type="dxa"/>
          </w:tcPr>
          <w:p w:rsidR="00604998" w:rsidRDefault="00604998" w:rsidP="00C50F6E">
            <w:pPr>
              <w:spacing w:line="360" w:lineRule="auto"/>
              <w:ind w:firstLine="0"/>
              <w:jc w:val="center"/>
            </w:pPr>
            <w:r>
              <w:t>0.01</w:t>
            </w:r>
          </w:p>
        </w:tc>
      </w:tr>
      <w:tr w:rsidR="00604998" w:rsidTr="00604998">
        <w:trPr>
          <w:trHeight w:val="323"/>
          <w:jc w:val="center"/>
        </w:trPr>
        <w:tc>
          <w:tcPr>
            <w:tcW w:w="2707" w:type="dxa"/>
            <w:shd w:val="clear" w:color="auto" w:fill="auto"/>
          </w:tcPr>
          <w:p w:rsidR="00604998" w:rsidRPr="001E40E4" w:rsidRDefault="00604998" w:rsidP="00C50F6E">
            <w:pPr>
              <w:spacing w:line="360" w:lineRule="auto"/>
              <w:ind w:firstLine="0"/>
              <w:jc w:val="left"/>
              <w:rPr>
                <w:b/>
              </w:rPr>
            </w:pPr>
            <w:r>
              <w:rPr>
                <w:b/>
              </w:rPr>
              <w:t>Religious Affiliation</w:t>
            </w:r>
          </w:p>
        </w:tc>
        <w:tc>
          <w:tcPr>
            <w:tcW w:w="990" w:type="dxa"/>
            <w:shd w:val="clear" w:color="auto" w:fill="auto"/>
          </w:tcPr>
          <w:p w:rsidR="00604998" w:rsidRDefault="00604998" w:rsidP="00C50F6E">
            <w:pPr>
              <w:spacing w:line="360" w:lineRule="auto"/>
              <w:ind w:firstLine="0"/>
              <w:jc w:val="center"/>
            </w:pPr>
            <w:r>
              <w:t>0.667</w:t>
            </w:r>
          </w:p>
        </w:tc>
        <w:tc>
          <w:tcPr>
            <w:tcW w:w="1080" w:type="dxa"/>
            <w:shd w:val="clear" w:color="auto" w:fill="auto"/>
          </w:tcPr>
          <w:p w:rsidR="00604998" w:rsidRDefault="00604998" w:rsidP="00C50F6E">
            <w:pPr>
              <w:spacing w:line="360" w:lineRule="auto"/>
              <w:ind w:firstLine="0"/>
              <w:jc w:val="center"/>
            </w:pPr>
            <w:r>
              <w:t>0.853</w:t>
            </w:r>
          </w:p>
        </w:tc>
        <w:tc>
          <w:tcPr>
            <w:tcW w:w="900" w:type="dxa"/>
          </w:tcPr>
          <w:p w:rsidR="00604998" w:rsidRDefault="00604998" w:rsidP="00C50F6E">
            <w:pPr>
              <w:spacing w:line="360" w:lineRule="auto"/>
              <w:ind w:firstLine="0"/>
              <w:jc w:val="center"/>
            </w:pPr>
            <w:r>
              <w:t>0.434</w:t>
            </w:r>
          </w:p>
        </w:tc>
        <w:tc>
          <w:tcPr>
            <w:tcW w:w="852" w:type="dxa"/>
          </w:tcPr>
          <w:p w:rsidR="00604998" w:rsidRDefault="00604998" w:rsidP="00C50F6E">
            <w:pPr>
              <w:spacing w:line="360" w:lineRule="auto"/>
              <w:ind w:firstLine="0"/>
              <w:jc w:val="center"/>
            </w:pPr>
            <w:r>
              <w:t>-0.474</w:t>
            </w:r>
          </w:p>
        </w:tc>
        <w:tc>
          <w:tcPr>
            <w:tcW w:w="810" w:type="dxa"/>
          </w:tcPr>
          <w:p w:rsidR="00604998" w:rsidRDefault="00604998" w:rsidP="00C50F6E">
            <w:pPr>
              <w:spacing w:line="360" w:lineRule="auto"/>
              <w:ind w:firstLine="0"/>
              <w:jc w:val="center"/>
            </w:pPr>
            <w:r>
              <w:t>0.308</w:t>
            </w:r>
          </w:p>
        </w:tc>
        <w:tc>
          <w:tcPr>
            <w:tcW w:w="858" w:type="dxa"/>
          </w:tcPr>
          <w:p w:rsidR="00604998" w:rsidRDefault="00604998" w:rsidP="00C50F6E">
            <w:pPr>
              <w:spacing w:line="360" w:lineRule="auto"/>
              <w:ind w:firstLine="0"/>
              <w:jc w:val="center"/>
            </w:pPr>
            <w:r>
              <w:t>0.124</w:t>
            </w:r>
          </w:p>
        </w:tc>
      </w:tr>
    </w:tbl>
    <w:p w:rsidR="00131AE2" w:rsidRDefault="009C28A7" w:rsidP="00104B9B">
      <w:pPr>
        <w:pStyle w:val="Heading2"/>
      </w:pPr>
      <w:bookmarkStart w:id="13" w:name="_Toc15393989"/>
      <w:r>
        <w:rPr>
          <w:caps w:val="0"/>
        </w:rPr>
        <w:t xml:space="preserve">Acculturation and </w:t>
      </w:r>
      <w:r w:rsidR="00E420E6">
        <w:rPr>
          <w:caps w:val="0"/>
        </w:rPr>
        <w:t>Psychiatric Disorders</w:t>
      </w:r>
      <w:bookmarkEnd w:id="13"/>
    </w:p>
    <w:p w:rsidR="00DD3D8D" w:rsidRPr="00DD3D8D" w:rsidRDefault="00455C0C" w:rsidP="00DD3D8D">
      <w:pPr>
        <w:pStyle w:val="Noindent"/>
        <w:ind w:firstLine="720"/>
      </w:pPr>
      <w:r>
        <w:t>Given that</w:t>
      </w:r>
      <w:r w:rsidR="000E5418">
        <w:t xml:space="preserve"> a shorter</w:t>
      </w:r>
      <w:r>
        <w:t xml:space="preserve"> length of time spent in Sweden was</w:t>
      </w:r>
      <w:r w:rsidR="00ED6081">
        <w:t xml:space="preserve"> associated with PTSD and depression, it was thought that</w:t>
      </w:r>
      <w:r w:rsidR="000E5418">
        <w:t xml:space="preserve"> </w:t>
      </w:r>
      <w:r w:rsidR="00F06D97">
        <w:t>lower acculturation</w:t>
      </w:r>
      <w:r w:rsidR="00ED6081">
        <w:t xml:space="preserve"> may </w:t>
      </w:r>
      <w:r w:rsidR="000E5418">
        <w:t>also be associated with increased rates of PTSD and depression</w:t>
      </w:r>
      <w:r w:rsidR="00ED6081">
        <w:t xml:space="preserve">. </w:t>
      </w:r>
      <w:r w:rsidR="00565F78" w:rsidRPr="00565F78">
        <w:t xml:space="preserve">Both PTSD [β = -0.233, SE = 0.061, p &lt; 0.001] and depression [β = -0.179, SE = 0.066, p = 0.007] were significant predictors of </w:t>
      </w:r>
      <w:r w:rsidR="00784B7A">
        <w:t xml:space="preserve">total </w:t>
      </w:r>
      <w:r w:rsidR="00565F78" w:rsidRPr="00565F78">
        <w:t>acculturation</w:t>
      </w:r>
      <w:r w:rsidR="003D3D78">
        <w:t>.</w:t>
      </w:r>
      <w:r w:rsidR="00565F78">
        <w:t xml:space="preserve"> To analyze this further, the acculturation scores were stratified based on acculturation sub</w:t>
      </w:r>
      <w:r w:rsidR="003D3D78">
        <w:t>scale</w:t>
      </w:r>
      <w:r w:rsidR="00565F78">
        <w:t>s; acculturation to Swedish language</w:t>
      </w:r>
      <w:r w:rsidR="00784B7A">
        <w:t>, social acculturation</w:t>
      </w:r>
      <w:r w:rsidR="00565F78">
        <w:t xml:space="preserve"> and acculturation to Swedish </w:t>
      </w:r>
      <w:r w:rsidR="00784B7A">
        <w:t xml:space="preserve">customs and </w:t>
      </w:r>
      <w:r w:rsidR="00565F78">
        <w:t xml:space="preserve">traditions. </w:t>
      </w:r>
      <w:r w:rsidR="00CE3F75">
        <w:t>Two-sided t-tests showed that participants with</w:t>
      </w:r>
      <w:r w:rsidR="000E5418">
        <w:t xml:space="preserve"> a </w:t>
      </w:r>
      <w:r w:rsidR="00FD364E">
        <w:t xml:space="preserve">probable </w:t>
      </w:r>
      <w:r w:rsidR="000E5418">
        <w:t xml:space="preserve">diagnosis of depression </w:t>
      </w:r>
      <w:r w:rsidR="00FD364E">
        <w:t xml:space="preserve">using the Hopkins Symptoms Checklist </w:t>
      </w:r>
      <w:r w:rsidR="00D70A0E">
        <w:t>(p</w:t>
      </w:r>
      <w:r w:rsidR="00051316">
        <w:t xml:space="preserve"> </w:t>
      </w:r>
      <w:r w:rsidR="00565F78">
        <w:t>=</w:t>
      </w:r>
      <w:r w:rsidR="00051316">
        <w:t xml:space="preserve"> </w:t>
      </w:r>
      <w:r w:rsidR="00D70A0E">
        <w:t>0.0</w:t>
      </w:r>
      <w:r w:rsidR="00565F78">
        <w:t>02</w:t>
      </w:r>
      <w:r w:rsidR="00D70A0E">
        <w:t>)</w:t>
      </w:r>
      <w:r w:rsidR="00565F78">
        <w:t xml:space="preserve"> and</w:t>
      </w:r>
      <w:r w:rsidR="00D70A0E">
        <w:t xml:space="preserve"> </w:t>
      </w:r>
      <w:r w:rsidR="00FD364E">
        <w:t xml:space="preserve">probable </w:t>
      </w:r>
      <w:r w:rsidR="00CE3F75">
        <w:t xml:space="preserve">diagnosis of </w:t>
      </w:r>
      <w:r w:rsidR="005E1462">
        <w:t>PTSD</w:t>
      </w:r>
      <w:r w:rsidR="00D70A0E">
        <w:t xml:space="preserve"> </w:t>
      </w:r>
      <w:r w:rsidR="00FD364E">
        <w:t xml:space="preserve">using the Harvard Trauma Questionnaire </w:t>
      </w:r>
      <w:r w:rsidR="00D70A0E">
        <w:t>(</w:t>
      </w:r>
      <w:r w:rsidR="00D70A0E" w:rsidRPr="00CE3F75">
        <w:t>p</w:t>
      </w:r>
      <w:r w:rsidR="00051316">
        <w:t xml:space="preserve"> </w:t>
      </w:r>
      <w:r w:rsidR="00565F78">
        <w:t>&lt;</w:t>
      </w:r>
      <w:r w:rsidR="00051316">
        <w:t xml:space="preserve"> </w:t>
      </w:r>
      <w:r w:rsidR="00D70A0E">
        <w:t>0.</w:t>
      </w:r>
      <w:r w:rsidR="00565F78">
        <w:t>0</w:t>
      </w:r>
      <w:r w:rsidR="00D70A0E">
        <w:t>0</w:t>
      </w:r>
      <w:r w:rsidR="006726E2">
        <w:t>0</w:t>
      </w:r>
      <w:r w:rsidR="00D70A0E">
        <w:t xml:space="preserve">1) </w:t>
      </w:r>
      <w:r w:rsidR="005E1462">
        <w:t xml:space="preserve">were </w:t>
      </w:r>
      <w:r w:rsidR="00565F78">
        <w:t xml:space="preserve">both </w:t>
      </w:r>
      <w:r w:rsidR="005E1462">
        <w:t>associated with</w:t>
      </w:r>
      <w:r w:rsidR="00CE3F75">
        <w:t xml:space="preserve"> significantly</w:t>
      </w:r>
      <w:r w:rsidR="005E1462">
        <w:t xml:space="preserve"> lower </w:t>
      </w:r>
      <w:r w:rsidR="00DD3D8D">
        <w:t xml:space="preserve">language </w:t>
      </w:r>
      <w:r w:rsidR="005E1462">
        <w:t>acculturation subs</w:t>
      </w:r>
      <w:r w:rsidR="003D3D78">
        <w:t>cal</w:t>
      </w:r>
      <w:r w:rsidR="005E1462">
        <w:t xml:space="preserve">e </w:t>
      </w:r>
      <w:r w:rsidR="00DD3D8D">
        <w:t>scores</w:t>
      </w:r>
      <w:r w:rsidR="00CE3F75">
        <w:t xml:space="preserve"> than their non-depressed </w:t>
      </w:r>
      <w:r w:rsidR="00FD364E">
        <w:t xml:space="preserve">and non-PTSD </w:t>
      </w:r>
      <w:r w:rsidR="00CE3F75">
        <w:t xml:space="preserve">counterparts. This relationship was not observed when analyzing social or tradition acculturation scores.  </w:t>
      </w:r>
    </w:p>
    <w:p w:rsidR="00FE6D46" w:rsidRDefault="00E420E6" w:rsidP="00104B9B">
      <w:pPr>
        <w:pStyle w:val="Heading2"/>
      </w:pPr>
      <w:bookmarkStart w:id="14" w:name="_Toc15393990"/>
      <w:r>
        <w:rPr>
          <w:caps w:val="0"/>
        </w:rPr>
        <w:lastRenderedPageBreak/>
        <w:t>Rates</w:t>
      </w:r>
      <w:r w:rsidR="009C28A7">
        <w:rPr>
          <w:caps w:val="0"/>
        </w:rPr>
        <w:t xml:space="preserve"> of Sexual Risk Behaviors</w:t>
      </w:r>
      <w:bookmarkEnd w:id="14"/>
    </w:p>
    <w:p w:rsidR="00DD3D8D" w:rsidRDefault="000E5418" w:rsidP="00233E9F">
      <w:pPr>
        <w:pStyle w:val="Noindent"/>
        <w:ind w:firstLine="720"/>
      </w:pPr>
      <w:r>
        <w:t>D</w:t>
      </w:r>
      <w:r w:rsidR="00F849BC">
        <w:t xml:space="preserve">escriptive data </w:t>
      </w:r>
      <w:r>
        <w:t>of</w:t>
      </w:r>
      <w:r w:rsidR="006726E2">
        <w:t xml:space="preserve"> sexual risk behaviors are outlined in Table 2. </w:t>
      </w:r>
      <w:r w:rsidR="003D3D78">
        <w:t>T</w:t>
      </w:r>
      <w:r w:rsidR="004E4435">
        <w:t>he age of first sexual intercourse, which is defined as either anal or vaginal intercourse was 17.67 years old for males and 19.41 years old for females. Females also reported a lower number of total, regular, and casual partners than their male counterparts. S</w:t>
      </w:r>
      <w:r w:rsidR="00D92138">
        <w:t>elf-reported condom use for</w:t>
      </w:r>
      <w:r w:rsidR="006877D2">
        <w:t xml:space="preserve"> </w:t>
      </w:r>
      <w:r w:rsidR="00E81F06">
        <w:t xml:space="preserve">the last sexual encounter for </w:t>
      </w:r>
      <w:r w:rsidR="006877D2">
        <w:t>all</w:t>
      </w:r>
      <w:r w:rsidR="00D92138">
        <w:t xml:space="preserve"> participants in the study </w:t>
      </w:r>
      <w:r w:rsidR="008A4223">
        <w:t>was</w:t>
      </w:r>
      <w:r w:rsidR="006877D2">
        <w:t xml:space="preserve"> </w:t>
      </w:r>
      <w:r w:rsidR="00E81F06">
        <w:t>40</w:t>
      </w:r>
      <w:r w:rsidR="006877D2">
        <w:t>%</w:t>
      </w:r>
      <w:r w:rsidR="0027275D">
        <w:t xml:space="preserve">, </w:t>
      </w:r>
      <w:r w:rsidR="008A4223">
        <w:t xml:space="preserve">but </w:t>
      </w:r>
      <w:r w:rsidR="00E81F06">
        <w:t xml:space="preserve">when accounted for gender, 51.77% of </w:t>
      </w:r>
      <w:r w:rsidR="00EA7B36">
        <w:t xml:space="preserve">men and </w:t>
      </w:r>
      <w:r w:rsidR="00E81F06">
        <w:t>28% of women reported using a condom at their last sexual encounter</w:t>
      </w:r>
      <w:r w:rsidR="006877D2">
        <w:t>.</w:t>
      </w:r>
      <w:r w:rsidR="00D92138">
        <w:t xml:space="preserve"> </w:t>
      </w:r>
    </w:p>
    <w:p w:rsidR="00546064" w:rsidRPr="00546064" w:rsidRDefault="00546064" w:rsidP="00546064"/>
    <w:p w:rsidR="00546064" w:rsidRDefault="00546064" w:rsidP="00546064">
      <w:pPr>
        <w:pStyle w:val="Caption"/>
        <w:keepNext/>
        <w:ind w:hanging="90"/>
        <w:jc w:val="center"/>
      </w:pPr>
      <w:bookmarkStart w:id="15" w:name="_Toc15394128"/>
      <w:r>
        <w:t xml:space="preserve">Table </w:t>
      </w:r>
      <w:r w:rsidR="00D97CBF">
        <w:rPr>
          <w:noProof/>
        </w:rPr>
        <w:fldChar w:fldCharType="begin"/>
      </w:r>
      <w:r w:rsidR="00D97CBF">
        <w:rPr>
          <w:noProof/>
        </w:rPr>
        <w:instrText xml:space="preserve"> SEQ Table \* ARABIC </w:instrText>
      </w:r>
      <w:r w:rsidR="00D97CBF">
        <w:rPr>
          <w:noProof/>
        </w:rPr>
        <w:fldChar w:fldCharType="separate"/>
      </w:r>
      <w:r>
        <w:rPr>
          <w:noProof/>
        </w:rPr>
        <w:t>3</w:t>
      </w:r>
      <w:r w:rsidR="00D97CBF">
        <w:rPr>
          <w:noProof/>
        </w:rPr>
        <w:fldChar w:fldCharType="end"/>
      </w:r>
      <w:r>
        <w:t>. Rates of Sexual Risk Behaviors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336"/>
        <w:gridCol w:w="1336"/>
        <w:gridCol w:w="1036"/>
      </w:tblGrid>
      <w:tr w:rsidR="00294DF0" w:rsidTr="004A2B93">
        <w:trPr>
          <w:jc w:val="center"/>
        </w:trPr>
        <w:tc>
          <w:tcPr>
            <w:tcW w:w="0" w:type="auto"/>
            <w:shd w:val="clear" w:color="auto" w:fill="auto"/>
          </w:tcPr>
          <w:p w:rsidR="00294DF0" w:rsidRDefault="00294DF0" w:rsidP="009300C5">
            <w:pPr>
              <w:spacing w:line="240" w:lineRule="auto"/>
              <w:ind w:firstLine="0"/>
              <w:jc w:val="center"/>
            </w:pPr>
          </w:p>
        </w:tc>
        <w:tc>
          <w:tcPr>
            <w:tcW w:w="0" w:type="auto"/>
            <w:shd w:val="clear" w:color="auto" w:fill="auto"/>
          </w:tcPr>
          <w:p w:rsidR="00294DF0" w:rsidRDefault="00294DF0" w:rsidP="009300C5">
            <w:pPr>
              <w:spacing w:line="240" w:lineRule="auto"/>
              <w:ind w:firstLine="0"/>
              <w:jc w:val="center"/>
            </w:pPr>
            <w:r>
              <w:t>Male</w:t>
            </w:r>
          </w:p>
          <w:p w:rsidR="00294DF0" w:rsidRDefault="00294DF0" w:rsidP="009300C5">
            <w:pPr>
              <w:spacing w:line="240" w:lineRule="auto"/>
              <w:ind w:firstLine="0"/>
              <w:jc w:val="center"/>
            </w:pPr>
            <w:r>
              <w:t>N = 219</w:t>
            </w:r>
          </w:p>
        </w:tc>
        <w:tc>
          <w:tcPr>
            <w:tcW w:w="0" w:type="auto"/>
            <w:shd w:val="clear" w:color="auto" w:fill="auto"/>
          </w:tcPr>
          <w:p w:rsidR="00294DF0" w:rsidRDefault="00294DF0" w:rsidP="009300C5">
            <w:pPr>
              <w:spacing w:line="240" w:lineRule="auto"/>
              <w:ind w:firstLine="0"/>
              <w:jc w:val="center"/>
            </w:pPr>
            <w:r>
              <w:t>Female</w:t>
            </w:r>
          </w:p>
          <w:p w:rsidR="00294DF0" w:rsidRDefault="00294DF0" w:rsidP="009300C5">
            <w:pPr>
              <w:spacing w:line="240" w:lineRule="auto"/>
              <w:ind w:firstLine="0"/>
              <w:jc w:val="center"/>
            </w:pPr>
            <w:r>
              <w:t>N = 201</w:t>
            </w:r>
          </w:p>
        </w:tc>
        <w:tc>
          <w:tcPr>
            <w:tcW w:w="0" w:type="auto"/>
          </w:tcPr>
          <w:p w:rsidR="00294DF0" w:rsidRDefault="00294DF0" w:rsidP="009300C5">
            <w:pPr>
              <w:spacing w:line="240" w:lineRule="auto"/>
              <w:ind w:firstLine="0"/>
              <w:jc w:val="center"/>
            </w:pPr>
            <w:r>
              <w:t>Total</w:t>
            </w:r>
          </w:p>
          <w:p w:rsidR="00294DF0" w:rsidRDefault="00294DF0" w:rsidP="009300C5">
            <w:pPr>
              <w:spacing w:line="240" w:lineRule="auto"/>
              <w:ind w:firstLine="0"/>
              <w:jc w:val="center"/>
            </w:pPr>
            <w:r>
              <w:t>N = 420</w:t>
            </w:r>
          </w:p>
        </w:tc>
      </w:tr>
      <w:tr w:rsidR="00294DF0" w:rsidTr="004A2B93">
        <w:trPr>
          <w:jc w:val="center"/>
        </w:trPr>
        <w:tc>
          <w:tcPr>
            <w:tcW w:w="0" w:type="auto"/>
            <w:shd w:val="clear" w:color="auto" w:fill="auto"/>
          </w:tcPr>
          <w:p w:rsidR="00294DF0" w:rsidRPr="00D97C79" w:rsidRDefault="00294DF0" w:rsidP="009300C5">
            <w:pPr>
              <w:spacing w:line="240" w:lineRule="auto"/>
              <w:ind w:firstLine="0"/>
              <w:jc w:val="left"/>
              <w:rPr>
                <w:b/>
              </w:rPr>
            </w:pPr>
            <w:r w:rsidRPr="00D97C79">
              <w:rPr>
                <w:b/>
              </w:rPr>
              <w:t xml:space="preserve">Age </w:t>
            </w:r>
            <w:r>
              <w:rPr>
                <w:b/>
              </w:rPr>
              <w:t>of First Intercourse</w:t>
            </w:r>
          </w:p>
          <w:p w:rsidR="00294DF0" w:rsidRDefault="00294DF0" w:rsidP="009300C5">
            <w:pPr>
              <w:spacing w:line="240" w:lineRule="auto"/>
              <w:ind w:firstLine="0"/>
              <w:jc w:val="left"/>
            </w:pPr>
            <w:r>
              <w:t>Mean</w:t>
            </w:r>
          </w:p>
          <w:p w:rsidR="00294DF0" w:rsidRDefault="00294DF0" w:rsidP="009300C5">
            <w:pPr>
              <w:spacing w:line="240" w:lineRule="auto"/>
              <w:ind w:firstLine="0"/>
              <w:jc w:val="left"/>
            </w:pPr>
            <w:r>
              <w:t>Standard Deviation</w:t>
            </w: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17.67</w:t>
            </w:r>
          </w:p>
          <w:p w:rsidR="00294DF0" w:rsidRDefault="00294DF0" w:rsidP="009300C5">
            <w:pPr>
              <w:spacing w:line="240" w:lineRule="auto"/>
              <w:ind w:firstLine="0"/>
              <w:jc w:val="center"/>
            </w:pPr>
            <w:r>
              <w:t>4.15</w:t>
            </w: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19.41</w:t>
            </w:r>
          </w:p>
          <w:p w:rsidR="00294DF0" w:rsidRDefault="00294DF0" w:rsidP="009300C5">
            <w:pPr>
              <w:spacing w:line="240" w:lineRule="auto"/>
              <w:ind w:firstLine="0"/>
              <w:jc w:val="center"/>
            </w:pPr>
            <w:r>
              <w:t>3.24</w:t>
            </w:r>
          </w:p>
        </w:tc>
        <w:tc>
          <w:tcPr>
            <w:tcW w:w="0" w:type="auto"/>
          </w:tcPr>
          <w:p w:rsidR="00294DF0" w:rsidRDefault="00294DF0" w:rsidP="009300C5">
            <w:pPr>
              <w:spacing w:line="240" w:lineRule="auto"/>
              <w:ind w:firstLine="0"/>
              <w:jc w:val="center"/>
            </w:pPr>
          </w:p>
          <w:p w:rsidR="00294DF0" w:rsidRDefault="00294DF0" w:rsidP="009300C5">
            <w:pPr>
              <w:spacing w:line="240" w:lineRule="auto"/>
              <w:ind w:firstLine="0"/>
              <w:jc w:val="center"/>
            </w:pPr>
            <w:r>
              <w:t>18.5</w:t>
            </w:r>
          </w:p>
          <w:p w:rsidR="00294DF0" w:rsidRDefault="00294DF0" w:rsidP="009300C5">
            <w:pPr>
              <w:spacing w:line="240" w:lineRule="auto"/>
              <w:ind w:firstLine="0"/>
              <w:jc w:val="center"/>
            </w:pPr>
            <w:r>
              <w:t>3.84</w:t>
            </w:r>
          </w:p>
        </w:tc>
      </w:tr>
      <w:tr w:rsidR="00294DF0" w:rsidTr="004A2B93">
        <w:trPr>
          <w:jc w:val="center"/>
        </w:trPr>
        <w:tc>
          <w:tcPr>
            <w:tcW w:w="0" w:type="auto"/>
            <w:shd w:val="clear" w:color="auto" w:fill="auto"/>
          </w:tcPr>
          <w:p w:rsidR="00294DF0" w:rsidRPr="00D97C79" w:rsidRDefault="00294DF0" w:rsidP="009300C5">
            <w:pPr>
              <w:spacing w:line="240" w:lineRule="auto"/>
              <w:ind w:firstLine="0"/>
              <w:jc w:val="left"/>
              <w:rPr>
                <w:b/>
              </w:rPr>
            </w:pPr>
            <w:r>
              <w:rPr>
                <w:b/>
              </w:rPr>
              <w:t>Total Number of Partners</w:t>
            </w:r>
          </w:p>
          <w:p w:rsidR="00294DF0" w:rsidRDefault="00294DF0" w:rsidP="009300C5">
            <w:pPr>
              <w:spacing w:line="240" w:lineRule="auto"/>
              <w:ind w:firstLine="0"/>
              <w:jc w:val="left"/>
            </w:pPr>
            <w:r>
              <w:t>Mean</w:t>
            </w:r>
          </w:p>
          <w:p w:rsidR="00294DF0" w:rsidRDefault="00294DF0" w:rsidP="009300C5">
            <w:pPr>
              <w:spacing w:line="240" w:lineRule="auto"/>
              <w:ind w:firstLine="0"/>
              <w:jc w:val="left"/>
            </w:pPr>
            <w:r>
              <w:t>Interquartile Range</w:t>
            </w: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7</w:t>
            </w:r>
          </w:p>
          <w:p w:rsidR="00294DF0" w:rsidRDefault="00294DF0" w:rsidP="009300C5">
            <w:pPr>
              <w:spacing w:line="240" w:lineRule="auto"/>
              <w:ind w:firstLine="0"/>
              <w:jc w:val="center"/>
            </w:pPr>
            <w:r>
              <w:t>13</w:t>
            </w:r>
          </w:p>
          <w:p w:rsidR="00294DF0" w:rsidRDefault="00294DF0" w:rsidP="009300C5">
            <w:pPr>
              <w:spacing w:line="240" w:lineRule="auto"/>
              <w:ind w:firstLine="0"/>
              <w:jc w:val="center"/>
            </w:pP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2</w:t>
            </w:r>
          </w:p>
          <w:p w:rsidR="00294DF0" w:rsidRDefault="00294DF0" w:rsidP="009300C5">
            <w:pPr>
              <w:spacing w:line="240" w:lineRule="auto"/>
              <w:ind w:firstLine="0"/>
              <w:jc w:val="center"/>
            </w:pPr>
            <w:r>
              <w:t>3</w:t>
            </w:r>
          </w:p>
        </w:tc>
        <w:tc>
          <w:tcPr>
            <w:tcW w:w="0" w:type="auto"/>
          </w:tcPr>
          <w:p w:rsidR="00294DF0" w:rsidRDefault="00294DF0" w:rsidP="009300C5">
            <w:pPr>
              <w:spacing w:line="240" w:lineRule="auto"/>
              <w:ind w:firstLine="0"/>
              <w:jc w:val="center"/>
            </w:pPr>
          </w:p>
          <w:p w:rsidR="00294DF0" w:rsidRDefault="00294DF0" w:rsidP="009300C5">
            <w:pPr>
              <w:spacing w:line="240" w:lineRule="auto"/>
              <w:ind w:firstLine="0"/>
              <w:jc w:val="center"/>
            </w:pPr>
            <w:r>
              <w:t>4</w:t>
            </w:r>
          </w:p>
          <w:p w:rsidR="00294DF0" w:rsidRDefault="00294DF0" w:rsidP="009300C5">
            <w:pPr>
              <w:spacing w:line="240" w:lineRule="auto"/>
              <w:ind w:firstLine="0"/>
              <w:jc w:val="center"/>
            </w:pPr>
            <w:r>
              <w:t>8</w:t>
            </w:r>
          </w:p>
        </w:tc>
      </w:tr>
      <w:tr w:rsidR="00294DF0" w:rsidTr="004A2B93">
        <w:trPr>
          <w:jc w:val="center"/>
        </w:trPr>
        <w:tc>
          <w:tcPr>
            <w:tcW w:w="0" w:type="auto"/>
            <w:shd w:val="clear" w:color="auto" w:fill="auto"/>
          </w:tcPr>
          <w:p w:rsidR="00294DF0" w:rsidRPr="00D97C79" w:rsidRDefault="00294DF0" w:rsidP="009300C5">
            <w:pPr>
              <w:spacing w:line="240" w:lineRule="auto"/>
              <w:ind w:firstLine="0"/>
              <w:jc w:val="left"/>
              <w:rPr>
                <w:b/>
              </w:rPr>
            </w:pPr>
            <w:r>
              <w:rPr>
                <w:b/>
              </w:rPr>
              <w:t xml:space="preserve">Number of </w:t>
            </w:r>
            <w:r w:rsidRPr="00D97C79">
              <w:rPr>
                <w:b/>
              </w:rPr>
              <w:t>Re</w:t>
            </w:r>
            <w:r>
              <w:rPr>
                <w:b/>
              </w:rPr>
              <w:t>gular Partners</w:t>
            </w:r>
          </w:p>
          <w:p w:rsidR="00294DF0" w:rsidRDefault="00294DF0" w:rsidP="009300C5">
            <w:pPr>
              <w:spacing w:line="240" w:lineRule="auto"/>
              <w:ind w:firstLine="0"/>
              <w:jc w:val="left"/>
            </w:pPr>
            <w:r>
              <w:t>Mean</w:t>
            </w:r>
          </w:p>
          <w:p w:rsidR="00294DF0" w:rsidRDefault="00294DF0" w:rsidP="009300C5">
            <w:pPr>
              <w:spacing w:line="240" w:lineRule="auto"/>
              <w:ind w:firstLine="0"/>
              <w:jc w:val="left"/>
            </w:pPr>
            <w:r>
              <w:t>Interquartile Range</w:t>
            </w: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3</w:t>
            </w:r>
          </w:p>
          <w:p w:rsidR="00294DF0" w:rsidRDefault="00294DF0" w:rsidP="009300C5">
            <w:pPr>
              <w:spacing w:line="240" w:lineRule="auto"/>
              <w:ind w:firstLine="0"/>
              <w:jc w:val="center"/>
            </w:pPr>
            <w:r>
              <w:t>4.75</w:t>
            </w: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2</w:t>
            </w:r>
          </w:p>
          <w:p w:rsidR="00294DF0" w:rsidRDefault="00294DF0" w:rsidP="009300C5">
            <w:pPr>
              <w:spacing w:line="240" w:lineRule="auto"/>
              <w:ind w:firstLine="0"/>
              <w:jc w:val="center"/>
            </w:pPr>
            <w:r>
              <w:t>3</w:t>
            </w:r>
          </w:p>
          <w:p w:rsidR="00294DF0" w:rsidRDefault="00294DF0" w:rsidP="009300C5">
            <w:pPr>
              <w:spacing w:line="240" w:lineRule="auto"/>
              <w:ind w:firstLine="0"/>
              <w:jc w:val="center"/>
            </w:pPr>
          </w:p>
        </w:tc>
        <w:tc>
          <w:tcPr>
            <w:tcW w:w="0" w:type="auto"/>
          </w:tcPr>
          <w:p w:rsidR="00294DF0" w:rsidRDefault="00294DF0" w:rsidP="009300C5">
            <w:pPr>
              <w:spacing w:line="240" w:lineRule="auto"/>
              <w:ind w:firstLine="0"/>
              <w:jc w:val="center"/>
            </w:pPr>
          </w:p>
          <w:p w:rsidR="00294DF0" w:rsidRDefault="00294DF0" w:rsidP="009300C5">
            <w:pPr>
              <w:spacing w:line="240" w:lineRule="auto"/>
              <w:ind w:firstLine="0"/>
              <w:jc w:val="center"/>
            </w:pPr>
            <w:r>
              <w:t>2</w:t>
            </w:r>
          </w:p>
          <w:p w:rsidR="00294DF0" w:rsidRDefault="00294DF0" w:rsidP="009300C5">
            <w:pPr>
              <w:spacing w:line="240" w:lineRule="auto"/>
              <w:ind w:firstLine="0"/>
              <w:jc w:val="center"/>
            </w:pPr>
            <w:r>
              <w:t>4</w:t>
            </w:r>
          </w:p>
        </w:tc>
      </w:tr>
      <w:tr w:rsidR="00294DF0" w:rsidTr="004A2B93">
        <w:trPr>
          <w:jc w:val="center"/>
        </w:trPr>
        <w:tc>
          <w:tcPr>
            <w:tcW w:w="0" w:type="auto"/>
            <w:shd w:val="clear" w:color="auto" w:fill="auto"/>
          </w:tcPr>
          <w:p w:rsidR="00294DF0" w:rsidRPr="00D97C79" w:rsidRDefault="00294DF0" w:rsidP="009300C5">
            <w:pPr>
              <w:spacing w:line="240" w:lineRule="auto"/>
              <w:ind w:firstLine="0"/>
              <w:jc w:val="left"/>
              <w:rPr>
                <w:b/>
              </w:rPr>
            </w:pPr>
            <w:r>
              <w:rPr>
                <w:b/>
              </w:rPr>
              <w:t xml:space="preserve">Number of Casual Partners </w:t>
            </w:r>
          </w:p>
          <w:p w:rsidR="00294DF0" w:rsidRDefault="00294DF0" w:rsidP="009300C5">
            <w:pPr>
              <w:spacing w:line="240" w:lineRule="auto"/>
              <w:ind w:firstLine="0"/>
              <w:jc w:val="left"/>
            </w:pPr>
            <w:r>
              <w:t>Mean</w:t>
            </w:r>
          </w:p>
          <w:p w:rsidR="00294DF0" w:rsidRDefault="00294DF0" w:rsidP="009300C5">
            <w:pPr>
              <w:spacing w:line="240" w:lineRule="auto"/>
              <w:ind w:firstLine="0"/>
              <w:jc w:val="left"/>
            </w:pPr>
            <w:r>
              <w:t>Interquartile Range</w:t>
            </w: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2</w:t>
            </w:r>
          </w:p>
          <w:p w:rsidR="00294DF0" w:rsidRDefault="00294DF0" w:rsidP="009300C5">
            <w:pPr>
              <w:spacing w:line="240" w:lineRule="auto"/>
              <w:ind w:firstLine="0"/>
              <w:jc w:val="center"/>
            </w:pPr>
            <w:r>
              <w:t>8</w:t>
            </w:r>
          </w:p>
        </w:tc>
        <w:tc>
          <w:tcPr>
            <w:tcW w:w="0" w:type="auto"/>
            <w:shd w:val="clear" w:color="auto" w:fill="auto"/>
          </w:tcPr>
          <w:p w:rsidR="00294DF0" w:rsidRDefault="00294DF0" w:rsidP="009300C5">
            <w:pPr>
              <w:spacing w:line="240" w:lineRule="auto"/>
              <w:ind w:firstLine="0"/>
              <w:jc w:val="center"/>
            </w:pPr>
          </w:p>
          <w:p w:rsidR="00294DF0" w:rsidRDefault="00294DF0" w:rsidP="009300C5">
            <w:pPr>
              <w:spacing w:line="240" w:lineRule="auto"/>
              <w:ind w:firstLine="0"/>
              <w:jc w:val="center"/>
            </w:pPr>
            <w:r>
              <w:t>0</w:t>
            </w:r>
          </w:p>
          <w:p w:rsidR="00294DF0" w:rsidRDefault="00294DF0" w:rsidP="009300C5">
            <w:pPr>
              <w:spacing w:line="240" w:lineRule="auto"/>
              <w:ind w:firstLine="0"/>
              <w:jc w:val="center"/>
            </w:pPr>
            <w:r>
              <w:t>0</w:t>
            </w:r>
          </w:p>
          <w:p w:rsidR="00294DF0" w:rsidRDefault="00294DF0" w:rsidP="009300C5">
            <w:pPr>
              <w:spacing w:line="240" w:lineRule="auto"/>
              <w:ind w:firstLine="0"/>
              <w:jc w:val="center"/>
            </w:pPr>
          </w:p>
        </w:tc>
        <w:tc>
          <w:tcPr>
            <w:tcW w:w="0" w:type="auto"/>
          </w:tcPr>
          <w:p w:rsidR="00294DF0" w:rsidRDefault="00294DF0" w:rsidP="009300C5">
            <w:pPr>
              <w:spacing w:line="240" w:lineRule="auto"/>
              <w:ind w:firstLine="0"/>
              <w:jc w:val="center"/>
            </w:pPr>
          </w:p>
          <w:p w:rsidR="00294DF0" w:rsidRDefault="00294DF0" w:rsidP="009300C5">
            <w:pPr>
              <w:spacing w:line="240" w:lineRule="auto"/>
              <w:ind w:firstLine="0"/>
              <w:jc w:val="center"/>
            </w:pPr>
            <w:r>
              <w:t>0</w:t>
            </w:r>
          </w:p>
          <w:p w:rsidR="00294DF0" w:rsidRDefault="00294DF0" w:rsidP="009300C5">
            <w:pPr>
              <w:spacing w:line="240" w:lineRule="auto"/>
              <w:ind w:firstLine="0"/>
              <w:jc w:val="center"/>
            </w:pPr>
            <w:r>
              <w:t>0</w:t>
            </w:r>
          </w:p>
          <w:p w:rsidR="00294DF0" w:rsidRDefault="00294DF0" w:rsidP="009300C5">
            <w:pPr>
              <w:spacing w:line="240" w:lineRule="auto"/>
              <w:ind w:firstLine="0"/>
              <w:jc w:val="center"/>
            </w:pPr>
          </w:p>
        </w:tc>
      </w:tr>
      <w:tr w:rsidR="003C6B2F" w:rsidTr="004A2B93">
        <w:trPr>
          <w:jc w:val="center"/>
        </w:trPr>
        <w:tc>
          <w:tcPr>
            <w:tcW w:w="0" w:type="auto"/>
            <w:shd w:val="clear" w:color="auto" w:fill="auto"/>
          </w:tcPr>
          <w:p w:rsidR="003C6B2F" w:rsidRPr="00D97C79" w:rsidRDefault="003C6B2F" w:rsidP="009300C5">
            <w:pPr>
              <w:spacing w:line="240" w:lineRule="auto"/>
              <w:ind w:firstLine="0"/>
              <w:jc w:val="left"/>
              <w:rPr>
                <w:b/>
              </w:rPr>
            </w:pPr>
            <w:r>
              <w:rPr>
                <w:b/>
              </w:rPr>
              <w:t>Condom Use at Last Sexual Encounter?</w:t>
            </w:r>
            <w:r w:rsidR="00F849BC">
              <w:rPr>
                <w:b/>
              </w:rPr>
              <w:t xml:space="preserve"> (n,%)</w:t>
            </w:r>
            <w:r>
              <w:rPr>
                <w:b/>
              </w:rPr>
              <w:t xml:space="preserve"> </w:t>
            </w:r>
          </w:p>
          <w:p w:rsidR="003C6B2F" w:rsidRDefault="003C6B2F" w:rsidP="009300C5">
            <w:pPr>
              <w:spacing w:line="240" w:lineRule="auto"/>
              <w:ind w:firstLine="0"/>
              <w:jc w:val="left"/>
            </w:pPr>
            <w:r>
              <w:t>Yes</w:t>
            </w:r>
          </w:p>
          <w:p w:rsidR="003C6B2F" w:rsidRDefault="003C6B2F" w:rsidP="009300C5">
            <w:pPr>
              <w:spacing w:line="240" w:lineRule="auto"/>
              <w:ind w:firstLine="0"/>
              <w:jc w:val="left"/>
            </w:pPr>
            <w:r>
              <w:t>No</w:t>
            </w:r>
          </w:p>
        </w:tc>
        <w:tc>
          <w:tcPr>
            <w:tcW w:w="0" w:type="auto"/>
            <w:shd w:val="clear" w:color="auto" w:fill="auto"/>
          </w:tcPr>
          <w:p w:rsidR="003C6B2F" w:rsidRDefault="003C6B2F" w:rsidP="009300C5">
            <w:pPr>
              <w:spacing w:line="240" w:lineRule="auto"/>
              <w:ind w:firstLine="0"/>
              <w:jc w:val="center"/>
            </w:pPr>
          </w:p>
          <w:p w:rsidR="003C6B2F" w:rsidRDefault="00E00D89" w:rsidP="009300C5">
            <w:pPr>
              <w:spacing w:line="240" w:lineRule="auto"/>
              <w:ind w:firstLine="0"/>
              <w:jc w:val="center"/>
            </w:pPr>
            <w:r>
              <w:t>11</w:t>
            </w:r>
            <w:r w:rsidR="0049223C">
              <w:t>4</w:t>
            </w:r>
            <w:r>
              <w:t xml:space="preserve"> (</w:t>
            </w:r>
            <w:r w:rsidR="003C6B2F">
              <w:t>5</w:t>
            </w:r>
            <w:r>
              <w:t>2</w:t>
            </w:r>
            <w:r w:rsidR="003C6B2F">
              <w:t>.</w:t>
            </w:r>
            <w:r w:rsidR="0049223C">
              <w:t>05</w:t>
            </w:r>
            <w:r>
              <w:t>)</w:t>
            </w:r>
          </w:p>
          <w:p w:rsidR="003C6B2F" w:rsidRDefault="00E00D89" w:rsidP="009300C5">
            <w:pPr>
              <w:spacing w:line="240" w:lineRule="auto"/>
              <w:ind w:firstLine="0"/>
              <w:jc w:val="center"/>
            </w:pPr>
            <w:r>
              <w:t>105 (</w:t>
            </w:r>
            <w:r w:rsidR="003C6B2F">
              <w:t>4</w:t>
            </w:r>
            <w:r>
              <w:t>7.9</w:t>
            </w:r>
            <w:r w:rsidR="0049223C">
              <w:t>5</w:t>
            </w:r>
            <w:r>
              <w:t>)</w:t>
            </w:r>
          </w:p>
        </w:tc>
        <w:tc>
          <w:tcPr>
            <w:tcW w:w="0" w:type="auto"/>
            <w:shd w:val="clear" w:color="auto" w:fill="auto"/>
          </w:tcPr>
          <w:p w:rsidR="003C6B2F" w:rsidRDefault="003C6B2F" w:rsidP="009300C5">
            <w:pPr>
              <w:spacing w:line="240" w:lineRule="auto"/>
              <w:ind w:firstLine="0"/>
              <w:jc w:val="center"/>
            </w:pPr>
          </w:p>
          <w:p w:rsidR="003C6B2F" w:rsidRDefault="00E00D89" w:rsidP="009300C5">
            <w:pPr>
              <w:spacing w:line="240" w:lineRule="auto"/>
              <w:ind w:firstLine="0"/>
              <w:jc w:val="center"/>
            </w:pPr>
            <w:r>
              <w:t>56 (</w:t>
            </w:r>
            <w:r w:rsidR="003C6B2F">
              <w:t>2</w:t>
            </w:r>
            <w:r>
              <w:t>7.</w:t>
            </w:r>
            <w:r w:rsidR="003C6B2F">
              <w:t>8</w:t>
            </w:r>
            <w:r>
              <w:t>6)</w:t>
            </w:r>
          </w:p>
          <w:p w:rsidR="003C6B2F" w:rsidRDefault="00E00D89" w:rsidP="009300C5">
            <w:pPr>
              <w:spacing w:line="240" w:lineRule="auto"/>
              <w:ind w:firstLine="0"/>
              <w:jc w:val="center"/>
            </w:pPr>
            <w:r>
              <w:t>145 (</w:t>
            </w:r>
            <w:r w:rsidR="003C6B2F">
              <w:t>72</w:t>
            </w:r>
            <w:r>
              <w:t>.14)</w:t>
            </w:r>
          </w:p>
          <w:p w:rsidR="003C6B2F" w:rsidRDefault="003C6B2F" w:rsidP="009300C5">
            <w:pPr>
              <w:spacing w:line="240" w:lineRule="auto"/>
              <w:ind w:firstLine="0"/>
              <w:jc w:val="center"/>
            </w:pPr>
          </w:p>
        </w:tc>
        <w:tc>
          <w:tcPr>
            <w:tcW w:w="0" w:type="auto"/>
          </w:tcPr>
          <w:p w:rsidR="003C6B2F" w:rsidRDefault="003C6B2F" w:rsidP="009300C5">
            <w:pPr>
              <w:spacing w:line="240" w:lineRule="auto"/>
              <w:ind w:firstLine="0"/>
              <w:jc w:val="center"/>
            </w:pPr>
          </w:p>
          <w:p w:rsidR="003C6B2F" w:rsidRDefault="00E00D89" w:rsidP="009300C5">
            <w:pPr>
              <w:spacing w:line="240" w:lineRule="auto"/>
              <w:ind w:firstLine="0"/>
              <w:jc w:val="center"/>
            </w:pPr>
            <w:r>
              <w:t>168 (</w:t>
            </w:r>
            <w:r w:rsidR="003C6B2F">
              <w:t>40</w:t>
            </w:r>
            <w:r>
              <w:t>)</w:t>
            </w:r>
          </w:p>
          <w:p w:rsidR="003C6B2F" w:rsidRDefault="00E00D89" w:rsidP="009300C5">
            <w:pPr>
              <w:spacing w:line="240" w:lineRule="auto"/>
              <w:ind w:firstLine="0"/>
              <w:jc w:val="center"/>
            </w:pPr>
            <w:r>
              <w:t>252 (</w:t>
            </w:r>
            <w:r w:rsidR="003C6B2F">
              <w:t>60</w:t>
            </w:r>
            <w:r>
              <w:t>)</w:t>
            </w:r>
          </w:p>
        </w:tc>
      </w:tr>
    </w:tbl>
    <w:p w:rsidR="00FE6D46" w:rsidRDefault="00D11D79" w:rsidP="00104B9B">
      <w:pPr>
        <w:pStyle w:val="Heading2"/>
      </w:pPr>
      <w:bookmarkStart w:id="16" w:name="_Association_Between_Psychiatric"/>
      <w:bookmarkStart w:id="17" w:name="_Toc15393991"/>
      <w:bookmarkEnd w:id="16"/>
      <w:r>
        <w:rPr>
          <w:caps w:val="0"/>
        </w:rPr>
        <w:lastRenderedPageBreak/>
        <w:t>Association Between</w:t>
      </w:r>
      <w:r w:rsidR="00395684">
        <w:rPr>
          <w:caps w:val="0"/>
        </w:rPr>
        <w:t xml:space="preserve"> Psychiatric Disorders</w:t>
      </w:r>
      <w:r>
        <w:rPr>
          <w:caps w:val="0"/>
        </w:rPr>
        <w:t xml:space="preserve"> and Sexual Risk Behavior</w:t>
      </w:r>
      <w:r w:rsidR="003B6890">
        <w:rPr>
          <w:caps w:val="0"/>
        </w:rPr>
        <w:t>s</w:t>
      </w:r>
      <w:bookmarkEnd w:id="17"/>
    </w:p>
    <w:p w:rsidR="003E5C0A" w:rsidRDefault="00FF01A2" w:rsidP="00233E9F">
      <w:r>
        <w:t>A</w:t>
      </w:r>
      <w:r w:rsidR="009A7FD6" w:rsidRPr="009A7FD6">
        <w:t>nalysis showed there was no relationship between</w:t>
      </w:r>
      <w:r w:rsidR="000E5667">
        <w:t xml:space="preserve"> a probable</w:t>
      </w:r>
      <w:r w:rsidR="009A7FD6" w:rsidRPr="009A7FD6">
        <w:t xml:space="preserve"> PTSD </w:t>
      </w:r>
      <w:r>
        <w:t xml:space="preserve">diagnosis </w:t>
      </w:r>
      <w:r w:rsidR="009A7FD6" w:rsidRPr="009A7FD6">
        <w:t>and condom use</w:t>
      </w:r>
      <w:r w:rsidR="00321AE8">
        <w:t xml:space="preserve"> at last sexual encounter</w:t>
      </w:r>
      <w:r w:rsidR="009A7FD6" w:rsidRPr="009A7FD6">
        <w:t xml:space="preserve"> </w:t>
      </w:r>
      <w:r w:rsidR="009A7FD6" w:rsidRPr="007F0C94">
        <w:t>[χ</w:t>
      </w:r>
      <w:r w:rsidR="009A7FD6" w:rsidRPr="007F0C94">
        <w:rPr>
          <w:vertAlign w:val="superscript"/>
        </w:rPr>
        <w:t>2</w:t>
      </w:r>
      <w:r w:rsidR="009A7FD6" w:rsidRPr="007F0C94">
        <w:t xml:space="preserve"> = 4.39, p = 0.11]</w:t>
      </w:r>
      <w:r w:rsidR="008A5068">
        <w:t xml:space="preserve"> o</w:t>
      </w:r>
      <w:r w:rsidR="009A7FD6">
        <w:t xml:space="preserve">r </w:t>
      </w:r>
      <w:r w:rsidR="000E5667">
        <w:t xml:space="preserve">a probable </w:t>
      </w:r>
      <w:r w:rsidR="009A7FD6">
        <w:t>depression</w:t>
      </w:r>
      <w:r w:rsidR="000E5667">
        <w:t xml:space="preserve"> diagnosis</w:t>
      </w:r>
      <w:r w:rsidR="009A7FD6">
        <w:t xml:space="preserve"> and condom use</w:t>
      </w:r>
      <w:r w:rsidR="00321AE8">
        <w:t xml:space="preserve"> at last sexual encounter</w:t>
      </w:r>
      <w:r w:rsidR="009A7FD6">
        <w:t xml:space="preserve"> </w:t>
      </w:r>
      <w:r w:rsidR="009A7FD6" w:rsidRPr="009A7FD6">
        <w:t>[χ</w:t>
      </w:r>
      <w:r w:rsidR="009A7FD6" w:rsidRPr="0045417A">
        <w:rPr>
          <w:vertAlign w:val="superscript"/>
        </w:rPr>
        <w:t>2</w:t>
      </w:r>
      <w:r w:rsidR="009A7FD6" w:rsidRPr="009A7FD6">
        <w:t xml:space="preserve"> = 0.44, p = 0.505]</w:t>
      </w:r>
      <w:r w:rsidR="00321AE8">
        <w:t xml:space="preserve">. </w:t>
      </w:r>
      <w:r w:rsidR="007F5A44" w:rsidRPr="007F5A44">
        <w:t>Females who reported higher levels of d</w:t>
      </w:r>
      <w:r w:rsidR="00D76C7E">
        <w:t xml:space="preserve">epressive symptoms also had </w:t>
      </w:r>
      <w:r w:rsidR="007F5A44" w:rsidRPr="007F5A44">
        <w:t xml:space="preserve">a greater number of </w:t>
      </w:r>
      <w:r w:rsidR="007F5A44">
        <w:t>total</w:t>
      </w:r>
      <w:r w:rsidR="007F5A44" w:rsidRPr="007F5A44">
        <w:t xml:space="preserve"> sexual partners [</w:t>
      </w:r>
      <w:r w:rsidR="00D76C7E">
        <w:t xml:space="preserve">Mann-Whitney </w:t>
      </w:r>
      <w:r w:rsidR="007F5A44" w:rsidRPr="007F5A44">
        <w:t>U=3844, p= 0.001] and regular [</w:t>
      </w:r>
      <w:r w:rsidR="00D76C7E">
        <w:t xml:space="preserve">Mann-Whitney </w:t>
      </w:r>
      <w:r w:rsidR="007F5A44" w:rsidRPr="007F5A44">
        <w:t>U=3771, p=0.002] sexual partners (Figures 1 and 2).</w:t>
      </w:r>
      <w:r w:rsidR="007F5A44">
        <w:t xml:space="preserve"> </w:t>
      </w:r>
      <w:r w:rsidR="007F5A44" w:rsidRPr="00F24927">
        <w:t>This association was not statistically significant for men</w:t>
      </w:r>
      <w:r w:rsidR="00E574BA" w:rsidRPr="00F24927">
        <w:t xml:space="preserve"> for total</w:t>
      </w:r>
      <w:r w:rsidR="008A0AEF" w:rsidRPr="00F24927">
        <w:t xml:space="preserve"> [Mann-Whitney U=</w:t>
      </w:r>
      <w:r w:rsidR="00F24927" w:rsidRPr="00F24927">
        <w:t>2177</w:t>
      </w:r>
      <w:r w:rsidR="008A0AEF" w:rsidRPr="00F24927">
        <w:t>, p=0.</w:t>
      </w:r>
      <w:r w:rsidR="00F24927" w:rsidRPr="00F24927">
        <w:t>365] or</w:t>
      </w:r>
      <w:r w:rsidR="00E574BA" w:rsidRPr="00F24927">
        <w:t xml:space="preserve"> regular</w:t>
      </w:r>
      <w:r w:rsidR="00F24927" w:rsidRPr="00F24927">
        <w:t xml:space="preserve"> [Mann-Whitney U=2197, p=0.374]</w:t>
      </w:r>
      <w:r w:rsidR="00E574BA" w:rsidRPr="00F24927">
        <w:t xml:space="preserve"> sexual partners</w:t>
      </w:r>
      <w:r w:rsidR="007F5A44" w:rsidRPr="00F24927">
        <w:t>.</w:t>
      </w:r>
      <w:r w:rsidR="00233E9F" w:rsidRPr="00233E9F">
        <w:t xml:space="preserve"> </w:t>
      </w:r>
      <w:r w:rsidR="007F5A44">
        <w:t xml:space="preserve">These associations were not found with PTSD as well for men </w:t>
      </w:r>
      <w:r w:rsidR="009B749B">
        <w:t>n</w:t>
      </w:r>
      <w:r w:rsidR="007F5A44">
        <w:t xml:space="preserve">or </w:t>
      </w:r>
      <w:r w:rsidR="00FF5BED">
        <w:t xml:space="preserve">for </w:t>
      </w:r>
      <w:r w:rsidR="007F5A44">
        <w:t xml:space="preserve">women. </w:t>
      </w:r>
    </w:p>
    <w:p w:rsidR="009300C5" w:rsidRDefault="009300C5" w:rsidP="00233E9F"/>
    <w:p w:rsidR="007F5A44" w:rsidRDefault="00546064" w:rsidP="009300C5">
      <w:pPr>
        <w:keepNext/>
        <w:ind w:hanging="270"/>
        <w:jc w:val="center"/>
      </w:pPr>
      <w:bookmarkStart w:id="18" w:name="_Toc106513533"/>
      <w:bookmarkStart w:id="19" w:name="_Toc106717791"/>
      <w:r>
        <w:rPr>
          <w:noProof/>
        </w:rPr>
        <w:drawing>
          <wp:inline distT="0" distB="0" distL="0" distR="0">
            <wp:extent cx="3771900" cy="21526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152650"/>
                    </a:xfrm>
                    <a:prstGeom prst="rect">
                      <a:avLst/>
                    </a:prstGeom>
                    <a:noFill/>
                    <a:ln>
                      <a:noFill/>
                    </a:ln>
                  </pic:spPr>
                </pic:pic>
              </a:graphicData>
            </a:graphic>
          </wp:inline>
        </w:drawing>
      </w:r>
    </w:p>
    <w:p w:rsidR="009300C5" w:rsidRDefault="009300C5" w:rsidP="00D76C7E">
      <w:pPr>
        <w:pStyle w:val="Caption"/>
        <w:ind w:firstLine="0"/>
        <w:jc w:val="center"/>
      </w:pPr>
      <w:bookmarkStart w:id="20" w:name="_Toc15394001"/>
      <w:r>
        <w:t xml:space="preserve">Figure </w:t>
      </w:r>
      <w:r w:rsidR="00D97CBF">
        <w:rPr>
          <w:noProof/>
        </w:rPr>
        <w:fldChar w:fldCharType="begin"/>
      </w:r>
      <w:r w:rsidR="00D97CBF">
        <w:rPr>
          <w:noProof/>
        </w:rPr>
        <w:instrText xml:space="preserve"> SEQ Figure \* ARABIC </w:instrText>
      </w:r>
      <w:r w:rsidR="00D97CBF">
        <w:rPr>
          <w:noProof/>
        </w:rPr>
        <w:fldChar w:fldCharType="separate"/>
      </w:r>
      <w:r w:rsidR="00546064">
        <w:rPr>
          <w:noProof/>
        </w:rPr>
        <w:t>1</w:t>
      </w:r>
      <w:r w:rsidR="00D97CBF">
        <w:rPr>
          <w:noProof/>
        </w:rPr>
        <w:fldChar w:fldCharType="end"/>
      </w:r>
      <w:r w:rsidR="0012613F">
        <w:t>. Association Between Depressi</w:t>
      </w:r>
      <w:r w:rsidR="00D76C7E">
        <w:t>ve Symptoms</w:t>
      </w:r>
      <w:r w:rsidR="0012613F">
        <w:t xml:space="preserve"> and Total Number of Sexual Partners in F</w:t>
      </w:r>
      <w:r>
        <w:t>emales</w:t>
      </w:r>
      <w:bookmarkEnd w:id="20"/>
    </w:p>
    <w:p w:rsidR="00D11D79" w:rsidRDefault="00D11D79" w:rsidP="007F5A44">
      <w:pPr>
        <w:keepNext/>
        <w:jc w:val="center"/>
      </w:pPr>
    </w:p>
    <w:bookmarkEnd w:id="18"/>
    <w:bookmarkEnd w:id="19"/>
    <w:p w:rsidR="007F5A44" w:rsidRDefault="00546064" w:rsidP="0012613F">
      <w:pPr>
        <w:pStyle w:val="Caption"/>
        <w:ind w:left="720" w:hanging="900"/>
        <w:jc w:val="center"/>
      </w:pPr>
      <w:r>
        <w:rPr>
          <w:noProof/>
        </w:rPr>
        <w:drawing>
          <wp:inline distT="0" distB="0" distL="0" distR="0">
            <wp:extent cx="3752850" cy="21812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181225"/>
                    </a:xfrm>
                    <a:prstGeom prst="rect">
                      <a:avLst/>
                    </a:prstGeom>
                    <a:noFill/>
                    <a:ln>
                      <a:noFill/>
                    </a:ln>
                  </pic:spPr>
                </pic:pic>
              </a:graphicData>
            </a:graphic>
          </wp:inline>
        </w:drawing>
      </w:r>
    </w:p>
    <w:p w:rsidR="009300C5" w:rsidRDefault="009300C5" w:rsidP="00D76C7E">
      <w:pPr>
        <w:pStyle w:val="Caption"/>
        <w:ind w:firstLine="0"/>
        <w:jc w:val="center"/>
      </w:pPr>
      <w:bookmarkStart w:id="21" w:name="_Toc15394002"/>
      <w:r>
        <w:t xml:space="preserve">Figure </w:t>
      </w:r>
      <w:r w:rsidR="00D97CBF">
        <w:rPr>
          <w:noProof/>
        </w:rPr>
        <w:fldChar w:fldCharType="begin"/>
      </w:r>
      <w:r w:rsidR="00D97CBF">
        <w:rPr>
          <w:noProof/>
        </w:rPr>
        <w:instrText xml:space="preserve"> SEQ Figure \* ARABIC </w:instrText>
      </w:r>
      <w:r w:rsidR="00D97CBF">
        <w:rPr>
          <w:noProof/>
        </w:rPr>
        <w:fldChar w:fldCharType="separate"/>
      </w:r>
      <w:r w:rsidR="00546064">
        <w:rPr>
          <w:noProof/>
        </w:rPr>
        <w:t>2</w:t>
      </w:r>
      <w:r w:rsidR="00D97CBF">
        <w:rPr>
          <w:noProof/>
        </w:rPr>
        <w:fldChar w:fldCharType="end"/>
      </w:r>
      <w:r>
        <w:t>. Association Between Depressi</w:t>
      </w:r>
      <w:r w:rsidR="00D76C7E">
        <w:t>ve Symptoms</w:t>
      </w:r>
      <w:r>
        <w:t xml:space="preserve"> and</w:t>
      </w:r>
      <w:r w:rsidR="0012613F">
        <w:t xml:space="preserve"> Number of Regular Sexual Partne</w:t>
      </w:r>
      <w:r>
        <w:t>rs in Females</w:t>
      </w:r>
      <w:bookmarkEnd w:id="21"/>
    </w:p>
    <w:p w:rsidR="00FE6D46" w:rsidRDefault="00D11D79" w:rsidP="00FE6D46">
      <w:pPr>
        <w:pStyle w:val="Heading1"/>
      </w:pPr>
      <w:bookmarkStart w:id="22" w:name="_Toc15393992"/>
      <w:r>
        <w:rPr>
          <w:caps w:val="0"/>
        </w:rPr>
        <w:lastRenderedPageBreak/>
        <w:t>Discussion</w:t>
      </w:r>
      <w:bookmarkEnd w:id="22"/>
    </w:p>
    <w:p w:rsidR="007F5A44" w:rsidRDefault="00C41B57" w:rsidP="00CD5B44">
      <w:pPr>
        <w:pStyle w:val="Noindent"/>
        <w:ind w:firstLine="720"/>
      </w:pPr>
      <w:r>
        <w:t xml:space="preserve">This study </w:t>
      </w:r>
      <w:r w:rsidR="008E51FA">
        <w:t xml:space="preserve">is one of the first to evaluate </w:t>
      </w:r>
      <w:r w:rsidR="00DF2054">
        <w:t xml:space="preserve">psychiatric disorders </w:t>
      </w:r>
      <w:r w:rsidR="0045417A">
        <w:t>and</w:t>
      </w:r>
      <w:r w:rsidR="00036ADE">
        <w:t xml:space="preserve"> </w:t>
      </w:r>
      <w:r w:rsidR="008E51FA">
        <w:t xml:space="preserve">sexual </w:t>
      </w:r>
      <w:r w:rsidR="00036ADE">
        <w:t xml:space="preserve">risk </w:t>
      </w:r>
      <w:r w:rsidR="008E51FA">
        <w:t xml:space="preserve">behaviors </w:t>
      </w:r>
      <w:r w:rsidR="009E69EA">
        <w:t xml:space="preserve">in </w:t>
      </w:r>
      <w:r w:rsidR="008E51FA">
        <w:t>immigrants and refugees</w:t>
      </w:r>
      <w:r w:rsidR="009E69EA">
        <w:t xml:space="preserve"> from Africa</w:t>
      </w:r>
      <w:r w:rsidR="008E51FA">
        <w:t xml:space="preserve">. </w:t>
      </w:r>
      <w:r w:rsidR="009E69EA">
        <w:t>D</w:t>
      </w:r>
      <w:r w:rsidR="008E51FA">
        <w:t xml:space="preserve">epression </w:t>
      </w:r>
      <w:r w:rsidR="009E69EA">
        <w:t>and PTSD</w:t>
      </w:r>
      <w:r w:rsidR="003D3D78">
        <w:t xml:space="preserve"> symptoms</w:t>
      </w:r>
      <w:r w:rsidR="009E69EA">
        <w:t xml:space="preserve"> </w:t>
      </w:r>
      <w:r w:rsidR="008E51FA">
        <w:t xml:space="preserve">were the </w:t>
      </w:r>
      <w:r w:rsidR="009E69EA">
        <w:t>primary psychiatric symptoms</w:t>
      </w:r>
      <w:r w:rsidR="008E51FA">
        <w:t xml:space="preserve"> evaluated in this study as these are the most </w:t>
      </w:r>
      <w:r w:rsidR="00CD5B44">
        <w:t>prevalent</w:t>
      </w:r>
      <w:r w:rsidR="008E51FA">
        <w:t xml:space="preserve"> </w:t>
      </w:r>
      <w:r w:rsidR="009E69EA">
        <w:t>symptoms reported by</w:t>
      </w:r>
      <w:r w:rsidR="008E51FA">
        <w:t xml:space="preserve"> refugee and immigrant populations (Fazel</w:t>
      </w:r>
      <w:r w:rsidR="002C4DF9">
        <w:t xml:space="preserve"> et al.</w:t>
      </w:r>
      <w:r w:rsidR="008E51FA">
        <w:t xml:space="preserve">, 2005). </w:t>
      </w:r>
      <w:r w:rsidR="003D3D78">
        <w:t>The</w:t>
      </w:r>
      <w:r w:rsidR="00622641">
        <w:t xml:space="preserve"> rat</w:t>
      </w:r>
      <w:r w:rsidR="008E51FA">
        <w:t>e</w:t>
      </w:r>
      <w:r w:rsidR="00622641">
        <w:t>s</w:t>
      </w:r>
      <w:r w:rsidR="008E51FA">
        <w:t xml:space="preserve"> of depressi</w:t>
      </w:r>
      <w:r w:rsidR="003D3D78">
        <w:t>ve symptoms</w:t>
      </w:r>
      <w:r w:rsidR="008E51FA">
        <w:t xml:space="preserve"> were similar to </w:t>
      </w:r>
      <w:r w:rsidR="008904B5">
        <w:t>those</w:t>
      </w:r>
      <w:r w:rsidR="008E51FA">
        <w:t xml:space="preserve"> in other refugee and immigrant groups </w:t>
      </w:r>
      <w:r w:rsidR="008904B5">
        <w:t>that have settled in developed countires</w:t>
      </w:r>
      <w:r w:rsidR="000C7E3A">
        <w:t>.</w:t>
      </w:r>
      <w:r w:rsidR="008E51FA">
        <w:t xml:space="preserve"> (Gerritsen</w:t>
      </w:r>
      <w:r w:rsidR="00BC2660">
        <w:t xml:space="preserve"> et al.,</w:t>
      </w:r>
      <w:r w:rsidR="008E51FA">
        <w:t xml:space="preserve"> 2006; Matheson</w:t>
      </w:r>
      <w:r w:rsidR="00E305D1">
        <w:t xml:space="preserve">, </w:t>
      </w:r>
      <w:r w:rsidR="00387B47">
        <w:t>Jorden, &amp; Anisman,</w:t>
      </w:r>
      <w:r w:rsidR="008E51FA">
        <w:t xml:space="preserve"> 2008; Schweitzer</w:t>
      </w:r>
      <w:r w:rsidR="0057515A">
        <w:t>, Melville, Steel, &amp; Lacherez,</w:t>
      </w:r>
      <w:r w:rsidR="008E51FA">
        <w:t xml:space="preserve"> 2006). Th</w:t>
      </w:r>
      <w:r w:rsidR="003D3D78">
        <w:t>e</w:t>
      </w:r>
      <w:r w:rsidR="008E51FA">
        <w:t>s</w:t>
      </w:r>
      <w:r w:rsidR="003D3D78">
        <w:t>e rates were</w:t>
      </w:r>
      <w:r w:rsidR="008E51FA">
        <w:t xml:space="preserve"> higher than the rates of depression found in the general population of Sweden </w:t>
      </w:r>
      <w:r w:rsidR="00CD5B44">
        <w:t xml:space="preserve">during the same time </w:t>
      </w:r>
      <w:r w:rsidR="008E51FA">
        <w:t>(Psykologf</w:t>
      </w:r>
      <w:r w:rsidR="000C7E3A" w:rsidRPr="000C7E3A">
        <w:t>ö</w:t>
      </w:r>
      <w:r w:rsidR="008E51FA">
        <w:t>rbundet, 2009)</w:t>
      </w:r>
      <w:r w:rsidR="00CD5B44">
        <w:t>,</w:t>
      </w:r>
      <w:r w:rsidR="000C7E3A">
        <w:t xml:space="preserve"> but lower than what was found in non-African immigrant and refugee populations</w:t>
      </w:r>
      <w:r w:rsidR="009E69EA">
        <w:t xml:space="preserve"> who have settled in other Western countries.</w:t>
      </w:r>
      <w:r w:rsidR="000C7E3A">
        <w:t xml:space="preserve"> (Lie, 2002; Mollica</w:t>
      </w:r>
      <w:r w:rsidR="00295DEB">
        <w:t xml:space="preserve"> et al.</w:t>
      </w:r>
      <w:r w:rsidR="000C7E3A">
        <w:t>, 2001; Sabin, 2003)</w:t>
      </w:r>
    </w:p>
    <w:p w:rsidR="00F636CD" w:rsidRDefault="00CD5B44" w:rsidP="00CD5B44">
      <w:r>
        <w:t xml:space="preserve">Unlike </w:t>
      </w:r>
      <w:r w:rsidR="00D76C7E">
        <w:t>depressive symptoms</w:t>
      </w:r>
      <w:r>
        <w:t xml:space="preserve">, rates of PTSD </w:t>
      </w:r>
      <w:r w:rsidR="00D76C7E">
        <w:t xml:space="preserve">symptoms </w:t>
      </w:r>
      <w:r>
        <w:t>were higher than found in other refugee and immigrant groups</w:t>
      </w:r>
      <w:r w:rsidR="009E69EA">
        <w:t xml:space="preserve"> from Africa living</w:t>
      </w:r>
      <w:r>
        <w:t xml:space="preserve"> in Western countries. (Gerritsen</w:t>
      </w:r>
      <w:r w:rsidR="00BC2660">
        <w:t xml:space="preserve"> et al.,</w:t>
      </w:r>
      <w:r>
        <w:t xml:space="preserve"> 2006; </w:t>
      </w:r>
      <w:r w:rsidR="0057515A">
        <w:t>Schweitzer, Melville, Steel, &amp; Lacherez,</w:t>
      </w:r>
      <w:r>
        <w:t xml:space="preserve"> 2006). The rates of PTSD </w:t>
      </w:r>
      <w:r w:rsidR="00D76C7E">
        <w:t xml:space="preserve">symptoms </w:t>
      </w:r>
      <w:r w:rsidR="009E69EA">
        <w:t xml:space="preserve">in this study was </w:t>
      </w:r>
      <w:r>
        <w:t xml:space="preserve">comparable to </w:t>
      </w:r>
      <w:r w:rsidR="00B158E6">
        <w:t>refugees living in refugee camps in</w:t>
      </w:r>
      <w:r>
        <w:t xml:space="preserve"> Sierra Leon (Fox and Tang, 2000) indicating th</w:t>
      </w:r>
      <w:r w:rsidR="00F636CD">
        <w:t>is</w:t>
      </w:r>
      <w:r w:rsidR="003D3D78">
        <w:t xml:space="preserve"> cohort</w:t>
      </w:r>
      <w:r w:rsidR="00F636CD">
        <w:t xml:space="preserve"> of</w:t>
      </w:r>
      <w:r>
        <w:t xml:space="preserve"> immigrants and refugees </w:t>
      </w:r>
      <w:r w:rsidR="00B158E6">
        <w:t xml:space="preserve">from Africa living </w:t>
      </w:r>
      <w:r w:rsidR="00F636CD">
        <w:t xml:space="preserve">in Sweden </w:t>
      </w:r>
      <w:r>
        <w:t xml:space="preserve">are experiencing </w:t>
      </w:r>
      <w:r w:rsidR="00F636CD">
        <w:t xml:space="preserve">PTSD at similar rates to refugees who have more recently experienced </w:t>
      </w:r>
      <w:r w:rsidR="008231A3">
        <w:t>trauma.</w:t>
      </w:r>
      <w:r w:rsidR="00F636CD">
        <w:t xml:space="preserve"> An explanation of this finding may be due to refugees and immigrants not utilizing</w:t>
      </w:r>
      <w:r w:rsidR="00DF2054">
        <w:t xml:space="preserve"> psychiatric services</w:t>
      </w:r>
      <w:r w:rsidR="00F636CD">
        <w:t xml:space="preserve">, which previous studies have shown when they are available (Segal </w:t>
      </w:r>
      <w:r w:rsidR="0057515A">
        <w:t>&amp;</w:t>
      </w:r>
      <w:r w:rsidR="00F636CD">
        <w:t xml:space="preserve"> Mayadas, 2005).</w:t>
      </w:r>
      <w:r w:rsidR="008F23BD">
        <w:t xml:space="preserve"> </w:t>
      </w:r>
      <w:r w:rsidR="008231A3">
        <w:t xml:space="preserve">A lack of use of </w:t>
      </w:r>
      <w:r w:rsidR="00DF2054">
        <w:t>psychiatric</w:t>
      </w:r>
      <w:r w:rsidR="008231A3">
        <w:t xml:space="preserve"> resources coupled with a stressful environment of living in a new city could exacerbate </w:t>
      </w:r>
      <w:r w:rsidR="00DF2054">
        <w:t>psychiatric disorders</w:t>
      </w:r>
      <w:r w:rsidR="008231A3">
        <w:t xml:space="preserve">. </w:t>
      </w:r>
      <w:r w:rsidR="00F636CD">
        <w:t xml:space="preserve">Whether </w:t>
      </w:r>
      <w:r w:rsidR="008231A3">
        <w:t xml:space="preserve">a reluctance to use </w:t>
      </w:r>
      <w:r w:rsidR="00DF2054">
        <w:t>psychiatric</w:t>
      </w:r>
      <w:r w:rsidR="008231A3">
        <w:t xml:space="preserve"> services </w:t>
      </w:r>
      <w:r w:rsidR="00F636CD">
        <w:t xml:space="preserve">is due to a cultural attitude towards </w:t>
      </w:r>
      <w:r w:rsidR="00F636CD">
        <w:lastRenderedPageBreak/>
        <w:t xml:space="preserve">these services or whether these </w:t>
      </w:r>
      <w:r w:rsidR="00DF2054">
        <w:t>psychiatric disorders</w:t>
      </w:r>
      <w:r w:rsidR="00F636CD">
        <w:t xml:space="preserve"> are worsened by post-migration stressors, such as discrimination, needs to be further elucidated. </w:t>
      </w:r>
    </w:p>
    <w:p w:rsidR="00CD5B44" w:rsidRDefault="008F1424" w:rsidP="00CD5B44">
      <w:r>
        <w:t xml:space="preserve">One result that was interesting was </w:t>
      </w:r>
      <w:r w:rsidR="00F636CD">
        <w:t>that rates of depressi</w:t>
      </w:r>
      <w:r w:rsidR="00D76C7E">
        <w:t>ve</w:t>
      </w:r>
      <w:r w:rsidR="008F23BD">
        <w:t xml:space="preserve"> and PTSD</w:t>
      </w:r>
      <w:r w:rsidR="00F636CD">
        <w:t xml:space="preserve"> </w:t>
      </w:r>
      <w:r w:rsidR="00D76C7E">
        <w:t xml:space="preserve">symptoms </w:t>
      </w:r>
      <w:r w:rsidR="00F636CD">
        <w:t xml:space="preserve">were </w:t>
      </w:r>
      <w:r>
        <w:t>increased</w:t>
      </w:r>
      <w:r w:rsidR="008F23BD">
        <w:t xml:space="preserve"> i</w:t>
      </w:r>
      <w:r w:rsidR="00F636CD">
        <w:t xml:space="preserve">n participants who lived in Sweden for a </w:t>
      </w:r>
      <w:r>
        <w:t>lesser</w:t>
      </w:r>
      <w:r w:rsidR="00F636CD">
        <w:t xml:space="preserve"> </w:t>
      </w:r>
      <w:r>
        <w:t xml:space="preserve">amount of </w:t>
      </w:r>
      <w:r w:rsidR="00F636CD">
        <w:t>time,</w:t>
      </w:r>
      <w:r w:rsidR="008F23BD">
        <w:t xml:space="preserve"> and the rates decreased for participants that have been living in</w:t>
      </w:r>
      <w:r w:rsidR="00F636CD">
        <w:t xml:space="preserve"> Sweden for a longer time. </w:t>
      </w:r>
      <w:r w:rsidR="00F93E56">
        <w:t xml:space="preserve">This could indicate that recently arrived immigrants and refugees </w:t>
      </w:r>
      <w:r w:rsidR="005918E1">
        <w:t xml:space="preserve">were more recently exposed to trauma and may have </w:t>
      </w:r>
      <w:r w:rsidR="00F93E56" w:rsidRPr="00126347">
        <w:t>experience</w:t>
      </w:r>
      <w:r w:rsidR="008E76FE" w:rsidRPr="00126347">
        <w:t>d</w:t>
      </w:r>
      <w:r w:rsidR="00F93E56" w:rsidRPr="00126347">
        <w:t xml:space="preserve"> </w:t>
      </w:r>
      <w:r w:rsidR="00D76C7E" w:rsidRPr="00126347">
        <w:t xml:space="preserve">a greater number of </w:t>
      </w:r>
      <w:r w:rsidR="00F93E56" w:rsidRPr="00126347">
        <w:t>post-migration stressors</w:t>
      </w:r>
      <w:r w:rsidR="00507FC9">
        <w:t xml:space="preserve"> </w:t>
      </w:r>
      <w:r w:rsidR="00F93E56">
        <w:t>that are likely to exacerbate depression</w:t>
      </w:r>
      <w:r w:rsidR="008F23BD">
        <w:t xml:space="preserve"> and PTSD</w:t>
      </w:r>
      <w:r w:rsidR="00F93E56">
        <w:t xml:space="preserve"> such as resettling into a new country, developing social networks, and finding social support. As one lives longer in Sweden, these stressors may resolve as they become acclimated to their new home. This explanation is supported by a study on refugees </w:t>
      </w:r>
      <w:r w:rsidR="00B158E6">
        <w:t xml:space="preserve">from the Middle East who live </w:t>
      </w:r>
      <w:r w:rsidR="00F93E56">
        <w:t>in Sweden</w:t>
      </w:r>
      <w:r w:rsidR="00AD7908">
        <w:t xml:space="preserve">; </w:t>
      </w:r>
      <w:r w:rsidR="00CD1401">
        <w:t xml:space="preserve">post migration stressors formed a sizeable amount of </w:t>
      </w:r>
      <w:r w:rsidR="00F93E56">
        <w:t>the variance for depression (Lindencrona</w:t>
      </w:r>
      <w:r w:rsidR="00E305D1">
        <w:t>, Ekblad, &amp; Hauff</w:t>
      </w:r>
      <w:r w:rsidR="00F93E56">
        <w:t>, 2008</w:t>
      </w:r>
      <w:r w:rsidR="008F23BD">
        <w:t>)</w:t>
      </w:r>
      <w:r w:rsidR="00F93E56">
        <w:t xml:space="preserve">.  </w:t>
      </w:r>
    </w:p>
    <w:p w:rsidR="007A00BC" w:rsidRDefault="003F1BF7" w:rsidP="00CD5B44">
      <w:r>
        <w:t xml:space="preserve">Psychiatric symptoms </w:t>
      </w:r>
      <w:r w:rsidR="00036ADE">
        <w:t>were shown to be linked with acculturation</w:t>
      </w:r>
      <w:r w:rsidR="006A48A6">
        <w:t xml:space="preserve">; </w:t>
      </w:r>
      <w:r w:rsidR="00036ADE">
        <w:t xml:space="preserve">higher levels of </w:t>
      </w:r>
      <w:r w:rsidR="00CD1401">
        <w:t xml:space="preserve">depression and </w:t>
      </w:r>
      <w:r w:rsidR="00036ADE">
        <w:t>PTSD</w:t>
      </w:r>
      <w:r w:rsidR="00F62458">
        <w:t xml:space="preserve"> were linked with lower total acculturation levels</w:t>
      </w:r>
      <w:r w:rsidR="00036ADE">
        <w:t>. These relationships were similar to other studies on immigrants and refugees (Kim, 2009; Lee</w:t>
      </w:r>
      <w:r w:rsidR="00A044CD">
        <w:t xml:space="preserve"> et al.</w:t>
      </w:r>
      <w:r w:rsidR="00036ADE">
        <w:t>, 2009; Miller</w:t>
      </w:r>
      <w:r w:rsidR="00387B47">
        <w:t xml:space="preserve"> et al.</w:t>
      </w:r>
      <w:r w:rsidR="00036ADE">
        <w:t>, 2006)</w:t>
      </w:r>
      <w:r w:rsidR="006A48A6">
        <w:t xml:space="preserve">. Lower language scores were consistently linked to higher levels of PTSD and depression, while lower tradition </w:t>
      </w:r>
      <w:r w:rsidR="008F23BD">
        <w:t>and social acculturation</w:t>
      </w:r>
      <w:r w:rsidR="008E76FE">
        <w:t xml:space="preserve"> subscale</w:t>
      </w:r>
      <w:r w:rsidR="008F23BD">
        <w:t xml:space="preserve"> </w:t>
      </w:r>
      <w:r w:rsidR="006A48A6">
        <w:t xml:space="preserve">scores were not. </w:t>
      </w:r>
      <w:r w:rsidR="007A00BC">
        <w:t xml:space="preserve">It may be reasoned that adoption of language is a key facet of becoming integrated into society, and a poorer understanding of the Swedish language may lead to isolation and barriers to daily life such as working or making friends. This may lead to an exacerbation of </w:t>
      </w:r>
      <w:r w:rsidR="00DF2054">
        <w:t xml:space="preserve">psychiatric disorders </w:t>
      </w:r>
      <w:r w:rsidR="007A00BC">
        <w:t>due to isolation and prevent acceptance into Swedish society. Swedish traditions</w:t>
      </w:r>
      <w:r w:rsidR="008F23BD">
        <w:t xml:space="preserve"> and social life</w:t>
      </w:r>
      <w:r w:rsidR="007A00BC">
        <w:t xml:space="preserve"> on the other hand may not be as necessary as language to become integrated into Swedish society, and as a result may not be as linked to </w:t>
      </w:r>
      <w:r w:rsidR="00DF2054">
        <w:t>psychiatric disorders</w:t>
      </w:r>
      <w:r w:rsidR="007A00BC">
        <w:t xml:space="preserve">. </w:t>
      </w:r>
    </w:p>
    <w:p w:rsidR="00BE6914" w:rsidRDefault="004E4435" w:rsidP="00676095">
      <w:r>
        <w:lastRenderedPageBreak/>
        <w:t>In this study, the</w:t>
      </w:r>
      <w:r w:rsidR="00676095">
        <w:t xml:space="preserve"> age of first sexual experience differed between th</w:t>
      </w:r>
      <w:r w:rsidR="00BE6914">
        <w:t>ose in the African and immigrant men and women</w:t>
      </w:r>
      <w:r w:rsidR="008E76FE">
        <w:t xml:space="preserve"> and their European counterparts</w:t>
      </w:r>
      <w:r w:rsidR="00BE6914">
        <w:t xml:space="preserve">. </w:t>
      </w:r>
      <w:r w:rsidR="008E76FE">
        <w:t>It</w:t>
      </w:r>
      <w:r w:rsidR="00BE6914">
        <w:t xml:space="preserve"> was </w:t>
      </w:r>
      <w:r w:rsidR="008E76FE">
        <w:t xml:space="preserve">higher when in </w:t>
      </w:r>
      <w:r w:rsidR="00BE6914">
        <w:t>studies of Swedish and Danish general populations (</w:t>
      </w:r>
      <w:r w:rsidR="00BE6914" w:rsidRPr="00BE6914">
        <w:t>Jæger</w:t>
      </w:r>
      <w:r w:rsidR="009632DF">
        <w:t xml:space="preserve"> et al.</w:t>
      </w:r>
      <w:r w:rsidR="00BE6914">
        <w:t>, 2000), who were on average 16 years old at their sexual debut. The number of total sexual partners was also</w:t>
      </w:r>
      <w:r w:rsidR="00A72E6B">
        <w:t xml:space="preserve"> much</w:t>
      </w:r>
      <w:r w:rsidR="00BE6914">
        <w:t xml:space="preserve"> higher for those in the Swedish general</w:t>
      </w:r>
      <w:r w:rsidR="003F1BF7">
        <w:t xml:space="preserve"> population</w:t>
      </w:r>
      <w:r w:rsidR="00A72E6B">
        <w:t xml:space="preserve"> (Lewin,</w:t>
      </w:r>
      <w:r w:rsidR="00A044CD">
        <w:t xml:space="preserve"> Helmius, Lalos, &amp; M</w:t>
      </w:r>
      <w:r w:rsidR="00A044CD" w:rsidRPr="00A044CD">
        <w:rPr>
          <w:color w:val="222222"/>
          <w:shd w:val="clear" w:color="auto" w:fill="FFFFFF"/>
        </w:rPr>
        <w:t>å</w:t>
      </w:r>
      <w:r w:rsidR="00A044CD">
        <w:t>nsson</w:t>
      </w:r>
      <w:r w:rsidR="00A72E6B">
        <w:t xml:space="preserve"> 2000)</w:t>
      </w:r>
      <w:r w:rsidR="00BE6914">
        <w:t xml:space="preserve"> when compared to refugee</w:t>
      </w:r>
      <w:r w:rsidR="003F1BF7">
        <w:t>s</w:t>
      </w:r>
      <w:r w:rsidR="00BE6914">
        <w:t xml:space="preserve"> and immigrant</w:t>
      </w:r>
      <w:r w:rsidR="003F1BF7">
        <w:t>s from Africa</w:t>
      </w:r>
      <w:r w:rsidR="00BE6914">
        <w:t xml:space="preserve">. </w:t>
      </w:r>
      <w:r w:rsidR="00936B86">
        <w:t xml:space="preserve">This difference could be attributed to the differing cultures regarding sexuality, with the Swedish and other western populations being more liberal and open to sexual relationships than the African migrants. Furthermore, the situational stress that many of these African immigrants and refugees face in their home country or during their migration may have prevented them from </w:t>
      </w:r>
      <w:r w:rsidR="003F1BF7">
        <w:t xml:space="preserve">engaging </w:t>
      </w:r>
      <w:r w:rsidR="00936B86">
        <w:t xml:space="preserve">in sex. </w:t>
      </w:r>
    </w:p>
    <w:p w:rsidR="00A72E6B" w:rsidRDefault="003F1BF7" w:rsidP="00676095">
      <w:r>
        <w:t xml:space="preserve">Fifteen percent of adults in </w:t>
      </w:r>
      <w:r w:rsidR="004E4435">
        <w:t>Sweden reported using a condom on their last sexual encounter (</w:t>
      </w:r>
      <w:r w:rsidR="00A044CD">
        <w:t>Lewin, Helmius, Lalos, &amp; M</w:t>
      </w:r>
      <w:r w:rsidR="00A044CD" w:rsidRPr="00A044CD">
        <w:rPr>
          <w:color w:val="222222"/>
          <w:shd w:val="clear" w:color="auto" w:fill="FFFFFF"/>
        </w:rPr>
        <w:t>å</w:t>
      </w:r>
      <w:r w:rsidR="00A044CD">
        <w:t>nsson</w:t>
      </w:r>
      <w:r w:rsidR="004E4435">
        <w:t>, 2000). These percentages appear to be similar in other western countries; a national study in France found that overall condom use was 28.9% in males and 25.8% in females (Gremy</w:t>
      </w:r>
      <w:r w:rsidR="00BC2660">
        <w:t xml:space="preserve"> &amp; Beltzer</w:t>
      </w:r>
      <w:r w:rsidR="004E4435">
        <w:t>, 2004) and a study done in the US found that 19.7% of all adults reported using a condom at their last sexual encounter (Anderson, 2003).</w:t>
      </w:r>
      <w:r w:rsidR="00676095">
        <w:t xml:space="preserve"> </w:t>
      </w:r>
      <w:r w:rsidR="00936B86">
        <w:t>The high</w:t>
      </w:r>
      <w:r w:rsidR="008A5068">
        <w:t>er</w:t>
      </w:r>
      <w:r w:rsidR="00936B86">
        <w:t xml:space="preserve"> rates of condom use </w:t>
      </w:r>
      <w:r w:rsidR="008A5068">
        <w:t xml:space="preserve">in </w:t>
      </w:r>
      <w:r>
        <w:t>i</w:t>
      </w:r>
      <w:r w:rsidR="008A5068">
        <w:t>mmigrant</w:t>
      </w:r>
      <w:r w:rsidR="00B4491C">
        <w:t>s</w:t>
      </w:r>
      <w:r w:rsidR="008A5068">
        <w:t xml:space="preserve"> and refugee</w:t>
      </w:r>
      <w:r w:rsidR="00B4491C">
        <w:t xml:space="preserve">s from Africa </w:t>
      </w:r>
      <w:r w:rsidR="008A5068">
        <w:t>was quite surprising</w:t>
      </w:r>
      <w:r w:rsidR="00B4491C">
        <w:t xml:space="preserve">, suggesting that immigrants and refugees from Africa have </w:t>
      </w:r>
      <w:r w:rsidR="00D76C7E">
        <w:t xml:space="preserve">a higher rate of </w:t>
      </w:r>
      <w:r w:rsidR="00B4491C">
        <w:t>condom use</w:t>
      </w:r>
      <w:r w:rsidR="008A5068">
        <w:t>. One explanation is the focus of certain African governments to provide productive educational programs for condom use. One study evaluating condom use in Ethiopia alluded to the HIV/AIDS interventions leading to high rates of condom use in their study (Kassie,</w:t>
      </w:r>
      <w:r w:rsidR="007C4376">
        <w:t xml:space="preserve"> Mariam, &amp; Tsui,</w:t>
      </w:r>
      <w:r w:rsidR="008A5068">
        <w:t xml:space="preserve"> 2008)</w:t>
      </w:r>
      <w:r w:rsidR="00B4491C">
        <w:t xml:space="preserve">. Perhaps these public health interventions towards HIV/AIDS prevention has led to a behavioral change in these populations that is not stressed in Sweden. </w:t>
      </w:r>
    </w:p>
    <w:p w:rsidR="009B749B" w:rsidRDefault="009B749B" w:rsidP="00CD5B44">
      <w:r>
        <w:lastRenderedPageBreak/>
        <w:t xml:space="preserve">The main finding of interest when trying to understand the link between sexual risk behaviors and </w:t>
      </w:r>
      <w:r w:rsidR="00DF2054">
        <w:t xml:space="preserve">psychiatric disorders </w:t>
      </w:r>
      <w:r>
        <w:t xml:space="preserve">was the finding that women who were depressed were more likely to have multiple sexual partners, but these findings were not replicated in men. Previous studies found that in adolescent females, any risky activity whether it be sexual or drug use, was associated with depressive symptoms, while their male counterparts </w:t>
      </w:r>
      <w:r w:rsidR="00AC60BA">
        <w:t xml:space="preserve">did not have sexual risk behavior associated with depressive symptoms </w:t>
      </w:r>
      <w:r>
        <w:t>(Waller</w:t>
      </w:r>
      <w:r w:rsidR="00E15675">
        <w:t xml:space="preserve"> et al.</w:t>
      </w:r>
      <w:r>
        <w:t>, 2006</w:t>
      </w:r>
      <w:r w:rsidR="00AC60BA">
        <w:t xml:space="preserve">). One reason that could allude this issue is gender inequality present in the population. Women are more often disadvantaged in decision making in relationships (Varga 2003), particularly the timing of sex (Varga, 1997). Particularly a study of South African men showed that considerable emphasis is placed on men being in control of sexual interactions with women. (Wood </w:t>
      </w:r>
      <w:r w:rsidR="003E2FBC">
        <w:t>&amp;</w:t>
      </w:r>
      <w:r w:rsidR="00AC60BA">
        <w:t xml:space="preserve"> Jewkes, 200</w:t>
      </w:r>
      <w:r w:rsidR="00196842">
        <w:t>5</w:t>
      </w:r>
      <w:r w:rsidR="00AC60BA" w:rsidRPr="00A33C72">
        <w:t>). This could indicate that sex from a female’s perspective is indicative of a power dynamic that puts the females under pressure and could exacerbate depressive symptoms.</w:t>
      </w:r>
      <w:r w:rsidR="00A33C72">
        <w:t xml:space="preserve"> Alternatively, </w:t>
      </w:r>
      <w:r w:rsidR="00BE296B">
        <w:t>the depressive symptoms in the context of the power differential would lead to women becoming more likely to participate in sexually risky behaviors. Due to the nature of the linear regression model, we are unable to assess the directionality of the association.</w:t>
      </w:r>
      <w:r w:rsidR="00AC60BA">
        <w:t xml:space="preserve"> </w:t>
      </w:r>
      <w:r w:rsidR="0079649A">
        <w:t>Furthermore</w:t>
      </w:r>
      <w:r w:rsidR="00BE296B">
        <w:t xml:space="preserve">, this does not explain </w:t>
      </w:r>
      <w:r w:rsidR="00210E82">
        <w:t>the lack of association of PTSD</w:t>
      </w:r>
      <w:r w:rsidR="00AC60BA">
        <w:t xml:space="preserve"> </w:t>
      </w:r>
      <w:r w:rsidR="00210E82">
        <w:t xml:space="preserve">with sexual risk behavior. More research is needed on this topic as there is little background in the current literature particularly in African immigrant and refugee populations. </w:t>
      </w:r>
    </w:p>
    <w:p w:rsidR="00E839E1" w:rsidRDefault="00E839E1" w:rsidP="00CD5B44">
      <w:r>
        <w:t xml:space="preserve">While this study did have important findings, it was not without limitations. Firstly, the study required translators </w:t>
      </w:r>
      <w:r w:rsidR="00F07B05">
        <w:t>to</w:t>
      </w:r>
      <w:r>
        <w:t xml:space="preserve"> conduct the interviews. This could possibly limit the amount of information the participants were willing to discuss, as the study discussed sensitive information which participants may have not been comfortable doing in the presence of a third party. Despite this, no differences in </w:t>
      </w:r>
      <w:r w:rsidR="00DF2054">
        <w:t xml:space="preserve">rates </w:t>
      </w:r>
      <w:r>
        <w:t xml:space="preserve">of </w:t>
      </w:r>
      <w:r w:rsidR="00DF2054">
        <w:t>psychiatric</w:t>
      </w:r>
      <w:r>
        <w:t xml:space="preserve"> </w:t>
      </w:r>
      <w:r w:rsidR="00F07B05">
        <w:t>symptoms</w:t>
      </w:r>
      <w:r>
        <w:t xml:space="preserve"> was found between translated and non-translated interviews</w:t>
      </w:r>
      <w:r w:rsidR="00F07B05">
        <w:t xml:space="preserve">. </w:t>
      </w:r>
    </w:p>
    <w:p w:rsidR="00F07B05" w:rsidRDefault="00F07B05" w:rsidP="00CD5B44">
      <w:r>
        <w:lastRenderedPageBreak/>
        <w:t xml:space="preserve">Secondly, this study did not differentiate participants based on their reason for migration; asylum seekers, refugees, and immigrants coming to Sweden for marriage or educational purposes were grouped similarly. This is an issue as other studies have shown that these groups have significant differences in the </w:t>
      </w:r>
      <w:r w:rsidR="00DF2054">
        <w:t>rates psychiatric</w:t>
      </w:r>
      <w:r w:rsidR="00EF5B81">
        <w:t xml:space="preserve"> </w:t>
      </w:r>
      <w:r>
        <w:t>symptoms (Gerritsen</w:t>
      </w:r>
      <w:r w:rsidR="00BC2660">
        <w:t xml:space="preserve"> et al.,</w:t>
      </w:r>
      <w:r>
        <w:t xml:space="preserve"> 2006; Silove</w:t>
      </w:r>
      <w:r w:rsidR="00B614B1">
        <w:t>, Sinnerbrink, Field, Manicavasagar, &amp; Steel,</w:t>
      </w:r>
      <w:r>
        <w:t xml:space="preserve"> 1997). </w:t>
      </w:r>
      <w:r w:rsidR="00012079">
        <w:t>T</w:t>
      </w:r>
      <w:r>
        <w:t>hese differences</w:t>
      </w:r>
      <w:r w:rsidR="00012079">
        <w:t xml:space="preserve"> should be taken</w:t>
      </w:r>
      <w:r>
        <w:t xml:space="preserve"> into account </w:t>
      </w:r>
      <w:r w:rsidR="00012079">
        <w:t xml:space="preserve">for future studies </w:t>
      </w:r>
      <w:r>
        <w:t xml:space="preserve">as public health interventions can be tailored based on the reason for migration. </w:t>
      </w:r>
    </w:p>
    <w:p w:rsidR="00F07B05" w:rsidRDefault="00F07B05" w:rsidP="00CD5B44">
      <w:r w:rsidRPr="00126347">
        <w:t>Finally, while acculturation measures have been used cross culturally in other immigrant populations, it has not been validated among refugee</w:t>
      </w:r>
      <w:r w:rsidR="008E76FE" w:rsidRPr="00126347">
        <w:t>s from Africa</w:t>
      </w:r>
      <w:r w:rsidRPr="00126347">
        <w:t>. This is a gap in the current literature as</w:t>
      </w:r>
      <w:r w:rsidR="00012079">
        <w:t xml:space="preserve"> </w:t>
      </w:r>
      <w:r w:rsidRPr="00126347">
        <w:t xml:space="preserve">acculturation </w:t>
      </w:r>
      <w:r w:rsidR="00012079">
        <w:t xml:space="preserve">has no measure </w:t>
      </w:r>
      <w:r w:rsidRPr="00126347">
        <w:t xml:space="preserve">that is used cross culturally. This is </w:t>
      </w:r>
      <w:r w:rsidR="00012079" w:rsidRPr="00126347">
        <w:t>probabl</w:t>
      </w:r>
      <w:r w:rsidR="00012079">
        <w:t>y</w:t>
      </w:r>
      <w:r w:rsidRPr="00126347">
        <w:t xml:space="preserve"> </w:t>
      </w:r>
      <w:r w:rsidR="008E76FE" w:rsidRPr="00126347">
        <w:t xml:space="preserve">due to </w:t>
      </w:r>
      <w:r w:rsidRPr="00126347">
        <w:t xml:space="preserve">the </w:t>
      </w:r>
      <w:r w:rsidR="00012079">
        <w:t xml:space="preserve">heterogeneity among the </w:t>
      </w:r>
      <w:r w:rsidR="00157715" w:rsidRPr="00126347">
        <w:t xml:space="preserve">host countries and different refugee </w:t>
      </w:r>
      <w:r w:rsidR="00157715" w:rsidRPr="002A70C3">
        <w:t>groups</w:t>
      </w:r>
      <w:r w:rsidR="008E76FE" w:rsidRPr="002A70C3">
        <w:t>, which would make it difficult to establish a measure that is universally used among all of them</w:t>
      </w:r>
      <w:r w:rsidR="00157715" w:rsidRPr="002A70C3">
        <w:t>.</w:t>
      </w:r>
      <w:r w:rsidR="00157715">
        <w:t xml:space="preserve"> </w:t>
      </w:r>
    </w:p>
    <w:p w:rsidR="00157715" w:rsidRPr="00E839E1" w:rsidRDefault="00157715" w:rsidP="00CD5B44">
      <w:r>
        <w:t xml:space="preserve">Despite these limitations, the </w:t>
      </w:r>
      <w:r w:rsidR="00EF5B81">
        <w:t>rates of psychiatric</w:t>
      </w:r>
      <w:r>
        <w:t xml:space="preserve"> symptoms in th</w:t>
      </w:r>
      <w:r w:rsidR="00012079">
        <w:t>e research</w:t>
      </w:r>
      <w:r>
        <w:t xml:space="preserve"> was high enough to demonstrate that </w:t>
      </w:r>
      <w:r w:rsidR="00EF5B81">
        <w:t>psychiatric</w:t>
      </w:r>
      <w:r>
        <w:t xml:space="preserve"> interventions are needed to address these health disparities and sexual health. This study provides information that can be used for future interventions in these populations.</w:t>
      </w:r>
    </w:p>
    <w:p w:rsidR="00686EC1" w:rsidRPr="00882F5A" w:rsidRDefault="00012079" w:rsidP="00686EC1">
      <w:r>
        <w:t xml:space="preserve">This study is unique in that no other study </w:t>
      </w:r>
      <w:r w:rsidR="00157715">
        <w:t>in Sweden examine</w:t>
      </w:r>
      <w:r>
        <w:t>d</w:t>
      </w:r>
      <w:r w:rsidR="00157715">
        <w:t xml:space="preserve"> </w:t>
      </w:r>
      <w:r w:rsidR="00EF5B81">
        <w:t>psychiatric</w:t>
      </w:r>
      <w:r w:rsidR="00157715">
        <w:t xml:space="preserve"> disorders and its association with sexual risk behaviors</w:t>
      </w:r>
      <w:r>
        <w:t>. However</w:t>
      </w:r>
      <w:r w:rsidR="00157715">
        <w:t>, further research is needed on th</w:t>
      </w:r>
      <w:r>
        <w:t>is</w:t>
      </w:r>
      <w:r w:rsidR="00157715">
        <w:t xml:space="preserve"> topic. </w:t>
      </w:r>
      <w:r w:rsidR="00882F5A">
        <w:t xml:space="preserve">There are many other factors that are linked with sexual risk behaviors and </w:t>
      </w:r>
      <w:r w:rsidR="00EF5B81">
        <w:t>psychiatric</w:t>
      </w:r>
      <w:r w:rsidR="00882F5A">
        <w:t xml:space="preserve"> symptoms, that were not able to be addressed in this study. This includes but is not limited to coping skills</w:t>
      </w:r>
      <w:r>
        <w:t>, social support,</w:t>
      </w:r>
      <w:r w:rsidR="00882F5A">
        <w:t xml:space="preserve"> and resources. There are also </w:t>
      </w:r>
      <w:r w:rsidR="004F641B">
        <w:t>higher-level</w:t>
      </w:r>
      <w:r w:rsidR="00882F5A">
        <w:t xml:space="preserve"> policy and community influences that were not addressed such as immigrant</w:t>
      </w:r>
      <w:r w:rsidR="002433DA">
        <w:t xml:space="preserve"> and refugee</w:t>
      </w:r>
      <w:r w:rsidR="00882F5A">
        <w:t xml:space="preserve"> policies, political </w:t>
      </w:r>
      <w:r w:rsidR="002433DA">
        <w:t>turmoil</w:t>
      </w:r>
      <w:r w:rsidR="00882F5A">
        <w:t xml:space="preserve"> in the immigrant</w:t>
      </w:r>
      <w:r w:rsidR="002433DA">
        <w:t xml:space="preserve"> or refugee</w:t>
      </w:r>
      <w:r w:rsidR="00882F5A">
        <w:t xml:space="preserve"> home country, and</w:t>
      </w:r>
      <w:r w:rsidR="002433DA">
        <w:t xml:space="preserve"> the attitude of the</w:t>
      </w:r>
      <w:r w:rsidR="00882F5A">
        <w:t xml:space="preserve"> host country towards migrants. Being one of the first studies to evaluate this, it would also be beneficial to have longitudinal studies to understand how </w:t>
      </w:r>
      <w:r w:rsidR="00EF5B81">
        <w:t>rates</w:t>
      </w:r>
      <w:r w:rsidR="00882F5A">
        <w:t xml:space="preserve"> of </w:t>
      </w:r>
      <w:r w:rsidR="00EF5B81">
        <w:lastRenderedPageBreak/>
        <w:t>psychiatric</w:t>
      </w:r>
      <w:r w:rsidR="00882F5A">
        <w:t xml:space="preserve"> symptoms and sexual risk behaviors change over time. </w:t>
      </w:r>
      <w:r w:rsidR="00686EC1">
        <w:t xml:space="preserve">Additionally, given that </w:t>
      </w:r>
      <w:r w:rsidR="00126347">
        <w:t xml:space="preserve">symptoms of </w:t>
      </w:r>
      <w:r w:rsidR="00686EC1">
        <w:t xml:space="preserve">PTSD and depression were associated with lower levels of acculturation scores, it may be good to incorporate longitudinal studies to be able to better understand the direction of this association over time. </w:t>
      </w:r>
    </w:p>
    <w:p w:rsidR="00B4491C" w:rsidRDefault="00882F5A" w:rsidP="00CD5B44">
      <w:r>
        <w:t>Sweden’s integration policy aims</w:t>
      </w:r>
      <w:r w:rsidR="008E76FE">
        <w:t xml:space="preserve"> to</w:t>
      </w:r>
      <w:r>
        <w:t xml:space="preserve"> focus on employment, education, and combating discrimination</w:t>
      </w:r>
      <w:r w:rsidR="001A2CD6">
        <w:t>,</w:t>
      </w:r>
      <w:r>
        <w:t xml:space="preserve"> but </w:t>
      </w:r>
      <w:r w:rsidR="00EF5B81">
        <w:t>psychiatric</w:t>
      </w:r>
      <w:r>
        <w:t xml:space="preserve"> health</w:t>
      </w:r>
      <w:r w:rsidR="001A2CD6">
        <w:t xml:space="preserve"> is not addressed </w:t>
      </w:r>
      <w:r w:rsidR="001A2CD6" w:rsidRPr="00882F5A">
        <w:t>(</w:t>
      </w:r>
      <w:r w:rsidR="001A2CD6">
        <w:t>Andersson</w:t>
      </w:r>
      <w:r w:rsidR="00D72017">
        <w:t xml:space="preserve"> </w:t>
      </w:r>
      <w:r w:rsidR="00AB38F8">
        <w:t xml:space="preserve">&amp; </w:t>
      </w:r>
      <w:r w:rsidR="00D72017">
        <w:t>Weinar</w:t>
      </w:r>
      <w:r w:rsidR="001A2CD6">
        <w:t>, 2014</w:t>
      </w:r>
      <w:r w:rsidR="001A2CD6" w:rsidRPr="00882F5A">
        <w:t>)</w:t>
      </w:r>
      <w:r>
        <w:t xml:space="preserve">. </w:t>
      </w:r>
      <w:r w:rsidR="001A2CD6">
        <w:t xml:space="preserve">This is of concern as many immigrants and refugees suffer from </w:t>
      </w:r>
      <w:r w:rsidR="00EF5B81">
        <w:t xml:space="preserve">psychiatric disorders </w:t>
      </w:r>
      <w:r w:rsidR="003315FE">
        <w:t>and</w:t>
      </w:r>
      <w:r w:rsidR="001A2CD6">
        <w:t xml:space="preserve"> cannot be expected to effectively manage </w:t>
      </w:r>
      <w:r w:rsidR="006E51E4">
        <w:t xml:space="preserve">resettlement into a new country without appropriate </w:t>
      </w:r>
      <w:r w:rsidR="0004525B">
        <w:t>psychiatric</w:t>
      </w:r>
      <w:r w:rsidR="006E51E4">
        <w:t xml:space="preserve"> services. </w:t>
      </w:r>
    </w:p>
    <w:p w:rsidR="005F0641" w:rsidRDefault="005F0641" w:rsidP="00CD5B44">
      <w:r>
        <w:t xml:space="preserve">To combat this, </w:t>
      </w:r>
      <w:r w:rsidR="0004525B">
        <w:t>psychiatric</w:t>
      </w:r>
      <w:r>
        <w:t xml:space="preserve"> assessments should occur upon the arrival of the refugees and immigrant’s arrival to Sweden. This would allow for referral to appropriate </w:t>
      </w:r>
      <w:r w:rsidR="0004525B">
        <w:t>psychiatric</w:t>
      </w:r>
      <w:r>
        <w:t xml:space="preserve"> services if needed. These assessments should be done by trained professionals who are </w:t>
      </w:r>
      <w:r w:rsidR="00A5208D">
        <w:t xml:space="preserve">aware of the effects of </w:t>
      </w:r>
      <w:r>
        <w:t xml:space="preserve">culture and trauma </w:t>
      </w:r>
      <w:r w:rsidR="00A5208D">
        <w:t>on the</w:t>
      </w:r>
      <w:r>
        <w:t xml:space="preserve"> expression of </w:t>
      </w:r>
      <w:r w:rsidR="0004525B">
        <w:t xml:space="preserve">psychiatric </w:t>
      </w:r>
      <w:r>
        <w:t xml:space="preserve">symptoms. </w:t>
      </w:r>
    </w:p>
    <w:p w:rsidR="005F0641" w:rsidRPr="0077639E" w:rsidRDefault="005F0641" w:rsidP="00CD5B44">
      <w:r>
        <w:t>Culturally appropriate services should al</w:t>
      </w:r>
      <w:r w:rsidR="00EC42B8">
        <w:t>so</w:t>
      </w:r>
      <w:r>
        <w:t xml:space="preserve"> be provided for immigrants and refugees. Treatment methods that are common in Sweden or other Western societies may not be ideal for immigrant and refugee populations. </w:t>
      </w:r>
      <w:r w:rsidR="00A5208D">
        <w:t>One example is that n</w:t>
      </w:r>
      <w:r>
        <w:t xml:space="preserve">on-Western cultures </w:t>
      </w:r>
      <w:r w:rsidR="00B047F4">
        <w:t xml:space="preserve">may </w:t>
      </w:r>
      <w:r>
        <w:t>prefer using</w:t>
      </w:r>
      <w:r w:rsidR="00B047F4">
        <w:t xml:space="preserve"> social and</w:t>
      </w:r>
      <w:r>
        <w:t xml:space="preserve"> personal </w:t>
      </w:r>
      <w:r w:rsidR="00496F67">
        <w:t>relationships to</w:t>
      </w:r>
      <w:r>
        <w:t xml:space="preserve"> </w:t>
      </w:r>
      <w:r w:rsidR="00A5208D">
        <w:t>resolve</w:t>
      </w:r>
      <w:r>
        <w:t xml:space="preserve"> </w:t>
      </w:r>
      <w:r w:rsidR="00496F67">
        <w:t xml:space="preserve">their personal issues rather than </w:t>
      </w:r>
      <w:r w:rsidR="00EC42B8">
        <w:t>therapists they do not personally know</w:t>
      </w:r>
      <w:r w:rsidR="00496F67">
        <w:t>, even if the</w:t>
      </w:r>
      <w:r w:rsidR="00EC42B8">
        <w:t>se therapists are q</w:t>
      </w:r>
      <w:r w:rsidR="00496F67">
        <w:t xml:space="preserve">ualified professionals </w:t>
      </w:r>
      <w:r>
        <w:t xml:space="preserve">(Segal </w:t>
      </w:r>
      <w:r w:rsidR="0057515A">
        <w:t>&amp;</w:t>
      </w:r>
      <w:r>
        <w:t xml:space="preserve"> Mayadas, 2005). </w:t>
      </w:r>
      <w:r w:rsidR="00AB2072">
        <w:t>I</w:t>
      </w:r>
      <w:r>
        <w:t xml:space="preserve">t may be beneficial to train </w:t>
      </w:r>
      <w:r w:rsidR="00496F67">
        <w:t xml:space="preserve">respected community members </w:t>
      </w:r>
      <w:r w:rsidR="00AB2072">
        <w:t xml:space="preserve">so </w:t>
      </w:r>
      <w:r w:rsidR="00496F67">
        <w:t>that</w:t>
      </w:r>
      <w:r>
        <w:t xml:space="preserve"> immigrant</w:t>
      </w:r>
      <w:r w:rsidR="00AB2072">
        <w:t>s</w:t>
      </w:r>
      <w:r>
        <w:t xml:space="preserve"> and refugee</w:t>
      </w:r>
      <w:r w:rsidR="00AB2072">
        <w:t xml:space="preserve">s </w:t>
      </w:r>
      <w:r w:rsidR="00496F67">
        <w:t xml:space="preserve">would </w:t>
      </w:r>
      <w:r w:rsidR="00AB2072">
        <w:t xml:space="preserve">have a familiar person that they would </w:t>
      </w:r>
      <w:r w:rsidR="00496F67">
        <w:t xml:space="preserve">be comfortable discussing </w:t>
      </w:r>
      <w:r w:rsidR="00AB2072">
        <w:t>their personal issues</w:t>
      </w:r>
      <w:r w:rsidR="00496F67">
        <w:t xml:space="preserve">. </w:t>
      </w:r>
      <w:r>
        <w:t>Furthermore, narrative therapy (Woodcock, 2001) and cognitive behavioral therapy</w:t>
      </w:r>
      <w:r w:rsidR="00496F67">
        <w:t xml:space="preserve"> (CBT)</w:t>
      </w:r>
      <w:r>
        <w:t xml:space="preserve"> (Basoglu</w:t>
      </w:r>
      <w:r w:rsidR="00AB38F8">
        <w:t xml:space="preserve">, Ekblad, </w:t>
      </w:r>
      <w:r w:rsidR="00AB38F8" w:rsidRPr="00AB38F8">
        <w:t>Bäärnhielm, &amp; Livanou</w:t>
      </w:r>
      <w:r w:rsidR="00AB38F8">
        <w:t>,</w:t>
      </w:r>
      <w:r>
        <w:t xml:space="preserve"> 2004)</w:t>
      </w:r>
      <w:r w:rsidR="00496F67">
        <w:t xml:space="preserve"> are </w:t>
      </w:r>
      <w:r>
        <w:t xml:space="preserve">effective in treating </w:t>
      </w:r>
      <w:r w:rsidR="0004525B">
        <w:t>psychiatric disorders</w:t>
      </w:r>
      <w:r>
        <w:t xml:space="preserve"> among refugees, and perhaps these methods could be emphasized for refugee </w:t>
      </w:r>
      <w:r w:rsidRPr="0077639E">
        <w:t xml:space="preserve">populations in Sweden.  </w:t>
      </w:r>
    </w:p>
    <w:p w:rsidR="00686EC1" w:rsidRDefault="00686EC1" w:rsidP="00CD5B44">
      <w:r w:rsidRPr="0077639E">
        <w:lastRenderedPageBreak/>
        <w:t>Additionally, considering the association between acculturation and</w:t>
      </w:r>
      <w:r w:rsidR="0004525B" w:rsidRPr="0077639E">
        <w:t xml:space="preserve"> psychiatric</w:t>
      </w:r>
      <w:r w:rsidR="00665AE0" w:rsidRPr="0077639E">
        <w:t xml:space="preserve"> symptoms, it may behoove Swedish officials to emphasize</w:t>
      </w:r>
      <w:r w:rsidR="00665AE0" w:rsidRPr="00BE296B">
        <w:t xml:space="preserve"> more language acculturation</w:t>
      </w:r>
      <w:r w:rsidR="001F3198" w:rsidRPr="00BE296B">
        <w:t xml:space="preserve"> into their integration programs</w:t>
      </w:r>
      <w:r w:rsidR="00BE296B">
        <w:t xml:space="preserve">, as there was a statistically different language acculturation </w:t>
      </w:r>
      <w:r w:rsidR="00C05B28">
        <w:t>subscale</w:t>
      </w:r>
      <w:r w:rsidR="00BE296B">
        <w:t xml:space="preserve"> when between participants with probable depression and PTSD. </w:t>
      </w:r>
      <w:r w:rsidR="00665AE0">
        <w:t xml:space="preserve">This could be performed with more Swedish lessons and establishing partnerships between local immigrant and refugee communities and immigration authorities. In addition to increased trust between these groups, it will allow for a better acculturation into Swedish society for the immigrant and refugee community as a whole.   </w:t>
      </w:r>
    </w:p>
    <w:p w:rsidR="00B917F0" w:rsidRDefault="00D11D79" w:rsidP="00FE6D46">
      <w:pPr>
        <w:pStyle w:val="Heading1"/>
      </w:pPr>
      <w:bookmarkStart w:id="23" w:name="_Toc15393993"/>
      <w:r>
        <w:rPr>
          <w:caps w:val="0"/>
        </w:rPr>
        <w:lastRenderedPageBreak/>
        <w:t>Conclusions</w:t>
      </w:r>
      <w:bookmarkEnd w:id="23"/>
      <w:r w:rsidR="00157715">
        <w:rPr>
          <w:caps w:val="0"/>
        </w:rPr>
        <w:t xml:space="preserve"> </w:t>
      </w:r>
    </w:p>
    <w:p w:rsidR="00574BEF" w:rsidRPr="00CD5B44" w:rsidRDefault="00210E82" w:rsidP="00574BEF">
      <w:r>
        <w:t xml:space="preserve">The participants in this study were found to experience high levels of depression and </w:t>
      </w:r>
      <w:r w:rsidR="007916C7">
        <w:t xml:space="preserve">PTSD </w:t>
      </w:r>
      <w:r w:rsidR="00C05B28">
        <w:t xml:space="preserve">related symptoms </w:t>
      </w:r>
      <w:r w:rsidR="007916C7">
        <w:t>when</w:t>
      </w:r>
      <w:r>
        <w:t xml:space="preserve"> compared to the general population of Sweden, and other western countries. Given the ongoing conflicts that continue to plague many African countries, it can be expected that there will continue to be more immigrants and refugees resettling not only in Sweden, but in other western countries. It is essential for these host countries to not only provide resources, but to provide the appropriate resources based on the challenges these populations have. For example, acculturation was found to be a</w:t>
      </w:r>
      <w:r w:rsidR="00F009F5">
        <w:t>ssociated with depression and PTSD. Particularly adoption of the host country</w:t>
      </w:r>
      <w:r w:rsidR="00126347">
        <w:t>’s</w:t>
      </w:r>
      <w:r w:rsidR="00F009F5">
        <w:t xml:space="preserve"> language was found to be strongly associated with </w:t>
      </w:r>
      <w:r w:rsidR="0004525B">
        <w:t>psychiatric symptoms</w:t>
      </w:r>
      <w:r w:rsidR="00F009F5">
        <w:t xml:space="preserve">. </w:t>
      </w:r>
      <w:r w:rsidR="00574BEF" w:rsidRPr="00574BEF">
        <w:t>Thus, an intervention aimed at improving</w:t>
      </w:r>
      <w:r w:rsidR="00F009F5">
        <w:t xml:space="preserve"> learning the language</w:t>
      </w:r>
      <w:r w:rsidR="00574BEF" w:rsidRPr="00574BEF">
        <w:t xml:space="preserve"> </w:t>
      </w:r>
      <w:r w:rsidR="00F009F5">
        <w:t xml:space="preserve">of the host country could be beneficial </w:t>
      </w:r>
      <w:r w:rsidR="00574BEF" w:rsidRPr="00574BEF">
        <w:t>in reducing stress and depression</w:t>
      </w:r>
      <w:r w:rsidR="00F009F5">
        <w:t xml:space="preserve">. Furthermore, while </w:t>
      </w:r>
      <w:r w:rsidR="007916C7">
        <w:t xml:space="preserve">rates of </w:t>
      </w:r>
      <w:r w:rsidR="00F009F5">
        <w:t xml:space="preserve">sexual risk behaviors </w:t>
      </w:r>
      <w:r w:rsidR="007916C7">
        <w:t>are higher</w:t>
      </w:r>
      <w:r w:rsidR="00F009F5">
        <w:t xml:space="preserve"> in the western populations, there is a gender inequality among sexual risk</w:t>
      </w:r>
      <w:r w:rsidR="007F0C94">
        <w:t xml:space="preserve"> </w:t>
      </w:r>
      <w:r w:rsidR="00F009F5">
        <w:t>behaviors and depression among women in the immigrant</w:t>
      </w:r>
      <w:r w:rsidR="00B4491C">
        <w:t>s</w:t>
      </w:r>
      <w:r w:rsidR="00F009F5">
        <w:t xml:space="preserve"> and refugee</w:t>
      </w:r>
      <w:r w:rsidR="00B4491C">
        <w:t>s from Africa</w:t>
      </w:r>
      <w:r w:rsidR="00F009F5">
        <w:t xml:space="preserve"> that is not found in men. Whether that is due to cultural attitudes towards sex between the genders or if there are other characteristics contributing to this disparity remains to be seen, but it is an area of research that needs further </w:t>
      </w:r>
      <w:r w:rsidR="00705AE6">
        <w:t>elucidation</w:t>
      </w:r>
      <w:r w:rsidR="00F009F5">
        <w:t xml:space="preserve">. </w:t>
      </w:r>
    </w:p>
    <w:p w:rsidR="00562B30" w:rsidRPr="00562B30" w:rsidRDefault="00562B30" w:rsidP="00562B30">
      <w:pPr>
        <w:pStyle w:val="Noindent"/>
      </w:pPr>
    </w:p>
    <w:p w:rsidR="00E35361" w:rsidRPr="00E35361" w:rsidRDefault="00E35361" w:rsidP="00E35361"/>
    <w:p w:rsidR="00DA5BA8" w:rsidRDefault="00D11D79" w:rsidP="00DA5BA8">
      <w:pPr>
        <w:pStyle w:val="Heading"/>
      </w:pPr>
      <w:bookmarkStart w:id="24" w:name="_Toc15393994"/>
      <w:r>
        <w:rPr>
          <w:caps w:val="0"/>
        </w:rPr>
        <w:lastRenderedPageBreak/>
        <w:t>Bibliography</w:t>
      </w:r>
      <w:bookmarkEnd w:id="24"/>
    </w:p>
    <w:p w:rsidR="00104B9B" w:rsidRDefault="00104B9B" w:rsidP="00DA5BA8">
      <w:pPr>
        <w:pStyle w:val="BibliographyEntry"/>
      </w:pPr>
      <w:r w:rsidRPr="00104B9B">
        <w:t>American Psychiatric Association (1994). Diagnostic and statistical manual of mental disorders (4th ed.). Washington, DC: Author.</w:t>
      </w:r>
    </w:p>
    <w:p w:rsidR="001A2CD6" w:rsidRDefault="001A2CD6" w:rsidP="00DA5BA8">
      <w:pPr>
        <w:pStyle w:val="BibliographyEntry"/>
        <w:rPr>
          <w:rFonts w:ascii="Arial" w:hAnsi="Arial" w:cs="Arial"/>
          <w:color w:val="222222"/>
          <w:sz w:val="20"/>
          <w:szCs w:val="20"/>
          <w:shd w:val="clear" w:color="auto" w:fill="FFFFFF"/>
        </w:rPr>
      </w:pPr>
      <w:r w:rsidRPr="00622641">
        <w:t>Andersson, R., &amp; Weinar, A. (2014). </w:t>
      </w:r>
      <w:r w:rsidRPr="00D72017">
        <w:rPr>
          <w:i/>
        </w:rPr>
        <w:t>Integration policies: Sweden country report.</w:t>
      </w:r>
      <w:r w:rsidRPr="001A2CD6">
        <w:t xml:space="preserve"> </w:t>
      </w:r>
    </w:p>
    <w:p w:rsidR="003C6B2F" w:rsidRDefault="003C6B2F" w:rsidP="00DA5BA8">
      <w:pPr>
        <w:pStyle w:val="BibliographyEntry"/>
      </w:pPr>
      <w:r w:rsidRPr="003C6B2F">
        <w:t>Anderson, J</w:t>
      </w:r>
      <w:r w:rsidR="00D72017">
        <w:t>.</w:t>
      </w:r>
      <w:r w:rsidRPr="003C6B2F">
        <w:t xml:space="preserve"> E. </w:t>
      </w:r>
      <w:r w:rsidR="00D72017">
        <w:t xml:space="preserve">(2003) </w:t>
      </w:r>
      <w:r w:rsidRPr="003C6B2F">
        <w:t xml:space="preserve">Condom use and HIV risk among US adults. </w:t>
      </w:r>
      <w:r w:rsidRPr="00D72017">
        <w:rPr>
          <w:i/>
        </w:rPr>
        <w:t>American Journal of Public Health</w:t>
      </w:r>
      <w:r w:rsidR="00D72017">
        <w:rPr>
          <w:i/>
        </w:rPr>
        <w:t>,</w:t>
      </w:r>
      <w:r w:rsidRPr="003C6B2F">
        <w:t xml:space="preserve"> 93</w:t>
      </w:r>
      <w:r w:rsidR="00D72017">
        <w:t>(6),</w:t>
      </w:r>
      <w:r w:rsidRPr="003C6B2F">
        <w:t xml:space="preserve"> 912-914.</w:t>
      </w:r>
    </w:p>
    <w:p w:rsidR="005F0641" w:rsidRDefault="005F0641" w:rsidP="00DA5BA8">
      <w:pPr>
        <w:pStyle w:val="BibliographyEntry"/>
      </w:pPr>
      <w:r w:rsidRPr="005F0641">
        <w:t xml:space="preserve">Basoglu, M., Ekblad, S., Baarnhielm, S., &amp; Livanou, M. (2004). Cognitive-behavioral treatment of tortured asylum seekers: a case study. </w:t>
      </w:r>
      <w:r w:rsidRPr="00D94B40">
        <w:rPr>
          <w:i/>
        </w:rPr>
        <w:t>J</w:t>
      </w:r>
      <w:r w:rsidR="00D94B40" w:rsidRPr="00D94B40">
        <w:rPr>
          <w:i/>
        </w:rPr>
        <w:t>ournal of anxiety disorders</w:t>
      </w:r>
      <w:r w:rsidRPr="005F0641">
        <w:t>, 18(3), 357-369.</w:t>
      </w:r>
    </w:p>
    <w:p w:rsidR="00580EA7" w:rsidRDefault="00580EA7" w:rsidP="00DA5BA8">
      <w:pPr>
        <w:pStyle w:val="BibliographyEntry"/>
      </w:pPr>
      <w:r w:rsidRPr="00580EA7">
        <w:t>Brown L.K., Tolou-Shams M., Lescano C., Houck C., Zeidman J., Pugatch D., Lourie K.J., Project SHIELD Study Group</w:t>
      </w:r>
      <w:r w:rsidR="00232326">
        <w:t xml:space="preserve"> (2006).</w:t>
      </w:r>
      <w:r w:rsidRPr="00580EA7">
        <w:t xml:space="preserve"> Depressive symptoms as a predictor of sexual risk among African American adolescents and young adults. </w:t>
      </w:r>
      <w:r w:rsidRPr="00232326">
        <w:rPr>
          <w:i/>
        </w:rPr>
        <w:t>J</w:t>
      </w:r>
      <w:r w:rsidR="00232326" w:rsidRPr="00232326">
        <w:rPr>
          <w:i/>
        </w:rPr>
        <w:t>ournal of</w:t>
      </w:r>
      <w:r w:rsidRPr="00232326">
        <w:rPr>
          <w:i/>
        </w:rPr>
        <w:t xml:space="preserve"> Adolesc</w:t>
      </w:r>
      <w:r w:rsidR="00232326" w:rsidRPr="00232326">
        <w:rPr>
          <w:i/>
        </w:rPr>
        <w:t>ent</w:t>
      </w:r>
      <w:r w:rsidRPr="00232326">
        <w:rPr>
          <w:i/>
        </w:rPr>
        <w:t xml:space="preserve"> Health</w:t>
      </w:r>
      <w:r w:rsidR="00232326">
        <w:rPr>
          <w:i/>
        </w:rPr>
        <w:t xml:space="preserve">, 39(3), </w:t>
      </w:r>
      <w:r w:rsidR="00232326">
        <w:t>444-</w:t>
      </w:r>
      <w:r w:rsidRPr="00580EA7">
        <w:t>e1</w:t>
      </w:r>
    </w:p>
    <w:p w:rsidR="00FB2F0E" w:rsidRDefault="00FB2F0E" w:rsidP="00DA5BA8">
      <w:pPr>
        <w:pStyle w:val="BibliographyEntry"/>
      </w:pPr>
      <w:r w:rsidRPr="00FB2F0E">
        <w:t>Carey, M</w:t>
      </w:r>
      <w:r w:rsidR="00232326">
        <w:t>.</w:t>
      </w:r>
      <w:r w:rsidRPr="00FB2F0E">
        <w:t xml:space="preserve"> P.,</w:t>
      </w:r>
      <w:r w:rsidR="00232326">
        <w:t xml:space="preserve"> </w:t>
      </w:r>
      <w:r w:rsidRPr="00FB2F0E">
        <w:t>Carey,</w:t>
      </w:r>
      <w:r w:rsidR="00232326">
        <w:t xml:space="preserve"> K. B., &amp; </w:t>
      </w:r>
      <w:r w:rsidRPr="00FB2F0E">
        <w:t>Kalichman</w:t>
      </w:r>
      <w:r w:rsidR="00232326">
        <w:t>, S. C</w:t>
      </w:r>
      <w:r w:rsidRPr="00FB2F0E">
        <w:t>.</w:t>
      </w:r>
      <w:r w:rsidR="00232326">
        <w:t xml:space="preserve"> (1997)</w:t>
      </w:r>
      <w:r w:rsidRPr="00FB2F0E">
        <w:t xml:space="preserve"> Risk for human immunodeficiency virus (HIV) infection among persons with severe mental illnesses. </w:t>
      </w:r>
      <w:r w:rsidRPr="00232326">
        <w:rPr>
          <w:i/>
        </w:rPr>
        <w:t>Clinical Psychology Review</w:t>
      </w:r>
      <w:r w:rsidRPr="00FB2F0E">
        <w:t xml:space="preserve"> </w:t>
      </w:r>
      <w:r w:rsidRPr="00232326">
        <w:rPr>
          <w:i/>
        </w:rPr>
        <w:t>17</w:t>
      </w:r>
      <w:r w:rsidR="00232326" w:rsidRPr="00232326">
        <w:rPr>
          <w:i/>
        </w:rPr>
        <w:t>(</w:t>
      </w:r>
      <w:r w:rsidRPr="00232326">
        <w:rPr>
          <w:i/>
        </w:rPr>
        <w:t>3</w:t>
      </w:r>
      <w:r w:rsidR="00232326" w:rsidRPr="00232326">
        <w:rPr>
          <w:i/>
        </w:rPr>
        <w:t>)</w:t>
      </w:r>
      <w:r w:rsidR="00232326">
        <w:t>,</w:t>
      </w:r>
      <w:r w:rsidRPr="00FB2F0E">
        <w:t xml:space="preserve"> 271-291.</w:t>
      </w:r>
    </w:p>
    <w:p w:rsidR="00104B9B" w:rsidRDefault="00104B9B" w:rsidP="00DA5BA8">
      <w:pPr>
        <w:pStyle w:val="BibliographyEntry"/>
      </w:pPr>
      <w:r w:rsidRPr="00104B9B">
        <w:t>Derogatis, L. R., Lipman, R. S., Rickels, K., Uhlenhuth, E. H., &amp; Covi, L. (1974). The Hopkins Symptom Checklist (HSCL): a self-report symptom inventory. Behav Sci, 19(1), 1-15.</w:t>
      </w:r>
    </w:p>
    <w:p w:rsidR="002B0279" w:rsidRDefault="002B0279" w:rsidP="00DA5BA8">
      <w:pPr>
        <w:pStyle w:val="BibliographyEntry"/>
      </w:pPr>
      <w:r w:rsidRPr="002B0279">
        <w:t xml:space="preserve">Fazel, M., Wheeler, J. &amp; Danesh, J. (2005) Prevalence of serious mental disorder in 7000 refugees resettled in western countries: a systematic review. </w:t>
      </w:r>
      <w:r w:rsidR="002C4DF9" w:rsidRPr="002C4DF9">
        <w:rPr>
          <w:i/>
        </w:rPr>
        <w:t xml:space="preserve">The </w:t>
      </w:r>
      <w:r w:rsidRPr="002C4DF9">
        <w:rPr>
          <w:i/>
        </w:rPr>
        <w:t>Lancet</w:t>
      </w:r>
      <w:r w:rsidRPr="002B0279">
        <w:t>, 365</w:t>
      </w:r>
      <w:r w:rsidR="002C4DF9">
        <w:t>(9467)</w:t>
      </w:r>
      <w:r w:rsidRPr="002B0279">
        <w:t xml:space="preserve">, 1309–1314 </w:t>
      </w:r>
    </w:p>
    <w:p w:rsidR="00DE32BE" w:rsidRDefault="00DE32BE" w:rsidP="00DA5BA8">
      <w:pPr>
        <w:pStyle w:val="BibliographyEntry"/>
      </w:pPr>
      <w:r w:rsidRPr="00DE32BE">
        <w:t>Family Health International. Behavioral Surveillance Surveys BSS Guidelines for repeated behavioral surveys in populations at risk of HIV. Arlington ; 2000</w:t>
      </w:r>
    </w:p>
    <w:p w:rsidR="00051DAD" w:rsidRDefault="00051DAD" w:rsidP="00DA5BA8">
      <w:pPr>
        <w:pStyle w:val="BibliographyEntry"/>
      </w:pPr>
      <w:r w:rsidRPr="00051DAD">
        <w:t xml:space="preserve">Furnham, A., &amp; Bochner, S. (1986). Culture shock: Psychological reactions to unfamiliar environments. </w:t>
      </w:r>
      <w:r w:rsidR="00BC2660" w:rsidRPr="00BC2660">
        <w:rPr>
          <w:i/>
        </w:rPr>
        <w:t>Culture shock: Psychological reactions to unfamiliar environments.</w:t>
      </w:r>
    </w:p>
    <w:p w:rsidR="008E51FA" w:rsidRDefault="008E51FA" w:rsidP="00DA5BA8">
      <w:pPr>
        <w:pStyle w:val="BibliographyEntry"/>
      </w:pPr>
      <w:r w:rsidRPr="008E51FA">
        <w:t xml:space="preserve">Gerritsen, A. A., Bramsen, I., Deville, W., van Willigen, L. H., Hovens, J. E., &amp; van der Ploeg, H. M. (2006). Physical and mental health of Afghan, Iranian and Somali asylum seekers and refugees living in the Netherlands. </w:t>
      </w:r>
      <w:r w:rsidRPr="00BC2660">
        <w:rPr>
          <w:i/>
        </w:rPr>
        <w:t>Soc</w:t>
      </w:r>
      <w:r w:rsidR="00BC2660" w:rsidRPr="00BC2660">
        <w:rPr>
          <w:i/>
        </w:rPr>
        <w:t>ial p</w:t>
      </w:r>
      <w:r w:rsidRPr="00BC2660">
        <w:rPr>
          <w:i/>
        </w:rPr>
        <w:t>sychiatry</w:t>
      </w:r>
      <w:r w:rsidR="00BC2660" w:rsidRPr="00BC2660">
        <w:rPr>
          <w:i/>
        </w:rPr>
        <w:t xml:space="preserve"> and p</w:t>
      </w:r>
      <w:r w:rsidRPr="00BC2660">
        <w:rPr>
          <w:i/>
        </w:rPr>
        <w:t>sychiatr</w:t>
      </w:r>
      <w:r w:rsidR="00BC2660" w:rsidRPr="00BC2660">
        <w:rPr>
          <w:i/>
        </w:rPr>
        <w:t>ic e</w:t>
      </w:r>
      <w:r w:rsidRPr="00BC2660">
        <w:rPr>
          <w:i/>
        </w:rPr>
        <w:t>pidemiol</w:t>
      </w:r>
      <w:r w:rsidR="00BC2660" w:rsidRPr="00BC2660">
        <w:rPr>
          <w:i/>
        </w:rPr>
        <w:t>ogy</w:t>
      </w:r>
      <w:r w:rsidRPr="008E51FA">
        <w:t xml:space="preserve">, </w:t>
      </w:r>
      <w:r w:rsidRPr="00BC2660">
        <w:rPr>
          <w:i/>
        </w:rPr>
        <w:t>41(1)</w:t>
      </w:r>
      <w:r w:rsidRPr="008E51FA">
        <w:t>, 18-26.</w:t>
      </w:r>
    </w:p>
    <w:p w:rsidR="00D40405" w:rsidRDefault="00D40405" w:rsidP="00DA5BA8">
      <w:pPr>
        <w:pStyle w:val="BibliographyEntry"/>
      </w:pPr>
      <w:r w:rsidRPr="00D40405">
        <w:t xml:space="preserve">Ghaffarian, S. (1998). The acculturation of Iranian immigrants in the United States and the implications for mental health. </w:t>
      </w:r>
      <w:r w:rsidR="00BC2660" w:rsidRPr="00BC2660">
        <w:rPr>
          <w:i/>
        </w:rPr>
        <w:t>The Journal of s</w:t>
      </w:r>
      <w:r w:rsidRPr="00BC2660">
        <w:rPr>
          <w:i/>
        </w:rPr>
        <w:t>oc</w:t>
      </w:r>
      <w:r w:rsidR="00BC2660" w:rsidRPr="00BC2660">
        <w:rPr>
          <w:i/>
        </w:rPr>
        <w:t>ial p</w:t>
      </w:r>
      <w:r w:rsidRPr="00BC2660">
        <w:rPr>
          <w:i/>
        </w:rPr>
        <w:t>sychol</w:t>
      </w:r>
      <w:r w:rsidR="00BC2660" w:rsidRPr="00BC2660">
        <w:rPr>
          <w:i/>
        </w:rPr>
        <w:t>ogy,</w:t>
      </w:r>
      <w:r w:rsidRPr="00BC2660">
        <w:rPr>
          <w:i/>
        </w:rPr>
        <w:t xml:space="preserve"> 138</w:t>
      </w:r>
      <w:r w:rsidRPr="00D40405">
        <w:t>(5), 645-654.</w:t>
      </w:r>
    </w:p>
    <w:p w:rsidR="003C6B2F" w:rsidRDefault="003C6B2F" w:rsidP="00DA5BA8">
      <w:pPr>
        <w:pStyle w:val="BibliographyEntry"/>
      </w:pPr>
      <w:r w:rsidRPr="003C6B2F">
        <w:t xml:space="preserve">Gremy, Isabelle, and Nathalie Beltzer. </w:t>
      </w:r>
      <w:r w:rsidR="00BC2660" w:rsidRPr="003C6B2F">
        <w:t>(2004)</w:t>
      </w:r>
      <w:r w:rsidR="00BC2660">
        <w:t xml:space="preserve"> </w:t>
      </w:r>
      <w:r w:rsidRPr="003C6B2F">
        <w:t xml:space="preserve">HIV risk and condom use in the adult heterosexual population in France between 1992 and 2001: return to the starting point?. </w:t>
      </w:r>
      <w:r w:rsidRPr="00BC2660">
        <w:rPr>
          <w:i/>
        </w:rPr>
        <w:t>Aids 18</w:t>
      </w:r>
      <w:r w:rsidR="00BC2660">
        <w:t>(</w:t>
      </w:r>
      <w:r w:rsidRPr="003C6B2F">
        <w:t>5</w:t>
      </w:r>
      <w:r w:rsidR="00BC2660">
        <w:t>)</w:t>
      </w:r>
      <w:r w:rsidRPr="003C6B2F">
        <w:t xml:space="preserve"> 805-809.</w:t>
      </w:r>
    </w:p>
    <w:p w:rsidR="00104B9B" w:rsidRPr="00F60673" w:rsidRDefault="00104B9B" w:rsidP="00DA5BA8">
      <w:pPr>
        <w:pStyle w:val="BibliographyEntry"/>
      </w:pPr>
      <w:r w:rsidRPr="00104B9B">
        <w:lastRenderedPageBreak/>
        <w:t xml:space="preserve">Harvard Program in Refugee Trauma (1998). Harvard Trauma Manual: Bosnia-Herzegovina </w:t>
      </w:r>
      <w:r w:rsidRPr="00F60673">
        <w:t>Version. Cambridge, MA: Harvard Program in Refugee Trauma.</w:t>
      </w:r>
    </w:p>
    <w:p w:rsidR="00A26CE7" w:rsidRPr="00F60673" w:rsidRDefault="00A26CE7" w:rsidP="00A26CE7">
      <w:pPr>
        <w:pStyle w:val="BibliographyEntry"/>
      </w:pPr>
      <w:r w:rsidRPr="00F60673">
        <w:t>Hutton, H</w:t>
      </w:r>
      <w:r w:rsidR="00BC2660" w:rsidRPr="00F60673">
        <w:t>.</w:t>
      </w:r>
      <w:r w:rsidRPr="00F60673">
        <w:t xml:space="preserve"> E.,</w:t>
      </w:r>
      <w:r w:rsidR="00BC2660" w:rsidRPr="00F60673">
        <w:t xml:space="preserve"> Treisman, G. J., Hunt, W. R., Fisherman, M., Kendig, N., Swetz, A.,</w:t>
      </w:r>
      <w:r w:rsidR="004003C0" w:rsidRPr="00F60673">
        <w:t xml:space="preserve"> &amp; Lykestos, C. G.</w:t>
      </w:r>
      <w:r w:rsidRPr="00F60673">
        <w:t xml:space="preserve"> </w:t>
      </w:r>
      <w:r w:rsidR="00BC2660" w:rsidRPr="00F60673">
        <w:t xml:space="preserve">(2001) </w:t>
      </w:r>
      <w:r w:rsidRPr="00F60673">
        <w:t xml:space="preserve">HIV risk behaviors and their relationship to posttraumatic stress disorder among women prisoners. </w:t>
      </w:r>
      <w:r w:rsidRPr="00F60673">
        <w:rPr>
          <w:i/>
        </w:rPr>
        <w:t>Psychiatric Services</w:t>
      </w:r>
      <w:r w:rsidR="004003C0" w:rsidRPr="00F60673">
        <w:rPr>
          <w:i/>
        </w:rPr>
        <w:t>,</w:t>
      </w:r>
      <w:r w:rsidR="00BC2660" w:rsidRPr="00F60673">
        <w:t xml:space="preserve"> </w:t>
      </w:r>
      <w:r w:rsidRPr="00F60673">
        <w:t>52</w:t>
      </w:r>
      <w:r w:rsidR="00BC2660" w:rsidRPr="00F60673">
        <w:t>(</w:t>
      </w:r>
      <w:r w:rsidRPr="00F60673">
        <w:t>4</w:t>
      </w:r>
      <w:r w:rsidR="00BC2660" w:rsidRPr="00F60673">
        <w:t>).</w:t>
      </w:r>
      <w:r w:rsidRPr="00F60673">
        <w:t xml:space="preserve"> 508-513.</w:t>
      </w:r>
    </w:p>
    <w:p w:rsidR="00051DAD" w:rsidRPr="00F60673" w:rsidRDefault="00051DAD" w:rsidP="00DA5BA8">
      <w:pPr>
        <w:pStyle w:val="BibliographyEntry"/>
      </w:pPr>
      <w:r w:rsidRPr="00F60673">
        <w:t xml:space="preserve">Iglesias, E., Robertson, E., Johansson, S. E., Engfeldt, P., &amp; Sundquist, J. (2003). Women, international migration and self-reported health. A population-based study of women of reproductive age. </w:t>
      </w:r>
      <w:r w:rsidRPr="00F60673">
        <w:rPr>
          <w:i/>
        </w:rPr>
        <w:t>Soc</w:t>
      </w:r>
      <w:r w:rsidR="00E46EE0" w:rsidRPr="00F60673">
        <w:rPr>
          <w:i/>
        </w:rPr>
        <w:t>ial</w:t>
      </w:r>
      <w:r w:rsidRPr="00F60673">
        <w:rPr>
          <w:i/>
        </w:rPr>
        <w:t xml:space="preserve"> Sci</w:t>
      </w:r>
      <w:r w:rsidR="00E46EE0" w:rsidRPr="00F60673">
        <w:rPr>
          <w:i/>
        </w:rPr>
        <w:t>ence &amp;</w:t>
      </w:r>
      <w:r w:rsidRPr="00F60673">
        <w:rPr>
          <w:i/>
        </w:rPr>
        <w:t xml:space="preserve"> </w:t>
      </w:r>
      <w:r w:rsidR="00E46EE0" w:rsidRPr="00F60673">
        <w:rPr>
          <w:i/>
        </w:rPr>
        <w:t>m</w:t>
      </w:r>
      <w:r w:rsidRPr="00F60673">
        <w:rPr>
          <w:i/>
        </w:rPr>
        <w:t>ed</w:t>
      </w:r>
      <w:r w:rsidR="00E46EE0" w:rsidRPr="00F60673">
        <w:rPr>
          <w:i/>
        </w:rPr>
        <w:t>icine</w:t>
      </w:r>
      <w:r w:rsidRPr="00F60673">
        <w:rPr>
          <w:i/>
        </w:rPr>
        <w:t>, 56</w:t>
      </w:r>
      <w:r w:rsidRPr="00F60673">
        <w:t>(1), 111-124.</w:t>
      </w:r>
    </w:p>
    <w:p w:rsidR="00BE6914" w:rsidRPr="00F60673" w:rsidRDefault="009632DF" w:rsidP="00DA5BA8">
      <w:pPr>
        <w:pStyle w:val="BibliographyEntry"/>
      </w:pPr>
      <w:r w:rsidRPr="00F60673">
        <w:t xml:space="preserve">Jæger, A. B., Gramkow, A., Sørensen, P., Melbye, M., Adami, H. O., Glimelius, B., &amp; Frisch, M. (2000). Correlates of heterosexual behavior among 23–87 year olds in Denmark and Sweden, 1992–1998. </w:t>
      </w:r>
      <w:r w:rsidRPr="00F60673">
        <w:rPr>
          <w:i/>
        </w:rPr>
        <w:t>Archives of Sexual Behavior, 29</w:t>
      </w:r>
      <w:r w:rsidRPr="00F60673">
        <w:t xml:space="preserve">(1), 91-106. </w:t>
      </w:r>
    </w:p>
    <w:p w:rsidR="008A5068" w:rsidRPr="00F60673" w:rsidRDefault="008A5068" w:rsidP="00DA5BA8">
      <w:pPr>
        <w:pStyle w:val="BibliographyEntry"/>
      </w:pPr>
      <w:r w:rsidRPr="00F60673">
        <w:t>Kassie, G</w:t>
      </w:r>
      <w:r w:rsidR="009632DF" w:rsidRPr="00F60673">
        <w:t>.</w:t>
      </w:r>
      <w:r w:rsidRPr="00F60673">
        <w:t xml:space="preserve"> M., Mariam,</w:t>
      </w:r>
      <w:r w:rsidR="009632DF" w:rsidRPr="00F60673">
        <w:t xml:space="preserve"> D. H., &amp; </w:t>
      </w:r>
      <w:r w:rsidRPr="00F60673">
        <w:t>Tsui</w:t>
      </w:r>
      <w:r w:rsidR="009632DF" w:rsidRPr="00F60673">
        <w:t>, A. O. (2008).</w:t>
      </w:r>
      <w:r w:rsidRPr="00F60673">
        <w:t xml:space="preserve"> Patterns of knowledge and condom use among population groups: results from the 2005 Ethiopian behavioral surveillance surveys on HIV. </w:t>
      </w:r>
      <w:r w:rsidRPr="00F60673">
        <w:rPr>
          <w:i/>
        </w:rPr>
        <w:t>BMC Public Health 8</w:t>
      </w:r>
      <w:r w:rsidR="009632DF" w:rsidRPr="00F60673">
        <w:t>(</w:t>
      </w:r>
      <w:r w:rsidRPr="00F60673">
        <w:t>1</w:t>
      </w:r>
      <w:r w:rsidR="009632DF" w:rsidRPr="00F60673">
        <w:t xml:space="preserve">), </w:t>
      </w:r>
      <w:r w:rsidRPr="00F60673">
        <w:t>429.</w:t>
      </w:r>
    </w:p>
    <w:p w:rsidR="007C4376" w:rsidRPr="00F60673" w:rsidRDefault="007C4376" w:rsidP="00DA5BA8">
      <w:pPr>
        <w:pStyle w:val="BibliographyEntry"/>
      </w:pPr>
      <w:r w:rsidRPr="00F60673">
        <w:t xml:space="preserve">Kim, E. (2009). Multidimensional acculturation attitudes and depressive symptoms in Korean Americans. </w:t>
      </w:r>
      <w:r w:rsidRPr="00F60673">
        <w:rPr>
          <w:i/>
        </w:rPr>
        <w:t>Issues in Mental Health Nursing, 30</w:t>
      </w:r>
      <w:r w:rsidRPr="00F60673">
        <w:t>(2), 98-103.</w:t>
      </w:r>
    </w:p>
    <w:p w:rsidR="00580EA7" w:rsidRPr="00F60673" w:rsidRDefault="00580EA7" w:rsidP="00DA5BA8">
      <w:pPr>
        <w:pStyle w:val="BibliographyEntry"/>
      </w:pPr>
      <w:r w:rsidRPr="00F60673">
        <w:t xml:space="preserve">Kim, H., He, Y., Pham, R., Ravelo, G. J., Rojas, P., Rodriguez, P., ... &amp; Cyrus, E. (2019). Analyzing the Association Between Depression and High-Risk Sexual Behavior Among Adult Latina Immigrant Farm Workers in Miami-Dade County. </w:t>
      </w:r>
      <w:r w:rsidRPr="00F60673">
        <w:rPr>
          <w:i/>
        </w:rPr>
        <w:t xml:space="preserve">International </w:t>
      </w:r>
      <w:r w:rsidR="002E7F76" w:rsidRPr="00F60673">
        <w:rPr>
          <w:i/>
        </w:rPr>
        <w:t>j</w:t>
      </w:r>
      <w:r w:rsidRPr="00F60673">
        <w:rPr>
          <w:i/>
        </w:rPr>
        <w:t xml:space="preserve">ournal of </w:t>
      </w:r>
      <w:r w:rsidR="002E7F76" w:rsidRPr="00F60673">
        <w:rPr>
          <w:i/>
        </w:rPr>
        <w:t>e</w:t>
      </w:r>
      <w:r w:rsidRPr="00F60673">
        <w:rPr>
          <w:i/>
        </w:rPr>
        <w:t xml:space="preserve">nvironmental </w:t>
      </w:r>
      <w:r w:rsidR="002E7F76" w:rsidRPr="00F60673">
        <w:rPr>
          <w:i/>
        </w:rPr>
        <w:t>r</w:t>
      </w:r>
      <w:r w:rsidRPr="00F60673">
        <w:rPr>
          <w:i/>
        </w:rPr>
        <w:t xml:space="preserve">esearch and </w:t>
      </w:r>
      <w:r w:rsidR="002E7F76" w:rsidRPr="00F60673">
        <w:rPr>
          <w:i/>
        </w:rPr>
        <w:t>p</w:t>
      </w:r>
      <w:r w:rsidRPr="00F60673">
        <w:rPr>
          <w:i/>
        </w:rPr>
        <w:t xml:space="preserve">ublic </w:t>
      </w:r>
      <w:r w:rsidR="002E7F76" w:rsidRPr="00F60673">
        <w:rPr>
          <w:i/>
        </w:rPr>
        <w:t>h</w:t>
      </w:r>
      <w:r w:rsidRPr="00F60673">
        <w:rPr>
          <w:i/>
        </w:rPr>
        <w:t>ealth, 16</w:t>
      </w:r>
      <w:r w:rsidRPr="00F60673">
        <w:t>(7), 1120.</w:t>
      </w:r>
    </w:p>
    <w:p w:rsidR="006A48A6" w:rsidRPr="00F60673" w:rsidRDefault="006A48A6" w:rsidP="00DA5BA8">
      <w:pPr>
        <w:pStyle w:val="BibliographyEntry"/>
      </w:pPr>
      <w:r w:rsidRPr="00F60673">
        <w:t xml:space="preserve">Lee, C. S., Chang, J. C., Liu, C. Y., Chang, C. J., Chen, T. H., Chen, C. H., et al. (2009). Acculturation, psychiatric comorbidity and posttraumatic stress disorder in a Taiwanese aboriginal population. </w:t>
      </w:r>
      <w:r w:rsidRPr="00F60673">
        <w:rPr>
          <w:i/>
        </w:rPr>
        <w:t>Soc</w:t>
      </w:r>
      <w:r w:rsidR="00A044CD" w:rsidRPr="00F60673">
        <w:rPr>
          <w:i/>
        </w:rPr>
        <w:t>ial</w:t>
      </w:r>
      <w:r w:rsidRPr="00F60673">
        <w:rPr>
          <w:i/>
        </w:rPr>
        <w:t xml:space="preserve"> Psychiatry </w:t>
      </w:r>
      <w:r w:rsidR="00A044CD" w:rsidRPr="00F60673">
        <w:rPr>
          <w:i/>
        </w:rPr>
        <w:t xml:space="preserve">and </w:t>
      </w:r>
      <w:r w:rsidRPr="00F60673">
        <w:rPr>
          <w:i/>
        </w:rPr>
        <w:t>Psychiatr</w:t>
      </w:r>
      <w:r w:rsidR="00A044CD" w:rsidRPr="00F60673">
        <w:rPr>
          <w:i/>
        </w:rPr>
        <w:t>ic</w:t>
      </w:r>
      <w:r w:rsidRPr="00F60673">
        <w:rPr>
          <w:i/>
        </w:rPr>
        <w:t xml:space="preserve"> Epidemiol</w:t>
      </w:r>
      <w:r w:rsidR="00A044CD" w:rsidRPr="00F60673">
        <w:rPr>
          <w:i/>
        </w:rPr>
        <w:t>ogy</w:t>
      </w:r>
      <w:r w:rsidRPr="00F60673">
        <w:rPr>
          <w:i/>
        </w:rPr>
        <w:t>, 44</w:t>
      </w:r>
      <w:r w:rsidRPr="00F60673">
        <w:t>(1), 55-62.</w:t>
      </w:r>
    </w:p>
    <w:p w:rsidR="00D40405" w:rsidRPr="00F60673" w:rsidRDefault="00D40405" w:rsidP="00DA5BA8">
      <w:pPr>
        <w:pStyle w:val="BibliographyEntry"/>
      </w:pPr>
      <w:r w:rsidRPr="00F60673">
        <w:t xml:space="preserve">Lessenger, L. H. (1997). Use of </w:t>
      </w:r>
      <w:r w:rsidR="00A044CD" w:rsidRPr="00F60673">
        <w:t>A</w:t>
      </w:r>
      <w:r w:rsidRPr="00F60673">
        <w:t xml:space="preserve">cculturation </w:t>
      </w:r>
      <w:r w:rsidR="00A044CD" w:rsidRPr="00F60673">
        <w:t>R</w:t>
      </w:r>
      <w:r w:rsidRPr="00F60673">
        <w:t xml:space="preserve">ating </w:t>
      </w:r>
      <w:r w:rsidR="00A044CD" w:rsidRPr="00F60673">
        <w:t>S</w:t>
      </w:r>
      <w:r w:rsidRPr="00F60673">
        <w:t>cale for Mexican Americans-</w:t>
      </w:r>
      <w:r w:rsidR="00A044CD" w:rsidRPr="00F60673">
        <w:t>IT</w:t>
      </w:r>
      <w:r w:rsidRPr="00F60673">
        <w:t xml:space="preserve"> with </w:t>
      </w:r>
      <w:r w:rsidR="00A044CD" w:rsidRPr="00F60673">
        <w:t>S</w:t>
      </w:r>
      <w:r w:rsidRPr="00F60673">
        <w:t xml:space="preserve">ubstance </w:t>
      </w:r>
      <w:r w:rsidR="00A044CD" w:rsidRPr="00F60673">
        <w:t>A</w:t>
      </w:r>
      <w:r w:rsidRPr="00F60673">
        <w:t xml:space="preserve">buse </w:t>
      </w:r>
      <w:r w:rsidR="00A044CD" w:rsidRPr="00F60673">
        <w:t>P</w:t>
      </w:r>
      <w:r w:rsidRPr="00F60673">
        <w:t xml:space="preserve">atients. </w:t>
      </w:r>
      <w:r w:rsidRPr="00F60673">
        <w:rPr>
          <w:i/>
          <w:iCs/>
        </w:rPr>
        <w:t>Hispanic Journal of Behavioral Sciences, 19</w:t>
      </w:r>
      <w:r w:rsidRPr="00F60673">
        <w:t>(3), 387-398.</w:t>
      </w:r>
    </w:p>
    <w:p w:rsidR="00A044CD" w:rsidRPr="00F60673" w:rsidRDefault="00A044CD" w:rsidP="00DA5BA8">
      <w:pPr>
        <w:pStyle w:val="BibliographyEntry"/>
        <w:rPr>
          <w:shd w:val="clear" w:color="auto" w:fill="FFFFFF"/>
        </w:rPr>
      </w:pPr>
      <w:r w:rsidRPr="00F60673">
        <w:rPr>
          <w:shd w:val="clear" w:color="auto" w:fill="FFFFFF"/>
        </w:rPr>
        <w:t xml:space="preserve">Lewin, B. F. M., Helmius, K., Lalos, G., &amp; Ann Månsson, S. A. (2000). Sex in Sweden-On the Swedish sexual life. </w:t>
      </w:r>
    </w:p>
    <w:p w:rsidR="00E305D1" w:rsidRPr="00F60673" w:rsidRDefault="00E305D1" w:rsidP="00DA5BA8">
      <w:pPr>
        <w:pStyle w:val="BibliographyEntry"/>
        <w:rPr>
          <w:sz w:val="32"/>
        </w:rPr>
      </w:pPr>
      <w:r w:rsidRPr="00F60673">
        <w:rPr>
          <w:szCs w:val="20"/>
          <w:shd w:val="clear" w:color="auto" w:fill="FFFFFF"/>
        </w:rPr>
        <w:t>Lie, B. (2002). A 3‐year follow‐up study of psychosocial functioning and general symptoms in settled refugees. </w:t>
      </w:r>
      <w:r w:rsidRPr="00F60673">
        <w:rPr>
          <w:i/>
          <w:iCs/>
          <w:szCs w:val="20"/>
          <w:shd w:val="clear" w:color="auto" w:fill="FFFFFF"/>
        </w:rPr>
        <w:t>Acta Psychiatrica Scandinavica</w:t>
      </w:r>
      <w:r w:rsidRPr="00F60673">
        <w:rPr>
          <w:szCs w:val="20"/>
          <w:shd w:val="clear" w:color="auto" w:fill="FFFFFF"/>
        </w:rPr>
        <w:t>, </w:t>
      </w:r>
      <w:r w:rsidRPr="00F60673">
        <w:rPr>
          <w:i/>
          <w:iCs/>
          <w:szCs w:val="20"/>
          <w:shd w:val="clear" w:color="auto" w:fill="FFFFFF"/>
        </w:rPr>
        <w:t>106</w:t>
      </w:r>
      <w:r w:rsidRPr="00F60673">
        <w:rPr>
          <w:szCs w:val="20"/>
          <w:shd w:val="clear" w:color="auto" w:fill="FFFFFF"/>
        </w:rPr>
        <w:t>(6), 415-425.</w:t>
      </w:r>
    </w:p>
    <w:p w:rsidR="00F93E56" w:rsidRPr="00F60673" w:rsidRDefault="00E305D1" w:rsidP="00E305D1">
      <w:pPr>
        <w:pStyle w:val="BibliographyEntry"/>
        <w:rPr>
          <w:sz w:val="32"/>
        </w:rPr>
      </w:pPr>
      <w:r w:rsidRPr="00F60673">
        <w:rPr>
          <w:szCs w:val="20"/>
          <w:shd w:val="clear" w:color="auto" w:fill="FFFFFF"/>
        </w:rPr>
        <w:t>Lindencrona, F., Ekblad, S., &amp; Hauff, E. (2008). Mental health of recently resettled refugees from the Middle East in Sweden: the impact of pre-resettlement trauma, resettlement stress and capacity to handle stress. </w:t>
      </w:r>
      <w:r w:rsidRPr="00F60673">
        <w:rPr>
          <w:i/>
          <w:iCs/>
          <w:szCs w:val="20"/>
          <w:shd w:val="clear" w:color="auto" w:fill="FFFFFF"/>
        </w:rPr>
        <w:t>Social psychiatry and psychiatric epidemiology</w:t>
      </w:r>
      <w:r w:rsidRPr="00F60673">
        <w:rPr>
          <w:szCs w:val="20"/>
          <w:shd w:val="clear" w:color="auto" w:fill="FFFFFF"/>
        </w:rPr>
        <w:t>, </w:t>
      </w:r>
      <w:r w:rsidRPr="00F60673">
        <w:rPr>
          <w:i/>
          <w:iCs/>
          <w:szCs w:val="20"/>
          <w:shd w:val="clear" w:color="auto" w:fill="FFFFFF"/>
        </w:rPr>
        <w:t>43</w:t>
      </w:r>
      <w:r w:rsidRPr="00F60673">
        <w:rPr>
          <w:szCs w:val="20"/>
          <w:shd w:val="clear" w:color="auto" w:fill="FFFFFF"/>
        </w:rPr>
        <w:t>(2), 121-131.</w:t>
      </w:r>
    </w:p>
    <w:p w:rsidR="00E305D1" w:rsidRPr="00F60673" w:rsidRDefault="00E305D1" w:rsidP="00DA5BA8">
      <w:pPr>
        <w:pStyle w:val="BibliographyEntry"/>
        <w:rPr>
          <w:sz w:val="32"/>
        </w:rPr>
      </w:pPr>
      <w:r w:rsidRPr="00F60673">
        <w:rPr>
          <w:szCs w:val="20"/>
          <w:shd w:val="clear" w:color="auto" w:fill="FFFFFF"/>
        </w:rPr>
        <w:t>Matheson, K., Jorden, S., &amp; Anisman, H. (2008). Relations between trauma experiences and psychological, physical and neuroendocrine functioning among Somali refugees: Mediating role of coping with acculturation stressors. </w:t>
      </w:r>
      <w:r w:rsidRPr="00F60673">
        <w:rPr>
          <w:i/>
          <w:iCs/>
          <w:szCs w:val="20"/>
          <w:shd w:val="clear" w:color="auto" w:fill="FFFFFF"/>
        </w:rPr>
        <w:t>Journal of immigrant and minority health</w:t>
      </w:r>
      <w:r w:rsidRPr="00F60673">
        <w:rPr>
          <w:szCs w:val="20"/>
          <w:shd w:val="clear" w:color="auto" w:fill="FFFFFF"/>
        </w:rPr>
        <w:t>, </w:t>
      </w:r>
      <w:r w:rsidRPr="00F60673">
        <w:rPr>
          <w:i/>
          <w:iCs/>
          <w:szCs w:val="20"/>
          <w:shd w:val="clear" w:color="auto" w:fill="FFFFFF"/>
        </w:rPr>
        <w:t>10</w:t>
      </w:r>
      <w:r w:rsidRPr="00F60673">
        <w:rPr>
          <w:szCs w:val="20"/>
          <w:shd w:val="clear" w:color="auto" w:fill="FFFFFF"/>
        </w:rPr>
        <w:t>(4), 291-304.</w:t>
      </w:r>
    </w:p>
    <w:p w:rsidR="00C74A5D" w:rsidRDefault="00C74A5D" w:rsidP="00DA5BA8">
      <w:pPr>
        <w:pStyle w:val="BibliographyEntry"/>
      </w:pPr>
      <w:r w:rsidRPr="00C74A5D">
        <w:lastRenderedPageBreak/>
        <w:t xml:space="preserve">Mendoza, R. H. (1989). An empirical scale to measure type and degree of acculturation in Mexican-American adolescents and adults. </w:t>
      </w:r>
      <w:r w:rsidRPr="00387B47">
        <w:rPr>
          <w:i/>
        </w:rPr>
        <w:t>Journal of Cross-Cultural Psychology, 20</w:t>
      </w:r>
      <w:r w:rsidRPr="00C74A5D">
        <w:t>(4), 372-385.</w:t>
      </w:r>
    </w:p>
    <w:p w:rsidR="006A48A6" w:rsidRDefault="006A48A6" w:rsidP="00DA5BA8">
      <w:pPr>
        <w:pStyle w:val="BibliographyEntry"/>
      </w:pPr>
      <w:r w:rsidRPr="006A48A6">
        <w:t xml:space="preserve">Miller, A. M., Sorokin, O., Wang, E., Feetham, S., Choi, M., &amp; Wilbur, J. (2006). Acculturation, social alienation, and depressed mood in midlife women from the former Soviet Union. </w:t>
      </w:r>
      <w:r w:rsidRPr="00387B47">
        <w:rPr>
          <w:i/>
        </w:rPr>
        <w:t>Res</w:t>
      </w:r>
      <w:r w:rsidR="00387B47" w:rsidRPr="00387B47">
        <w:rPr>
          <w:i/>
        </w:rPr>
        <w:t>earch in nursing &amp; health,</w:t>
      </w:r>
      <w:r w:rsidRPr="00387B47">
        <w:rPr>
          <w:i/>
        </w:rPr>
        <w:t xml:space="preserve"> 29</w:t>
      </w:r>
      <w:r w:rsidRPr="006A48A6">
        <w:t>(2), 134-146.</w:t>
      </w:r>
    </w:p>
    <w:p w:rsidR="00C3418B" w:rsidRPr="00C3418B" w:rsidRDefault="00C3418B" w:rsidP="00DA5BA8">
      <w:pPr>
        <w:pStyle w:val="BibliographyEntry"/>
        <w:rPr>
          <w:sz w:val="32"/>
        </w:rPr>
      </w:pPr>
      <w:r w:rsidRPr="00C3418B">
        <w:rPr>
          <w:color w:val="222222"/>
          <w:szCs w:val="20"/>
          <w:shd w:val="clear" w:color="auto" w:fill="FFFFFF"/>
        </w:rPr>
        <w:t>Mills, S., Saidel, T., Bennett, A., Rehle, T., Hogle, J., Brown, T., &amp; Magnani, R. (1998). HIV risk behavioral surveillance: a methodology for monitoring behavioral trends. </w:t>
      </w:r>
      <w:r w:rsidRPr="00C3418B">
        <w:rPr>
          <w:i/>
          <w:iCs/>
          <w:color w:val="222222"/>
          <w:szCs w:val="20"/>
          <w:shd w:val="clear" w:color="auto" w:fill="FFFFFF"/>
        </w:rPr>
        <w:t>Aids</w:t>
      </w:r>
      <w:r w:rsidRPr="00C3418B">
        <w:rPr>
          <w:color w:val="222222"/>
          <w:szCs w:val="20"/>
          <w:shd w:val="clear" w:color="auto" w:fill="FFFFFF"/>
        </w:rPr>
        <w:t>.</w:t>
      </w:r>
    </w:p>
    <w:p w:rsidR="00BB4DD3" w:rsidRDefault="00BB4DD3" w:rsidP="00DA5BA8">
      <w:pPr>
        <w:pStyle w:val="BibliographyEntry"/>
      </w:pPr>
      <w:r w:rsidRPr="00BB4DD3">
        <w:t>Mollica, R. F., Caspi-Yavin, Y., Bollini, P., Truong, T., Tor, S., &amp; Lavelle, J. (1996). Harvard Trauma Questionnaire: Brief summary of it development, statistical properties, use, and scoring. In N. Goldfield, M. Pine &amp; J. Pine (Eds.), Measuring and managing health care quality: Procedures, techniques, and protocols, Volume 1. Gaithersburg, MD: Aspen Publishers.</w:t>
      </w:r>
    </w:p>
    <w:p w:rsidR="002B0279" w:rsidRDefault="002B0279" w:rsidP="00DA5BA8">
      <w:pPr>
        <w:pStyle w:val="BibliographyEntry"/>
      </w:pPr>
      <w:r w:rsidRPr="002B0279">
        <w:t xml:space="preserve">Mollica, R., Sarajlic, N., Chernoff, M., Lavelle, J., Vukovic, I., &amp; Massagli, M. (2001). Longitudinal study of psychiatric symptoms, disability, mortality, and emigration among Bosnian refugees. </w:t>
      </w:r>
      <w:r w:rsidR="00C3418B" w:rsidRPr="00C3418B">
        <w:rPr>
          <w:i/>
        </w:rPr>
        <w:t>Jama</w:t>
      </w:r>
      <w:r w:rsidRPr="00C3418B">
        <w:rPr>
          <w:i/>
        </w:rPr>
        <w:t>, 286</w:t>
      </w:r>
      <w:r w:rsidRPr="002B0279">
        <w:t>(5), 546-554.</w:t>
      </w:r>
    </w:p>
    <w:p w:rsidR="00E036A3" w:rsidRPr="00295DEB" w:rsidRDefault="00295DEB" w:rsidP="00DA5BA8">
      <w:pPr>
        <w:pStyle w:val="BibliographyEntry"/>
        <w:rPr>
          <w:sz w:val="32"/>
        </w:rPr>
      </w:pPr>
      <w:r w:rsidRPr="00F60673">
        <w:rPr>
          <w:szCs w:val="20"/>
          <w:shd w:val="clear" w:color="auto" w:fill="FFFFFF"/>
        </w:rPr>
        <w:t>Parks, J., Svendsen, D., Singer, P., Foti, M. E., &amp; Mauer, B. (2006). Morbidity and mortality in people with serious mental illness. </w:t>
      </w:r>
      <w:r w:rsidRPr="00F60673">
        <w:rPr>
          <w:i/>
          <w:iCs/>
          <w:szCs w:val="20"/>
          <w:shd w:val="clear" w:color="auto" w:fill="FFFFFF"/>
        </w:rPr>
        <w:t>Alexandria, VA: National Association of State Mental Health Program Directors (NASMHPD) Medical Directors Council</w:t>
      </w:r>
      <w:r w:rsidR="00F60673">
        <w:rPr>
          <w:szCs w:val="20"/>
          <w:shd w:val="clear" w:color="auto" w:fill="FFFFFF"/>
        </w:rPr>
        <w:t xml:space="preserve">, </w:t>
      </w:r>
      <w:r w:rsidRPr="00F60673">
        <w:rPr>
          <w:i/>
          <w:iCs/>
          <w:szCs w:val="20"/>
          <w:shd w:val="clear" w:color="auto" w:fill="FFFFFF"/>
        </w:rPr>
        <w:t>25</w:t>
      </w:r>
      <w:r w:rsidRPr="00F60673">
        <w:rPr>
          <w:szCs w:val="20"/>
          <w:shd w:val="clear" w:color="auto" w:fill="FFFFFF"/>
        </w:rPr>
        <w:t>(4), 1-87</w:t>
      </w:r>
      <w:r w:rsidRPr="00295DEB">
        <w:rPr>
          <w:color w:val="222222"/>
          <w:szCs w:val="20"/>
          <w:shd w:val="clear" w:color="auto" w:fill="FFFFFF"/>
        </w:rPr>
        <w:t>.</w:t>
      </w:r>
    </w:p>
    <w:p w:rsidR="00051DAD" w:rsidRDefault="00051DAD" w:rsidP="00DA5BA8">
      <w:pPr>
        <w:pStyle w:val="BibliographyEntry"/>
      </w:pPr>
      <w:r w:rsidRPr="00051DAD">
        <w:t xml:space="preserve">Porter, M., &amp; Haslam, N. (2005). Predisplacement and postdisplacement factors associated with mental health of refugees and internally displaced persons: a meta-analysis. </w:t>
      </w:r>
      <w:r w:rsidRPr="00772CF5">
        <w:rPr>
          <w:i/>
        </w:rPr>
        <w:t>J</w:t>
      </w:r>
      <w:r w:rsidR="00772CF5" w:rsidRPr="00772CF5">
        <w:rPr>
          <w:i/>
        </w:rPr>
        <w:t>ama</w:t>
      </w:r>
      <w:r w:rsidRPr="00772CF5">
        <w:rPr>
          <w:i/>
        </w:rPr>
        <w:t>, 294</w:t>
      </w:r>
      <w:r w:rsidRPr="00051DAD">
        <w:t>(5), 602-612.</w:t>
      </w:r>
    </w:p>
    <w:p w:rsidR="00CD5B44" w:rsidRDefault="00CD5B44" w:rsidP="00CD5B44">
      <w:pPr>
        <w:pStyle w:val="BibliographyEntry"/>
      </w:pPr>
      <w:r w:rsidRPr="00CD5B44">
        <w:t>Psykologförbundet (2009). Depression: en rapport om mänskliga och ekonomiska vinster. Retrieved February 18, 2010, from</w:t>
      </w:r>
      <w:r>
        <w:t xml:space="preserve"> </w:t>
      </w:r>
      <w:hyperlink r:id="rId11" w:history="1">
        <w:r w:rsidRPr="0000698C">
          <w:rPr>
            <w:rStyle w:val="Hyperlink"/>
          </w:rPr>
          <w:t>http://www.psykologforbundet.se/forbundettycker/Primarvard/Depression%20-%20en%20rapport%20om%20m%C3%A4nskliga%20och%20ekonomiska%20vinster.pdf</w:t>
        </w:r>
      </w:hyperlink>
      <w:r>
        <w:t xml:space="preserve"> </w:t>
      </w:r>
    </w:p>
    <w:p w:rsidR="00772CF5" w:rsidRPr="00F60673" w:rsidRDefault="00772CF5" w:rsidP="00A26CE7">
      <w:pPr>
        <w:pStyle w:val="BibliographyEntry"/>
        <w:rPr>
          <w:sz w:val="32"/>
        </w:rPr>
      </w:pPr>
      <w:r w:rsidRPr="00F60673">
        <w:rPr>
          <w:szCs w:val="20"/>
          <w:shd w:val="clear" w:color="auto" w:fill="FFFFFF"/>
        </w:rPr>
        <w:t>Schuster, R. M., Mermelstein, R., &amp; Wakschlag, L. (2013). Gender-specific relationships between depressive symptoms, marijuana use, parental communication and risky sexual behavior in adolescence. </w:t>
      </w:r>
      <w:r w:rsidRPr="00F60673">
        <w:rPr>
          <w:i/>
          <w:iCs/>
          <w:szCs w:val="20"/>
          <w:shd w:val="clear" w:color="auto" w:fill="FFFFFF"/>
        </w:rPr>
        <w:t>Journal of youth and adolescence</w:t>
      </w:r>
      <w:r w:rsidRPr="00F60673">
        <w:rPr>
          <w:szCs w:val="20"/>
          <w:shd w:val="clear" w:color="auto" w:fill="FFFFFF"/>
        </w:rPr>
        <w:t>, </w:t>
      </w:r>
      <w:r w:rsidRPr="00F60673">
        <w:rPr>
          <w:i/>
          <w:iCs/>
          <w:szCs w:val="20"/>
          <w:shd w:val="clear" w:color="auto" w:fill="FFFFFF"/>
        </w:rPr>
        <w:t>42</w:t>
      </w:r>
      <w:r w:rsidRPr="00F60673">
        <w:rPr>
          <w:szCs w:val="20"/>
          <w:shd w:val="clear" w:color="auto" w:fill="FFFFFF"/>
        </w:rPr>
        <w:t>(8), 1194-1209.</w:t>
      </w:r>
    </w:p>
    <w:p w:rsidR="0057515A" w:rsidRPr="00F60673" w:rsidRDefault="0057515A" w:rsidP="00A26CE7">
      <w:pPr>
        <w:pStyle w:val="BibliographyEntry"/>
        <w:rPr>
          <w:sz w:val="32"/>
        </w:rPr>
      </w:pPr>
      <w:r w:rsidRPr="00F60673">
        <w:rPr>
          <w:szCs w:val="20"/>
          <w:shd w:val="clear" w:color="auto" w:fill="FFFFFF"/>
        </w:rPr>
        <w:t>Schweitzer, R., Melville, F., Steel, Z., &amp; Lacherez, P. (2006). Trauma, post-migration living difficulties, and social support as predictors of psychological adjustment in resettled Sudanese refugees. </w:t>
      </w:r>
      <w:r w:rsidRPr="00F60673">
        <w:rPr>
          <w:i/>
          <w:iCs/>
          <w:szCs w:val="20"/>
          <w:shd w:val="clear" w:color="auto" w:fill="FFFFFF"/>
        </w:rPr>
        <w:t>Australian &amp; New Zealand Journal of Psychiatry</w:t>
      </w:r>
      <w:r w:rsidRPr="00F60673">
        <w:rPr>
          <w:szCs w:val="20"/>
          <w:shd w:val="clear" w:color="auto" w:fill="FFFFFF"/>
        </w:rPr>
        <w:t>, </w:t>
      </w:r>
      <w:r w:rsidRPr="00F60673">
        <w:rPr>
          <w:i/>
          <w:iCs/>
          <w:szCs w:val="20"/>
          <w:shd w:val="clear" w:color="auto" w:fill="FFFFFF"/>
        </w:rPr>
        <w:t>40</w:t>
      </w:r>
      <w:r w:rsidRPr="00F60673">
        <w:rPr>
          <w:szCs w:val="20"/>
          <w:shd w:val="clear" w:color="auto" w:fill="FFFFFF"/>
        </w:rPr>
        <w:t>(2), 179-187.</w:t>
      </w:r>
    </w:p>
    <w:p w:rsidR="00F93E56" w:rsidRPr="00F60673" w:rsidRDefault="00F93E56" w:rsidP="00A26CE7">
      <w:pPr>
        <w:pStyle w:val="BibliographyEntry"/>
      </w:pPr>
      <w:r w:rsidRPr="00F60673">
        <w:t xml:space="preserve">Segal, U. A., &amp; Mayadas, N. S. (2005). Assessment of issues facing immigrant and refugee families. </w:t>
      </w:r>
      <w:r w:rsidRPr="00F60673">
        <w:rPr>
          <w:i/>
        </w:rPr>
        <w:t>Child Welfare, 84</w:t>
      </w:r>
      <w:r w:rsidRPr="00F60673">
        <w:t>(5), 563-583.</w:t>
      </w:r>
    </w:p>
    <w:p w:rsidR="00F07B05" w:rsidRDefault="00F07B05" w:rsidP="00A26CE7">
      <w:pPr>
        <w:pStyle w:val="BibliographyEntry"/>
      </w:pPr>
      <w:r w:rsidRPr="00F07B05">
        <w:lastRenderedPageBreak/>
        <w:t xml:space="preserve">Silove, D., Sinnerbrink, I., Field, A., Manicavasagar, V., &amp; Steel, Z. (1997). Anxiety, depression and PTSD in asylum-seekers: associations with pre-migration trauma and post-migration stressors. </w:t>
      </w:r>
      <w:r w:rsidR="0057515A" w:rsidRPr="0057515A">
        <w:rPr>
          <w:i/>
        </w:rPr>
        <w:t xml:space="preserve">The </w:t>
      </w:r>
      <w:r w:rsidRPr="0057515A">
        <w:rPr>
          <w:i/>
        </w:rPr>
        <w:t>Br</w:t>
      </w:r>
      <w:r w:rsidR="0057515A" w:rsidRPr="0057515A">
        <w:rPr>
          <w:i/>
        </w:rPr>
        <w:t>itish</w:t>
      </w:r>
      <w:r w:rsidRPr="0057515A">
        <w:rPr>
          <w:i/>
        </w:rPr>
        <w:t xml:space="preserve"> J</w:t>
      </w:r>
      <w:r w:rsidR="0057515A" w:rsidRPr="0057515A">
        <w:rPr>
          <w:i/>
        </w:rPr>
        <w:t>ournal of</w:t>
      </w:r>
      <w:r w:rsidRPr="0057515A">
        <w:rPr>
          <w:i/>
        </w:rPr>
        <w:t xml:space="preserve"> Psychiatry, 170</w:t>
      </w:r>
      <w:r w:rsidR="0057515A">
        <w:t>(4)</w:t>
      </w:r>
      <w:r w:rsidRPr="00F07B05">
        <w:t>, 351-357.</w:t>
      </w:r>
    </w:p>
    <w:p w:rsidR="00A26CE7" w:rsidRPr="00F60673" w:rsidRDefault="00E15675" w:rsidP="00E15675">
      <w:pPr>
        <w:pStyle w:val="BibliographyEntry"/>
        <w:rPr>
          <w:sz w:val="32"/>
        </w:rPr>
      </w:pPr>
      <w:r w:rsidRPr="00F60673">
        <w:rPr>
          <w:szCs w:val="20"/>
          <w:shd w:val="clear" w:color="auto" w:fill="FFFFFF"/>
        </w:rPr>
        <w:t>Smit, J., Myer, L., Middelkoop, K., Seedat, S., Wood, R., Bekker, L. G., &amp; Stein, D. J. (2006). Mental health and sexual risk behaviours in a South African township: a community-based cross-sectional study. </w:t>
      </w:r>
      <w:r w:rsidRPr="00F60673">
        <w:rPr>
          <w:i/>
          <w:iCs/>
          <w:szCs w:val="20"/>
          <w:shd w:val="clear" w:color="auto" w:fill="FFFFFF"/>
        </w:rPr>
        <w:t>Public health</w:t>
      </w:r>
      <w:r w:rsidRPr="00F60673">
        <w:rPr>
          <w:szCs w:val="20"/>
          <w:shd w:val="clear" w:color="auto" w:fill="FFFFFF"/>
        </w:rPr>
        <w:t>, </w:t>
      </w:r>
      <w:r w:rsidRPr="00F60673">
        <w:rPr>
          <w:i/>
          <w:iCs/>
          <w:szCs w:val="20"/>
          <w:shd w:val="clear" w:color="auto" w:fill="FFFFFF"/>
        </w:rPr>
        <w:t>120</w:t>
      </w:r>
      <w:r w:rsidRPr="00F60673">
        <w:rPr>
          <w:szCs w:val="20"/>
          <w:shd w:val="clear" w:color="auto" w:fill="FFFFFF"/>
        </w:rPr>
        <w:t>(6), 534-542.</w:t>
      </w:r>
    </w:p>
    <w:p w:rsidR="00E15675" w:rsidRPr="00F60673" w:rsidRDefault="00E15675" w:rsidP="00FB2F0E">
      <w:pPr>
        <w:pStyle w:val="BibliographyEntry"/>
        <w:rPr>
          <w:szCs w:val="20"/>
          <w:shd w:val="clear" w:color="auto" w:fill="FFFFFF"/>
        </w:rPr>
      </w:pPr>
      <w:r w:rsidRPr="00F60673">
        <w:rPr>
          <w:szCs w:val="20"/>
          <w:shd w:val="clear" w:color="auto" w:fill="FFFFFF"/>
        </w:rPr>
        <w:t>Sylvan, S. P. (1998). The high rate of antibodies to hepatitis E virus in young, intravenous drug-abusers with acute hepatitis B-virus infection in a Swedish community: a study of hepatitis markers in individuals with intravenously or sexually acquired hepatitis B-virus infection. </w:t>
      </w:r>
      <w:r w:rsidRPr="00F60673">
        <w:rPr>
          <w:i/>
          <w:iCs/>
          <w:szCs w:val="20"/>
          <w:shd w:val="clear" w:color="auto" w:fill="FFFFFF"/>
        </w:rPr>
        <w:t>Scandinavian journal of infectious diseases</w:t>
      </w:r>
      <w:r w:rsidRPr="00F60673">
        <w:rPr>
          <w:szCs w:val="20"/>
          <w:shd w:val="clear" w:color="auto" w:fill="FFFFFF"/>
        </w:rPr>
        <w:t>, </w:t>
      </w:r>
      <w:r w:rsidRPr="00F60673">
        <w:rPr>
          <w:i/>
          <w:iCs/>
          <w:szCs w:val="20"/>
          <w:shd w:val="clear" w:color="auto" w:fill="FFFFFF"/>
        </w:rPr>
        <w:t>30</w:t>
      </w:r>
      <w:r w:rsidRPr="00F60673">
        <w:rPr>
          <w:szCs w:val="20"/>
          <w:shd w:val="clear" w:color="auto" w:fill="FFFFFF"/>
        </w:rPr>
        <w:t>(4), 429.</w:t>
      </w:r>
    </w:p>
    <w:p w:rsidR="00B20E1A" w:rsidRDefault="00B20E1A" w:rsidP="00FB2F0E">
      <w:pPr>
        <w:pStyle w:val="BibliographyEntry"/>
      </w:pPr>
      <w:r>
        <w:t xml:space="preserve">United Nations (2000). United Nations world macro regions and components. Retrieved May 16, 2019, from </w:t>
      </w:r>
      <w:hyperlink r:id="rId12" w:history="1">
        <w:r>
          <w:rPr>
            <w:rStyle w:val="Hyperlink"/>
          </w:rPr>
          <w:t>https://unstats.un.org/unsd/methodology/m49/</w:t>
        </w:r>
      </w:hyperlink>
    </w:p>
    <w:p w:rsidR="00210E82" w:rsidRDefault="00AC60BA" w:rsidP="00FB2F0E">
      <w:pPr>
        <w:pStyle w:val="BibliographyEntry"/>
      </w:pPr>
      <w:r>
        <w:t>Varga, C.</w:t>
      </w:r>
      <w:r w:rsidR="00E15675">
        <w:t xml:space="preserve"> A.</w:t>
      </w:r>
      <w:r>
        <w:t xml:space="preserve"> (1997) Sexual Decision-Making and Negotiation in the </w:t>
      </w:r>
      <w:r w:rsidR="00E15675">
        <w:t>m</w:t>
      </w:r>
      <w:r>
        <w:t xml:space="preserve">idst of AIDS: </w:t>
      </w:r>
      <w:r w:rsidR="00E15675">
        <w:t>y</w:t>
      </w:r>
      <w:r>
        <w:t>outh in KwaZulu</w:t>
      </w:r>
      <w:r w:rsidR="00E15675">
        <w:t>-</w:t>
      </w:r>
      <w:r>
        <w:t xml:space="preserve">Natal, South Africa. </w:t>
      </w:r>
      <w:r w:rsidRPr="00E15675">
        <w:rPr>
          <w:i/>
        </w:rPr>
        <w:t>Health Transition Review</w:t>
      </w:r>
      <w:r>
        <w:t xml:space="preserve">, </w:t>
      </w:r>
      <w:r w:rsidRPr="00E15675">
        <w:rPr>
          <w:i/>
        </w:rPr>
        <w:t>7</w:t>
      </w:r>
      <w:r w:rsidR="00E15675">
        <w:t>(3)</w:t>
      </w:r>
      <w:r>
        <w:t xml:space="preserve">, 45-67. </w:t>
      </w:r>
    </w:p>
    <w:p w:rsidR="00AC60BA" w:rsidRPr="00E15675" w:rsidRDefault="00E15675" w:rsidP="00FB2F0E">
      <w:pPr>
        <w:pStyle w:val="BibliographyEntry"/>
        <w:rPr>
          <w:sz w:val="32"/>
        </w:rPr>
      </w:pPr>
      <w:r w:rsidRPr="00F60673">
        <w:rPr>
          <w:szCs w:val="20"/>
          <w:shd w:val="clear" w:color="auto" w:fill="FFFFFF"/>
        </w:rPr>
        <w:t>Varga, C. A. (2003). How gender roles influence sexual and reproductive health among South African adolescents. </w:t>
      </w:r>
      <w:r w:rsidRPr="00F60673">
        <w:rPr>
          <w:i/>
          <w:iCs/>
          <w:szCs w:val="20"/>
          <w:shd w:val="clear" w:color="auto" w:fill="FFFFFF"/>
        </w:rPr>
        <w:t>Studies in family planning</w:t>
      </w:r>
      <w:r w:rsidRPr="00F60673">
        <w:rPr>
          <w:szCs w:val="20"/>
          <w:shd w:val="clear" w:color="auto" w:fill="FFFFFF"/>
        </w:rPr>
        <w:t>, </w:t>
      </w:r>
      <w:r w:rsidRPr="00F60673">
        <w:rPr>
          <w:i/>
          <w:iCs/>
          <w:szCs w:val="20"/>
          <w:shd w:val="clear" w:color="auto" w:fill="FFFFFF"/>
        </w:rPr>
        <w:t>34</w:t>
      </w:r>
      <w:r w:rsidRPr="00F60673">
        <w:rPr>
          <w:szCs w:val="20"/>
          <w:shd w:val="clear" w:color="auto" w:fill="FFFFFF"/>
        </w:rPr>
        <w:t>(3), 160-172</w:t>
      </w:r>
      <w:r w:rsidRPr="00E15675">
        <w:rPr>
          <w:color w:val="222222"/>
          <w:szCs w:val="20"/>
          <w:shd w:val="clear" w:color="auto" w:fill="FFFFFF"/>
        </w:rPr>
        <w:t>.</w:t>
      </w:r>
    </w:p>
    <w:p w:rsidR="009B749B" w:rsidRPr="00E15675" w:rsidRDefault="00E15675" w:rsidP="00FB2F0E">
      <w:pPr>
        <w:pStyle w:val="BibliographyEntry"/>
      </w:pPr>
      <w:r w:rsidRPr="00F60673">
        <w:rPr>
          <w:szCs w:val="20"/>
          <w:shd w:val="clear" w:color="auto" w:fill="FFFFFF"/>
        </w:rPr>
        <w:t>Waller, M. W., Hallfors, D. D., Halpern, C. T., Iritani, B. J., Ford, C. A., &amp; Guo, G. (2006). Gender differences in associations between depressive symptoms and patterns of substance use and risky sexual behavior among a nationally representative sample of US adolescents. </w:t>
      </w:r>
      <w:r w:rsidRPr="00F60673">
        <w:rPr>
          <w:i/>
          <w:iCs/>
          <w:szCs w:val="20"/>
          <w:shd w:val="clear" w:color="auto" w:fill="FFFFFF"/>
        </w:rPr>
        <w:t>Archives of Women's Mental Health</w:t>
      </w:r>
      <w:r w:rsidRPr="00F60673">
        <w:rPr>
          <w:szCs w:val="20"/>
          <w:shd w:val="clear" w:color="auto" w:fill="FFFFFF"/>
        </w:rPr>
        <w:t>, </w:t>
      </w:r>
      <w:r w:rsidRPr="00F60673">
        <w:rPr>
          <w:i/>
          <w:iCs/>
          <w:szCs w:val="20"/>
          <w:shd w:val="clear" w:color="auto" w:fill="FFFFFF"/>
        </w:rPr>
        <w:t>9</w:t>
      </w:r>
      <w:r w:rsidRPr="00F60673">
        <w:rPr>
          <w:szCs w:val="20"/>
          <w:shd w:val="clear" w:color="auto" w:fill="FFFFFF"/>
        </w:rPr>
        <w:t>(3), 139</w:t>
      </w:r>
      <w:r w:rsidRPr="00E15675">
        <w:rPr>
          <w:color w:val="222222"/>
          <w:szCs w:val="20"/>
          <w:shd w:val="clear" w:color="auto" w:fill="FFFFFF"/>
        </w:rPr>
        <w:t>.</w:t>
      </w:r>
      <w:r w:rsidRPr="00E15675">
        <w:t xml:space="preserve"> </w:t>
      </w:r>
    </w:p>
    <w:p w:rsidR="00D40405" w:rsidRPr="00D40405" w:rsidRDefault="00D40405" w:rsidP="00FB2F0E">
      <w:pPr>
        <w:pStyle w:val="BibliographyEntry"/>
        <w:rPr>
          <w:sz w:val="28"/>
        </w:rPr>
      </w:pPr>
      <w:r w:rsidRPr="00D40405">
        <w:rPr>
          <w:szCs w:val="23"/>
        </w:rPr>
        <w:t xml:space="preserve">Walters, K. L. (1999). Urban American Indian identity attitudes and acculturation styles. </w:t>
      </w:r>
      <w:r w:rsidRPr="00D40405">
        <w:rPr>
          <w:i/>
          <w:iCs/>
          <w:szCs w:val="23"/>
        </w:rPr>
        <w:t>Journal of Human Behavior in the Social Environment, 2</w:t>
      </w:r>
      <w:r w:rsidRPr="00D40405">
        <w:rPr>
          <w:szCs w:val="23"/>
        </w:rPr>
        <w:t>(1-2), 163-178.</w:t>
      </w:r>
    </w:p>
    <w:p w:rsidR="00210E82" w:rsidRDefault="00210E82" w:rsidP="00FB2F0E">
      <w:pPr>
        <w:pStyle w:val="BibliographyEntry"/>
      </w:pPr>
      <w:r>
        <w:t xml:space="preserve">Wood, K. </w:t>
      </w:r>
      <w:r w:rsidR="002624D9">
        <w:t>&amp;</w:t>
      </w:r>
      <w:r>
        <w:t xml:space="preserve"> Jewkes, R. (200</w:t>
      </w:r>
      <w:r w:rsidR="003E2FBC">
        <w:t>5</w:t>
      </w:r>
      <w:r>
        <w:t xml:space="preserve">) 'Dangerous' love: Reflections on violence among Xhosa </w:t>
      </w:r>
      <w:r w:rsidR="003E2FBC">
        <w:t>t</w:t>
      </w:r>
      <w:r>
        <w:t>ownship youth.</w:t>
      </w:r>
    </w:p>
    <w:p w:rsidR="005F0641" w:rsidRDefault="005F0641" w:rsidP="00FB2F0E">
      <w:pPr>
        <w:pStyle w:val="BibliographyEntry"/>
      </w:pPr>
      <w:r w:rsidRPr="005F0641">
        <w:t xml:space="preserve">Woodcock, J. (2001). Threads from the labyrinth: </w:t>
      </w:r>
      <w:r w:rsidR="003E2FBC">
        <w:t>t</w:t>
      </w:r>
      <w:r w:rsidRPr="005F0641">
        <w:t xml:space="preserve">herapy with survivors of war and political oppression. </w:t>
      </w:r>
      <w:r w:rsidRPr="003E2FBC">
        <w:rPr>
          <w:i/>
        </w:rPr>
        <w:t>Journal of Family Therapy, 23</w:t>
      </w:r>
      <w:r w:rsidR="003E2FBC">
        <w:t>(2),</w:t>
      </w:r>
      <w:r w:rsidRPr="005F0641">
        <w:t xml:space="preserve"> 136-154.</w:t>
      </w:r>
    </w:p>
    <w:p w:rsidR="00FB2F0E" w:rsidRDefault="00FB2F0E" w:rsidP="00FB2F0E">
      <w:pPr>
        <w:pStyle w:val="BibliographyEntry"/>
      </w:pPr>
      <w:r w:rsidRPr="00FB2F0E">
        <w:t>World Health Organization Meeting Report on Excess Mortality in Persons with Severe Mental</w:t>
      </w:r>
      <w:r>
        <w:t xml:space="preserve"> </w:t>
      </w:r>
      <w:r w:rsidR="00B20E1A">
        <w:t xml:space="preserve">Health </w:t>
      </w:r>
      <w:r w:rsidRPr="00FB2F0E">
        <w:t>Disorders</w:t>
      </w:r>
      <w:r w:rsidR="00B20E1A">
        <w:t xml:space="preserve"> </w:t>
      </w:r>
      <w:r w:rsidRPr="00FB2F0E">
        <w:t>(2015)</w:t>
      </w:r>
      <w:r w:rsidR="00B20E1A">
        <w:t xml:space="preserve">. Retrieved May 16, </w:t>
      </w:r>
      <w:r w:rsidR="0064562B">
        <w:t>2019 from</w:t>
      </w:r>
      <w:r>
        <w:t xml:space="preserve"> </w:t>
      </w:r>
      <w:hyperlink r:id="rId13" w:history="1">
        <w:r w:rsidR="0064562B">
          <w:rPr>
            <w:rStyle w:val="Hyperlink"/>
          </w:rPr>
          <w:t>https://www.who.int/mental_health/evidence/excess_mortality_meeting_report.pdf</w:t>
        </w:r>
      </w:hyperlink>
    </w:p>
    <w:p w:rsidR="00DA5BA8" w:rsidRDefault="00DA5BA8" w:rsidP="0077050C">
      <w:pPr>
        <w:pStyle w:val="BibliographyEntry"/>
        <w:ind w:left="0" w:firstLine="0"/>
      </w:pPr>
    </w:p>
    <w:sectPr w:rsidR="00DA5BA8" w:rsidSect="006B1124">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73" w:rsidRDefault="00F60673">
      <w:r>
        <w:separator/>
      </w:r>
    </w:p>
  </w:endnote>
  <w:endnote w:type="continuationSeparator" w:id="0">
    <w:p w:rsidR="00F60673" w:rsidRDefault="00F6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73" w:rsidRDefault="00F60673" w:rsidP="006B1124">
    <w:pPr>
      <w:tabs>
        <w:tab w:val="center" w:pos="4680"/>
      </w:tabs>
      <w:ind w:firstLine="0"/>
    </w:pPr>
    <w:r>
      <w:tab/>
    </w:r>
    <w:r>
      <w:fldChar w:fldCharType="begin"/>
    </w:r>
    <w:r>
      <w:instrText xml:space="preserve"> PAGE </w:instrText>
    </w:r>
    <w:r>
      <w:fldChar w:fldCharType="separate"/>
    </w:r>
    <w:r w:rsidR="00DD555C">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73" w:rsidRDefault="00F60673" w:rsidP="006B1124">
    <w:pPr>
      <w:tabs>
        <w:tab w:val="center" w:pos="4680"/>
      </w:tabs>
      <w:ind w:firstLine="0"/>
    </w:pPr>
    <w:r>
      <w:tab/>
    </w:r>
    <w:r>
      <w:fldChar w:fldCharType="begin"/>
    </w:r>
    <w:r>
      <w:instrText xml:space="preserve"> PAGE </w:instrText>
    </w:r>
    <w:r>
      <w:fldChar w:fldCharType="separate"/>
    </w:r>
    <w:r w:rsidR="00F23759">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73" w:rsidRDefault="00F60673">
      <w:r>
        <w:separator/>
      </w:r>
    </w:p>
  </w:footnote>
  <w:footnote w:type="continuationSeparator" w:id="0">
    <w:p w:rsidR="00F60673" w:rsidRDefault="00F6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04CA"/>
    <w:rsid w:val="000064F7"/>
    <w:rsid w:val="00006799"/>
    <w:rsid w:val="00007EB2"/>
    <w:rsid w:val="00012079"/>
    <w:rsid w:val="0002291D"/>
    <w:rsid w:val="00030D3B"/>
    <w:rsid w:val="00035D1E"/>
    <w:rsid w:val="00036ADE"/>
    <w:rsid w:val="00037CEE"/>
    <w:rsid w:val="00043BFC"/>
    <w:rsid w:val="0004525B"/>
    <w:rsid w:val="00050A8B"/>
    <w:rsid w:val="00051316"/>
    <w:rsid w:val="00051DAD"/>
    <w:rsid w:val="00060DEE"/>
    <w:rsid w:val="00061718"/>
    <w:rsid w:val="0006489C"/>
    <w:rsid w:val="00074747"/>
    <w:rsid w:val="000852E0"/>
    <w:rsid w:val="000919BD"/>
    <w:rsid w:val="000B3818"/>
    <w:rsid w:val="000B4A3E"/>
    <w:rsid w:val="000B5766"/>
    <w:rsid w:val="000B576C"/>
    <w:rsid w:val="000C41D5"/>
    <w:rsid w:val="000C7E3A"/>
    <w:rsid w:val="000D19DF"/>
    <w:rsid w:val="000E5418"/>
    <w:rsid w:val="000E5667"/>
    <w:rsid w:val="00104B9B"/>
    <w:rsid w:val="0012613F"/>
    <w:rsid w:val="00126347"/>
    <w:rsid w:val="00130409"/>
    <w:rsid w:val="00131AE2"/>
    <w:rsid w:val="00145B8D"/>
    <w:rsid w:val="00150EF7"/>
    <w:rsid w:val="00157715"/>
    <w:rsid w:val="00164BE3"/>
    <w:rsid w:val="0018282A"/>
    <w:rsid w:val="0019680A"/>
    <w:rsid w:val="00196842"/>
    <w:rsid w:val="001A2CD6"/>
    <w:rsid w:val="001B2CD7"/>
    <w:rsid w:val="001C7CDC"/>
    <w:rsid w:val="001E40E4"/>
    <w:rsid w:val="001F3198"/>
    <w:rsid w:val="00200A66"/>
    <w:rsid w:val="00200B2E"/>
    <w:rsid w:val="00203F14"/>
    <w:rsid w:val="002102E6"/>
    <w:rsid w:val="00210E82"/>
    <w:rsid w:val="00217C54"/>
    <w:rsid w:val="00222AEC"/>
    <w:rsid w:val="00232326"/>
    <w:rsid w:val="00233E9F"/>
    <w:rsid w:val="002433DA"/>
    <w:rsid w:val="002624D9"/>
    <w:rsid w:val="002706BA"/>
    <w:rsid w:val="0027275D"/>
    <w:rsid w:val="00276E7E"/>
    <w:rsid w:val="0028782F"/>
    <w:rsid w:val="00294DF0"/>
    <w:rsid w:val="00295DEB"/>
    <w:rsid w:val="002A2C93"/>
    <w:rsid w:val="002A70C3"/>
    <w:rsid w:val="002B0279"/>
    <w:rsid w:val="002B29FF"/>
    <w:rsid w:val="002C0A38"/>
    <w:rsid w:val="002C4DF9"/>
    <w:rsid w:val="002C53E7"/>
    <w:rsid w:val="002D01B1"/>
    <w:rsid w:val="002D11E0"/>
    <w:rsid w:val="002E3FA7"/>
    <w:rsid w:val="002E71F1"/>
    <w:rsid w:val="002E7F76"/>
    <w:rsid w:val="002F0EAD"/>
    <w:rsid w:val="003056D8"/>
    <w:rsid w:val="0030726D"/>
    <w:rsid w:val="0031520D"/>
    <w:rsid w:val="00321AE8"/>
    <w:rsid w:val="003315FE"/>
    <w:rsid w:val="00337CC7"/>
    <w:rsid w:val="00367476"/>
    <w:rsid w:val="00373687"/>
    <w:rsid w:val="003802F1"/>
    <w:rsid w:val="00387B47"/>
    <w:rsid w:val="00387F2A"/>
    <w:rsid w:val="00394278"/>
    <w:rsid w:val="00395684"/>
    <w:rsid w:val="003B6890"/>
    <w:rsid w:val="003C6B2F"/>
    <w:rsid w:val="003D3D78"/>
    <w:rsid w:val="003E1C8B"/>
    <w:rsid w:val="003E2FBC"/>
    <w:rsid w:val="003E3B3D"/>
    <w:rsid w:val="003E5C0A"/>
    <w:rsid w:val="003F1BF7"/>
    <w:rsid w:val="004003C0"/>
    <w:rsid w:val="00401551"/>
    <w:rsid w:val="00417E57"/>
    <w:rsid w:val="0042722A"/>
    <w:rsid w:val="0045417A"/>
    <w:rsid w:val="00455C0C"/>
    <w:rsid w:val="004648BA"/>
    <w:rsid w:val="0049000F"/>
    <w:rsid w:val="0049223C"/>
    <w:rsid w:val="00496F67"/>
    <w:rsid w:val="004A2B93"/>
    <w:rsid w:val="004B2926"/>
    <w:rsid w:val="004B7B28"/>
    <w:rsid w:val="004D7AA4"/>
    <w:rsid w:val="004E3B59"/>
    <w:rsid w:val="004E40C2"/>
    <w:rsid w:val="004E4435"/>
    <w:rsid w:val="004F641B"/>
    <w:rsid w:val="00507FC9"/>
    <w:rsid w:val="00513630"/>
    <w:rsid w:val="00536110"/>
    <w:rsid w:val="00546064"/>
    <w:rsid w:val="00562B30"/>
    <w:rsid w:val="00565F78"/>
    <w:rsid w:val="005717A5"/>
    <w:rsid w:val="00574BEF"/>
    <w:rsid w:val="0057515A"/>
    <w:rsid w:val="00580EA7"/>
    <w:rsid w:val="0058152E"/>
    <w:rsid w:val="005816CF"/>
    <w:rsid w:val="005918E1"/>
    <w:rsid w:val="00596371"/>
    <w:rsid w:val="005A5D20"/>
    <w:rsid w:val="005B6C3E"/>
    <w:rsid w:val="005C38E0"/>
    <w:rsid w:val="005C7666"/>
    <w:rsid w:val="005E0D9D"/>
    <w:rsid w:val="005E1462"/>
    <w:rsid w:val="005E402D"/>
    <w:rsid w:val="005F0641"/>
    <w:rsid w:val="005F1BB6"/>
    <w:rsid w:val="00604998"/>
    <w:rsid w:val="006109B9"/>
    <w:rsid w:val="00611237"/>
    <w:rsid w:val="00622641"/>
    <w:rsid w:val="0063515A"/>
    <w:rsid w:val="00636C11"/>
    <w:rsid w:val="00637A7C"/>
    <w:rsid w:val="006425BF"/>
    <w:rsid w:val="006453FE"/>
    <w:rsid w:val="0064562B"/>
    <w:rsid w:val="00656EE6"/>
    <w:rsid w:val="00663599"/>
    <w:rsid w:val="00665AE0"/>
    <w:rsid w:val="006726E2"/>
    <w:rsid w:val="00676095"/>
    <w:rsid w:val="00686EC1"/>
    <w:rsid w:val="006877D2"/>
    <w:rsid w:val="0069036D"/>
    <w:rsid w:val="006974B7"/>
    <w:rsid w:val="006A48A6"/>
    <w:rsid w:val="006A5780"/>
    <w:rsid w:val="006B1124"/>
    <w:rsid w:val="006B2C08"/>
    <w:rsid w:val="006B550D"/>
    <w:rsid w:val="006C2B1E"/>
    <w:rsid w:val="006D0FAD"/>
    <w:rsid w:val="006E51E4"/>
    <w:rsid w:val="006E5352"/>
    <w:rsid w:val="006F53F1"/>
    <w:rsid w:val="006F6B3A"/>
    <w:rsid w:val="00705AE6"/>
    <w:rsid w:val="00712D4F"/>
    <w:rsid w:val="00722D4C"/>
    <w:rsid w:val="007364D8"/>
    <w:rsid w:val="007438BE"/>
    <w:rsid w:val="00750C35"/>
    <w:rsid w:val="0077050C"/>
    <w:rsid w:val="00772CF5"/>
    <w:rsid w:val="00774AA9"/>
    <w:rsid w:val="00775294"/>
    <w:rsid w:val="0077639E"/>
    <w:rsid w:val="00784B7A"/>
    <w:rsid w:val="007916C7"/>
    <w:rsid w:val="007916E7"/>
    <w:rsid w:val="007917E7"/>
    <w:rsid w:val="0079649A"/>
    <w:rsid w:val="007A00BC"/>
    <w:rsid w:val="007A41AF"/>
    <w:rsid w:val="007B3848"/>
    <w:rsid w:val="007C4376"/>
    <w:rsid w:val="007C46C6"/>
    <w:rsid w:val="007F0C94"/>
    <w:rsid w:val="007F5A44"/>
    <w:rsid w:val="007F763B"/>
    <w:rsid w:val="008030D3"/>
    <w:rsid w:val="008231A3"/>
    <w:rsid w:val="00825528"/>
    <w:rsid w:val="00831F3B"/>
    <w:rsid w:val="00834193"/>
    <w:rsid w:val="00836366"/>
    <w:rsid w:val="008432D8"/>
    <w:rsid w:val="00863D37"/>
    <w:rsid w:val="008650E7"/>
    <w:rsid w:val="00882F5A"/>
    <w:rsid w:val="00884E1F"/>
    <w:rsid w:val="008904B5"/>
    <w:rsid w:val="008A0AEF"/>
    <w:rsid w:val="008A110F"/>
    <w:rsid w:val="008A1441"/>
    <w:rsid w:val="008A4223"/>
    <w:rsid w:val="008A4541"/>
    <w:rsid w:val="008A5068"/>
    <w:rsid w:val="008B795F"/>
    <w:rsid w:val="008C15FE"/>
    <w:rsid w:val="008C6431"/>
    <w:rsid w:val="008D646D"/>
    <w:rsid w:val="008D7D32"/>
    <w:rsid w:val="008E3472"/>
    <w:rsid w:val="008E51FA"/>
    <w:rsid w:val="008E76FE"/>
    <w:rsid w:val="008F1424"/>
    <w:rsid w:val="008F23BD"/>
    <w:rsid w:val="00901CC9"/>
    <w:rsid w:val="00912B1C"/>
    <w:rsid w:val="00912CB4"/>
    <w:rsid w:val="00923007"/>
    <w:rsid w:val="009300C5"/>
    <w:rsid w:val="00936B86"/>
    <w:rsid w:val="00936D40"/>
    <w:rsid w:val="00937F45"/>
    <w:rsid w:val="00956D74"/>
    <w:rsid w:val="00957E67"/>
    <w:rsid w:val="0096096B"/>
    <w:rsid w:val="0096233E"/>
    <w:rsid w:val="009632DF"/>
    <w:rsid w:val="009635B5"/>
    <w:rsid w:val="00983113"/>
    <w:rsid w:val="0099539E"/>
    <w:rsid w:val="009A1CD8"/>
    <w:rsid w:val="009A7FD6"/>
    <w:rsid w:val="009B453E"/>
    <w:rsid w:val="009B749B"/>
    <w:rsid w:val="009C1CBB"/>
    <w:rsid w:val="009C28A7"/>
    <w:rsid w:val="009D30E3"/>
    <w:rsid w:val="009E66C4"/>
    <w:rsid w:val="009E69EA"/>
    <w:rsid w:val="009F36ED"/>
    <w:rsid w:val="009F6019"/>
    <w:rsid w:val="009F6DAA"/>
    <w:rsid w:val="00A044CD"/>
    <w:rsid w:val="00A208D2"/>
    <w:rsid w:val="00A26CE7"/>
    <w:rsid w:val="00A30A02"/>
    <w:rsid w:val="00A3281F"/>
    <w:rsid w:val="00A32AD8"/>
    <w:rsid w:val="00A33C72"/>
    <w:rsid w:val="00A35269"/>
    <w:rsid w:val="00A443A8"/>
    <w:rsid w:val="00A4495A"/>
    <w:rsid w:val="00A45F73"/>
    <w:rsid w:val="00A5208D"/>
    <w:rsid w:val="00A72E6B"/>
    <w:rsid w:val="00A91D84"/>
    <w:rsid w:val="00AA2C6A"/>
    <w:rsid w:val="00AA3E52"/>
    <w:rsid w:val="00AB08F3"/>
    <w:rsid w:val="00AB2072"/>
    <w:rsid w:val="00AB38F8"/>
    <w:rsid w:val="00AC4CF3"/>
    <w:rsid w:val="00AC60BA"/>
    <w:rsid w:val="00AD7908"/>
    <w:rsid w:val="00AF340B"/>
    <w:rsid w:val="00AF5D6B"/>
    <w:rsid w:val="00B047F4"/>
    <w:rsid w:val="00B06B4B"/>
    <w:rsid w:val="00B158E6"/>
    <w:rsid w:val="00B171B7"/>
    <w:rsid w:val="00B20E1A"/>
    <w:rsid w:val="00B33801"/>
    <w:rsid w:val="00B424B6"/>
    <w:rsid w:val="00B42812"/>
    <w:rsid w:val="00B4491C"/>
    <w:rsid w:val="00B54624"/>
    <w:rsid w:val="00B56F3C"/>
    <w:rsid w:val="00B57E9B"/>
    <w:rsid w:val="00B614B1"/>
    <w:rsid w:val="00B614F2"/>
    <w:rsid w:val="00B87BAA"/>
    <w:rsid w:val="00B917F0"/>
    <w:rsid w:val="00B972E3"/>
    <w:rsid w:val="00BA0C63"/>
    <w:rsid w:val="00BB4DD3"/>
    <w:rsid w:val="00BC2660"/>
    <w:rsid w:val="00BD75C8"/>
    <w:rsid w:val="00BE296B"/>
    <w:rsid w:val="00BE5101"/>
    <w:rsid w:val="00BE6914"/>
    <w:rsid w:val="00BF2B29"/>
    <w:rsid w:val="00BF3CBF"/>
    <w:rsid w:val="00C03E81"/>
    <w:rsid w:val="00C05B28"/>
    <w:rsid w:val="00C06283"/>
    <w:rsid w:val="00C1025C"/>
    <w:rsid w:val="00C15A8C"/>
    <w:rsid w:val="00C17C66"/>
    <w:rsid w:val="00C21566"/>
    <w:rsid w:val="00C3301E"/>
    <w:rsid w:val="00C3418B"/>
    <w:rsid w:val="00C40D61"/>
    <w:rsid w:val="00C41B57"/>
    <w:rsid w:val="00C43878"/>
    <w:rsid w:val="00C47117"/>
    <w:rsid w:val="00C50F6E"/>
    <w:rsid w:val="00C74A5D"/>
    <w:rsid w:val="00C91F6C"/>
    <w:rsid w:val="00C9228E"/>
    <w:rsid w:val="00C9337B"/>
    <w:rsid w:val="00CB03F9"/>
    <w:rsid w:val="00CB6101"/>
    <w:rsid w:val="00CD1401"/>
    <w:rsid w:val="00CD5B44"/>
    <w:rsid w:val="00CE0D06"/>
    <w:rsid w:val="00CE1ACA"/>
    <w:rsid w:val="00CE2FA5"/>
    <w:rsid w:val="00CE3F75"/>
    <w:rsid w:val="00CE5471"/>
    <w:rsid w:val="00CE6098"/>
    <w:rsid w:val="00D11D79"/>
    <w:rsid w:val="00D13419"/>
    <w:rsid w:val="00D1693B"/>
    <w:rsid w:val="00D277AB"/>
    <w:rsid w:val="00D3668B"/>
    <w:rsid w:val="00D40405"/>
    <w:rsid w:val="00D43F5F"/>
    <w:rsid w:val="00D44A01"/>
    <w:rsid w:val="00D530BC"/>
    <w:rsid w:val="00D642A4"/>
    <w:rsid w:val="00D70A0E"/>
    <w:rsid w:val="00D72017"/>
    <w:rsid w:val="00D76C7E"/>
    <w:rsid w:val="00D92138"/>
    <w:rsid w:val="00D94B40"/>
    <w:rsid w:val="00D975A0"/>
    <w:rsid w:val="00D97C79"/>
    <w:rsid w:val="00D97CBF"/>
    <w:rsid w:val="00DA5946"/>
    <w:rsid w:val="00DA5BA8"/>
    <w:rsid w:val="00DB232C"/>
    <w:rsid w:val="00DD3AC4"/>
    <w:rsid w:val="00DD3D8D"/>
    <w:rsid w:val="00DD555C"/>
    <w:rsid w:val="00DE32BE"/>
    <w:rsid w:val="00DE4F83"/>
    <w:rsid w:val="00DF2054"/>
    <w:rsid w:val="00E00D89"/>
    <w:rsid w:val="00E036A3"/>
    <w:rsid w:val="00E15675"/>
    <w:rsid w:val="00E204D1"/>
    <w:rsid w:val="00E22716"/>
    <w:rsid w:val="00E305D1"/>
    <w:rsid w:val="00E35361"/>
    <w:rsid w:val="00E36565"/>
    <w:rsid w:val="00E40D7E"/>
    <w:rsid w:val="00E420E6"/>
    <w:rsid w:val="00E456F4"/>
    <w:rsid w:val="00E46EE0"/>
    <w:rsid w:val="00E51FBB"/>
    <w:rsid w:val="00E52E3B"/>
    <w:rsid w:val="00E55024"/>
    <w:rsid w:val="00E574BA"/>
    <w:rsid w:val="00E671CE"/>
    <w:rsid w:val="00E67E3A"/>
    <w:rsid w:val="00E77FF4"/>
    <w:rsid w:val="00E81F06"/>
    <w:rsid w:val="00E839E1"/>
    <w:rsid w:val="00E8775F"/>
    <w:rsid w:val="00E96718"/>
    <w:rsid w:val="00EA3FAB"/>
    <w:rsid w:val="00EA49C4"/>
    <w:rsid w:val="00EA4FF6"/>
    <w:rsid w:val="00EA6B83"/>
    <w:rsid w:val="00EA7B36"/>
    <w:rsid w:val="00EB5F8C"/>
    <w:rsid w:val="00EC180A"/>
    <w:rsid w:val="00EC42B8"/>
    <w:rsid w:val="00ED6081"/>
    <w:rsid w:val="00EF5B81"/>
    <w:rsid w:val="00F009F5"/>
    <w:rsid w:val="00F0330D"/>
    <w:rsid w:val="00F06D97"/>
    <w:rsid w:val="00F07B05"/>
    <w:rsid w:val="00F200E7"/>
    <w:rsid w:val="00F20FAC"/>
    <w:rsid w:val="00F21C53"/>
    <w:rsid w:val="00F23759"/>
    <w:rsid w:val="00F24927"/>
    <w:rsid w:val="00F26DC6"/>
    <w:rsid w:val="00F271B5"/>
    <w:rsid w:val="00F34251"/>
    <w:rsid w:val="00F4230B"/>
    <w:rsid w:val="00F46A24"/>
    <w:rsid w:val="00F477EF"/>
    <w:rsid w:val="00F54701"/>
    <w:rsid w:val="00F56B64"/>
    <w:rsid w:val="00F60005"/>
    <w:rsid w:val="00F60673"/>
    <w:rsid w:val="00F623D8"/>
    <w:rsid w:val="00F62458"/>
    <w:rsid w:val="00F636CD"/>
    <w:rsid w:val="00F638BB"/>
    <w:rsid w:val="00F849BC"/>
    <w:rsid w:val="00F91BDB"/>
    <w:rsid w:val="00F93E56"/>
    <w:rsid w:val="00FB2F0E"/>
    <w:rsid w:val="00FC20E6"/>
    <w:rsid w:val="00FC4A34"/>
    <w:rsid w:val="00FC59D3"/>
    <w:rsid w:val="00FD3375"/>
    <w:rsid w:val="00FD364E"/>
    <w:rsid w:val="00FE6D46"/>
    <w:rsid w:val="00FF01A2"/>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D76FF8"/>
  <w15:chartTrackingRefBased/>
  <w15:docId w15:val="{2DAE2C74-C1BC-495C-BDF9-CCCCA89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customStyle="1" w:styleId="UnresolvedMention1">
    <w:name w:val="Unresolved Mention1"/>
    <w:uiPriority w:val="99"/>
    <w:semiHidden/>
    <w:unhideWhenUsed/>
    <w:rsid w:val="00FB2F0E"/>
    <w:rPr>
      <w:color w:val="605E5C"/>
      <w:shd w:val="clear" w:color="auto" w:fill="E1DFDD"/>
    </w:rPr>
  </w:style>
  <w:style w:type="character" w:styleId="FollowedHyperlink">
    <w:name w:val="FollowedHyperlink"/>
    <w:rsid w:val="00B20E1A"/>
    <w:rPr>
      <w:color w:val="954F72"/>
      <w:u w:val="single"/>
    </w:rPr>
  </w:style>
  <w:style w:type="paragraph" w:styleId="BalloonText">
    <w:name w:val="Balloon Text"/>
    <w:basedOn w:val="Normal"/>
    <w:link w:val="BalloonTextChar"/>
    <w:rsid w:val="00D43F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43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1837">
      <w:bodyDiv w:val="1"/>
      <w:marLeft w:val="0"/>
      <w:marRight w:val="0"/>
      <w:marTop w:val="0"/>
      <w:marBottom w:val="0"/>
      <w:divBdr>
        <w:top w:val="none" w:sz="0" w:space="0" w:color="auto"/>
        <w:left w:val="none" w:sz="0" w:space="0" w:color="auto"/>
        <w:bottom w:val="none" w:sz="0" w:space="0" w:color="auto"/>
        <w:right w:val="none" w:sz="0" w:space="0" w:color="auto"/>
      </w:divBdr>
    </w:div>
    <w:div w:id="961106774">
      <w:bodyDiv w:val="1"/>
      <w:marLeft w:val="0"/>
      <w:marRight w:val="0"/>
      <w:marTop w:val="0"/>
      <w:marBottom w:val="0"/>
      <w:divBdr>
        <w:top w:val="none" w:sz="0" w:space="0" w:color="auto"/>
        <w:left w:val="none" w:sz="0" w:space="0" w:color="auto"/>
        <w:bottom w:val="none" w:sz="0" w:space="0" w:color="auto"/>
        <w:right w:val="none" w:sz="0" w:space="0" w:color="auto"/>
      </w:divBdr>
    </w:div>
    <w:div w:id="10773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mental_health/evidence/excess_mortality_meeting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unsd/methodology/m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kologforbundet.se/forbundettycker/Primarvard/Depression%20-%20en%20rapport%20om%20m%C3%A4nskliga%20och%20ekonomiska%20vinst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0442-9AF0-4562-B4DD-8D6CA32C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33</Pages>
  <Words>6301</Words>
  <Characters>37625</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43839</CharactersWithSpaces>
  <SharedDoc>false</SharedDoc>
  <HLinks>
    <vt:vector size="132" baseType="variant">
      <vt:variant>
        <vt:i4>4653056</vt:i4>
      </vt:variant>
      <vt:variant>
        <vt:i4>141</vt:i4>
      </vt:variant>
      <vt:variant>
        <vt:i4>0</vt:i4>
      </vt:variant>
      <vt:variant>
        <vt:i4>5</vt:i4>
      </vt:variant>
      <vt:variant>
        <vt:lpwstr>https://www.who.int/mental_health/evidence/excess_mortality_meeting_report.pdf</vt:lpwstr>
      </vt:variant>
      <vt:variant>
        <vt:lpwstr/>
      </vt:variant>
      <vt:variant>
        <vt:i4>4718595</vt:i4>
      </vt:variant>
      <vt:variant>
        <vt:i4>138</vt:i4>
      </vt:variant>
      <vt:variant>
        <vt:i4>0</vt:i4>
      </vt:variant>
      <vt:variant>
        <vt:i4>5</vt:i4>
      </vt:variant>
      <vt:variant>
        <vt:lpwstr>https://unstats.un.org/unsd/methodology/m49/</vt:lpwstr>
      </vt:variant>
      <vt:variant>
        <vt:lpwstr/>
      </vt:variant>
      <vt:variant>
        <vt:i4>6684793</vt:i4>
      </vt:variant>
      <vt:variant>
        <vt:i4>135</vt:i4>
      </vt:variant>
      <vt:variant>
        <vt:i4>0</vt:i4>
      </vt:variant>
      <vt:variant>
        <vt:i4>5</vt:i4>
      </vt:variant>
      <vt:variant>
        <vt:lpwstr>http://www.psykologforbundet.se/forbundettycker/Primarvard/Depression - en rapport om m%C3%A4nskliga och ekonomiska vinster.pdf</vt:lpwstr>
      </vt:variant>
      <vt:variant>
        <vt:lpwstr/>
      </vt:variant>
      <vt:variant>
        <vt:i4>1638448</vt:i4>
      </vt:variant>
      <vt:variant>
        <vt:i4>116</vt:i4>
      </vt:variant>
      <vt:variant>
        <vt:i4>0</vt:i4>
      </vt:variant>
      <vt:variant>
        <vt:i4>5</vt:i4>
      </vt:variant>
      <vt:variant>
        <vt:lpwstr/>
      </vt:variant>
      <vt:variant>
        <vt:lpwstr>_Toc13560249</vt:lpwstr>
      </vt:variant>
      <vt:variant>
        <vt:i4>1572912</vt:i4>
      </vt:variant>
      <vt:variant>
        <vt:i4>110</vt:i4>
      </vt:variant>
      <vt:variant>
        <vt:i4>0</vt:i4>
      </vt:variant>
      <vt:variant>
        <vt:i4>5</vt:i4>
      </vt:variant>
      <vt:variant>
        <vt:lpwstr/>
      </vt:variant>
      <vt:variant>
        <vt:lpwstr>_Toc13560248</vt:lpwstr>
      </vt:variant>
      <vt:variant>
        <vt:i4>1245232</vt:i4>
      </vt:variant>
      <vt:variant>
        <vt:i4>101</vt:i4>
      </vt:variant>
      <vt:variant>
        <vt:i4>0</vt:i4>
      </vt:variant>
      <vt:variant>
        <vt:i4>5</vt:i4>
      </vt:variant>
      <vt:variant>
        <vt:lpwstr/>
      </vt:variant>
      <vt:variant>
        <vt:lpwstr>_Toc13560243</vt:lpwstr>
      </vt:variant>
      <vt:variant>
        <vt:i4>1179696</vt:i4>
      </vt:variant>
      <vt:variant>
        <vt:i4>95</vt:i4>
      </vt:variant>
      <vt:variant>
        <vt:i4>0</vt:i4>
      </vt:variant>
      <vt:variant>
        <vt:i4>5</vt:i4>
      </vt:variant>
      <vt:variant>
        <vt:lpwstr/>
      </vt:variant>
      <vt:variant>
        <vt:lpwstr>_Toc13560242</vt:lpwstr>
      </vt:variant>
      <vt:variant>
        <vt:i4>2031672</vt:i4>
      </vt:variant>
      <vt:variant>
        <vt:i4>86</vt:i4>
      </vt:variant>
      <vt:variant>
        <vt:i4>0</vt:i4>
      </vt:variant>
      <vt:variant>
        <vt:i4>5</vt:i4>
      </vt:variant>
      <vt:variant>
        <vt:lpwstr/>
      </vt:variant>
      <vt:variant>
        <vt:lpwstr>_Toc13559658</vt:lpwstr>
      </vt:variant>
      <vt:variant>
        <vt:i4>1048632</vt:i4>
      </vt:variant>
      <vt:variant>
        <vt:i4>80</vt:i4>
      </vt:variant>
      <vt:variant>
        <vt:i4>0</vt:i4>
      </vt:variant>
      <vt:variant>
        <vt:i4>5</vt:i4>
      </vt:variant>
      <vt:variant>
        <vt:lpwstr/>
      </vt:variant>
      <vt:variant>
        <vt:lpwstr>_Toc13559657</vt:lpwstr>
      </vt:variant>
      <vt:variant>
        <vt:i4>1114168</vt:i4>
      </vt:variant>
      <vt:variant>
        <vt:i4>74</vt:i4>
      </vt:variant>
      <vt:variant>
        <vt:i4>0</vt:i4>
      </vt:variant>
      <vt:variant>
        <vt:i4>5</vt:i4>
      </vt:variant>
      <vt:variant>
        <vt:lpwstr/>
      </vt:variant>
      <vt:variant>
        <vt:lpwstr>_Toc13559656</vt:lpwstr>
      </vt:variant>
      <vt:variant>
        <vt:i4>1179704</vt:i4>
      </vt:variant>
      <vt:variant>
        <vt:i4>68</vt:i4>
      </vt:variant>
      <vt:variant>
        <vt:i4>0</vt:i4>
      </vt:variant>
      <vt:variant>
        <vt:i4>5</vt:i4>
      </vt:variant>
      <vt:variant>
        <vt:lpwstr/>
      </vt:variant>
      <vt:variant>
        <vt:lpwstr>_Toc13559655</vt:lpwstr>
      </vt:variant>
      <vt:variant>
        <vt:i4>1245240</vt:i4>
      </vt:variant>
      <vt:variant>
        <vt:i4>62</vt:i4>
      </vt:variant>
      <vt:variant>
        <vt:i4>0</vt:i4>
      </vt:variant>
      <vt:variant>
        <vt:i4>5</vt:i4>
      </vt:variant>
      <vt:variant>
        <vt:lpwstr/>
      </vt:variant>
      <vt:variant>
        <vt:lpwstr>_Toc13559654</vt:lpwstr>
      </vt:variant>
      <vt:variant>
        <vt:i4>1310776</vt:i4>
      </vt:variant>
      <vt:variant>
        <vt:i4>56</vt:i4>
      </vt:variant>
      <vt:variant>
        <vt:i4>0</vt:i4>
      </vt:variant>
      <vt:variant>
        <vt:i4>5</vt:i4>
      </vt:variant>
      <vt:variant>
        <vt:lpwstr/>
      </vt:variant>
      <vt:variant>
        <vt:lpwstr>_Toc13559653</vt:lpwstr>
      </vt:variant>
      <vt:variant>
        <vt:i4>1376312</vt:i4>
      </vt:variant>
      <vt:variant>
        <vt:i4>50</vt:i4>
      </vt:variant>
      <vt:variant>
        <vt:i4>0</vt:i4>
      </vt:variant>
      <vt:variant>
        <vt:i4>5</vt:i4>
      </vt:variant>
      <vt:variant>
        <vt:lpwstr/>
      </vt:variant>
      <vt:variant>
        <vt:lpwstr>_Toc13559652</vt:lpwstr>
      </vt:variant>
      <vt:variant>
        <vt:i4>1441848</vt:i4>
      </vt:variant>
      <vt:variant>
        <vt:i4>44</vt:i4>
      </vt:variant>
      <vt:variant>
        <vt:i4>0</vt:i4>
      </vt:variant>
      <vt:variant>
        <vt:i4>5</vt:i4>
      </vt:variant>
      <vt:variant>
        <vt:lpwstr/>
      </vt:variant>
      <vt:variant>
        <vt:lpwstr>_Toc13559651</vt:lpwstr>
      </vt:variant>
      <vt:variant>
        <vt:i4>1507384</vt:i4>
      </vt:variant>
      <vt:variant>
        <vt:i4>38</vt:i4>
      </vt:variant>
      <vt:variant>
        <vt:i4>0</vt:i4>
      </vt:variant>
      <vt:variant>
        <vt:i4>5</vt:i4>
      </vt:variant>
      <vt:variant>
        <vt:lpwstr/>
      </vt:variant>
      <vt:variant>
        <vt:lpwstr>_Toc13559650</vt:lpwstr>
      </vt:variant>
      <vt:variant>
        <vt:i4>1966137</vt:i4>
      </vt:variant>
      <vt:variant>
        <vt:i4>32</vt:i4>
      </vt:variant>
      <vt:variant>
        <vt:i4>0</vt:i4>
      </vt:variant>
      <vt:variant>
        <vt:i4>5</vt:i4>
      </vt:variant>
      <vt:variant>
        <vt:lpwstr/>
      </vt:variant>
      <vt:variant>
        <vt:lpwstr>_Toc13559649</vt:lpwstr>
      </vt:variant>
      <vt:variant>
        <vt:i4>2031673</vt:i4>
      </vt:variant>
      <vt:variant>
        <vt:i4>26</vt:i4>
      </vt:variant>
      <vt:variant>
        <vt:i4>0</vt:i4>
      </vt:variant>
      <vt:variant>
        <vt:i4>5</vt:i4>
      </vt:variant>
      <vt:variant>
        <vt:lpwstr/>
      </vt:variant>
      <vt:variant>
        <vt:lpwstr>_Toc13559648</vt:lpwstr>
      </vt:variant>
      <vt:variant>
        <vt:i4>1048633</vt:i4>
      </vt:variant>
      <vt:variant>
        <vt:i4>20</vt:i4>
      </vt:variant>
      <vt:variant>
        <vt:i4>0</vt:i4>
      </vt:variant>
      <vt:variant>
        <vt:i4>5</vt:i4>
      </vt:variant>
      <vt:variant>
        <vt:lpwstr/>
      </vt:variant>
      <vt:variant>
        <vt:lpwstr>_Toc13559647</vt:lpwstr>
      </vt:variant>
      <vt:variant>
        <vt:i4>1114169</vt:i4>
      </vt:variant>
      <vt:variant>
        <vt:i4>14</vt:i4>
      </vt:variant>
      <vt:variant>
        <vt:i4>0</vt:i4>
      </vt:variant>
      <vt:variant>
        <vt:i4>5</vt:i4>
      </vt:variant>
      <vt:variant>
        <vt:lpwstr/>
      </vt:variant>
      <vt:variant>
        <vt:lpwstr>_Toc13559646</vt:lpwstr>
      </vt:variant>
      <vt:variant>
        <vt:i4>1179705</vt:i4>
      </vt:variant>
      <vt:variant>
        <vt:i4>8</vt:i4>
      </vt:variant>
      <vt:variant>
        <vt:i4>0</vt:i4>
      </vt:variant>
      <vt:variant>
        <vt:i4>5</vt:i4>
      </vt:variant>
      <vt:variant>
        <vt:lpwstr/>
      </vt:variant>
      <vt:variant>
        <vt:lpwstr>_Toc13559645</vt:lpwstr>
      </vt:variant>
      <vt:variant>
        <vt:i4>1245241</vt:i4>
      </vt:variant>
      <vt:variant>
        <vt:i4>2</vt:i4>
      </vt:variant>
      <vt:variant>
        <vt:i4>0</vt:i4>
      </vt:variant>
      <vt:variant>
        <vt:i4>5</vt:i4>
      </vt:variant>
      <vt:variant>
        <vt:lpwstr/>
      </vt:variant>
      <vt:variant>
        <vt:lpwstr>_Toc13559644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2</cp:revision>
  <cp:lastPrinted>2005-09-30T13:41:00Z</cp:lastPrinted>
  <dcterms:created xsi:type="dcterms:W3CDTF">2019-08-28T14:54:00Z</dcterms:created>
  <dcterms:modified xsi:type="dcterms:W3CDTF">2019-08-28T14:54:00Z</dcterms:modified>
</cp:coreProperties>
</file>