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5E91D1" w14:textId="77777777" w:rsidR="00D07708" w:rsidRDefault="00D07708" w:rsidP="00D07708">
      <w:pPr>
        <w:pStyle w:val="PreliminaryBookmarks"/>
      </w:pPr>
      <w:r>
        <w:t>Title Page</w:t>
      </w:r>
    </w:p>
    <w:p w14:paraId="21B6D675" w14:textId="0DA7AA9E" w:rsidR="000635D4" w:rsidRPr="003A4609" w:rsidRDefault="001C648B" w:rsidP="00486073">
      <w:pPr>
        <w:spacing w:line="240" w:lineRule="auto"/>
        <w:ind w:firstLine="0"/>
        <w:jc w:val="center"/>
      </w:pPr>
      <w:r w:rsidRPr="003A4609">
        <w:rPr>
          <w:b/>
        </w:rPr>
        <w:t xml:space="preserve">Association Analysis of the </w:t>
      </w:r>
      <w:r w:rsidRPr="003A4609">
        <w:rPr>
          <w:b/>
          <w:i/>
          <w:iCs/>
        </w:rPr>
        <w:t>LTA/TNF/LTB</w:t>
      </w:r>
      <w:r w:rsidRPr="003A4609">
        <w:rPr>
          <w:b/>
        </w:rPr>
        <w:t xml:space="preserve"> </w:t>
      </w:r>
      <w:r w:rsidR="00D211A9" w:rsidRPr="003A4609">
        <w:rPr>
          <w:b/>
        </w:rPr>
        <w:t>R</w:t>
      </w:r>
      <w:r w:rsidRPr="003A4609">
        <w:rPr>
          <w:b/>
        </w:rPr>
        <w:t xml:space="preserve">egion on </w:t>
      </w:r>
      <w:r w:rsidR="00D211A9" w:rsidRPr="003A4609">
        <w:rPr>
          <w:b/>
        </w:rPr>
        <w:t>C</w:t>
      </w:r>
      <w:r w:rsidRPr="003A4609">
        <w:rPr>
          <w:b/>
        </w:rPr>
        <w:t>hromosome 6p21 with Systemic Lupus Erythematous (SLE)</w:t>
      </w:r>
    </w:p>
    <w:p w14:paraId="7E4E043E" w14:textId="77777777" w:rsidR="00932701" w:rsidRPr="009C29A8" w:rsidRDefault="00932701" w:rsidP="00486073">
      <w:pPr>
        <w:spacing w:line="240" w:lineRule="auto"/>
        <w:ind w:firstLine="0"/>
        <w:jc w:val="center"/>
        <w:rPr>
          <w:sz w:val="28"/>
          <w:szCs w:val="28"/>
        </w:rPr>
      </w:pPr>
    </w:p>
    <w:p w14:paraId="1205B224" w14:textId="77777777" w:rsidR="007A43BC" w:rsidRDefault="007A43BC" w:rsidP="00486073">
      <w:pPr>
        <w:spacing w:line="240" w:lineRule="auto"/>
        <w:ind w:firstLine="0"/>
        <w:jc w:val="center"/>
      </w:pPr>
    </w:p>
    <w:p w14:paraId="7F8FCD0A" w14:textId="77777777" w:rsidR="007A43BC" w:rsidRDefault="007A43BC" w:rsidP="00486073">
      <w:pPr>
        <w:spacing w:line="240" w:lineRule="auto"/>
        <w:ind w:firstLine="0"/>
        <w:jc w:val="center"/>
      </w:pPr>
    </w:p>
    <w:p w14:paraId="4ABA0127" w14:textId="77777777" w:rsidR="00486073" w:rsidRDefault="00486073" w:rsidP="00486073">
      <w:pPr>
        <w:spacing w:line="240" w:lineRule="auto"/>
        <w:ind w:firstLine="0"/>
        <w:jc w:val="center"/>
      </w:pPr>
    </w:p>
    <w:p w14:paraId="5CCB0D35" w14:textId="77777777" w:rsidR="00486073" w:rsidRDefault="00486073" w:rsidP="00486073">
      <w:pPr>
        <w:spacing w:line="240" w:lineRule="auto"/>
        <w:ind w:firstLine="0"/>
        <w:jc w:val="center"/>
      </w:pPr>
    </w:p>
    <w:p w14:paraId="74C69480" w14:textId="77777777" w:rsidR="00486073" w:rsidRDefault="00486073" w:rsidP="00486073">
      <w:pPr>
        <w:spacing w:line="240" w:lineRule="auto"/>
        <w:ind w:firstLine="0"/>
        <w:jc w:val="center"/>
      </w:pPr>
    </w:p>
    <w:p w14:paraId="013BE213" w14:textId="77777777" w:rsidR="00486073" w:rsidRDefault="00486073" w:rsidP="00486073">
      <w:pPr>
        <w:spacing w:line="240" w:lineRule="auto"/>
        <w:ind w:firstLine="0"/>
        <w:jc w:val="center"/>
      </w:pPr>
    </w:p>
    <w:p w14:paraId="715C91D8" w14:textId="77777777" w:rsidR="003C791E" w:rsidRDefault="00486073" w:rsidP="00486073">
      <w:pPr>
        <w:spacing w:line="240" w:lineRule="auto"/>
        <w:ind w:firstLine="0"/>
        <w:jc w:val="center"/>
      </w:pPr>
      <w:r>
        <w:t>b</w:t>
      </w:r>
      <w:r w:rsidR="003C791E">
        <w:t>y</w:t>
      </w:r>
    </w:p>
    <w:p w14:paraId="07540C5A" w14:textId="77777777" w:rsidR="00486073" w:rsidRDefault="00486073" w:rsidP="00486073">
      <w:pPr>
        <w:spacing w:line="240" w:lineRule="auto"/>
        <w:ind w:firstLine="0"/>
        <w:jc w:val="center"/>
      </w:pPr>
    </w:p>
    <w:p w14:paraId="7090D82A" w14:textId="720C31BA" w:rsidR="00145C22" w:rsidRDefault="00AC1C82" w:rsidP="00057464">
      <w:pPr>
        <w:spacing w:line="240" w:lineRule="auto"/>
        <w:ind w:firstLine="0"/>
        <w:jc w:val="center"/>
        <w:rPr>
          <w:b/>
        </w:rPr>
      </w:pPr>
      <w:r>
        <w:rPr>
          <w:b/>
        </w:rPr>
        <w:t>Jodi Ellen K</w:t>
      </w:r>
      <w:r w:rsidR="001D7619">
        <w:rPr>
          <w:b/>
        </w:rPr>
        <w:t>u</w:t>
      </w:r>
      <w:r>
        <w:rPr>
          <w:b/>
        </w:rPr>
        <w:t>tzner</w:t>
      </w:r>
    </w:p>
    <w:p w14:paraId="16F81806" w14:textId="77777777" w:rsidR="00486073" w:rsidRDefault="00486073" w:rsidP="00486073">
      <w:pPr>
        <w:spacing w:line="240" w:lineRule="auto"/>
        <w:ind w:firstLine="0"/>
        <w:jc w:val="center"/>
        <w:rPr>
          <w:b/>
        </w:rPr>
      </w:pPr>
    </w:p>
    <w:p w14:paraId="46BE5AF2" w14:textId="21B15316" w:rsidR="000635D4" w:rsidRDefault="00396232" w:rsidP="00486073">
      <w:pPr>
        <w:spacing w:line="240" w:lineRule="auto"/>
        <w:ind w:firstLine="0"/>
        <w:jc w:val="center"/>
      </w:pPr>
      <w:r>
        <w:t>B.S., Saint Francis University, 2018</w:t>
      </w:r>
    </w:p>
    <w:p w14:paraId="0FB3DBAC" w14:textId="77777777" w:rsidR="00486073" w:rsidRDefault="00486073" w:rsidP="00486073">
      <w:pPr>
        <w:spacing w:line="240" w:lineRule="auto"/>
        <w:ind w:firstLine="0"/>
        <w:jc w:val="center"/>
      </w:pPr>
    </w:p>
    <w:p w14:paraId="2E1EED07" w14:textId="77777777" w:rsidR="000635D4" w:rsidRDefault="000635D4" w:rsidP="00486073">
      <w:pPr>
        <w:spacing w:line="240" w:lineRule="auto"/>
        <w:ind w:firstLine="0"/>
        <w:jc w:val="center"/>
        <w:rPr>
          <w:b/>
        </w:rPr>
      </w:pPr>
    </w:p>
    <w:p w14:paraId="7377E29C" w14:textId="77777777" w:rsidR="000635D4" w:rsidRDefault="000635D4" w:rsidP="00486073">
      <w:pPr>
        <w:spacing w:line="240" w:lineRule="auto"/>
        <w:ind w:firstLine="0"/>
        <w:jc w:val="center"/>
        <w:rPr>
          <w:b/>
        </w:rPr>
      </w:pPr>
    </w:p>
    <w:p w14:paraId="593D6CF0" w14:textId="77777777" w:rsidR="000635D4" w:rsidRDefault="000635D4" w:rsidP="00486073">
      <w:pPr>
        <w:spacing w:line="240" w:lineRule="auto"/>
        <w:ind w:firstLine="0"/>
        <w:jc w:val="center"/>
        <w:rPr>
          <w:b/>
        </w:rPr>
      </w:pPr>
    </w:p>
    <w:p w14:paraId="24890D2E" w14:textId="77777777" w:rsidR="00486073" w:rsidRDefault="00486073" w:rsidP="00486073">
      <w:pPr>
        <w:spacing w:line="240" w:lineRule="auto"/>
        <w:ind w:firstLine="0"/>
        <w:jc w:val="center"/>
        <w:rPr>
          <w:b/>
        </w:rPr>
      </w:pPr>
    </w:p>
    <w:p w14:paraId="38CB56F5" w14:textId="77777777" w:rsidR="00486073" w:rsidRDefault="00486073" w:rsidP="00486073">
      <w:pPr>
        <w:spacing w:line="240" w:lineRule="auto"/>
        <w:ind w:firstLine="0"/>
        <w:jc w:val="center"/>
        <w:rPr>
          <w:b/>
        </w:rPr>
      </w:pPr>
    </w:p>
    <w:p w14:paraId="6BD3C626" w14:textId="77777777" w:rsidR="00486073" w:rsidRDefault="00486073" w:rsidP="00486073">
      <w:pPr>
        <w:spacing w:line="240" w:lineRule="auto"/>
        <w:ind w:firstLine="0"/>
        <w:jc w:val="center"/>
        <w:rPr>
          <w:b/>
        </w:rPr>
      </w:pPr>
    </w:p>
    <w:p w14:paraId="36659525" w14:textId="77777777" w:rsidR="00486073" w:rsidRDefault="00486073" w:rsidP="00486073">
      <w:pPr>
        <w:spacing w:line="240" w:lineRule="auto"/>
        <w:ind w:firstLine="0"/>
        <w:jc w:val="center"/>
        <w:rPr>
          <w:b/>
        </w:rPr>
      </w:pPr>
    </w:p>
    <w:p w14:paraId="7217714C" w14:textId="77777777" w:rsidR="00486073" w:rsidRDefault="00486073" w:rsidP="00486073">
      <w:pPr>
        <w:spacing w:line="240" w:lineRule="auto"/>
        <w:ind w:firstLine="0"/>
        <w:jc w:val="center"/>
        <w:rPr>
          <w:b/>
        </w:rPr>
      </w:pPr>
    </w:p>
    <w:p w14:paraId="08626E0B" w14:textId="77777777" w:rsidR="00486073" w:rsidRDefault="00486073" w:rsidP="00486073">
      <w:pPr>
        <w:spacing w:line="240" w:lineRule="auto"/>
        <w:ind w:firstLine="0"/>
        <w:jc w:val="center"/>
        <w:rPr>
          <w:b/>
        </w:rPr>
      </w:pPr>
    </w:p>
    <w:p w14:paraId="4324522B" w14:textId="068FB49A" w:rsidR="000635D4" w:rsidRDefault="000635D4" w:rsidP="00486073">
      <w:pPr>
        <w:spacing w:line="240" w:lineRule="auto"/>
        <w:ind w:firstLine="0"/>
        <w:jc w:val="center"/>
      </w:pPr>
      <w:r>
        <w:t>Submitted to the Graduate Faculty of</w:t>
      </w:r>
      <w:r w:rsidR="00BD6DBD">
        <w:t xml:space="preserve"> the</w:t>
      </w:r>
    </w:p>
    <w:p w14:paraId="52102893" w14:textId="50F164D2" w:rsidR="003A4609" w:rsidRDefault="003A4609" w:rsidP="00486073">
      <w:pPr>
        <w:spacing w:line="240" w:lineRule="auto"/>
        <w:ind w:firstLine="0"/>
        <w:jc w:val="center"/>
      </w:pPr>
    </w:p>
    <w:p w14:paraId="57B5A8D3" w14:textId="7886D0F4" w:rsidR="003A4609" w:rsidRDefault="003A4609" w:rsidP="00486073">
      <w:pPr>
        <w:spacing w:line="240" w:lineRule="auto"/>
        <w:ind w:firstLine="0"/>
        <w:jc w:val="center"/>
      </w:pPr>
      <w:r>
        <w:t>Department of Human Genetics</w:t>
      </w:r>
    </w:p>
    <w:p w14:paraId="637121F9" w14:textId="77777777" w:rsidR="00486073" w:rsidRDefault="00486073" w:rsidP="00486073">
      <w:pPr>
        <w:spacing w:line="240" w:lineRule="auto"/>
        <w:ind w:firstLine="0"/>
        <w:jc w:val="center"/>
      </w:pPr>
    </w:p>
    <w:p w14:paraId="06312BF2" w14:textId="4638A7F1" w:rsidR="00486073" w:rsidRPr="006C1BDE" w:rsidRDefault="006D7796" w:rsidP="006C1BDE">
      <w:pPr>
        <w:spacing w:line="240" w:lineRule="auto"/>
        <w:ind w:firstLine="0"/>
        <w:jc w:val="center"/>
        <w:rPr>
          <w:caps/>
        </w:rPr>
      </w:pPr>
      <w:sdt>
        <w:sdtPr>
          <w:alias w:val="Name of School"/>
          <w:tag w:val="Name of School"/>
          <w:id w:val="-416254076"/>
          <w:placeholder>
            <w:docPart w:val="43DDE6749573425CBF5F28385007007F"/>
          </w:placeholder>
          <w:dropDownList>
            <w:listItem w:displayText="College of Business Administration" w:value="College of Business Administration"/>
            <w:listItem w:displayText="Dietrich School of Arts and Sciences" w:value="Dietrich School of Arts and Sciences"/>
            <w:listItem w:displayText="Graduate School of Public Health" w:value="Graduate School of Public Health"/>
            <w:listItem w:displayText="Graduate School of Public and International Affairs" w:value="Graduate School of Public and International Affairs"/>
            <w:listItem w:displayText="Joseph M. Katz Graduate School of Business" w:value="Joseph M. Katz Graduate School of Business"/>
            <w:listItem w:displayText="School of Computing and Information" w:value="School of Computing and Information"/>
            <w:listItem w:displayText="School of Dental Medicine" w:value="School of Dental Medicine"/>
            <w:listItem w:displayText="School of Education" w:value="School of Education"/>
            <w:listItem w:displayText="School of Health and Rehabilitation Sciences" w:value="School of Health and Rehabilitation Sciences"/>
            <w:listItem w:displayText="School of Law" w:value="School of Law"/>
            <w:listItem w:displayText="School of Medicine" w:value="School of Medicine"/>
            <w:listItem w:displayText="School of Nursing" w:value="School of Nursing"/>
            <w:listItem w:displayText="School of Pharmacy" w:value="School of Pharmacy"/>
            <w:listItem w:displayText="School of Social Work" w:value="School of Social Work"/>
            <w:listItem w:displayText="Swanson School of Engineering" w:value="Swanson School of Engineering"/>
            <w:listItem w:displayText="University Honors College" w:value="University Honors College"/>
          </w:dropDownList>
        </w:sdtPr>
        <w:sdtEndPr/>
        <w:sdtContent>
          <w:r w:rsidR="003A4609">
            <w:t>Graduate School of Public Health</w:t>
          </w:r>
        </w:sdtContent>
      </w:sdt>
      <w:r w:rsidR="006C1BDE">
        <w:t xml:space="preserve"> i</w:t>
      </w:r>
      <w:r w:rsidR="000635D4">
        <w:t>n partial fulfillment</w:t>
      </w:r>
    </w:p>
    <w:p w14:paraId="276F9844" w14:textId="77777777" w:rsidR="000635D4" w:rsidRDefault="000635D4" w:rsidP="00486073">
      <w:pPr>
        <w:spacing w:line="240" w:lineRule="auto"/>
        <w:ind w:firstLine="0"/>
        <w:jc w:val="center"/>
      </w:pPr>
      <w:r>
        <w:t xml:space="preserve"> </w:t>
      </w:r>
    </w:p>
    <w:p w14:paraId="7F3128C3" w14:textId="77777777" w:rsidR="000635D4" w:rsidRDefault="000635D4" w:rsidP="00486073">
      <w:pPr>
        <w:spacing w:line="240" w:lineRule="auto"/>
        <w:ind w:firstLine="0"/>
        <w:jc w:val="center"/>
      </w:pPr>
      <w:r>
        <w:t>of the requirements for the degree of</w:t>
      </w:r>
    </w:p>
    <w:p w14:paraId="1BF5CCA9" w14:textId="77777777" w:rsidR="00486073" w:rsidRDefault="00486073" w:rsidP="00486073">
      <w:pPr>
        <w:spacing w:line="240" w:lineRule="auto"/>
        <w:ind w:firstLine="0"/>
        <w:jc w:val="center"/>
      </w:pPr>
    </w:p>
    <w:sdt>
      <w:sdtPr>
        <w:alias w:val="Degree"/>
        <w:tag w:val="Degree"/>
        <w:id w:val="1063456363"/>
        <w:placeholder>
          <w:docPart w:val="8A406ED28CFA4A9EB0EC377896759C92"/>
        </w:placeholder>
        <w:dropDownList>
          <w:listItem w:displayText="Doctor of Dental Medicine" w:value="Doctor of Dental Medicine"/>
          <w:listItem w:displayText="Doctor of Education" w:value="Doctor of Education"/>
          <w:listItem w:displayText="Doctor of Juridical Science" w:value="Doctor of Juridical Science"/>
          <w:listItem w:displayText="Doctor of Medicine" w:value="Doctor of Medicine"/>
          <w:listItem w:displayText="Doctor of Pharmacy" w:value="Doctor of Pharmacy"/>
          <w:listItem w:displayText="Doctor of Philosophy" w:value="Doctor of Philosophy"/>
          <w:listItem w:displayText="Doctor of Psychology" w:value="Doctor of Psychology"/>
          <w:listItem w:displayText="Doctor of Public Health" w:value="Doctor of Public Health"/>
          <w:listItem w:displayText="Master of Arts" w:value="Master of Arts"/>
          <w:listItem w:displayText="Master of Arts in Teaching" w:value="Master of Arts in Teaching"/>
          <w:listItem w:displayText="Master of Business Administration" w:value="Master of Business Administration"/>
          <w:listItem w:displayText="Master of Dental Science" w:value="Master of Dental Science"/>
          <w:listItem w:displayText="Master of Education" w:value="Master of Education"/>
          <w:listItem w:displayText="Master of Fine Arts" w:value="Master of Fine Arts"/>
          <w:listItem w:displayText="Master of Health Administration" w:value="Master of Health Administration"/>
          <w:listItem w:displayText="Master of Health Promotion and Education" w:value="Master of Health Promotion and Education"/>
          <w:listItem w:displayText="Master of International Business" w:value="Master of International Business"/>
          <w:listItem w:displayText="Master of International Development" w:value="Master of International Development"/>
          <w:listItem w:displayText="Master of Library and Information Science" w:value="Master of Library and Information Science"/>
          <w:listItem w:displayText="Master of Occupational Therapy" w:value="Master of Occupational Therapy"/>
          <w:listItem w:displayText="Master of Physical Therapy" w:value="Master of Physical Therapy"/>
          <w:listItem w:displayText="Master of Public Administration" w:value="Master of Public Administration"/>
          <w:listItem w:displayText="Master of Public Health" w:value="Master of Public Health"/>
          <w:listItem w:displayText="Master of Public and International Affairs" w:value="Master of Public and International Affairs"/>
          <w:listItem w:displayText="Master of Public Policy and Management" w:value="Master of Public Policy and Management"/>
          <w:listItem w:displayText="Master of Science" w:value="Master of Science"/>
          <w:listItem w:displayText="Master of Science in Bioengineering" w:value="Master of Science in Bioengineering"/>
          <w:listItem w:displayText="Master of Science in Civil Engeineering" w:value="Master of Science in Civil Engeineering"/>
          <w:listItem w:displayText="Master of Science in Chemical Engineering" w:value="Master of Science in Chemical Engineering"/>
          <w:listItem w:displayText="Master of Science in Computer Engineering" w:value="Master of Science in Computer Engineering"/>
          <w:listItem w:displayText="Master of Science in Electrical Engineering" w:value="Master of Science in Electrical Engineering"/>
          <w:listItem w:displayText="Master of Science in Industrial Engeineering" w:value="Master of Science in Industrial Engeineering"/>
          <w:listItem w:displayText="Master of Science in Information Science" w:value="Master of Science in Information Science"/>
          <w:listItem w:displayText="Master of Studies in Law" w:value="Master of Studies in Law"/>
          <w:listItem w:displayText="Master of Science in Mechanical Engineering" w:value="Master of Science in Mechanical Engineering"/>
          <w:listItem w:displayText="Master of Science in Metallurgical Engineering" w:value="Master of Science in Metallurgical Engineering"/>
          <w:listItem w:displayText="Master of Science in Manufacturing Systems Engineering" w:value="Master of Science in Manufacturing Systems Engineering"/>
          <w:listItem w:displayText="Master of Science in Materials Science and Engineering" w:value="Master of Science in Materials Science and Engineering"/>
          <w:listItem w:displayText="Master of Science in Nursing" w:value="Master of Science in Nursing"/>
          <w:listItem w:displayText="Master of Science in Petroleum Engineering" w:value="Master of Science in Petroleum Engineering"/>
          <w:listItem w:displayText="Master of Science in Telecommunications" w:value="Master of Science in Telecommunications"/>
          <w:listItem w:displayText="Master of Social Work" w:value="Master of Social Work"/>
          <w:listItem w:displayText="Bachelor of Philosophy" w:value="Bachelor of Philosophy"/>
          <w:listItem w:displayText="Bachelor of Arts" w:value="Bachelor of Arts"/>
          <w:listItem w:displayText="Bachelor of Science" w:value="Bachelor of Science"/>
          <w:listItem w:displayText="Bachelor of Science in Business Administration" w:value="Bachelor of Science in Business Administration"/>
          <w:listItem w:displayText="Bachelor of Science in Engineering" w:value="Bachelor of Science in Engineering"/>
          <w:listItem w:displayText="Bachelor of Science in Nursing" w:value="Bachelor of Science in Nursing"/>
        </w:dropDownList>
      </w:sdtPr>
      <w:sdtEndPr>
        <w:rPr>
          <w:color w:val="A6A6A6" w:themeColor="background1" w:themeShade="A6"/>
        </w:rPr>
      </w:sdtEndPr>
      <w:sdtContent>
        <w:p w14:paraId="3FB920C6" w14:textId="4FE213AC" w:rsidR="000635D4" w:rsidRPr="00174952" w:rsidRDefault="00F16B51" w:rsidP="00486073">
          <w:pPr>
            <w:spacing w:line="240" w:lineRule="auto"/>
            <w:ind w:firstLine="0"/>
            <w:jc w:val="center"/>
            <w:rPr>
              <w:color w:val="A6A6A6" w:themeColor="background1" w:themeShade="A6"/>
            </w:rPr>
          </w:pPr>
          <w:r>
            <w:t>Master of Public Health</w:t>
          </w:r>
        </w:p>
      </w:sdtContent>
    </w:sdt>
    <w:p w14:paraId="3C2B1A4E" w14:textId="77777777" w:rsidR="000635D4" w:rsidRDefault="000635D4" w:rsidP="00486073">
      <w:pPr>
        <w:tabs>
          <w:tab w:val="left" w:pos="3600"/>
        </w:tabs>
        <w:spacing w:line="240" w:lineRule="auto"/>
        <w:ind w:firstLine="0"/>
        <w:jc w:val="center"/>
      </w:pPr>
    </w:p>
    <w:p w14:paraId="5C9CFC06" w14:textId="77777777" w:rsidR="00486073" w:rsidRDefault="00486073" w:rsidP="00486073">
      <w:pPr>
        <w:tabs>
          <w:tab w:val="left" w:pos="3600"/>
        </w:tabs>
        <w:spacing w:line="240" w:lineRule="auto"/>
        <w:ind w:firstLine="0"/>
        <w:jc w:val="center"/>
      </w:pPr>
    </w:p>
    <w:p w14:paraId="0D7D5C48" w14:textId="77777777" w:rsidR="00486073" w:rsidRDefault="00486073" w:rsidP="00486073">
      <w:pPr>
        <w:tabs>
          <w:tab w:val="left" w:pos="3600"/>
        </w:tabs>
        <w:spacing w:line="240" w:lineRule="auto"/>
        <w:ind w:firstLine="0"/>
        <w:jc w:val="center"/>
      </w:pPr>
    </w:p>
    <w:p w14:paraId="1D49F16D" w14:textId="77777777" w:rsidR="00486073" w:rsidRDefault="00486073" w:rsidP="00486073">
      <w:pPr>
        <w:tabs>
          <w:tab w:val="left" w:pos="3600"/>
        </w:tabs>
        <w:spacing w:line="240" w:lineRule="auto"/>
        <w:ind w:firstLine="0"/>
        <w:jc w:val="center"/>
      </w:pPr>
    </w:p>
    <w:p w14:paraId="38BFB013" w14:textId="77777777" w:rsidR="00486073" w:rsidRDefault="00486073" w:rsidP="00486073">
      <w:pPr>
        <w:tabs>
          <w:tab w:val="left" w:pos="3600"/>
        </w:tabs>
        <w:spacing w:line="240" w:lineRule="auto"/>
        <w:ind w:firstLine="0"/>
        <w:jc w:val="center"/>
      </w:pPr>
    </w:p>
    <w:p w14:paraId="2CD29BB3" w14:textId="77777777" w:rsidR="00486073" w:rsidRDefault="00486073" w:rsidP="00486073">
      <w:pPr>
        <w:tabs>
          <w:tab w:val="left" w:pos="3600"/>
        </w:tabs>
        <w:spacing w:line="240" w:lineRule="auto"/>
        <w:ind w:firstLine="0"/>
        <w:jc w:val="center"/>
      </w:pPr>
    </w:p>
    <w:p w14:paraId="26ABF0DB" w14:textId="77777777" w:rsidR="00486073" w:rsidRDefault="00486073" w:rsidP="00486073">
      <w:pPr>
        <w:tabs>
          <w:tab w:val="left" w:pos="3600"/>
        </w:tabs>
        <w:spacing w:line="240" w:lineRule="auto"/>
        <w:ind w:firstLine="0"/>
        <w:jc w:val="center"/>
      </w:pPr>
    </w:p>
    <w:p w14:paraId="2D43B855" w14:textId="77777777" w:rsidR="00486073" w:rsidRDefault="00486073" w:rsidP="00486073">
      <w:pPr>
        <w:tabs>
          <w:tab w:val="left" w:pos="3600"/>
        </w:tabs>
        <w:spacing w:line="240" w:lineRule="auto"/>
        <w:ind w:firstLine="0"/>
        <w:jc w:val="center"/>
      </w:pPr>
    </w:p>
    <w:p w14:paraId="1A036641" w14:textId="77777777" w:rsidR="00486073" w:rsidRDefault="00486073" w:rsidP="00486073">
      <w:pPr>
        <w:tabs>
          <w:tab w:val="left" w:pos="3600"/>
        </w:tabs>
        <w:spacing w:line="240" w:lineRule="auto"/>
        <w:ind w:firstLine="0"/>
        <w:jc w:val="center"/>
      </w:pPr>
    </w:p>
    <w:p w14:paraId="0F768922" w14:textId="77777777" w:rsidR="00BB500A" w:rsidRDefault="000635D4" w:rsidP="00486073">
      <w:pPr>
        <w:spacing w:line="240" w:lineRule="auto"/>
        <w:ind w:firstLine="0"/>
        <w:jc w:val="center"/>
      </w:pPr>
      <w:r w:rsidRPr="00AB08F3">
        <w:t>University of Pittsburg</w:t>
      </w:r>
      <w:r>
        <w:t>h</w:t>
      </w:r>
    </w:p>
    <w:p w14:paraId="517795B2" w14:textId="68AA8C50" w:rsidR="00486073" w:rsidRDefault="00486073" w:rsidP="00486073">
      <w:pPr>
        <w:spacing w:line="240" w:lineRule="auto"/>
        <w:ind w:firstLine="0"/>
        <w:jc w:val="center"/>
      </w:pPr>
    </w:p>
    <w:p w14:paraId="71D5D2E5" w14:textId="7FB3F2BC" w:rsidR="00182227" w:rsidRDefault="00182227" w:rsidP="00486073">
      <w:pPr>
        <w:spacing w:line="240" w:lineRule="auto"/>
        <w:ind w:firstLine="0"/>
        <w:jc w:val="center"/>
      </w:pPr>
      <w:r>
        <w:t>2020</w:t>
      </w:r>
    </w:p>
    <w:p w14:paraId="591F38D4" w14:textId="77777777" w:rsidR="000635D4" w:rsidRDefault="00D07708" w:rsidP="00302452">
      <w:pPr>
        <w:pStyle w:val="PreliminaryBookmarks"/>
      </w:pPr>
      <w:r w:rsidRPr="00302452">
        <w:lastRenderedPageBreak/>
        <w:t>Committee Page</w:t>
      </w:r>
    </w:p>
    <w:p w14:paraId="1DD40624" w14:textId="77777777" w:rsidR="00302452" w:rsidRPr="00584ADB" w:rsidRDefault="00302452" w:rsidP="00302452">
      <w:pPr>
        <w:ind w:firstLine="0"/>
        <w:jc w:val="center"/>
      </w:pPr>
      <w:r>
        <w:t>UNIVERSITY OF PITTSBURGH</w:t>
      </w:r>
    </w:p>
    <w:p w14:paraId="69FC66D9" w14:textId="77777777" w:rsidR="007A43BC" w:rsidRDefault="007A43BC" w:rsidP="00486073">
      <w:pPr>
        <w:spacing w:line="240" w:lineRule="auto"/>
        <w:ind w:firstLine="0"/>
        <w:jc w:val="center"/>
      </w:pPr>
    </w:p>
    <w:bookmarkStart w:id="0" w:name="_Hlk20985054" w:displacedByCustomXml="next"/>
    <w:sdt>
      <w:sdtPr>
        <w:rPr>
          <w:rStyle w:val="TitleHeading"/>
        </w:rPr>
        <w:alias w:val="Name of School"/>
        <w:tag w:val="Name of School"/>
        <w:id w:val="833486643"/>
        <w:placeholder>
          <w:docPart w:val="A9F5D3623B45422FB313866A6DA1118E"/>
        </w:placeholder>
        <w:dropDownList>
          <w:listItem w:displayText="College of Business Administration" w:value="College of Business Administration"/>
          <w:listItem w:displayText="Dietrich School of Arts and Sciences" w:value="Dietrich School of Arts and Sciences"/>
          <w:listItem w:displayText="Graduate School of Public Health" w:value="Graduate School of Public Health"/>
          <w:listItem w:displayText="Graduate School of Public and International Affairs" w:value="Graduate School of Public and International Affairs"/>
          <w:listItem w:displayText="Joseph M. Katz Graduate School of Business" w:value="Joseph M. Katz Graduate School of Business"/>
          <w:listItem w:displayText="School of Computing and Information" w:value="School of Computing and Information"/>
          <w:listItem w:displayText="School of Dental Medicine" w:value="School of Dental Medicine"/>
          <w:listItem w:displayText="School of Education" w:value="School of Education"/>
          <w:listItem w:displayText="School of Health and Rehabilitation Sciences" w:value="School of Health and Rehabilitation Sciences"/>
          <w:listItem w:displayText="School of Law" w:value="School of Law"/>
          <w:listItem w:displayText="School of Medicine" w:value="School of Medicine"/>
          <w:listItem w:displayText="School of Nursing" w:value="School of Nursing"/>
          <w:listItem w:displayText="School of Pharmacy" w:value="School of Pharmacy"/>
          <w:listItem w:displayText="School of Social Work" w:value="School of Social Work"/>
          <w:listItem w:displayText="Swanson School of Engineering" w:value="Swanson School of Engineering"/>
          <w:listItem w:displayText="University Honors College" w:value="University Honors College"/>
        </w:dropDownList>
      </w:sdtPr>
      <w:sdtEndPr>
        <w:rPr>
          <w:rStyle w:val="DefaultParagraphFont"/>
          <w:caps w:val="0"/>
        </w:rPr>
      </w:sdtEndPr>
      <w:sdtContent>
        <w:p w14:paraId="13026F85" w14:textId="05434F09" w:rsidR="008F60CE" w:rsidRDefault="006D6990" w:rsidP="00486073">
          <w:pPr>
            <w:spacing w:line="240" w:lineRule="auto"/>
            <w:ind w:firstLine="0"/>
            <w:jc w:val="center"/>
          </w:pPr>
          <w:r>
            <w:rPr>
              <w:rStyle w:val="TitleHeading"/>
            </w:rPr>
            <w:t>Graduate School of Public Health</w:t>
          </w:r>
        </w:p>
      </w:sdtContent>
    </w:sdt>
    <w:bookmarkEnd w:id="0" w:displacedByCustomXml="prev"/>
    <w:p w14:paraId="5F7D0F3E" w14:textId="77777777" w:rsidR="008F60CE" w:rsidRDefault="008F60CE" w:rsidP="00486073">
      <w:pPr>
        <w:spacing w:line="240" w:lineRule="auto"/>
        <w:ind w:firstLine="0"/>
        <w:jc w:val="center"/>
      </w:pPr>
    </w:p>
    <w:p w14:paraId="5BBE93C4" w14:textId="77777777" w:rsidR="008F60CE" w:rsidRDefault="008F60CE" w:rsidP="00486073">
      <w:pPr>
        <w:spacing w:line="240" w:lineRule="auto"/>
        <w:ind w:firstLine="0"/>
        <w:jc w:val="center"/>
      </w:pPr>
    </w:p>
    <w:p w14:paraId="3937A2AA" w14:textId="77777777" w:rsidR="00486073" w:rsidRDefault="00486073" w:rsidP="00486073">
      <w:pPr>
        <w:spacing w:line="240" w:lineRule="auto"/>
        <w:ind w:firstLine="0"/>
        <w:jc w:val="center"/>
      </w:pPr>
    </w:p>
    <w:p w14:paraId="26683325" w14:textId="77777777" w:rsidR="0046438E" w:rsidRDefault="0046438E" w:rsidP="00486073">
      <w:pPr>
        <w:spacing w:line="240" w:lineRule="auto"/>
        <w:ind w:firstLine="0"/>
        <w:jc w:val="center"/>
      </w:pPr>
    </w:p>
    <w:p w14:paraId="067ECEB0" w14:textId="77777777" w:rsidR="0046438E" w:rsidRDefault="0046438E" w:rsidP="00486073">
      <w:pPr>
        <w:spacing w:line="240" w:lineRule="auto"/>
        <w:ind w:firstLine="0"/>
        <w:jc w:val="center"/>
      </w:pPr>
    </w:p>
    <w:p w14:paraId="49CBEAE9" w14:textId="77777777" w:rsidR="00486073" w:rsidRDefault="00486073" w:rsidP="00486073">
      <w:pPr>
        <w:spacing w:line="240" w:lineRule="auto"/>
        <w:ind w:firstLine="0"/>
        <w:jc w:val="center"/>
      </w:pPr>
    </w:p>
    <w:p w14:paraId="31D7DEBA" w14:textId="77777777" w:rsidR="00486073" w:rsidRDefault="00486073" w:rsidP="00486073">
      <w:pPr>
        <w:spacing w:line="240" w:lineRule="auto"/>
        <w:ind w:firstLine="0"/>
        <w:jc w:val="center"/>
      </w:pPr>
    </w:p>
    <w:p w14:paraId="4188579E" w14:textId="5E5A0D13" w:rsidR="008F60CE" w:rsidRDefault="008F60CE" w:rsidP="00486073">
      <w:pPr>
        <w:spacing w:line="240" w:lineRule="auto"/>
        <w:ind w:firstLine="0"/>
        <w:jc w:val="center"/>
      </w:pPr>
      <w:r>
        <w:t xml:space="preserve">This </w:t>
      </w:r>
      <w:r w:rsidR="00246DB4">
        <w:t>essa</w:t>
      </w:r>
      <w:r w:rsidR="00602A4B">
        <w:t>y</w:t>
      </w:r>
      <w:r>
        <w:t xml:space="preserve"> </w:t>
      </w:r>
      <w:r w:rsidR="00602A4B">
        <w:t>is submitted</w:t>
      </w:r>
    </w:p>
    <w:p w14:paraId="26961E45" w14:textId="77777777" w:rsidR="00486073" w:rsidRDefault="00486073" w:rsidP="00486073">
      <w:pPr>
        <w:spacing w:line="240" w:lineRule="auto"/>
        <w:ind w:firstLine="0"/>
        <w:jc w:val="center"/>
      </w:pPr>
    </w:p>
    <w:p w14:paraId="6813F6AF" w14:textId="77777777" w:rsidR="008F60CE" w:rsidRDefault="00486073" w:rsidP="00486073">
      <w:pPr>
        <w:spacing w:line="240" w:lineRule="auto"/>
        <w:ind w:firstLine="0"/>
        <w:jc w:val="center"/>
      </w:pPr>
      <w:r>
        <w:t>b</w:t>
      </w:r>
      <w:r w:rsidR="00086364">
        <w:t>y</w:t>
      </w:r>
    </w:p>
    <w:p w14:paraId="60EB8B90" w14:textId="77777777" w:rsidR="00086364" w:rsidRDefault="00086364" w:rsidP="00486073">
      <w:pPr>
        <w:spacing w:line="240" w:lineRule="auto"/>
        <w:ind w:firstLine="0"/>
        <w:jc w:val="center"/>
      </w:pPr>
    </w:p>
    <w:p w14:paraId="4755F40B" w14:textId="77777777" w:rsidR="00486073" w:rsidRDefault="00486073" w:rsidP="00486073">
      <w:pPr>
        <w:spacing w:line="240" w:lineRule="auto"/>
        <w:ind w:firstLine="0"/>
        <w:jc w:val="center"/>
      </w:pPr>
    </w:p>
    <w:p w14:paraId="478036F1" w14:textId="02570B07" w:rsidR="00F24A51" w:rsidRDefault="002A1C8D" w:rsidP="00486073">
      <w:pPr>
        <w:spacing w:line="240" w:lineRule="auto"/>
        <w:ind w:firstLine="0"/>
        <w:jc w:val="center"/>
        <w:rPr>
          <w:b/>
        </w:rPr>
      </w:pPr>
      <w:r>
        <w:rPr>
          <w:b/>
        </w:rPr>
        <w:t xml:space="preserve">Jodi Ellen Kutzner </w:t>
      </w:r>
    </w:p>
    <w:p w14:paraId="1CC89970" w14:textId="77777777" w:rsidR="00F24A51" w:rsidRDefault="00F24A51" w:rsidP="00486073">
      <w:pPr>
        <w:spacing w:line="240" w:lineRule="auto"/>
        <w:ind w:firstLine="0"/>
        <w:jc w:val="center"/>
      </w:pPr>
    </w:p>
    <w:p w14:paraId="56B32804" w14:textId="77777777" w:rsidR="00486073" w:rsidRDefault="00486073" w:rsidP="00486073">
      <w:pPr>
        <w:spacing w:line="240" w:lineRule="auto"/>
        <w:ind w:firstLine="0"/>
        <w:jc w:val="center"/>
      </w:pPr>
    </w:p>
    <w:p w14:paraId="3213027D" w14:textId="3A328DA1" w:rsidR="008F60CE" w:rsidRDefault="008F60CE" w:rsidP="00486073">
      <w:pPr>
        <w:spacing w:line="240" w:lineRule="auto"/>
        <w:ind w:firstLine="0"/>
        <w:jc w:val="center"/>
      </w:pPr>
      <w:r>
        <w:t>on</w:t>
      </w:r>
    </w:p>
    <w:p w14:paraId="1E533181" w14:textId="77777777" w:rsidR="00486073" w:rsidRDefault="00486073" w:rsidP="00486073">
      <w:pPr>
        <w:spacing w:line="240" w:lineRule="auto"/>
        <w:ind w:firstLine="0"/>
        <w:jc w:val="center"/>
      </w:pPr>
    </w:p>
    <w:sdt>
      <w:sdtPr>
        <w:id w:val="389072482"/>
        <w:placeholder>
          <w:docPart w:val="93235CC6DC384510A39C580EA00C8261"/>
        </w:placeholder>
        <w:date w:fullDate="2020-04-17T00:00:00Z">
          <w:dateFormat w:val="MMMM d, yyyy"/>
          <w:lid w:val="en-US"/>
          <w:storeMappedDataAs w:val="dateTime"/>
          <w:calendar w:val="gregorian"/>
        </w:date>
      </w:sdtPr>
      <w:sdtEndPr/>
      <w:sdtContent>
        <w:p w14:paraId="789EEF43" w14:textId="7E1913F8" w:rsidR="008F60CE" w:rsidRDefault="009940B0" w:rsidP="00486073">
          <w:pPr>
            <w:spacing w:line="240" w:lineRule="auto"/>
            <w:ind w:firstLine="0"/>
            <w:jc w:val="center"/>
          </w:pPr>
          <w:r>
            <w:t>April 17, 2020</w:t>
          </w:r>
        </w:p>
      </w:sdtContent>
    </w:sdt>
    <w:p w14:paraId="044DCF89" w14:textId="77777777" w:rsidR="00486073" w:rsidRDefault="00486073" w:rsidP="00486073">
      <w:pPr>
        <w:spacing w:line="240" w:lineRule="auto"/>
        <w:ind w:firstLine="0"/>
        <w:jc w:val="center"/>
      </w:pPr>
    </w:p>
    <w:p w14:paraId="381F675A" w14:textId="77777777" w:rsidR="008F60CE" w:rsidRDefault="00086364" w:rsidP="00486073">
      <w:pPr>
        <w:spacing w:line="240" w:lineRule="auto"/>
        <w:ind w:firstLine="0"/>
        <w:jc w:val="center"/>
      </w:pPr>
      <w:r>
        <w:t>a</w:t>
      </w:r>
      <w:r w:rsidR="008F60CE">
        <w:t>nd approved by</w:t>
      </w:r>
    </w:p>
    <w:p w14:paraId="27CCC475" w14:textId="77777777" w:rsidR="00486073" w:rsidRDefault="00486073" w:rsidP="00486073">
      <w:pPr>
        <w:spacing w:line="240" w:lineRule="auto"/>
        <w:ind w:firstLine="0"/>
        <w:jc w:val="center"/>
      </w:pPr>
    </w:p>
    <w:p w14:paraId="75999165" w14:textId="4B5EE8A1" w:rsidR="008F60CE" w:rsidRPr="003A4609" w:rsidRDefault="00B21CA1" w:rsidP="00486073">
      <w:pPr>
        <w:spacing w:line="240" w:lineRule="auto"/>
        <w:ind w:firstLine="0"/>
        <w:jc w:val="center"/>
        <w:rPr>
          <w:b/>
        </w:rPr>
      </w:pPr>
      <w:r w:rsidRPr="003A4609">
        <w:rPr>
          <w:b/>
        </w:rPr>
        <w:t xml:space="preserve">Essay Advisor: </w:t>
      </w:r>
    </w:p>
    <w:p w14:paraId="130F342B" w14:textId="6B0B91FB" w:rsidR="005C15BB" w:rsidRPr="00D211A9" w:rsidRDefault="005C15BB" w:rsidP="00486073">
      <w:pPr>
        <w:spacing w:line="240" w:lineRule="auto"/>
        <w:ind w:firstLine="0"/>
        <w:jc w:val="center"/>
        <w:rPr>
          <w:lang w:val="fr-FR"/>
        </w:rPr>
      </w:pPr>
      <w:r w:rsidRPr="00D211A9">
        <w:rPr>
          <w:lang w:val="fr-FR"/>
        </w:rPr>
        <w:t xml:space="preserve">F. Yesim Demirci, </w:t>
      </w:r>
      <w:r w:rsidR="001E2005" w:rsidRPr="00D211A9">
        <w:rPr>
          <w:lang w:val="fr-FR"/>
        </w:rPr>
        <w:t>MD</w:t>
      </w:r>
    </w:p>
    <w:p w14:paraId="3521D5D9" w14:textId="30B07F7B" w:rsidR="00C24296" w:rsidRPr="00D211A9" w:rsidRDefault="00C24296" w:rsidP="00486073">
      <w:pPr>
        <w:spacing w:line="240" w:lineRule="auto"/>
        <w:ind w:firstLine="0"/>
        <w:jc w:val="center"/>
        <w:rPr>
          <w:lang w:val="fr-FR"/>
        </w:rPr>
      </w:pPr>
      <w:bookmarkStart w:id="1" w:name="_Hlk35804652"/>
      <w:r w:rsidRPr="00D211A9">
        <w:rPr>
          <w:lang w:val="fr-FR"/>
        </w:rPr>
        <w:t xml:space="preserve">Associate Professor </w:t>
      </w:r>
    </w:p>
    <w:p w14:paraId="4F4DBD4F" w14:textId="77777777" w:rsidR="00C32F0E" w:rsidRDefault="00C32F0E" w:rsidP="00C32F0E">
      <w:pPr>
        <w:spacing w:line="240" w:lineRule="auto"/>
        <w:ind w:firstLine="0"/>
        <w:jc w:val="center"/>
      </w:pPr>
      <w:r>
        <w:t>Department of Human Genetics</w:t>
      </w:r>
    </w:p>
    <w:p w14:paraId="746468D2" w14:textId="77777777" w:rsidR="00C32F0E" w:rsidRDefault="00C32F0E" w:rsidP="00C32F0E">
      <w:pPr>
        <w:spacing w:line="240" w:lineRule="auto"/>
        <w:ind w:firstLine="0"/>
        <w:jc w:val="center"/>
      </w:pPr>
      <w:r>
        <w:t>Graduate School of Public Health</w:t>
      </w:r>
    </w:p>
    <w:p w14:paraId="7E176DEB" w14:textId="4B163A6C" w:rsidR="00C24296" w:rsidRDefault="00C32F0E" w:rsidP="00C32F0E">
      <w:pPr>
        <w:spacing w:line="240" w:lineRule="auto"/>
        <w:ind w:firstLine="0"/>
        <w:jc w:val="center"/>
      </w:pPr>
      <w:r>
        <w:t>University of Pittsburgh</w:t>
      </w:r>
    </w:p>
    <w:bookmarkEnd w:id="1"/>
    <w:p w14:paraId="1F6BC82E" w14:textId="77777777" w:rsidR="00486073" w:rsidRDefault="00486073" w:rsidP="00486073">
      <w:pPr>
        <w:spacing w:line="240" w:lineRule="auto"/>
        <w:ind w:firstLine="0"/>
        <w:jc w:val="center"/>
      </w:pPr>
    </w:p>
    <w:p w14:paraId="04EB4330" w14:textId="6F04EBA2" w:rsidR="008F60CE" w:rsidRDefault="00D8227F" w:rsidP="00486073">
      <w:pPr>
        <w:spacing w:line="240" w:lineRule="auto"/>
        <w:ind w:firstLine="0"/>
        <w:jc w:val="center"/>
      </w:pPr>
      <w:r>
        <w:t>Essay Reader:</w:t>
      </w:r>
    </w:p>
    <w:p w14:paraId="2AD0907A" w14:textId="5A5419B3" w:rsidR="004D35BE" w:rsidRDefault="00556459" w:rsidP="00486073">
      <w:pPr>
        <w:spacing w:line="240" w:lineRule="auto"/>
        <w:ind w:firstLine="0"/>
        <w:jc w:val="center"/>
      </w:pPr>
      <w:r>
        <w:t>Candace</w:t>
      </w:r>
      <w:r w:rsidR="00870FF2">
        <w:t xml:space="preserve"> Kammerer, PhD</w:t>
      </w:r>
    </w:p>
    <w:p w14:paraId="394E0B49" w14:textId="77777777" w:rsidR="00870FF2" w:rsidRDefault="00870FF2" w:rsidP="00870FF2">
      <w:pPr>
        <w:spacing w:line="240" w:lineRule="auto"/>
        <w:ind w:firstLine="0"/>
        <w:jc w:val="center"/>
      </w:pPr>
      <w:r>
        <w:t xml:space="preserve">Associate Professor </w:t>
      </w:r>
    </w:p>
    <w:p w14:paraId="0213C4B8" w14:textId="77777777" w:rsidR="00870FF2" w:rsidRDefault="00870FF2" w:rsidP="00870FF2">
      <w:pPr>
        <w:spacing w:line="240" w:lineRule="auto"/>
        <w:ind w:firstLine="0"/>
        <w:jc w:val="center"/>
      </w:pPr>
      <w:r>
        <w:t>Department of Human Genetics</w:t>
      </w:r>
    </w:p>
    <w:p w14:paraId="4B6E681D" w14:textId="77777777" w:rsidR="00870FF2" w:rsidRDefault="00870FF2" w:rsidP="00870FF2">
      <w:pPr>
        <w:spacing w:line="240" w:lineRule="auto"/>
        <w:ind w:firstLine="0"/>
        <w:jc w:val="center"/>
      </w:pPr>
      <w:r>
        <w:t>Graduate School of Public Health</w:t>
      </w:r>
    </w:p>
    <w:p w14:paraId="676AC875" w14:textId="659CECE3" w:rsidR="00870FF2" w:rsidRDefault="00870FF2" w:rsidP="00870FF2">
      <w:pPr>
        <w:spacing w:line="240" w:lineRule="auto"/>
        <w:ind w:firstLine="0"/>
        <w:jc w:val="center"/>
      </w:pPr>
      <w:r>
        <w:t>University of Pittsburgh</w:t>
      </w:r>
    </w:p>
    <w:p w14:paraId="507D3DF0" w14:textId="77777777" w:rsidR="00486073" w:rsidRDefault="00486073" w:rsidP="00486073">
      <w:pPr>
        <w:spacing w:line="240" w:lineRule="auto"/>
        <w:ind w:firstLine="0"/>
        <w:jc w:val="center"/>
      </w:pPr>
    </w:p>
    <w:p w14:paraId="6FBDEE2F" w14:textId="5637034D" w:rsidR="008F60CE" w:rsidRDefault="00870FF2" w:rsidP="00486073">
      <w:pPr>
        <w:spacing w:line="240" w:lineRule="auto"/>
        <w:ind w:firstLine="0"/>
        <w:jc w:val="center"/>
      </w:pPr>
      <w:r>
        <w:t xml:space="preserve">Essay Reader: </w:t>
      </w:r>
    </w:p>
    <w:p w14:paraId="17868E98" w14:textId="1DAF72A9" w:rsidR="00870FF2" w:rsidRDefault="000C68EF" w:rsidP="00486073">
      <w:pPr>
        <w:spacing w:line="240" w:lineRule="auto"/>
        <w:ind w:firstLine="0"/>
        <w:jc w:val="center"/>
      </w:pPr>
      <w:r>
        <w:t xml:space="preserve">Allison </w:t>
      </w:r>
      <w:r w:rsidR="006C7B55">
        <w:t xml:space="preserve">L. </w:t>
      </w:r>
      <w:r>
        <w:t>Kuipers, PhD</w:t>
      </w:r>
    </w:p>
    <w:p w14:paraId="6E7B0A9D" w14:textId="2278BF63" w:rsidR="00BC7BA1" w:rsidRDefault="00BC7BA1" w:rsidP="00486073">
      <w:pPr>
        <w:spacing w:line="240" w:lineRule="auto"/>
        <w:ind w:firstLine="0"/>
        <w:jc w:val="center"/>
      </w:pPr>
      <w:r>
        <w:t xml:space="preserve">Assistant Professor </w:t>
      </w:r>
    </w:p>
    <w:p w14:paraId="0D530612" w14:textId="12844250" w:rsidR="00BC7BA1" w:rsidRDefault="00BC7BA1" w:rsidP="00486073">
      <w:pPr>
        <w:spacing w:line="240" w:lineRule="auto"/>
        <w:ind w:firstLine="0"/>
        <w:jc w:val="center"/>
      </w:pPr>
      <w:r>
        <w:t xml:space="preserve">Department of Epidemiology </w:t>
      </w:r>
    </w:p>
    <w:p w14:paraId="0D0FBC2D" w14:textId="77777777" w:rsidR="00065356" w:rsidRDefault="00065356" w:rsidP="00065356">
      <w:pPr>
        <w:spacing w:line="240" w:lineRule="auto"/>
        <w:ind w:firstLine="0"/>
        <w:jc w:val="center"/>
      </w:pPr>
      <w:r>
        <w:t>Graduate School of Public Health</w:t>
      </w:r>
    </w:p>
    <w:p w14:paraId="4EE415B3" w14:textId="0DA21C60" w:rsidR="0028782F" w:rsidRDefault="00065356" w:rsidP="00065356">
      <w:pPr>
        <w:spacing w:line="240" w:lineRule="auto"/>
        <w:ind w:firstLine="0"/>
        <w:jc w:val="center"/>
      </w:pPr>
      <w:r>
        <w:t>University of Pittsburgh</w:t>
      </w:r>
      <w:r w:rsidR="00834193">
        <w:br w:type="page"/>
      </w:r>
    </w:p>
    <w:p w14:paraId="1F215343" w14:textId="77777777" w:rsidR="004F0846" w:rsidRDefault="004F0846" w:rsidP="00486073">
      <w:pPr>
        <w:spacing w:line="240" w:lineRule="auto"/>
        <w:ind w:firstLine="0"/>
        <w:jc w:val="center"/>
      </w:pPr>
    </w:p>
    <w:p w14:paraId="5C840602" w14:textId="77777777" w:rsidR="004F0846" w:rsidRDefault="004F0846" w:rsidP="00486073">
      <w:pPr>
        <w:spacing w:line="240" w:lineRule="auto"/>
        <w:ind w:firstLine="0"/>
        <w:jc w:val="center"/>
      </w:pPr>
    </w:p>
    <w:p w14:paraId="4FE75E4E" w14:textId="77777777" w:rsidR="004F0846" w:rsidRDefault="004F0846" w:rsidP="00486073">
      <w:pPr>
        <w:spacing w:line="240" w:lineRule="auto"/>
        <w:ind w:firstLine="0"/>
        <w:jc w:val="center"/>
      </w:pPr>
    </w:p>
    <w:p w14:paraId="7A19BF88" w14:textId="77777777" w:rsidR="004F0846" w:rsidRDefault="004F0846" w:rsidP="00486073">
      <w:pPr>
        <w:spacing w:line="240" w:lineRule="auto"/>
        <w:ind w:firstLine="0"/>
        <w:jc w:val="center"/>
      </w:pPr>
    </w:p>
    <w:p w14:paraId="48D5C582" w14:textId="77777777" w:rsidR="004F0846" w:rsidRDefault="004F0846" w:rsidP="00486073">
      <w:pPr>
        <w:spacing w:line="240" w:lineRule="auto"/>
        <w:ind w:firstLine="0"/>
        <w:jc w:val="center"/>
      </w:pPr>
    </w:p>
    <w:p w14:paraId="4C06E4DE" w14:textId="77777777" w:rsidR="004F0846" w:rsidRDefault="004F0846" w:rsidP="00486073">
      <w:pPr>
        <w:spacing w:line="240" w:lineRule="auto"/>
        <w:ind w:firstLine="0"/>
        <w:jc w:val="center"/>
      </w:pPr>
    </w:p>
    <w:p w14:paraId="3F86EDEB" w14:textId="77777777" w:rsidR="00486073" w:rsidRDefault="00486073" w:rsidP="00486073">
      <w:pPr>
        <w:spacing w:line="240" w:lineRule="auto"/>
        <w:ind w:firstLine="0"/>
        <w:jc w:val="center"/>
      </w:pPr>
    </w:p>
    <w:p w14:paraId="36621EF9" w14:textId="77777777" w:rsidR="00486073" w:rsidRDefault="00486073" w:rsidP="00486073">
      <w:pPr>
        <w:spacing w:line="240" w:lineRule="auto"/>
        <w:ind w:firstLine="0"/>
        <w:jc w:val="center"/>
      </w:pPr>
    </w:p>
    <w:p w14:paraId="6D4AFEAF" w14:textId="77777777" w:rsidR="00486073" w:rsidRDefault="00486073" w:rsidP="00486073">
      <w:pPr>
        <w:spacing w:line="240" w:lineRule="auto"/>
        <w:ind w:firstLine="0"/>
        <w:jc w:val="center"/>
      </w:pPr>
    </w:p>
    <w:p w14:paraId="711983AC" w14:textId="77777777" w:rsidR="00486073" w:rsidRDefault="00486073" w:rsidP="00486073">
      <w:pPr>
        <w:spacing w:line="240" w:lineRule="auto"/>
        <w:ind w:firstLine="0"/>
        <w:jc w:val="center"/>
      </w:pPr>
    </w:p>
    <w:p w14:paraId="7ADD4050" w14:textId="77777777" w:rsidR="00486073" w:rsidRDefault="00486073" w:rsidP="00486073">
      <w:pPr>
        <w:spacing w:line="240" w:lineRule="auto"/>
        <w:ind w:firstLine="0"/>
        <w:jc w:val="center"/>
      </w:pPr>
    </w:p>
    <w:p w14:paraId="14F92D62" w14:textId="77777777" w:rsidR="00486073" w:rsidRDefault="00486073" w:rsidP="00486073">
      <w:pPr>
        <w:spacing w:line="240" w:lineRule="auto"/>
        <w:ind w:firstLine="0"/>
        <w:jc w:val="center"/>
      </w:pPr>
    </w:p>
    <w:p w14:paraId="364EC6DE" w14:textId="77777777" w:rsidR="00486073" w:rsidRDefault="00486073" w:rsidP="00486073">
      <w:pPr>
        <w:spacing w:line="240" w:lineRule="auto"/>
        <w:ind w:firstLine="0"/>
        <w:jc w:val="center"/>
      </w:pPr>
    </w:p>
    <w:p w14:paraId="07300A51" w14:textId="77777777" w:rsidR="00486073" w:rsidRDefault="00486073" w:rsidP="00486073">
      <w:pPr>
        <w:spacing w:line="240" w:lineRule="auto"/>
        <w:ind w:firstLine="0"/>
        <w:jc w:val="center"/>
      </w:pPr>
    </w:p>
    <w:p w14:paraId="59088CD5" w14:textId="77777777" w:rsidR="00486073" w:rsidRDefault="00486073" w:rsidP="00486073">
      <w:pPr>
        <w:spacing w:line="240" w:lineRule="auto"/>
        <w:ind w:firstLine="0"/>
        <w:jc w:val="center"/>
      </w:pPr>
    </w:p>
    <w:p w14:paraId="380FA531" w14:textId="77777777" w:rsidR="00486073" w:rsidRDefault="00486073" w:rsidP="00486073">
      <w:pPr>
        <w:spacing w:line="240" w:lineRule="auto"/>
        <w:ind w:firstLine="0"/>
        <w:jc w:val="center"/>
      </w:pPr>
    </w:p>
    <w:p w14:paraId="4B410C29" w14:textId="77777777" w:rsidR="00486073" w:rsidRDefault="00486073" w:rsidP="00486073">
      <w:pPr>
        <w:spacing w:line="240" w:lineRule="auto"/>
        <w:ind w:firstLine="0"/>
        <w:jc w:val="center"/>
      </w:pPr>
    </w:p>
    <w:p w14:paraId="197C660D" w14:textId="77777777" w:rsidR="004F0846" w:rsidRDefault="004F0846" w:rsidP="00486073">
      <w:pPr>
        <w:spacing w:line="240" w:lineRule="auto"/>
        <w:ind w:firstLine="0"/>
        <w:jc w:val="center"/>
      </w:pPr>
    </w:p>
    <w:p w14:paraId="5463BC71" w14:textId="77777777" w:rsidR="004F0846" w:rsidRDefault="004F0846" w:rsidP="00486073">
      <w:pPr>
        <w:spacing w:line="240" w:lineRule="auto"/>
        <w:ind w:firstLine="0"/>
        <w:jc w:val="center"/>
      </w:pPr>
    </w:p>
    <w:p w14:paraId="11410BFA" w14:textId="77777777" w:rsidR="004F0846" w:rsidRDefault="004F0846" w:rsidP="00486073">
      <w:pPr>
        <w:spacing w:line="240" w:lineRule="auto"/>
        <w:ind w:firstLine="0"/>
        <w:jc w:val="center"/>
      </w:pPr>
    </w:p>
    <w:p w14:paraId="07752FE5" w14:textId="77777777" w:rsidR="004F0846" w:rsidRDefault="004F0846" w:rsidP="00486073">
      <w:pPr>
        <w:spacing w:line="240" w:lineRule="auto"/>
        <w:ind w:firstLine="0"/>
        <w:jc w:val="center"/>
      </w:pPr>
    </w:p>
    <w:p w14:paraId="35BB0EE7" w14:textId="77777777" w:rsidR="004F0846" w:rsidRDefault="004F0846" w:rsidP="00486073">
      <w:pPr>
        <w:spacing w:line="240" w:lineRule="auto"/>
        <w:ind w:firstLine="0"/>
        <w:jc w:val="center"/>
      </w:pPr>
    </w:p>
    <w:p w14:paraId="64377BEC" w14:textId="19D0FDFB" w:rsidR="004F0846" w:rsidRDefault="004F0846" w:rsidP="00486073">
      <w:pPr>
        <w:spacing w:line="240" w:lineRule="auto"/>
        <w:ind w:firstLine="0"/>
        <w:jc w:val="center"/>
      </w:pPr>
      <w:r>
        <w:t xml:space="preserve">Copyright © by </w:t>
      </w:r>
      <w:r w:rsidR="00803D3F">
        <w:t>Jodi Ell</w:t>
      </w:r>
      <w:r w:rsidR="008A53EE">
        <w:t>en Kutzner</w:t>
      </w:r>
    </w:p>
    <w:p w14:paraId="3F99FBEE" w14:textId="77777777" w:rsidR="00486073" w:rsidRDefault="00486073" w:rsidP="00486073">
      <w:pPr>
        <w:spacing w:line="240" w:lineRule="auto"/>
        <w:ind w:firstLine="0"/>
        <w:jc w:val="center"/>
      </w:pPr>
    </w:p>
    <w:p w14:paraId="1162A238" w14:textId="64DACC81" w:rsidR="004F0846" w:rsidRDefault="008A53EE" w:rsidP="00486073">
      <w:pPr>
        <w:spacing w:line="240" w:lineRule="auto"/>
        <w:ind w:firstLine="0"/>
        <w:jc w:val="center"/>
      </w:pPr>
      <w:r>
        <w:t>2020</w:t>
      </w:r>
    </w:p>
    <w:p w14:paraId="0FF60022" w14:textId="77777777" w:rsidR="004F0846" w:rsidRDefault="004F0846" w:rsidP="00486073">
      <w:pPr>
        <w:spacing w:line="240" w:lineRule="auto"/>
        <w:ind w:left="720" w:hanging="720"/>
      </w:pPr>
    </w:p>
    <w:p w14:paraId="6B6FDE42" w14:textId="77777777" w:rsidR="004F0846" w:rsidRDefault="004F0846" w:rsidP="00486073">
      <w:pPr>
        <w:spacing w:line="240" w:lineRule="auto"/>
        <w:ind w:left="720" w:hanging="720"/>
      </w:pPr>
    </w:p>
    <w:p w14:paraId="3DAE75E0" w14:textId="77777777" w:rsidR="004F0846" w:rsidRDefault="004F0846" w:rsidP="00130B6B">
      <w:pPr>
        <w:ind w:left="720" w:hanging="720"/>
      </w:pPr>
    </w:p>
    <w:p w14:paraId="68ECDB6E" w14:textId="77777777" w:rsidR="004F0846" w:rsidRDefault="004F0846" w:rsidP="00130B6B">
      <w:pPr>
        <w:ind w:left="720" w:hanging="720"/>
      </w:pPr>
    </w:p>
    <w:p w14:paraId="5DE7A341" w14:textId="77777777" w:rsidR="001C7AFC" w:rsidRDefault="001C7AFC" w:rsidP="00130B6B">
      <w:pPr>
        <w:ind w:left="720" w:hanging="720"/>
        <w:sectPr w:rsidR="001C7AFC" w:rsidSect="003A4609">
          <w:footerReference w:type="default" r:id="rId8"/>
          <w:pgSz w:w="12240" w:h="15840"/>
          <w:pgMar w:top="1440" w:right="1440" w:bottom="1440" w:left="1440" w:header="720" w:footer="432" w:gutter="0"/>
          <w:pgNumType w:fmt="lowerRoman" w:start="1"/>
          <w:cols w:space="720"/>
          <w:titlePg/>
          <w:docGrid w:linePitch="360"/>
        </w:sectPr>
      </w:pPr>
    </w:p>
    <w:p w14:paraId="1A6ED5F3" w14:textId="3AF1392F" w:rsidR="001C7AFC" w:rsidRDefault="009E73DE" w:rsidP="0000139C">
      <w:pPr>
        <w:pStyle w:val="PreliminaryBookmarks"/>
      </w:pPr>
      <w:r>
        <w:rPr>
          <w:noProof/>
        </w:rPr>
        <w:lastRenderedPageBreak/>
        <mc:AlternateContent>
          <mc:Choice Requires="wps">
            <w:drawing>
              <wp:anchor distT="0" distB="0" distL="114300" distR="114300" simplePos="0" relativeHeight="251661824" behindDoc="0" locked="0" layoutInCell="1" allowOverlap="1" wp14:anchorId="532B829C" wp14:editId="285E3535">
                <wp:simplePos x="0" y="0"/>
                <wp:positionH relativeFrom="column">
                  <wp:posOffset>4057650</wp:posOffset>
                </wp:positionH>
                <wp:positionV relativeFrom="paragraph">
                  <wp:posOffset>-400050</wp:posOffset>
                </wp:positionV>
                <wp:extent cx="1971675" cy="314325"/>
                <wp:effectExtent l="0" t="0" r="0" b="0"/>
                <wp:wrapNone/>
                <wp:docPr id="2" name="Text Box 2"/>
                <wp:cNvGraphicFramePr/>
                <a:graphic xmlns:a="http://schemas.openxmlformats.org/drawingml/2006/main">
                  <a:graphicData uri="http://schemas.microsoft.com/office/word/2010/wordprocessingShape">
                    <wps:wsp>
                      <wps:cNvSpPr txBox="1"/>
                      <wps:spPr>
                        <a:xfrm>
                          <a:off x="0" y="0"/>
                          <a:ext cx="1971675" cy="314325"/>
                        </a:xfrm>
                        <a:prstGeom prst="rect">
                          <a:avLst/>
                        </a:prstGeom>
                        <a:noFill/>
                        <a:ln w="6350">
                          <a:noFill/>
                        </a:ln>
                      </wps:spPr>
                      <wps:txbx>
                        <w:txbxContent>
                          <w:p w14:paraId="37838F39" w14:textId="77777777" w:rsidR="00040665" w:rsidRPr="00D211A9" w:rsidRDefault="00040665" w:rsidP="009E73DE">
                            <w:pPr>
                              <w:spacing w:line="240" w:lineRule="auto"/>
                              <w:ind w:firstLine="0"/>
                              <w:jc w:val="center"/>
                              <w:rPr>
                                <w:lang w:val="fr-FR"/>
                              </w:rPr>
                            </w:pPr>
                            <w:r w:rsidRPr="00D211A9">
                              <w:rPr>
                                <w:lang w:val="fr-FR"/>
                              </w:rPr>
                              <w:t>F. Yesim Demirci, MD</w:t>
                            </w:r>
                          </w:p>
                          <w:p w14:paraId="586E9E1C" w14:textId="77777777" w:rsidR="00040665" w:rsidRDefault="000406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B829C" id="_x0000_t202" coordsize="21600,21600" o:spt="202" path="m,l,21600r21600,l21600,xe">
                <v:stroke joinstyle="miter"/>
                <v:path gradientshapeok="t" o:connecttype="rect"/>
              </v:shapetype>
              <v:shape id="Text Box 2" o:spid="_x0000_s1026" type="#_x0000_t202" style="position:absolute;left:0;text-align:left;margin-left:319.5pt;margin-top:-31.5pt;width:155.25pt;height:2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" filled="f" stroked="f" strokeweight=".5pt">
                <v:textbox>
                  <w:txbxContent>
                    <w:p w14:paraId="37838F39" w14:textId="77777777" w:rsidR="00040665" w:rsidRPr="00D211A9" w:rsidRDefault="00040665" w:rsidP="009E73DE">
                      <w:pPr>
                        <w:spacing w:line="240" w:lineRule="auto"/>
                        <w:ind w:firstLine="0"/>
                        <w:jc w:val="center"/>
                        <w:rPr>
                          <w:lang w:val="fr-FR"/>
                        </w:rPr>
                      </w:pPr>
                      <w:r w:rsidRPr="00D211A9">
                        <w:rPr>
                          <w:lang w:val="fr-FR"/>
                        </w:rPr>
                        <w:t>F. Yesim Demirci, MD</w:t>
                      </w:r>
                    </w:p>
                    <w:p w14:paraId="586E9E1C" w14:textId="77777777" w:rsidR="00040665" w:rsidRDefault="00040665"/>
                  </w:txbxContent>
                </v:textbox>
              </v:shape>
            </w:pict>
          </mc:Fallback>
        </mc:AlternateContent>
      </w:r>
      <w:r w:rsidR="001C7AFC">
        <w:t>Abstract</w:t>
      </w:r>
    </w:p>
    <w:p w14:paraId="454DA705" w14:textId="42DBFE35" w:rsidR="00486073" w:rsidRPr="009E73DE" w:rsidRDefault="00E72833" w:rsidP="00486073">
      <w:pPr>
        <w:spacing w:line="240" w:lineRule="auto"/>
        <w:ind w:firstLine="0"/>
        <w:jc w:val="center"/>
        <w:rPr>
          <w:b/>
        </w:rPr>
      </w:pPr>
      <w:r w:rsidRPr="009E73DE">
        <w:rPr>
          <w:b/>
        </w:rPr>
        <w:t xml:space="preserve">Association Analysis of the </w:t>
      </w:r>
      <w:r w:rsidRPr="009E73DE">
        <w:rPr>
          <w:b/>
          <w:i/>
          <w:iCs/>
        </w:rPr>
        <w:t>LTA/TNF/LTB</w:t>
      </w:r>
      <w:r w:rsidRPr="009E73DE">
        <w:rPr>
          <w:b/>
        </w:rPr>
        <w:t xml:space="preserve"> </w:t>
      </w:r>
      <w:r w:rsidR="00A55D18" w:rsidRPr="009E73DE">
        <w:rPr>
          <w:b/>
        </w:rPr>
        <w:t>R</w:t>
      </w:r>
      <w:r w:rsidRPr="009E73DE">
        <w:rPr>
          <w:b/>
        </w:rPr>
        <w:t xml:space="preserve">egion on </w:t>
      </w:r>
      <w:r w:rsidR="00A55D18" w:rsidRPr="009E73DE">
        <w:rPr>
          <w:b/>
        </w:rPr>
        <w:t>C</w:t>
      </w:r>
      <w:r w:rsidRPr="009E73DE">
        <w:rPr>
          <w:b/>
        </w:rPr>
        <w:t>hromosome 6p21 with Systemic Lupus Erythematous (SLE)</w:t>
      </w:r>
    </w:p>
    <w:p w14:paraId="334BB20E" w14:textId="77777777" w:rsidR="00671C98" w:rsidRPr="002B41A8" w:rsidRDefault="00671C98" w:rsidP="00486073">
      <w:pPr>
        <w:spacing w:line="240" w:lineRule="auto"/>
        <w:ind w:firstLine="0"/>
        <w:jc w:val="center"/>
        <w:rPr>
          <w:b/>
        </w:rPr>
      </w:pPr>
    </w:p>
    <w:p w14:paraId="4F0D3824" w14:textId="0EB56D93" w:rsidR="002B41A8" w:rsidRDefault="00D623A4" w:rsidP="00486073">
      <w:pPr>
        <w:spacing w:line="240" w:lineRule="auto"/>
        <w:ind w:firstLine="0"/>
        <w:jc w:val="center"/>
      </w:pPr>
      <w:r>
        <w:t>Jodi Ell</w:t>
      </w:r>
      <w:r w:rsidR="00A37D5F">
        <w:t>en Kutzner</w:t>
      </w:r>
      <w:r w:rsidR="00713C42">
        <w:t>, MPH</w:t>
      </w:r>
    </w:p>
    <w:p w14:paraId="492FA84D" w14:textId="77777777" w:rsidR="00486073" w:rsidRDefault="00486073" w:rsidP="00486073">
      <w:pPr>
        <w:spacing w:line="240" w:lineRule="auto"/>
        <w:ind w:firstLine="0"/>
        <w:jc w:val="center"/>
      </w:pPr>
    </w:p>
    <w:p w14:paraId="4458690A" w14:textId="3670431E" w:rsidR="002B41A8" w:rsidRDefault="002B41A8" w:rsidP="00486073">
      <w:pPr>
        <w:spacing w:line="240" w:lineRule="auto"/>
        <w:ind w:firstLine="0"/>
        <w:jc w:val="center"/>
      </w:pPr>
      <w:r>
        <w:t xml:space="preserve">University of Pittsburgh, </w:t>
      </w:r>
      <w:r w:rsidR="004210E9">
        <w:t>2020</w:t>
      </w:r>
    </w:p>
    <w:p w14:paraId="0EC28106" w14:textId="77777777" w:rsidR="002B41A8" w:rsidRDefault="002B41A8" w:rsidP="00486073">
      <w:pPr>
        <w:spacing w:line="240" w:lineRule="auto"/>
        <w:ind w:firstLine="0"/>
        <w:jc w:val="center"/>
      </w:pPr>
    </w:p>
    <w:p w14:paraId="56DC753B" w14:textId="11BC1868" w:rsidR="0046438E" w:rsidRPr="009E73DE" w:rsidRDefault="009E73DE" w:rsidP="00486073">
      <w:pPr>
        <w:spacing w:line="240" w:lineRule="auto"/>
        <w:ind w:firstLine="0"/>
        <w:jc w:val="center"/>
        <w:rPr>
          <w:b/>
        </w:rPr>
      </w:pPr>
      <w:r w:rsidRPr="009E73DE">
        <w:rPr>
          <w:b/>
        </w:rPr>
        <w:t>Abstract</w:t>
      </w:r>
    </w:p>
    <w:p w14:paraId="628A3F29" w14:textId="77777777" w:rsidR="00486073" w:rsidRDefault="00486073" w:rsidP="00486073">
      <w:pPr>
        <w:spacing w:line="240" w:lineRule="auto"/>
        <w:ind w:firstLine="0"/>
        <w:jc w:val="center"/>
      </w:pPr>
    </w:p>
    <w:p w14:paraId="6CA5E2DB" w14:textId="77777777" w:rsidR="00486073" w:rsidRDefault="00486073" w:rsidP="00486073">
      <w:pPr>
        <w:spacing w:line="240" w:lineRule="auto"/>
        <w:ind w:firstLine="0"/>
        <w:jc w:val="center"/>
      </w:pPr>
    </w:p>
    <w:p w14:paraId="07D8FE50" w14:textId="1A9B7EBB" w:rsidR="0086611B" w:rsidRPr="009E73DE" w:rsidRDefault="0086611B" w:rsidP="0086611B">
      <w:r w:rsidRPr="0086611B">
        <w:rPr>
          <w:bCs/>
        </w:rPr>
        <w:t xml:space="preserve">Systemic Lupus Erythematous (SLE) is a chronic, multisystem autoimmune disease that is characterized by the production of a wide variety of autoantibodies against various self-antigens. SLE is a complex disease that is believed to result from an intricate interaction of environmental and hormonal risk factors with multiple genetic susceptibility loci. The major histocompatibility complex (MHC) region located on chromosome 6p21 was the first risk locus found to be associated with SLE and it still constitutes the strongest contributor to genetic susceptibility. The genes at the MHC locus encode for various proteins including those involved in inflammation, antigen presentation, and other innate and/or adaptive immune responses. </w:t>
      </w:r>
      <w:bookmarkStart w:id="2" w:name="_Hlk39579681"/>
      <w:r w:rsidRPr="0086611B">
        <w:rPr>
          <w:bCs/>
        </w:rPr>
        <w:t xml:space="preserve">The MHC class III region </w:t>
      </w:r>
      <w:r w:rsidR="00E4061B">
        <w:rPr>
          <w:bCs/>
        </w:rPr>
        <w:t>harbors</w:t>
      </w:r>
      <w:r w:rsidRPr="0086611B">
        <w:rPr>
          <w:bCs/>
        </w:rPr>
        <w:t xml:space="preserve"> 3 genes belonging to the Tumor Necrosis Factor Super Family, </w:t>
      </w:r>
      <w:r w:rsidRPr="0086611B">
        <w:rPr>
          <w:bCs/>
          <w:i/>
        </w:rPr>
        <w:t>LTA/TNF/LTB</w:t>
      </w:r>
      <w:r w:rsidRPr="0086611B">
        <w:rPr>
          <w:bCs/>
        </w:rPr>
        <w:t>, whose protein products show biological interaction</w:t>
      </w:r>
      <w:r w:rsidR="00E4061B">
        <w:rPr>
          <w:bCs/>
        </w:rPr>
        <w:t>s</w:t>
      </w:r>
      <w:r w:rsidRPr="0086611B">
        <w:rPr>
          <w:bCs/>
        </w:rPr>
        <w:t xml:space="preserve">. The primary objective of this </w:t>
      </w:r>
      <w:r>
        <w:rPr>
          <w:bCs/>
        </w:rPr>
        <w:t>essay</w:t>
      </w:r>
      <w:r w:rsidRPr="0086611B">
        <w:rPr>
          <w:bCs/>
        </w:rPr>
        <w:t xml:space="preserve"> </w:t>
      </w:r>
      <w:r w:rsidR="00E4061B">
        <w:rPr>
          <w:bCs/>
        </w:rPr>
        <w:t>was</w:t>
      </w:r>
      <w:r w:rsidRPr="0086611B">
        <w:rPr>
          <w:bCs/>
        </w:rPr>
        <w:t xml:space="preserve"> to investigate the association of genetic polymorphisms at the </w:t>
      </w:r>
      <w:r w:rsidRPr="0086611B">
        <w:rPr>
          <w:bCs/>
          <w:i/>
        </w:rPr>
        <w:t>LTA/TNF/LTB</w:t>
      </w:r>
      <w:r w:rsidRPr="0086611B">
        <w:rPr>
          <w:bCs/>
        </w:rPr>
        <w:t xml:space="preserve"> locus with susceptibility to SLE. For this purpose, a total of </w:t>
      </w:r>
      <w:r w:rsidR="00E4061B">
        <w:rPr>
          <w:bCs/>
        </w:rPr>
        <w:t xml:space="preserve">14 </w:t>
      </w:r>
      <w:r w:rsidRPr="0086611B">
        <w:rPr>
          <w:bCs/>
        </w:rPr>
        <w:t xml:space="preserve">SNPs (located in the LTA/TNF/LTB gene cluster or flanking intergenic regions) were evaluated for their association with SLE in a case-control sample comprising European-descent </w:t>
      </w:r>
      <w:r w:rsidR="00C02D94">
        <w:rPr>
          <w:bCs/>
        </w:rPr>
        <w:t>subjects</w:t>
      </w:r>
      <w:r w:rsidR="00D27FA2">
        <w:rPr>
          <w:bCs/>
        </w:rPr>
        <w:t xml:space="preserve"> (661 cases and 487 controls)</w:t>
      </w:r>
      <w:r w:rsidRPr="0086611B">
        <w:rPr>
          <w:bCs/>
        </w:rPr>
        <w:t xml:space="preserve">. </w:t>
      </w:r>
      <w:r w:rsidR="00C02D94">
        <w:rPr>
          <w:bCs/>
        </w:rPr>
        <w:t xml:space="preserve">Association </w:t>
      </w:r>
      <w:r w:rsidR="00D92F9E">
        <w:rPr>
          <w:bCs/>
        </w:rPr>
        <w:t xml:space="preserve">analysis </w:t>
      </w:r>
      <w:r w:rsidR="00C02D94">
        <w:rPr>
          <w:bCs/>
        </w:rPr>
        <w:t>results</w:t>
      </w:r>
      <w:r w:rsidR="00A020C7">
        <w:rPr>
          <w:bCs/>
        </w:rPr>
        <w:t xml:space="preserve"> implicated two </w:t>
      </w:r>
      <w:r w:rsidRPr="0086611B">
        <w:rPr>
          <w:bCs/>
        </w:rPr>
        <w:t>SNPs</w:t>
      </w:r>
      <w:r w:rsidR="00C02D94">
        <w:rPr>
          <w:bCs/>
        </w:rPr>
        <w:t xml:space="preserve"> </w:t>
      </w:r>
      <w:r w:rsidR="000C3DEA">
        <w:rPr>
          <w:bCs/>
        </w:rPr>
        <w:t xml:space="preserve">at this locus </w:t>
      </w:r>
      <w:r w:rsidR="00C02D94">
        <w:rPr>
          <w:bCs/>
        </w:rPr>
        <w:t xml:space="preserve">in SLE </w:t>
      </w:r>
      <w:r w:rsidR="00C02D94" w:rsidRPr="0086611B">
        <w:rPr>
          <w:bCs/>
        </w:rPr>
        <w:t>susceptibility</w:t>
      </w:r>
      <w:r w:rsidR="00D33BFE">
        <w:rPr>
          <w:bCs/>
        </w:rPr>
        <w:t>:</w:t>
      </w:r>
      <w:r w:rsidRPr="0086611B">
        <w:rPr>
          <w:bCs/>
        </w:rPr>
        <w:t xml:space="preserve"> rs1800683 and rs1800629 located within </w:t>
      </w:r>
      <w:r w:rsidRPr="0086611B">
        <w:rPr>
          <w:bCs/>
          <w:i/>
        </w:rPr>
        <w:t>LTA</w:t>
      </w:r>
      <w:r w:rsidRPr="0086611B">
        <w:rPr>
          <w:bCs/>
        </w:rPr>
        <w:t xml:space="preserve"> (5’ UTR variant) </w:t>
      </w:r>
      <w:r w:rsidR="00A565EC">
        <w:rPr>
          <w:bCs/>
        </w:rPr>
        <w:t>and</w:t>
      </w:r>
      <w:r w:rsidR="00A565EC" w:rsidRPr="0086611B">
        <w:rPr>
          <w:bCs/>
        </w:rPr>
        <w:t xml:space="preserve"> </w:t>
      </w:r>
      <w:r w:rsidRPr="0086611B">
        <w:rPr>
          <w:bCs/>
        </w:rPr>
        <w:t xml:space="preserve">between </w:t>
      </w:r>
      <w:r w:rsidRPr="0086611B">
        <w:rPr>
          <w:bCs/>
          <w:i/>
        </w:rPr>
        <w:t>LTA</w:t>
      </w:r>
      <w:r w:rsidRPr="0086611B">
        <w:rPr>
          <w:bCs/>
        </w:rPr>
        <w:t xml:space="preserve"> and </w:t>
      </w:r>
      <w:r w:rsidRPr="0086611B">
        <w:rPr>
          <w:bCs/>
          <w:i/>
        </w:rPr>
        <w:t xml:space="preserve">TNF </w:t>
      </w:r>
      <w:r w:rsidRPr="0086611B">
        <w:rPr>
          <w:bCs/>
        </w:rPr>
        <w:t>(</w:t>
      </w:r>
      <w:r w:rsidRPr="0086611B">
        <w:rPr>
          <w:bCs/>
          <w:i/>
        </w:rPr>
        <w:t>TNF</w:t>
      </w:r>
      <w:r w:rsidRPr="0086611B">
        <w:rPr>
          <w:bCs/>
        </w:rPr>
        <w:t xml:space="preserve"> prom</w:t>
      </w:r>
      <w:r w:rsidR="00D92F9E">
        <w:rPr>
          <w:bCs/>
        </w:rPr>
        <w:t>oter variant), respectively. M</w:t>
      </w:r>
      <w:r w:rsidRPr="0086611B">
        <w:rPr>
          <w:bCs/>
        </w:rPr>
        <w:t>oderate linkage disequilibrium</w:t>
      </w:r>
      <w:r w:rsidR="00C02D94">
        <w:rPr>
          <w:bCs/>
        </w:rPr>
        <w:t xml:space="preserve"> (LD)</w:t>
      </w:r>
      <w:r w:rsidRPr="0086611B">
        <w:rPr>
          <w:bCs/>
        </w:rPr>
        <w:t xml:space="preserve"> was </w:t>
      </w:r>
      <w:r w:rsidR="00F858C2">
        <w:rPr>
          <w:bCs/>
        </w:rPr>
        <w:t>detected between t</w:t>
      </w:r>
      <w:r w:rsidRPr="0086611B">
        <w:rPr>
          <w:bCs/>
        </w:rPr>
        <w:t>hese 2 SNPs (</w:t>
      </w:r>
      <w:r w:rsidRPr="0086611B">
        <w:rPr>
          <w:bCs/>
          <w:i/>
        </w:rPr>
        <w:t>r</w:t>
      </w:r>
      <w:r w:rsidRPr="0086611B">
        <w:rPr>
          <w:bCs/>
          <w:i/>
          <w:vertAlign w:val="superscript"/>
        </w:rPr>
        <w:t>2</w:t>
      </w:r>
      <w:r w:rsidRPr="0086611B">
        <w:rPr>
          <w:bCs/>
        </w:rPr>
        <w:t>&lt;0.5)</w:t>
      </w:r>
      <w:r w:rsidR="00F34A2A">
        <w:rPr>
          <w:bCs/>
        </w:rPr>
        <w:t xml:space="preserve"> and the same or closely linked SNPs have also been similarly </w:t>
      </w:r>
      <w:r w:rsidR="00A565EC">
        <w:rPr>
          <w:bCs/>
        </w:rPr>
        <w:t>found to be associated with</w:t>
      </w:r>
      <w:r w:rsidR="00F34A2A">
        <w:rPr>
          <w:bCs/>
        </w:rPr>
        <w:t xml:space="preserve"> SLE in </w:t>
      </w:r>
      <w:r w:rsidR="00F34A2A">
        <w:rPr>
          <w:bCs/>
        </w:rPr>
        <w:lastRenderedPageBreak/>
        <w:t>prior studies</w:t>
      </w:r>
      <w:r w:rsidRPr="00E4061B">
        <w:rPr>
          <w:bCs/>
          <w:color w:val="FF0000"/>
        </w:rPr>
        <w:t xml:space="preserve">. </w:t>
      </w:r>
      <w:r w:rsidR="00B35783" w:rsidRPr="001D6B07">
        <w:rPr>
          <w:bCs/>
        </w:rPr>
        <w:t xml:space="preserve">In summary, </w:t>
      </w:r>
      <w:r w:rsidR="00B35783">
        <w:rPr>
          <w:bCs/>
        </w:rPr>
        <w:t xml:space="preserve">the results of this study provide further support </w:t>
      </w:r>
      <w:r w:rsidR="00A565EC">
        <w:rPr>
          <w:bCs/>
        </w:rPr>
        <w:t xml:space="preserve">for </w:t>
      </w:r>
      <w:r w:rsidR="00B35783">
        <w:rPr>
          <w:bCs/>
        </w:rPr>
        <w:t xml:space="preserve">a potential role of </w:t>
      </w:r>
      <w:r w:rsidR="00B35783" w:rsidRPr="001D6B07">
        <w:rPr>
          <w:bCs/>
        </w:rPr>
        <w:t xml:space="preserve">functionally relevant </w:t>
      </w:r>
      <w:r w:rsidR="00B35783" w:rsidRPr="001D6B07">
        <w:rPr>
          <w:bCs/>
          <w:i/>
        </w:rPr>
        <w:t>LTA/TNF</w:t>
      </w:r>
      <w:r w:rsidR="00B35783" w:rsidRPr="001D6B07">
        <w:rPr>
          <w:bCs/>
        </w:rPr>
        <w:t xml:space="preserve"> polymorphisms </w:t>
      </w:r>
      <w:r w:rsidR="00B35783">
        <w:rPr>
          <w:bCs/>
        </w:rPr>
        <w:t xml:space="preserve">in </w:t>
      </w:r>
      <w:r w:rsidR="00B35783" w:rsidRPr="001D6B07">
        <w:rPr>
          <w:bCs/>
        </w:rPr>
        <w:t>susceptibility</w:t>
      </w:r>
      <w:r w:rsidR="00B35783">
        <w:rPr>
          <w:bCs/>
        </w:rPr>
        <w:t xml:space="preserve"> to SLE, a disease that </w:t>
      </w:r>
      <w:r w:rsidR="00B35783">
        <w:t>r</w:t>
      </w:r>
      <w:r w:rsidR="00B35783" w:rsidRPr="00F14966">
        <w:t xml:space="preserve">epresents a significant public health concern </w:t>
      </w:r>
      <w:r w:rsidR="00B35783">
        <w:t>as</w:t>
      </w:r>
      <w:r w:rsidR="00B35783" w:rsidRPr="00F14966">
        <w:t xml:space="preserve"> it affects relatively young adults and causes significant morbidity and mortality</w:t>
      </w:r>
      <w:r w:rsidR="00B35783">
        <w:t>.</w:t>
      </w:r>
    </w:p>
    <w:bookmarkEnd w:id="2"/>
    <w:p w14:paraId="3759E1B1" w14:textId="77777777" w:rsidR="0086611B" w:rsidRDefault="0086611B" w:rsidP="008D7D77"/>
    <w:p w14:paraId="291EC9EB" w14:textId="77777777" w:rsidR="001C7AFC" w:rsidRDefault="001C7AFC" w:rsidP="00486073">
      <w:pPr>
        <w:spacing w:line="240" w:lineRule="auto"/>
      </w:pPr>
      <w:r>
        <w:br w:type="page"/>
      </w:r>
    </w:p>
    <w:p w14:paraId="51C77E77" w14:textId="77777777" w:rsidR="0054188D" w:rsidRDefault="00130B6B" w:rsidP="002A6834">
      <w:pPr>
        <w:pStyle w:val="TableofContentsHeading"/>
        <w:rPr>
          <w:noProof/>
        </w:rPr>
      </w:pPr>
      <w:r>
        <w:lastRenderedPageBreak/>
        <w:t>Table of Contents</w:t>
      </w:r>
      <w:r w:rsidR="00A8146F">
        <w:rPr>
          <w:bCs w:val="0"/>
        </w:rPr>
        <w:fldChar w:fldCharType="begin"/>
      </w:r>
      <w:r w:rsidR="00A8146F">
        <w:instrText xml:space="preserve"> TOC \o "3-4" \h \z \t "Heading 1,1,Heading 2,2,Heading,1,App Section,2,Appendix,1" </w:instrText>
      </w:r>
      <w:r w:rsidR="00A8146F">
        <w:rPr>
          <w:bCs w:val="0"/>
        </w:rPr>
        <w:fldChar w:fldCharType="separate"/>
      </w:r>
    </w:p>
    <w:p w14:paraId="6D4B7BE3" w14:textId="6F8B16AB" w:rsidR="0054188D" w:rsidRDefault="006D7796">
      <w:pPr>
        <w:pStyle w:val="TOC1"/>
        <w:rPr>
          <w:rFonts w:asciiTheme="minorHAnsi" w:eastAsiaTheme="minorEastAsia" w:hAnsiTheme="minorHAnsi" w:cstheme="minorBidi"/>
          <w:b w:val="0"/>
          <w:noProof/>
          <w:sz w:val="22"/>
          <w:szCs w:val="22"/>
        </w:rPr>
      </w:pPr>
      <w:hyperlink w:anchor="_Toc40435734" w:history="1">
        <w:r w:rsidR="0054188D" w:rsidRPr="006C4182">
          <w:rPr>
            <w:rStyle w:val="Hyperlink"/>
            <w:noProof/>
          </w:rPr>
          <w:t>1.0 An Introduction to Systemic Lupus Erythematous</w:t>
        </w:r>
        <w:r w:rsidR="0054188D">
          <w:rPr>
            <w:noProof/>
            <w:webHidden/>
          </w:rPr>
          <w:tab/>
        </w:r>
        <w:r w:rsidR="0054188D">
          <w:rPr>
            <w:noProof/>
            <w:webHidden/>
          </w:rPr>
          <w:fldChar w:fldCharType="begin"/>
        </w:r>
        <w:r w:rsidR="0054188D">
          <w:rPr>
            <w:noProof/>
            <w:webHidden/>
          </w:rPr>
          <w:instrText xml:space="preserve"> PAGEREF _Toc40435734 \h </w:instrText>
        </w:r>
        <w:r w:rsidR="0054188D">
          <w:rPr>
            <w:noProof/>
            <w:webHidden/>
          </w:rPr>
        </w:r>
        <w:r w:rsidR="0054188D">
          <w:rPr>
            <w:noProof/>
            <w:webHidden/>
          </w:rPr>
          <w:fldChar w:fldCharType="separate"/>
        </w:r>
        <w:r w:rsidR="0054188D">
          <w:rPr>
            <w:noProof/>
            <w:webHidden/>
          </w:rPr>
          <w:t>1</w:t>
        </w:r>
        <w:r w:rsidR="0054188D">
          <w:rPr>
            <w:noProof/>
            <w:webHidden/>
          </w:rPr>
          <w:fldChar w:fldCharType="end"/>
        </w:r>
      </w:hyperlink>
    </w:p>
    <w:p w14:paraId="03DC9972" w14:textId="56782445" w:rsidR="0054188D" w:rsidRDefault="006D7796">
      <w:pPr>
        <w:pStyle w:val="TOC2"/>
        <w:rPr>
          <w:rFonts w:asciiTheme="minorHAnsi" w:eastAsiaTheme="minorEastAsia" w:hAnsiTheme="minorHAnsi" w:cstheme="minorBidi"/>
          <w:b w:val="0"/>
          <w:noProof/>
          <w:sz w:val="22"/>
          <w:szCs w:val="22"/>
        </w:rPr>
      </w:pPr>
      <w:hyperlink w:anchor="_Toc40435735" w:history="1">
        <w:r w:rsidR="0054188D" w:rsidRPr="006C4182">
          <w:rPr>
            <w:rStyle w:val="Hyperlink"/>
            <w:noProof/>
          </w:rPr>
          <w:t>1.1 Definition and Clinical Features</w:t>
        </w:r>
        <w:r w:rsidR="0054188D">
          <w:rPr>
            <w:noProof/>
            <w:webHidden/>
          </w:rPr>
          <w:tab/>
        </w:r>
        <w:r w:rsidR="0054188D">
          <w:rPr>
            <w:noProof/>
            <w:webHidden/>
          </w:rPr>
          <w:fldChar w:fldCharType="begin"/>
        </w:r>
        <w:r w:rsidR="0054188D">
          <w:rPr>
            <w:noProof/>
            <w:webHidden/>
          </w:rPr>
          <w:instrText xml:space="preserve"> PAGEREF _Toc40435735 \h </w:instrText>
        </w:r>
        <w:r w:rsidR="0054188D">
          <w:rPr>
            <w:noProof/>
            <w:webHidden/>
          </w:rPr>
        </w:r>
        <w:r w:rsidR="0054188D">
          <w:rPr>
            <w:noProof/>
            <w:webHidden/>
          </w:rPr>
          <w:fldChar w:fldCharType="separate"/>
        </w:r>
        <w:r w:rsidR="0054188D">
          <w:rPr>
            <w:noProof/>
            <w:webHidden/>
          </w:rPr>
          <w:t>1</w:t>
        </w:r>
        <w:r w:rsidR="0054188D">
          <w:rPr>
            <w:noProof/>
            <w:webHidden/>
          </w:rPr>
          <w:fldChar w:fldCharType="end"/>
        </w:r>
      </w:hyperlink>
    </w:p>
    <w:p w14:paraId="40F76622" w14:textId="423D4D8F" w:rsidR="0054188D" w:rsidRDefault="006D7796">
      <w:pPr>
        <w:pStyle w:val="TOC2"/>
        <w:rPr>
          <w:rFonts w:asciiTheme="minorHAnsi" w:eastAsiaTheme="minorEastAsia" w:hAnsiTheme="minorHAnsi" w:cstheme="minorBidi"/>
          <w:b w:val="0"/>
          <w:noProof/>
          <w:sz w:val="22"/>
          <w:szCs w:val="22"/>
        </w:rPr>
      </w:pPr>
      <w:hyperlink w:anchor="_Toc40435736" w:history="1">
        <w:r w:rsidR="0054188D" w:rsidRPr="006C4182">
          <w:rPr>
            <w:rStyle w:val="Hyperlink"/>
            <w:noProof/>
          </w:rPr>
          <w:t>1.2 Epidemiology</w:t>
        </w:r>
        <w:r w:rsidR="0054188D">
          <w:rPr>
            <w:noProof/>
            <w:webHidden/>
          </w:rPr>
          <w:tab/>
        </w:r>
        <w:r w:rsidR="0054188D">
          <w:rPr>
            <w:noProof/>
            <w:webHidden/>
          </w:rPr>
          <w:fldChar w:fldCharType="begin"/>
        </w:r>
        <w:r w:rsidR="0054188D">
          <w:rPr>
            <w:noProof/>
            <w:webHidden/>
          </w:rPr>
          <w:instrText xml:space="preserve"> PAGEREF _Toc40435736 \h </w:instrText>
        </w:r>
        <w:r w:rsidR="0054188D">
          <w:rPr>
            <w:noProof/>
            <w:webHidden/>
          </w:rPr>
        </w:r>
        <w:r w:rsidR="0054188D">
          <w:rPr>
            <w:noProof/>
            <w:webHidden/>
          </w:rPr>
          <w:fldChar w:fldCharType="separate"/>
        </w:r>
        <w:r w:rsidR="0054188D">
          <w:rPr>
            <w:noProof/>
            <w:webHidden/>
          </w:rPr>
          <w:t>3</w:t>
        </w:r>
        <w:r w:rsidR="0054188D">
          <w:rPr>
            <w:noProof/>
            <w:webHidden/>
          </w:rPr>
          <w:fldChar w:fldCharType="end"/>
        </w:r>
      </w:hyperlink>
    </w:p>
    <w:p w14:paraId="6E15F746" w14:textId="3BB491CB" w:rsidR="0054188D" w:rsidRDefault="006D7796">
      <w:pPr>
        <w:pStyle w:val="TOC2"/>
        <w:rPr>
          <w:rFonts w:asciiTheme="minorHAnsi" w:eastAsiaTheme="minorEastAsia" w:hAnsiTheme="minorHAnsi" w:cstheme="minorBidi"/>
          <w:b w:val="0"/>
          <w:noProof/>
          <w:sz w:val="22"/>
          <w:szCs w:val="22"/>
        </w:rPr>
      </w:pPr>
      <w:hyperlink w:anchor="_Toc40435737" w:history="1">
        <w:r w:rsidR="0054188D" w:rsidRPr="006C4182">
          <w:rPr>
            <w:rStyle w:val="Hyperlink"/>
            <w:noProof/>
          </w:rPr>
          <w:t>1.3 Clinical Management</w:t>
        </w:r>
        <w:r w:rsidR="0054188D">
          <w:rPr>
            <w:noProof/>
            <w:webHidden/>
          </w:rPr>
          <w:tab/>
        </w:r>
        <w:r w:rsidR="0054188D">
          <w:rPr>
            <w:noProof/>
            <w:webHidden/>
          </w:rPr>
          <w:fldChar w:fldCharType="begin"/>
        </w:r>
        <w:r w:rsidR="0054188D">
          <w:rPr>
            <w:noProof/>
            <w:webHidden/>
          </w:rPr>
          <w:instrText xml:space="preserve"> PAGEREF _Toc40435737 \h </w:instrText>
        </w:r>
        <w:r w:rsidR="0054188D">
          <w:rPr>
            <w:noProof/>
            <w:webHidden/>
          </w:rPr>
        </w:r>
        <w:r w:rsidR="0054188D">
          <w:rPr>
            <w:noProof/>
            <w:webHidden/>
          </w:rPr>
          <w:fldChar w:fldCharType="separate"/>
        </w:r>
        <w:r w:rsidR="0054188D">
          <w:rPr>
            <w:noProof/>
            <w:webHidden/>
          </w:rPr>
          <w:t>4</w:t>
        </w:r>
        <w:r w:rsidR="0054188D">
          <w:rPr>
            <w:noProof/>
            <w:webHidden/>
          </w:rPr>
          <w:fldChar w:fldCharType="end"/>
        </w:r>
      </w:hyperlink>
    </w:p>
    <w:p w14:paraId="5BBC18DC" w14:textId="1E1B2B11" w:rsidR="0054188D" w:rsidRDefault="006D7796">
      <w:pPr>
        <w:pStyle w:val="TOC2"/>
        <w:rPr>
          <w:rFonts w:asciiTheme="minorHAnsi" w:eastAsiaTheme="minorEastAsia" w:hAnsiTheme="minorHAnsi" w:cstheme="minorBidi"/>
          <w:b w:val="0"/>
          <w:noProof/>
          <w:sz w:val="22"/>
          <w:szCs w:val="22"/>
        </w:rPr>
      </w:pPr>
      <w:hyperlink w:anchor="_Toc40435738" w:history="1">
        <w:r w:rsidR="0054188D" w:rsidRPr="006C4182">
          <w:rPr>
            <w:rStyle w:val="Hyperlink"/>
            <w:noProof/>
          </w:rPr>
          <w:t>1.4 Public Health Relevance</w:t>
        </w:r>
        <w:r w:rsidR="0054188D">
          <w:rPr>
            <w:noProof/>
            <w:webHidden/>
          </w:rPr>
          <w:tab/>
        </w:r>
        <w:r w:rsidR="0054188D">
          <w:rPr>
            <w:noProof/>
            <w:webHidden/>
          </w:rPr>
          <w:fldChar w:fldCharType="begin"/>
        </w:r>
        <w:r w:rsidR="0054188D">
          <w:rPr>
            <w:noProof/>
            <w:webHidden/>
          </w:rPr>
          <w:instrText xml:space="preserve"> PAGEREF _Toc40435738 \h </w:instrText>
        </w:r>
        <w:r w:rsidR="0054188D">
          <w:rPr>
            <w:noProof/>
            <w:webHidden/>
          </w:rPr>
        </w:r>
        <w:r w:rsidR="0054188D">
          <w:rPr>
            <w:noProof/>
            <w:webHidden/>
          </w:rPr>
          <w:fldChar w:fldCharType="separate"/>
        </w:r>
        <w:r w:rsidR="0054188D">
          <w:rPr>
            <w:noProof/>
            <w:webHidden/>
          </w:rPr>
          <w:t>5</w:t>
        </w:r>
        <w:r w:rsidR="0054188D">
          <w:rPr>
            <w:noProof/>
            <w:webHidden/>
          </w:rPr>
          <w:fldChar w:fldCharType="end"/>
        </w:r>
      </w:hyperlink>
    </w:p>
    <w:p w14:paraId="5A12A76E" w14:textId="6FF19F86" w:rsidR="0054188D" w:rsidRDefault="006D7796">
      <w:pPr>
        <w:pStyle w:val="TOC1"/>
        <w:rPr>
          <w:rFonts w:asciiTheme="minorHAnsi" w:eastAsiaTheme="minorEastAsia" w:hAnsiTheme="minorHAnsi" w:cstheme="minorBidi"/>
          <w:b w:val="0"/>
          <w:noProof/>
          <w:sz w:val="22"/>
          <w:szCs w:val="22"/>
        </w:rPr>
      </w:pPr>
      <w:hyperlink w:anchor="_Toc40435739" w:history="1">
        <w:r w:rsidR="0054188D" w:rsidRPr="006C4182">
          <w:rPr>
            <w:rStyle w:val="Hyperlink"/>
            <w:noProof/>
            <w14:scene3d>
              <w14:camera w14:prst="orthographicFront"/>
              <w14:lightRig w14:rig="threePt" w14:dir="t">
                <w14:rot w14:lat="0" w14:lon="0" w14:rev="0"/>
              </w14:lightRig>
            </w14:scene3d>
          </w:rPr>
          <w:t>2.0</w:t>
        </w:r>
        <w:r w:rsidR="0054188D" w:rsidRPr="006C4182">
          <w:rPr>
            <w:rStyle w:val="Hyperlink"/>
            <w:noProof/>
          </w:rPr>
          <w:t xml:space="preserve"> Immunopathogenesis of SLE</w:t>
        </w:r>
        <w:r w:rsidR="0054188D">
          <w:rPr>
            <w:noProof/>
            <w:webHidden/>
          </w:rPr>
          <w:tab/>
        </w:r>
        <w:r w:rsidR="0054188D">
          <w:rPr>
            <w:noProof/>
            <w:webHidden/>
          </w:rPr>
          <w:fldChar w:fldCharType="begin"/>
        </w:r>
        <w:r w:rsidR="0054188D">
          <w:rPr>
            <w:noProof/>
            <w:webHidden/>
          </w:rPr>
          <w:instrText xml:space="preserve"> PAGEREF _Toc40435739 \h </w:instrText>
        </w:r>
        <w:r w:rsidR="0054188D">
          <w:rPr>
            <w:noProof/>
            <w:webHidden/>
          </w:rPr>
        </w:r>
        <w:r w:rsidR="0054188D">
          <w:rPr>
            <w:noProof/>
            <w:webHidden/>
          </w:rPr>
          <w:fldChar w:fldCharType="separate"/>
        </w:r>
        <w:r w:rsidR="0054188D">
          <w:rPr>
            <w:noProof/>
            <w:webHidden/>
          </w:rPr>
          <w:t>6</w:t>
        </w:r>
        <w:r w:rsidR="0054188D">
          <w:rPr>
            <w:noProof/>
            <w:webHidden/>
          </w:rPr>
          <w:fldChar w:fldCharType="end"/>
        </w:r>
      </w:hyperlink>
    </w:p>
    <w:p w14:paraId="18AE1C4D" w14:textId="01C9E35C" w:rsidR="0054188D" w:rsidRDefault="006D7796">
      <w:pPr>
        <w:pStyle w:val="TOC1"/>
        <w:rPr>
          <w:rFonts w:asciiTheme="minorHAnsi" w:eastAsiaTheme="minorEastAsia" w:hAnsiTheme="minorHAnsi" w:cstheme="minorBidi"/>
          <w:b w:val="0"/>
          <w:noProof/>
          <w:sz w:val="22"/>
          <w:szCs w:val="22"/>
        </w:rPr>
      </w:pPr>
      <w:hyperlink w:anchor="_Toc40435740" w:history="1">
        <w:r w:rsidR="0054188D" w:rsidRPr="006C4182">
          <w:rPr>
            <w:rStyle w:val="Hyperlink"/>
            <w:noProof/>
            <w14:scene3d>
              <w14:camera w14:prst="orthographicFront"/>
              <w14:lightRig w14:rig="threePt" w14:dir="t">
                <w14:rot w14:lat="0" w14:lon="0" w14:rev="0"/>
              </w14:lightRig>
            </w14:scene3d>
          </w:rPr>
          <w:t>3.0</w:t>
        </w:r>
        <w:r w:rsidR="0054188D" w:rsidRPr="006C4182">
          <w:rPr>
            <w:rStyle w:val="Hyperlink"/>
            <w:noProof/>
          </w:rPr>
          <w:t xml:space="preserve"> Genetics of SLE</w:t>
        </w:r>
        <w:r w:rsidR="0054188D">
          <w:rPr>
            <w:noProof/>
            <w:webHidden/>
          </w:rPr>
          <w:tab/>
        </w:r>
        <w:r w:rsidR="0054188D">
          <w:rPr>
            <w:noProof/>
            <w:webHidden/>
          </w:rPr>
          <w:fldChar w:fldCharType="begin"/>
        </w:r>
        <w:r w:rsidR="0054188D">
          <w:rPr>
            <w:noProof/>
            <w:webHidden/>
          </w:rPr>
          <w:instrText xml:space="preserve"> PAGEREF _Toc40435740 \h </w:instrText>
        </w:r>
        <w:r w:rsidR="0054188D">
          <w:rPr>
            <w:noProof/>
            <w:webHidden/>
          </w:rPr>
        </w:r>
        <w:r w:rsidR="0054188D">
          <w:rPr>
            <w:noProof/>
            <w:webHidden/>
          </w:rPr>
          <w:fldChar w:fldCharType="separate"/>
        </w:r>
        <w:r w:rsidR="0054188D">
          <w:rPr>
            <w:noProof/>
            <w:webHidden/>
          </w:rPr>
          <w:t>7</w:t>
        </w:r>
        <w:r w:rsidR="0054188D">
          <w:rPr>
            <w:noProof/>
            <w:webHidden/>
          </w:rPr>
          <w:fldChar w:fldCharType="end"/>
        </w:r>
      </w:hyperlink>
    </w:p>
    <w:p w14:paraId="6A807AAE" w14:textId="31787A43" w:rsidR="0054188D" w:rsidRDefault="006D7796">
      <w:pPr>
        <w:pStyle w:val="TOC1"/>
        <w:rPr>
          <w:rFonts w:asciiTheme="minorHAnsi" w:eastAsiaTheme="minorEastAsia" w:hAnsiTheme="minorHAnsi" w:cstheme="minorBidi"/>
          <w:b w:val="0"/>
          <w:noProof/>
          <w:sz w:val="22"/>
          <w:szCs w:val="22"/>
        </w:rPr>
      </w:pPr>
      <w:hyperlink w:anchor="_Toc40435741" w:history="1">
        <w:r w:rsidR="0054188D" w:rsidRPr="006C4182">
          <w:rPr>
            <w:rStyle w:val="Hyperlink"/>
            <w:noProof/>
            <w14:scene3d>
              <w14:camera w14:prst="orthographicFront"/>
              <w14:lightRig w14:rig="threePt" w14:dir="t">
                <w14:rot w14:lat="0" w14:lon="0" w14:rev="0"/>
              </w14:lightRig>
            </w14:scene3d>
          </w:rPr>
          <w:t>4.0</w:t>
        </w:r>
        <w:r w:rsidR="0054188D" w:rsidRPr="006C4182">
          <w:rPr>
            <w:rStyle w:val="Hyperlink"/>
            <w:noProof/>
          </w:rPr>
          <w:t xml:space="preserve"> LTA/TNF/LTB Gene Cluster on Chromosome 6p21 and immunological functions of encoded proteins</w:t>
        </w:r>
        <w:r w:rsidR="0054188D">
          <w:rPr>
            <w:noProof/>
            <w:webHidden/>
          </w:rPr>
          <w:tab/>
        </w:r>
        <w:r w:rsidR="0054188D">
          <w:rPr>
            <w:noProof/>
            <w:webHidden/>
          </w:rPr>
          <w:fldChar w:fldCharType="begin"/>
        </w:r>
        <w:r w:rsidR="0054188D">
          <w:rPr>
            <w:noProof/>
            <w:webHidden/>
          </w:rPr>
          <w:instrText xml:space="preserve"> PAGEREF _Toc40435741 \h </w:instrText>
        </w:r>
        <w:r w:rsidR="0054188D">
          <w:rPr>
            <w:noProof/>
            <w:webHidden/>
          </w:rPr>
        </w:r>
        <w:r w:rsidR="0054188D">
          <w:rPr>
            <w:noProof/>
            <w:webHidden/>
          </w:rPr>
          <w:fldChar w:fldCharType="separate"/>
        </w:r>
        <w:r w:rsidR="0054188D">
          <w:rPr>
            <w:noProof/>
            <w:webHidden/>
          </w:rPr>
          <w:t>9</w:t>
        </w:r>
        <w:r w:rsidR="0054188D">
          <w:rPr>
            <w:noProof/>
            <w:webHidden/>
          </w:rPr>
          <w:fldChar w:fldCharType="end"/>
        </w:r>
      </w:hyperlink>
    </w:p>
    <w:p w14:paraId="5DEF54B4" w14:textId="29E2E689" w:rsidR="0054188D" w:rsidRDefault="006D7796">
      <w:pPr>
        <w:pStyle w:val="TOC1"/>
        <w:rPr>
          <w:rFonts w:asciiTheme="minorHAnsi" w:eastAsiaTheme="minorEastAsia" w:hAnsiTheme="minorHAnsi" w:cstheme="minorBidi"/>
          <w:b w:val="0"/>
          <w:noProof/>
          <w:sz w:val="22"/>
          <w:szCs w:val="22"/>
        </w:rPr>
      </w:pPr>
      <w:hyperlink w:anchor="_Toc40435742" w:history="1">
        <w:r w:rsidR="0054188D" w:rsidRPr="006C4182">
          <w:rPr>
            <w:rStyle w:val="Hyperlink"/>
            <w:noProof/>
            <w14:scene3d>
              <w14:camera w14:prst="orthographicFront"/>
              <w14:lightRig w14:rig="threePt" w14:dir="t">
                <w14:rot w14:lat="0" w14:lon="0" w14:rev="0"/>
              </w14:lightRig>
            </w14:scene3d>
          </w:rPr>
          <w:t>5.0</w:t>
        </w:r>
        <w:r w:rsidR="0054188D" w:rsidRPr="006C4182">
          <w:rPr>
            <w:rStyle w:val="Hyperlink"/>
            <w:noProof/>
          </w:rPr>
          <w:t xml:space="preserve"> Study Objective and Specific Aims</w:t>
        </w:r>
        <w:r w:rsidR="0054188D">
          <w:rPr>
            <w:noProof/>
            <w:webHidden/>
          </w:rPr>
          <w:tab/>
        </w:r>
        <w:r w:rsidR="0054188D">
          <w:rPr>
            <w:noProof/>
            <w:webHidden/>
          </w:rPr>
          <w:fldChar w:fldCharType="begin"/>
        </w:r>
        <w:r w:rsidR="0054188D">
          <w:rPr>
            <w:noProof/>
            <w:webHidden/>
          </w:rPr>
          <w:instrText xml:space="preserve"> PAGEREF _Toc40435742 \h </w:instrText>
        </w:r>
        <w:r w:rsidR="0054188D">
          <w:rPr>
            <w:noProof/>
            <w:webHidden/>
          </w:rPr>
        </w:r>
        <w:r w:rsidR="0054188D">
          <w:rPr>
            <w:noProof/>
            <w:webHidden/>
          </w:rPr>
          <w:fldChar w:fldCharType="separate"/>
        </w:r>
        <w:r w:rsidR="0054188D">
          <w:rPr>
            <w:noProof/>
            <w:webHidden/>
          </w:rPr>
          <w:t>12</w:t>
        </w:r>
        <w:r w:rsidR="0054188D">
          <w:rPr>
            <w:noProof/>
            <w:webHidden/>
          </w:rPr>
          <w:fldChar w:fldCharType="end"/>
        </w:r>
      </w:hyperlink>
    </w:p>
    <w:p w14:paraId="41916205" w14:textId="1723F96E" w:rsidR="0054188D" w:rsidRDefault="006D7796">
      <w:pPr>
        <w:pStyle w:val="TOC1"/>
        <w:rPr>
          <w:rFonts w:asciiTheme="minorHAnsi" w:eastAsiaTheme="minorEastAsia" w:hAnsiTheme="minorHAnsi" w:cstheme="minorBidi"/>
          <w:b w:val="0"/>
          <w:noProof/>
          <w:sz w:val="22"/>
          <w:szCs w:val="22"/>
        </w:rPr>
      </w:pPr>
      <w:hyperlink w:anchor="_Toc40435743" w:history="1">
        <w:r w:rsidR="0054188D" w:rsidRPr="006C4182">
          <w:rPr>
            <w:rStyle w:val="Hyperlink"/>
            <w:noProof/>
            <w14:scene3d>
              <w14:camera w14:prst="orthographicFront"/>
              <w14:lightRig w14:rig="threePt" w14:dir="t">
                <w14:rot w14:lat="0" w14:lon="0" w14:rev="0"/>
              </w14:lightRig>
            </w14:scene3d>
          </w:rPr>
          <w:t>6.0</w:t>
        </w:r>
        <w:r w:rsidR="0054188D" w:rsidRPr="006C4182">
          <w:rPr>
            <w:rStyle w:val="Hyperlink"/>
            <w:noProof/>
          </w:rPr>
          <w:t xml:space="preserve"> Methods</w:t>
        </w:r>
        <w:r w:rsidR="0054188D">
          <w:rPr>
            <w:noProof/>
            <w:webHidden/>
          </w:rPr>
          <w:tab/>
        </w:r>
        <w:r w:rsidR="0054188D">
          <w:rPr>
            <w:noProof/>
            <w:webHidden/>
          </w:rPr>
          <w:fldChar w:fldCharType="begin"/>
        </w:r>
        <w:r w:rsidR="0054188D">
          <w:rPr>
            <w:noProof/>
            <w:webHidden/>
          </w:rPr>
          <w:instrText xml:space="preserve"> PAGEREF _Toc40435743 \h </w:instrText>
        </w:r>
        <w:r w:rsidR="0054188D">
          <w:rPr>
            <w:noProof/>
            <w:webHidden/>
          </w:rPr>
        </w:r>
        <w:r w:rsidR="0054188D">
          <w:rPr>
            <w:noProof/>
            <w:webHidden/>
          </w:rPr>
          <w:fldChar w:fldCharType="separate"/>
        </w:r>
        <w:r w:rsidR="0054188D">
          <w:rPr>
            <w:noProof/>
            <w:webHidden/>
          </w:rPr>
          <w:t>13</w:t>
        </w:r>
        <w:r w:rsidR="0054188D">
          <w:rPr>
            <w:noProof/>
            <w:webHidden/>
          </w:rPr>
          <w:fldChar w:fldCharType="end"/>
        </w:r>
      </w:hyperlink>
    </w:p>
    <w:p w14:paraId="016A317D" w14:textId="3BF6D2BC" w:rsidR="0054188D" w:rsidRDefault="006D7796">
      <w:pPr>
        <w:pStyle w:val="TOC1"/>
        <w:rPr>
          <w:rFonts w:asciiTheme="minorHAnsi" w:eastAsiaTheme="minorEastAsia" w:hAnsiTheme="minorHAnsi" w:cstheme="minorBidi"/>
          <w:b w:val="0"/>
          <w:noProof/>
          <w:sz w:val="22"/>
          <w:szCs w:val="22"/>
        </w:rPr>
      </w:pPr>
      <w:hyperlink w:anchor="_Toc40435744" w:history="1">
        <w:r w:rsidR="0054188D" w:rsidRPr="006C4182">
          <w:rPr>
            <w:rStyle w:val="Hyperlink"/>
            <w:noProof/>
            <w14:scene3d>
              <w14:camera w14:prst="orthographicFront"/>
              <w14:lightRig w14:rig="threePt" w14:dir="t">
                <w14:rot w14:lat="0" w14:lon="0" w14:rev="0"/>
              </w14:lightRig>
            </w14:scene3d>
          </w:rPr>
          <w:t>7.0</w:t>
        </w:r>
        <w:r w:rsidR="0054188D" w:rsidRPr="006C4182">
          <w:rPr>
            <w:rStyle w:val="Hyperlink"/>
            <w:noProof/>
          </w:rPr>
          <w:t xml:space="preserve"> Results</w:t>
        </w:r>
        <w:r w:rsidR="0054188D">
          <w:rPr>
            <w:noProof/>
            <w:webHidden/>
          </w:rPr>
          <w:tab/>
        </w:r>
        <w:r w:rsidR="0054188D">
          <w:rPr>
            <w:noProof/>
            <w:webHidden/>
          </w:rPr>
          <w:fldChar w:fldCharType="begin"/>
        </w:r>
        <w:r w:rsidR="0054188D">
          <w:rPr>
            <w:noProof/>
            <w:webHidden/>
          </w:rPr>
          <w:instrText xml:space="preserve"> PAGEREF _Toc40435744 \h </w:instrText>
        </w:r>
        <w:r w:rsidR="0054188D">
          <w:rPr>
            <w:noProof/>
            <w:webHidden/>
          </w:rPr>
        </w:r>
        <w:r w:rsidR="0054188D">
          <w:rPr>
            <w:noProof/>
            <w:webHidden/>
          </w:rPr>
          <w:fldChar w:fldCharType="separate"/>
        </w:r>
        <w:r w:rsidR="0054188D">
          <w:rPr>
            <w:noProof/>
            <w:webHidden/>
          </w:rPr>
          <w:t>15</w:t>
        </w:r>
        <w:r w:rsidR="0054188D">
          <w:rPr>
            <w:noProof/>
            <w:webHidden/>
          </w:rPr>
          <w:fldChar w:fldCharType="end"/>
        </w:r>
      </w:hyperlink>
    </w:p>
    <w:p w14:paraId="61F92974" w14:textId="28A8CBCB" w:rsidR="0054188D" w:rsidRDefault="006D7796">
      <w:pPr>
        <w:pStyle w:val="TOC2"/>
        <w:rPr>
          <w:rFonts w:asciiTheme="minorHAnsi" w:eastAsiaTheme="minorEastAsia" w:hAnsiTheme="minorHAnsi" w:cstheme="minorBidi"/>
          <w:b w:val="0"/>
          <w:noProof/>
          <w:sz w:val="22"/>
          <w:szCs w:val="22"/>
        </w:rPr>
      </w:pPr>
      <w:hyperlink w:anchor="_Toc40435745" w:history="1">
        <w:r w:rsidR="0054188D" w:rsidRPr="006C4182">
          <w:rPr>
            <w:rStyle w:val="Hyperlink"/>
            <w:noProof/>
          </w:rPr>
          <w:t>7.1 Single-Site Association Analysis</w:t>
        </w:r>
        <w:r w:rsidR="0054188D">
          <w:rPr>
            <w:noProof/>
            <w:webHidden/>
          </w:rPr>
          <w:tab/>
        </w:r>
        <w:r w:rsidR="0054188D">
          <w:rPr>
            <w:noProof/>
            <w:webHidden/>
          </w:rPr>
          <w:fldChar w:fldCharType="begin"/>
        </w:r>
        <w:r w:rsidR="0054188D">
          <w:rPr>
            <w:noProof/>
            <w:webHidden/>
          </w:rPr>
          <w:instrText xml:space="preserve"> PAGEREF _Toc40435745 \h </w:instrText>
        </w:r>
        <w:r w:rsidR="0054188D">
          <w:rPr>
            <w:noProof/>
            <w:webHidden/>
          </w:rPr>
        </w:r>
        <w:r w:rsidR="0054188D">
          <w:rPr>
            <w:noProof/>
            <w:webHidden/>
          </w:rPr>
          <w:fldChar w:fldCharType="separate"/>
        </w:r>
        <w:r w:rsidR="0054188D">
          <w:rPr>
            <w:noProof/>
            <w:webHidden/>
          </w:rPr>
          <w:t>17</w:t>
        </w:r>
        <w:r w:rsidR="0054188D">
          <w:rPr>
            <w:noProof/>
            <w:webHidden/>
          </w:rPr>
          <w:fldChar w:fldCharType="end"/>
        </w:r>
      </w:hyperlink>
    </w:p>
    <w:p w14:paraId="2EB824F4" w14:textId="66CC9AAD" w:rsidR="0054188D" w:rsidRDefault="006D7796">
      <w:pPr>
        <w:pStyle w:val="TOC2"/>
        <w:rPr>
          <w:rFonts w:asciiTheme="minorHAnsi" w:eastAsiaTheme="minorEastAsia" w:hAnsiTheme="minorHAnsi" w:cstheme="minorBidi"/>
          <w:b w:val="0"/>
          <w:noProof/>
          <w:sz w:val="22"/>
          <w:szCs w:val="22"/>
        </w:rPr>
      </w:pPr>
      <w:hyperlink w:anchor="_Toc40435746" w:history="1">
        <w:r w:rsidR="0054188D" w:rsidRPr="006C4182">
          <w:rPr>
            <w:rStyle w:val="Hyperlink"/>
            <w:noProof/>
          </w:rPr>
          <w:t>7.2 Haplotype Analysis of SLE-associated SNPs</w:t>
        </w:r>
        <w:r w:rsidR="0054188D">
          <w:rPr>
            <w:noProof/>
            <w:webHidden/>
          </w:rPr>
          <w:tab/>
        </w:r>
        <w:r w:rsidR="0054188D">
          <w:rPr>
            <w:noProof/>
            <w:webHidden/>
          </w:rPr>
          <w:fldChar w:fldCharType="begin"/>
        </w:r>
        <w:r w:rsidR="0054188D">
          <w:rPr>
            <w:noProof/>
            <w:webHidden/>
          </w:rPr>
          <w:instrText xml:space="preserve"> PAGEREF _Toc40435746 \h </w:instrText>
        </w:r>
        <w:r w:rsidR="0054188D">
          <w:rPr>
            <w:noProof/>
            <w:webHidden/>
          </w:rPr>
        </w:r>
        <w:r w:rsidR="0054188D">
          <w:rPr>
            <w:noProof/>
            <w:webHidden/>
          </w:rPr>
          <w:fldChar w:fldCharType="separate"/>
        </w:r>
        <w:r w:rsidR="0054188D">
          <w:rPr>
            <w:noProof/>
            <w:webHidden/>
          </w:rPr>
          <w:t>18</w:t>
        </w:r>
        <w:r w:rsidR="0054188D">
          <w:rPr>
            <w:noProof/>
            <w:webHidden/>
          </w:rPr>
          <w:fldChar w:fldCharType="end"/>
        </w:r>
      </w:hyperlink>
    </w:p>
    <w:p w14:paraId="696E7377" w14:textId="5C09C2FA" w:rsidR="0054188D" w:rsidRDefault="006D7796">
      <w:pPr>
        <w:pStyle w:val="TOC2"/>
        <w:rPr>
          <w:rFonts w:asciiTheme="minorHAnsi" w:eastAsiaTheme="minorEastAsia" w:hAnsiTheme="minorHAnsi" w:cstheme="minorBidi"/>
          <w:b w:val="0"/>
          <w:noProof/>
          <w:sz w:val="22"/>
          <w:szCs w:val="22"/>
        </w:rPr>
      </w:pPr>
      <w:hyperlink w:anchor="_Toc40435747" w:history="1">
        <w:r w:rsidR="0054188D" w:rsidRPr="006C4182">
          <w:rPr>
            <w:rStyle w:val="Hyperlink"/>
            <w:noProof/>
          </w:rPr>
          <w:t>7.3 Functional Assessment of SLE-associated SNPs</w:t>
        </w:r>
        <w:r w:rsidR="0054188D">
          <w:rPr>
            <w:noProof/>
            <w:webHidden/>
          </w:rPr>
          <w:tab/>
        </w:r>
        <w:r w:rsidR="0054188D">
          <w:rPr>
            <w:noProof/>
            <w:webHidden/>
          </w:rPr>
          <w:fldChar w:fldCharType="begin"/>
        </w:r>
        <w:r w:rsidR="0054188D">
          <w:rPr>
            <w:noProof/>
            <w:webHidden/>
          </w:rPr>
          <w:instrText xml:space="preserve"> PAGEREF _Toc40435747 \h </w:instrText>
        </w:r>
        <w:r w:rsidR="0054188D">
          <w:rPr>
            <w:noProof/>
            <w:webHidden/>
          </w:rPr>
        </w:r>
        <w:r w:rsidR="0054188D">
          <w:rPr>
            <w:noProof/>
            <w:webHidden/>
          </w:rPr>
          <w:fldChar w:fldCharType="separate"/>
        </w:r>
        <w:r w:rsidR="0054188D">
          <w:rPr>
            <w:noProof/>
            <w:webHidden/>
          </w:rPr>
          <w:t>18</w:t>
        </w:r>
        <w:r w:rsidR="0054188D">
          <w:rPr>
            <w:noProof/>
            <w:webHidden/>
          </w:rPr>
          <w:fldChar w:fldCharType="end"/>
        </w:r>
      </w:hyperlink>
    </w:p>
    <w:p w14:paraId="4D50795E" w14:textId="7A3C0FBD" w:rsidR="0054188D" w:rsidRDefault="006D7796">
      <w:pPr>
        <w:pStyle w:val="TOC1"/>
        <w:rPr>
          <w:rFonts w:asciiTheme="minorHAnsi" w:eastAsiaTheme="minorEastAsia" w:hAnsiTheme="minorHAnsi" w:cstheme="minorBidi"/>
          <w:b w:val="0"/>
          <w:noProof/>
          <w:sz w:val="22"/>
          <w:szCs w:val="22"/>
        </w:rPr>
      </w:pPr>
      <w:hyperlink w:anchor="_Toc40435748" w:history="1">
        <w:r w:rsidR="0054188D" w:rsidRPr="006C4182">
          <w:rPr>
            <w:rStyle w:val="Hyperlink"/>
            <w:noProof/>
            <w14:scene3d>
              <w14:camera w14:prst="orthographicFront"/>
              <w14:lightRig w14:rig="threePt" w14:dir="t">
                <w14:rot w14:lat="0" w14:lon="0" w14:rev="0"/>
              </w14:lightRig>
            </w14:scene3d>
          </w:rPr>
          <w:t>8.0</w:t>
        </w:r>
        <w:r w:rsidR="0054188D" w:rsidRPr="006C4182">
          <w:rPr>
            <w:rStyle w:val="Hyperlink"/>
            <w:noProof/>
          </w:rPr>
          <w:t xml:space="preserve"> Discussion</w:t>
        </w:r>
        <w:r w:rsidR="0054188D">
          <w:rPr>
            <w:noProof/>
            <w:webHidden/>
          </w:rPr>
          <w:tab/>
        </w:r>
        <w:r w:rsidR="0054188D">
          <w:rPr>
            <w:noProof/>
            <w:webHidden/>
          </w:rPr>
          <w:fldChar w:fldCharType="begin"/>
        </w:r>
        <w:r w:rsidR="0054188D">
          <w:rPr>
            <w:noProof/>
            <w:webHidden/>
          </w:rPr>
          <w:instrText xml:space="preserve"> PAGEREF _Toc40435748 \h </w:instrText>
        </w:r>
        <w:r w:rsidR="0054188D">
          <w:rPr>
            <w:noProof/>
            <w:webHidden/>
          </w:rPr>
        </w:r>
        <w:r w:rsidR="0054188D">
          <w:rPr>
            <w:noProof/>
            <w:webHidden/>
          </w:rPr>
          <w:fldChar w:fldCharType="separate"/>
        </w:r>
        <w:r w:rsidR="0054188D">
          <w:rPr>
            <w:noProof/>
            <w:webHidden/>
          </w:rPr>
          <w:t>20</w:t>
        </w:r>
        <w:r w:rsidR="0054188D">
          <w:rPr>
            <w:noProof/>
            <w:webHidden/>
          </w:rPr>
          <w:fldChar w:fldCharType="end"/>
        </w:r>
      </w:hyperlink>
    </w:p>
    <w:p w14:paraId="234CDC86" w14:textId="230C77AD" w:rsidR="0054188D" w:rsidRDefault="006D7796">
      <w:pPr>
        <w:pStyle w:val="TOC1"/>
        <w:rPr>
          <w:rFonts w:asciiTheme="minorHAnsi" w:eastAsiaTheme="minorEastAsia" w:hAnsiTheme="minorHAnsi" w:cstheme="minorBidi"/>
          <w:b w:val="0"/>
          <w:noProof/>
          <w:sz w:val="22"/>
          <w:szCs w:val="22"/>
        </w:rPr>
      </w:pPr>
      <w:hyperlink w:anchor="_Toc40435749" w:history="1">
        <w:r w:rsidR="0054188D" w:rsidRPr="006C4182">
          <w:rPr>
            <w:rStyle w:val="Hyperlink"/>
            <w:noProof/>
          </w:rPr>
          <w:t>Bibliography</w:t>
        </w:r>
        <w:r w:rsidR="0054188D">
          <w:rPr>
            <w:noProof/>
            <w:webHidden/>
          </w:rPr>
          <w:tab/>
        </w:r>
        <w:r w:rsidR="0054188D">
          <w:rPr>
            <w:noProof/>
            <w:webHidden/>
          </w:rPr>
          <w:fldChar w:fldCharType="begin"/>
        </w:r>
        <w:r w:rsidR="0054188D">
          <w:rPr>
            <w:noProof/>
            <w:webHidden/>
          </w:rPr>
          <w:instrText xml:space="preserve"> PAGEREF _Toc40435749 \h </w:instrText>
        </w:r>
        <w:r w:rsidR="0054188D">
          <w:rPr>
            <w:noProof/>
            <w:webHidden/>
          </w:rPr>
        </w:r>
        <w:r w:rsidR="0054188D">
          <w:rPr>
            <w:noProof/>
            <w:webHidden/>
          </w:rPr>
          <w:fldChar w:fldCharType="separate"/>
        </w:r>
        <w:r w:rsidR="0054188D">
          <w:rPr>
            <w:noProof/>
            <w:webHidden/>
          </w:rPr>
          <w:t>24</w:t>
        </w:r>
        <w:r w:rsidR="0054188D">
          <w:rPr>
            <w:noProof/>
            <w:webHidden/>
          </w:rPr>
          <w:fldChar w:fldCharType="end"/>
        </w:r>
      </w:hyperlink>
    </w:p>
    <w:p w14:paraId="30789759" w14:textId="77777777" w:rsidR="00CB03F9" w:rsidRDefault="00A8146F" w:rsidP="00905848">
      <w:pPr>
        <w:pStyle w:val="Preliminary"/>
      </w:pPr>
      <w:r>
        <w:rPr>
          <w:rFonts w:cs="Times New Roman"/>
        </w:rPr>
        <w:lastRenderedPageBreak/>
        <w:fldChar w:fldCharType="end"/>
      </w:r>
      <w:r w:rsidR="00CB03F9">
        <w:t xml:space="preserve">List of </w:t>
      </w:r>
      <w:r w:rsidR="00130B6B">
        <w:t>T</w:t>
      </w:r>
      <w:r w:rsidR="00CB03F9" w:rsidRPr="00B424B6">
        <w:t>ables</w:t>
      </w:r>
    </w:p>
    <w:p w14:paraId="657470D9" w14:textId="37F3C3F2" w:rsidR="0054188D" w:rsidRDefault="00CB03F9">
      <w:pPr>
        <w:pStyle w:val="TableofFigures"/>
        <w:tabs>
          <w:tab w:val="right" w:leader="dot" w:pos="9350"/>
        </w:tabs>
        <w:rPr>
          <w:rFonts w:asciiTheme="minorHAnsi" w:eastAsiaTheme="minorEastAsia" w:hAnsiTheme="minorHAnsi" w:cstheme="minorBidi"/>
          <w:b w:val="0"/>
          <w:noProof/>
          <w:sz w:val="22"/>
          <w:szCs w:val="22"/>
        </w:rPr>
      </w:pPr>
      <w:r>
        <w:fldChar w:fldCharType="begin"/>
      </w:r>
      <w:r>
        <w:instrText xml:space="preserve"> TOC \h \z \c "Table" </w:instrText>
      </w:r>
      <w:r>
        <w:fldChar w:fldCharType="separate"/>
      </w:r>
      <w:hyperlink w:anchor="_Toc40435750" w:history="1">
        <w:r w:rsidR="0054188D" w:rsidRPr="00F4431B">
          <w:rPr>
            <w:rStyle w:val="Hyperlink"/>
            <w:noProof/>
          </w:rPr>
          <w:t>Table 1 American College of Rheumatology (ACR) classification criteria for SLE*</w:t>
        </w:r>
        <w:r w:rsidR="0054188D">
          <w:rPr>
            <w:noProof/>
            <w:webHidden/>
          </w:rPr>
          <w:tab/>
        </w:r>
        <w:r w:rsidR="0054188D">
          <w:rPr>
            <w:noProof/>
            <w:webHidden/>
          </w:rPr>
          <w:fldChar w:fldCharType="begin"/>
        </w:r>
        <w:r w:rsidR="0054188D">
          <w:rPr>
            <w:noProof/>
            <w:webHidden/>
          </w:rPr>
          <w:instrText xml:space="preserve"> PAGEREF _Toc40435750 \h </w:instrText>
        </w:r>
        <w:r w:rsidR="0054188D">
          <w:rPr>
            <w:noProof/>
            <w:webHidden/>
          </w:rPr>
        </w:r>
        <w:r w:rsidR="0054188D">
          <w:rPr>
            <w:noProof/>
            <w:webHidden/>
          </w:rPr>
          <w:fldChar w:fldCharType="separate"/>
        </w:r>
        <w:r w:rsidR="0054188D">
          <w:rPr>
            <w:noProof/>
            <w:webHidden/>
          </w:rPr>
          <w:t>2</w:t>
        </w:r>
        <w:r w:rsidR="0054188D">
          <w:rPr>
            <w:noProof/>
            <w:webHidden/>
          </w:rPr>
          <w:fldChar w:fldCharType="end"/>
        </w:r>
      </w:hyperlink>
    </w:p>
    <w:p w14:paraId="3F1A1065" w14:textId="2F090CF5" w:rsidR="0054188D" w:rsidRDefault="006D7796">
      <w:pPr>
        <w:pStyle w:val="TableofFigures"/>
        <w:tabs>
          <w:tab w:val="right" w:leader="dot" w:pos="9350"/>
        </w:tabs>
        <w:rPr>
          <w:rFonts w:asciiTheme="minorHAnsi" w:eastAsiaTheme="minorEastAsia" w:hAnsiTheme="minorHAnsi" w:cstheme="minorBidi"/>
          <w:b w:val="0"/>
          <w:noProof/>
          <w:sz w:val="22"/>
          <w:szCs w:val="22"/>
        </w:rPr>
      </w:pPr>
      <w:hyperlink w:anchor="_Toc40435751" w:history="1">
        <w:r w:rsidR="0054188D" w:rsidRPr="00F4431B">
          <w:rPr>
            <w:rStyle w:val="Hyperlink"/>
            <w:noProof/>
          </w:rPr>
          <w:t>Table 2 Systemic Lupus International Collaborating Clinics (SLICC) classification criteria for SLE*</w:t>
        </w:r>
        <w:r w:rsidR="0054188D">
          <w:rPr>
            <w:noProof/>
            <w:webHidden/>
          </w:rPr>
          <w:tab/>
        </w:r>
        <w:r w:rsidR="0054188D">
          <w:rPr>
            <w:noProof/>
            <w:webHidden/>
          </w:rPr>
          <w:fldChar w:fldCharType="begin"/>
        </w:r>
        <w:r w:rsidR="0054188D">
          <w:rPr>
            <w:noProof/>
            <w:webHidden/>
          </w:rPr>
          <w:instrText xml:space="preserve"> PAGEREF _Toc40435751 \h </w:instrText>
        </w:r>
        <w:r w:rsidR="0054188D">
          <w:rPr>
            <w:noProof/>
            <w:webHidden/>
          </w:rPr>
        </w:r>
        <w:r w:rsidR="0054188D">
          <w:rPr>
            <w:noProof/>
            <w:webHidden/>
          </w:rPr>
          <w:fldChar w:fldCharType="separate"/>
        </w:r>
        <w:r w:rsidR="0054188D">
          <w:rPr>
            <w:noProof/>
            <w:webHidden/>
          </w:rPr>
          <w:t>3</w:t>
        </w:r>
        <w:r w:rsidR="0054188D">
          <w:rPr>
            <w:noProof/>
            <w:webHidden/>
          </w:rPr>
          <w:fldChar w:fldCharType="end"/>
        </w:r>
      </w:hyperlink>
    </w:p>
    <w:p w14:paraId="65F3CB2E" w14:textId="6BA10C31" w:rsidR="0054188D" w:rsidRDefault="006D7796">
      <w:pPr>
        <w:pStyle w:val="TableofFigures"/>
        <w:tabs>
          <w:tab w:val="right" w:leader="dot" w:pos="9350"/>
        </w:tabs>
        <w:rPr>
          <w:rFonts w:asciiTheme="minorHAnsi" w:eastAsiaTheme="minorEastAsia" w:hAnsiTheme="minorHAnsi" w:cstheme="minorBidi"/>
          <w:b w:val="0"/>
          <w:noProof/>
          <w:sz w:val="22"/>
          <w:szCs w:val="22"/>
        </w:rPr>
      </w:pPr>
      <w:hyperlink w:anchor="_Toc40435752" w:history="1">
        <w:r w:rsidR="0054188D" w:rsidRPr="00F4431B">
          <w:rPr>
            <w:rStyle w:val="Hyperlink"/>
            <w:noProof/>
          </w:rPr>
          <w:t xml:space="preserve">Table 3 The </w:t>
        </w:r>
        <w:r w:rsidR="0054188D" w:rsidRPr="00F4431B">
          <w:rPr>
            <w:rStyle w:val="Hyperlink"/>
            <w:i/>
            <w:noProof/>
          </w:rPr>
          <w:t>LTA/TNF/LTB</w:t>
        </w:r>
        <w:r w:rsidR="0054188D" w:rsidRPr="00F4431B">
          <w:rPr>
            <w:rStyle w:val="Hyperlink"/>
            <w:noProof/>
          </w:rPr>
          <w:t xml:space="preserve"> region SNPs selected for association analysis with SLE</w:t>
        </w:r>
        <w:r w:rsidR="0054188D">
          <w:rPr>
            <w:noProof/>
            <w:webHidden/>
          </w:rPr>
          <w:tab/>
        </w:r>
        <w:r w:rsidR="0054188D">
          <w:rPr>
            <w:noProof/>
            <w:webHidden/>
          </w:rPr>
          <w:fldChar w:fldCharType="begin"/>
        </w:r>
        <w:r w:rsidR="0054188D">
          <w:rPr>
            <w:noProof/>
            <w:webHidden/>
          </w:rPr>
          <w:instrText xml:space="preserve"> PAGEREF _Toc40435752 \h </w:instrText>
        </w:r>
        <w:r w:rsidR="0054188D">
          <w:rPr>
            <w:noProof/>
            <w:webHidden/>
          </w:rPr>
        </w:r>
        <w:r w:rsidR="0054188D">
          <w:rPr>
            <w:noProof/>
            <w:webHidden/>
          </w:rPr>
          <w:fldChar w:fldCharType="separate"/>
        </w:r>
        <w:r w:rsidR="0054188D">
          <w:rPr>
            <w:noProof/>
            <w:webHidden/>
          </w:rPr>
          <w:t>15</w:t>
        </w:r>
        <w:r w:rsidR="0054188D">
          <w:rPr>
            <w:noProof/>
            <w:webHidden/>
          </w:rPr>
          <w:fldChar w:fldCharType="end"/>
        </w:r>
      </w:hyperlink>
    </w:p>
    <w:p w14:paraId="54C69168" w14:textId="79737F58" w:rsidR="0054188D" w:rsidRDefault="006D7796">
      <w:pPr>
        <w:pStyle w:val="TableofFigures"/>
        <w:tabs>
          <w:tab w:val="right" w:leader="dot" w:pos="9350"/>
        </w:tabs>
        <w:rPr>
          <w:rFonts w:asciiTheme="minorHAnsi" w:eastAsiaTheme="minorEastAsia" w:hAnsiTheme="minorHAnsi" w:cstheme="minorBidi"/>
          <w:b w:val="0"/>
          <w:noProof/>
          <w:sz w:val="22"/>
          <w:szCs w:val="22"/>
        </w:rPr>
      </w:pPr>
      <w:hyperlink w:anchor="_Toc40435753" w:history="1">
        <w:r w:rsidR="0054188D" w:rsidRPr="00F4431B">
          <w:rPr>
            <w:rStyle w:val="Hyperlink"/>
            <w:noProof/>
          </w:rPr>
          <w:t>Table 4 Single-site association results for the SNPs of interest in SLE case-control sample</w:t>
        </w:r>
        <w:r w:rsidR="0054188D">
          <w:rPr>
            <w:noProof/>
            <w:webHidden/>
          </w:rPr>
          <w:tab/>
        </w:r>
        <w:r w:rsidR="0054188D">
          <w:rPr>
            <w:noProof/>
            <w:webHidden/>
          </w:rPr>
          <w:fldChar w:fldCharType="begin"/>
        </w:r>
        <w:r w:rsidR="0054188D">
          <w:rPr>
            <w:noProof/>
            <w:webHidden/>
          </w:rPr>
          <w:instrText xml:space="preserve"> PAGEREF _Toc40435753 \h </w:instrText>
        </w:r>
        <w:r w:rsidR="0054188D">
          <w:rPr>
            <w:noProof/>
            <w:webHidden/>
          </w:rPr>
        </w:r>
        <w:r w:rsidR="0054188D">
          <w:rPr>
            <w:noProof/>
            <w:webHidden/>
          </w:rPr>
          <w:fldChar w:fldCharType="separate"/>
        </w:r>
        <w:r w:rsidR="0054188D">
          <w:rPr>
            <w:noProof/>
            <w:webHidden/>
          </w:rPr>
          <w:t>17</w:t>
        </w:r>
        <w:r w:rsidR="0054188D">
          <w:rPr>
            <w:noProof/>
            <w:webHidden/>
          </w:rPr>
          <w:fldChar w:fldCharType="end"/>
        </w:r>
      </w:hyperlink>
    </w:p>
    <w:p w14:paraId="60C5199F" w14:textId="26C73A25" w:rsidR="0054188D" w:rsidRDefault="006D7796">
      <w:pPr>
        <w:pStyle w:val="TableofFigures"/>
        <w:tabs>
          <w:tab w:val="right" w:leader="dot" w:pos="9350"/>
        </w:tabs>
        <w:rPr>
          <w:rFonts w:asciiTheme="minorHAnsi" w:eastAsiaTheme="minorEastAsia" w:hAnsiTheme="minorHAnsi" w:cstheme="minorBidi"/>
          <w:b w:val="0"/>
          <w:noProof/>
          <w:sz w:val="22"/>
          <w:szCs w:val="22"/>
        </w:rPr>
      </w:pPr>
      <w:hyperlink w:anchor="_Toc40435754" w:history="1">
        <w:r w:rsidR="0054188D" w:rsidRPr="00F4431B">
          <w:rPr>
            <w:rStyle w:val="Hyperlink"/>
            <w:noProof/>
          </w:rPr>
          <w:t>Table 5 Two-site haplotype analysis of SLE associaed SNPS (rs 1800683-rs1800629)</w:t>
        </w:r>
        <w:r w:rsidR="0054188D">
          <w:rPr>
            <w:noProof/>
            <w:webHidden/>
          </w:rPr>
          <w:tab/>
        </w:r>
        <w:r w:rsidR="0054188D">
          <w:rPr>
            <w:noProof/>
            <w:webHidden/>
          </w:rPr>
          <w:fldChar w:fldCharType="begin"/>
        </w:r>
        <w:r w:rsidR="0054188D">
          <w:rPr>
            <w:noProof/>
            <w:webHidden/>
          </w:rPr>
          <w:instrText xml:space="preserve"> PAGEREF _Toc40435754 \h </w:instrText>
        </w:r>
        <w:r w:rsidR="0054188D">
          <w:rPr>
            <w:noProof/>
            <w:webHidden/>
          </w:rPr>
        </w:r>
        <w:r w:rsidR="0054188D">
          <w:rPr>
            <w:noProof/>
            <w:webHidden/>
          </w:rPr>
          <w:fldChar w:fldCharType="separate"/>
        </w:r>
        <w:r w:rsidR="0054188D">
          <w:rPr>
            <w:noProof/>
            <w:webHidden/>
          </w:rPr>
          <w:t>18</w:t>
        </w:r>
        <w:r w:rsidR="0054188D">
          <w:rPr>
            <w:noProof/>
            <w:webHidden/>
          </w:rPr>
          <w:fldChar w:fldCharType="end"/>
        </w:r>
      </w:hyperlink>
    </w:p>
    <w:p w14:paraId="123FF26E" w14:textId="22E27A24" w:rsidR="001C7AFC" w:rsidRPr="001C7AFC" w:rsidRDefault="00CB03F9" w:rsidP="00C672EB">
      <w:pPr>
        <w:pStyle w:val="TableofFigures"/>
        <w:tabs>
          <w:tab w:val="right" w:leader="dot" w:pos="9350"/>
        </w:tabs>
        <w:rPr>
          <w:sz w:val="2"/>
          <w:szCs w:val="2"/>
        </w:rPr>
        <w:sectPr w:rsidR="001C7AFC" w:rsidRPr="001C7AFC" w:rsidSect="00107DBF">
          <w:type w:val="continuous"/>
          <w:pgSz w:w="12240" w:h="15840"/>
          <w:pgMar w:top="1440" w:right="1440" w:bottom="1440" w:left="1440" w:header="720" w:footer="720" w:gutter="0"/>
          <w:pgNumType w:fmt="lowerRoman"/>
          <w:cols w:space="720"/>
          <w:docGrid w:linePitch="360"/>
        </w:sectPr>
      </w:pPr>
      <w:r>
        <w:fldChar w:fldCharType="end"/>
      </w:r>
    </w:p>
    <w:p w14:paraId="3F3383CF" w14:textId="440E599C" w:rsidR="00783860" w:rsidRPr="00783860" w:rsidRDefault="001C7AFC" w:rsidP="0054188D">
      <w:pPr>
        <w:pStyle w:val="TableofFigures"/>
        <w:tabs>
          <w:tab w:val="right" w:leader="dot" w:pos="9350"/>
        </w:tabs>
      </w:pPr>
      <w:r>
        <w:fldChar w:fldCharType="begin"/>
      </w:r>
      <w:r>
        <w:instrText xml:space="preserve"> TOC \h \z \c "Appendix Table" </w:instrText>
      </w:r>
      <w:r>
        <w:fldChar w:fldCharType="separate"/>
      </w:r>
    </w:p>
    <w:p w14:paraId="3898793F" w14:textId="4A296AF2" w:rsidR="00783860" w:rsidRPr="00783860" w:rsidRDefault="00783860" w:rsidP="00783860">
      <w:pPr>
        <w:ind w:firstLine="0"/>
        <w:rPr>
          <w:rFonts w:eastAsiaTheme="minorEastAsia"/>
        </w:rPr>
      </w:pPr>
    </w:p>
    <w:p w14:paraId="6581A1F7" w14:textId="77777777" w:rsidR="00C672EB" w:rsidRDefault="001C7AFC" w:rsidP="00C672EB">
      <w:pPr>
        <w:pStyle w:val="TableofFigures"/>
        <w:tabs>
          <w:tab w:val="right" w:leader="dot" w:pos="9350"/>
        </w:tabs>
      </w:pPr>
      <w:r>
        <w:fldChar w:fldCharType="end"/>
      </w:r>
    </w:p>
    <w:p w14:paraId="392F656F" w14:textId="77777777" w:rsidR="001C7AFC" w:rsidRPr="001C7AFC" w:rsidRDefault="001C7AFC" w:rsidP="001C7AFC"/>
    <w:p w14:paraId="6A5331F5" w14:textId="77777777" w:rsidR="00B424B6" w:rsidRDefault="00B424B6" w:rsidP="00EB0892">
      <w:pPr>
        <w:pStyle w:val="Preliminary"/>
      </w:pPr>
      <w:r>
        <w:lastRenderedPageBreak/>
        <w:t xml:space="preserve">List of </w:t>
      </w:r>
      <w:r w:rsidR="00130B6B">
        <w:t>F</w:t>
      </w:r>
      <w:r>
        <w:t>igures</w:t>
      </w:r>
    </w:p>
    <w:p w14:paraId="7E74E06E" w14:textId="5ACB450C" w:rsidR="0054188D" w:rsidRDefault="00B424B6">
      <w:pPr>
        <w:pStyle w:val="TableofFigures"/>
        <w:tabs>
          <w:tab w:val="right" w:leader="dot" w:pos="9350"/>
        </w:tabs>
        <w:rPr>
          <w:rFonts w:asciiTheme="minorHAnsi" w:eastAsiaTheme="minorEastAsia" w:hAnsiTheme="minorHAnsi" w:cstheme="minorBidi"/>
          <w:b w:val="0"/>
          <w:noProof/>
          <w:sz w:val="22"/>
          <w:szCs w:val="22"/>
        </w:rPr>
      </w:pPr>
      <w:r>
        <w:fldChar w:fldCharType="begin"/>
      </w:r>
      <w:r>
        <w:instrText xml:space="preserve"> TOC \h \z \c "Figure" </w:instrText>
      </w:r>
      <w:r>
        <w:fldChar w:fldCharType="separate"/>
      </w:r>
      <w:hyperlink w:anchor="_Toc40435755" w:history="1">
        <w:r w:rsidR="0054188D" w:rsidRPr="00F10E57">
          <w:rPr>
            <w:rStyle w:val="Hyperlink"/>
            <w:noProof/>
          </w:rPr>
          <w:t>Figure 1Genes and immune pathways implicated in SLE susceptibility</w:t>
        </w:r>
        <w:r w:rsidR="0054188D">
          <w:rPr>
            <w:noProof/>
            <w:webHidden/>
          </w:rPr>
          <w:tab/>
        </w:r>
        <w:r w:rsidR="0054188D">
          <w:rPr>
            <w:noProof/>
            <w:webHidden/>
          </w:rPr>
          <w:fldChar w:fldCharType="begin"/>
        </w:r>
        <w:r w:rsidR="0054188D">
          <w:rPr>
            <w:noProof/>
            <w:webHidden/>
          </w:rPr>
          <w:instrText xml:space="preserve"> PAGEREF _Toc40435755 \h </w:instrText>
        </w:r>
        <w:r w:rsidR="0054188D">
          <w:rPr>
            <w:noProof/>
            <w:webHidden/>
          </w:rPr>
        </w:r>
        <w:r w:rsidR="0054188D">
          <w:rPr>
            <w:noProof/>
            <w:webHidden/>
          </w:rPr>
          <w:fldChar w:fldCharType="separate"/>
        </w:r>
        <w:r w:rsidR="0054188D">
          <w:rPr>
            <w:noProof/>
            <w:webHidden/>
          </w:rPr>
          <w:t>7</w:t>
        </w:r>
        <w:r w:rsidR="0054188D">
          <w:rPr>
            <w:noProof/>
            <w:webHidden/>
          </w:rPr>
          <w:fldChar w:fldCharType="end"/>
        </w:r>
      </w:hyperlink>
    </w:p>
    <w:p w14:paraId="64D2CB61" w14:textId="34CE95F6" w:rsidR="0054188D" w:rsidRDefault="006D7796">
      <w:pPr>
        <w:pStyle w:val="TableofFigures"/>
        <w:tabs>
          <w:tab w:val="right" w:leader="dot" w:pos="9350"/>
        </w:tabs>
        <w:rPr>
          <w:rFonts w:asciiTheme="minorHAnsi" w:eastAsiaTheme="minorEastAsia" w:hAnsiTheme="minorHAnsi" w:cstheme="minorBidi"/>
          <w:b w:val="0"/>
          <w:noProof/>
          <w:sz w:val="22"/>
          <w:szCs w:val="22"/>
        </w:rPr>
      </w:pPr>
      <w:hyperlink w:anchor="_Toc40435756" w:history="1">
        <w:r w:rsidR="0054188D" w:rsidRPr="00F10E57">
          <w:rPr>
            <w:rStyle w:val="Hyperlink"/>
            <w:noProof/>
          </w:rPr>
          <w:t>Figure 2 Complicated cellular and molecular network of TNF/LT/LIGHT family members</w:t>
        </w:r>
        <w:r w:rsidR="0054188D">
          <w:rPr>
            <w:noProof/>
            <w:webHidden/>
          </w:rPr>
          <w:tab/>
        </w:r>
        <w:r w:rsidR="0054188D">
          <w:rPr>
            <w:noProof/>
            <w:webHidden/>
          </w:rPr>
          <w:fldChar w:fldCharType="begin"/>
        </w:r>
        <w:r w:rsidR="0054188D">
          <w:rPr>
            <w:noProof/>
            <w:webHidden/>
          </w:rPr>
          <w:instrText xml:space="preserve"> PAGEREF _Toc40435756 \h </w:instrText>
        </w:r>
        <w:r w:rsidR="0054188D">
          <w:rPr>
            <w:noProof/>
            <w:webHidden/>
          </w:rPr>
        </w:r>
        <w:r w:rsidR="0054188D">
          <w:rPr>
            <w:noProof/>
            <w:webHidden/>
          </w:rPr>
          <w:fldChar w:fldCharType="separate"/>
        </w:r>
        <w:r w:rsidR="0054188D">
          <w:rPr>
            <w:noProof/>
            <w:webHidden/>
          </w:rPr>
          <w:t>10</w:t>
        </w:r>
        <w:r w:rsidR="0054188D">
          <w:rPr>
            <w:noProof/>
            <w:webHidden/>
          </w:rPr>
          <w:fldChar w:fldCharType="end"/>
        </w:r>
      </w:hyperlink>
    </w:p>
    <w:p w14:paraId="05D125FA" w14:textId="1A5BC678" w:rsidR="0054188D" w:rsidRDefault="006D7796">
      <w:pPr>
        <w:pStyle w:val="TableofFigures"/>
        <w:tabs>
          <w:tab w:val="right" w:leader="dot" w:pos="9350"/>
        </w:tabs>
        <w:rPr>
          <w:rFonts w:asciiTheme="minorHAnsi" w:eastAsiaTheme="minorEastAsia" w:hAnsiTheme="minorHAnsi" w:cstheme="minorBidi"/>
          <w:b w:val="0"/>
          <w:noProof/>
          <w:sz w:val="22"/>
          <w:szCs w:val="22"/>
        </w:rPr>
      </w:pPr>
      <w:hyperlink w:anchor="_Toc40435757" w:history="1">
        <w:r w:rsidR="0054188D" w:rsidRPr="00F10E57">
          <w:rPr>
            <w:rStyle w:val="Hyperlink"/>
            <w:noProof/>
          </w:rPr>
          <w:t>Figure 3 Location of the SNPs within the LTA/TNF/LTB gene cluster and flanking intergenic regions at 6p21</w:t>
        </w:r>
        <w:r w:rsidR="0054188D">
          <w:rPr>
            <w:noProof/>
            <w:webHidden/>
          </w:rPr>
          <w:tab/>
        </w:r>
        <w:r w:rsidR="0054188D">
          <w:rPr>
            <w:noProof/>
            <w:webHidden/>
          </w:rPr>
          <w:fldChar w:fldCharType="begin"/>
        </w:r>
        <w:r w:rsidR="0054188D">
          <w:rPr>
            <w:noProof/>
            <w:webHidden/>
          </w:rPr>
          <w:instrText xml:space="preserve"> PAGEREF _Toc40435757 \h </w:instrText>
        </w:r>
        <w:r w:rsidR="0054188D">
          <w:rPr>
            <w:noProof/>
            <w:webHidden/>
          </w:rPr>
        </w:r>
        <w:r w:rsidR="0054188D">
          <w:rPr>
            <w:noProof/>
            <w:webHidden/>
          </w:rPr>
          <w:fldChar w:fldCharType="separate"/>
        </w:r>
        <w:r w:rsidR="0054188D">
          <w:rPr>
            <w:noProof/>
            <w:webHidden/>
          </w:rPr>
          <w:t>14</w:t>
        </w:r>
        <w:r w:rsidR="0054188D">
          <w:rPr>
            <w:noProof/>
            <w:webHidden/>
          </w:rPr>
          <w:fldChar w:fldCharType="end"/>
        </w:r>
      </w:hyperlink>
    </w:p>
    <w:p w14:paraId="43AAA436" w14:textId="24363391" w:rsidR="0054188D" w:rsidRDefault="006D7796">
      <w:pPr>
        <w:pStyle w:val="TableofFigures"/>
        <w:tabs>
          <w:tab w:val="right" w:leader="dot" w:pos="9350"/>
        </w:tabs>
        <w:rPr>
          <w:rFonts w:asciiTheme="minorHAnsi" w:eastAsiaTheme="minorEastAsia" w:hAnsiTheme="minorHAnsi" w:cstheme="minorBidi"/>
          <w:b w:val="0"/>
          <w:noProof/>
          <w:sz w:val="22"/>
          <w:szCs w:val="22"/>
        </w:rPr>
      </w:pPr>
      <w:hyperlink w:anchor="_Toc40435758" w:history="1">
        <w:r w:rsidR="0054188D" w:rsidRPr="00F10E57">
          <w:rPr>
            <w:rStyle w:val="Hyperlink"/>
            <w:noProof/>
          </w:rPr>
          <w:t>Figure 4  The LD plot showing the pairwise correlations between the SNPs of interest in the study sample</w:t>
        </w:r>
        <w:r w:rsidR="0054188D">
          <w:rPr>
            <w:noProof/>
            <w:webHidden/>
          </w:rPr>
          <w:tab/>
        </w:r>
        <w:r w:rsidR="0054188D">
          <w:rPr>
            <w:noProof/>
            <w:webHidden/>
          </w:rPr>
          <w:fldChar w:fldCharType="begin"/>
        </w:r>
        <w:r w:rsidR="0054188D">
          <w:rPr>
            <w:noProof/>
            <w:webHidden/>
          </w:rPr>
          <w:instrText xml:space="preserve"> PAGEREF _Toc40435758 \h </w:instrText>
        </w:r>
        <w:r w:rsidR="0054188D">
          <w:rPr>
            <w:noProof/>
            <w:webHidden/>
          </w:rPr>
        </w:r>
        <w:r w:rsidR="0054188D">
          <w:rPr>
            <w:noProof/>
            <w:webHidden/>
          </w:rPr>
          <w:fldChar w:fldCharType="separate"/>
        </w:r>
        <w:r w:rsidR="0054188D">
          <w:rPr>
            <w:noProof/>
            <w:webHidden/>
          </w:rPr>
          <w:t>16</w:t>
        </w:r>
        <w:r w:rsidR="0054188D">
          <w:rPr>
            <w:noProof/>
            <w:webHidden/>
          </w:rPr>
          <w:fldChar w:fldCharType="end"/>
        </w:r>
      </w:hyperlink>
    </w:p>
    <w:p w14:paraId="046A94E5" w14:textId="4F0A9EEC" w:rsidR="0054188D" w:rsidRDefault="006D7796">
      <w:pPr>
        <w:pStyle w:val="TableofFigures"/>
        <w:tabs>
          <w:tab w:val="right" w:leader="dot" w:pos="9350"/>
        </w:tabs>
        <w:rPr>
          <w:rFonts w:asciiTheme="minorHAnsi" w:eastAsiaTheme="minorEastAsia" w:hAnsiTheme="minorHAnsi" w:cstheme="minorBidi"/>
          <w:b w:val="0"/>
          <w:noProof/>
          <w:sz w:val="22"/>
          <w:szCs w:val="22"/>
        </w:rPr>
      </w:pPr>
      <w:hyperlink w:anchor="_Toc40435759" w:history="1">
        <w:r w:rsidR="0054188D" w:rsidRPr="00F10E57">
          <w:rPr>
            <w:rStyle w:val="Hyperlink"/>
            <w:noProof/>
          </w:rPr>
          <w:t>Figure 5 Functional annotation of SLE associated SNPs using HaploReg tool</w:t>
        </w:r>
        <w:r w:rsidR="0054188D">
          <w:rPr>
            <w:noProof/>
            <w:webHidden/>
          </w:rPr>
          <w:tab/>
        </w:r>
        <w:r w:rsidR="0054188D">
          <w:rPr>
            <w:noProof/>
            <w:webHidden/>
          </w:rPr>
          <w:fldChar w:fldCharType="begin"/>
        </w:r>
        <w:r w:rsidR="0054188D">
          <w:rPr>
            <w:noProof/>
            <w:webHidden/>
          </w:rPr>
          <w:instrText xml:space="preserve"> PAGEREF _Toc40435759 \h </w:instrText>
        </w:r>
        <w:r w:rsidR="0054188D">
          <w:rPr>
            <w:noProof/>
            <w:webHidden/>
          </w:rPr>
        </w:r>
        <w:r w:rsidR="0054188D">
          <w:rPr>
            <w:noProof/>
            <w:webHidden/>
          </w:rPr>
          <w:fldChar w:fldCharType="separate"/>
        </w:r>
        <w:r w:rsidR="0054188D">
          <w:rPr>
            <w:noProof/>
            <w:webHidden/>
          </w:rPr>
          <w:t>19</w:t>
        </w:r>
        <w:r w:rsidR="0054188D">
          <w:rPr>
            <w:noProof/>
            <w:webHidden/>
          </w:rPr>
          <w:fldChar w:fldCharType="end"/>
        </w:r>
      </w:hyperlink>
    </w:p>
    <w:p w14:paraId="4F6B7DDA" w14:textId="71AC6A3F" w:rsidR="0094766A" w:rsidRPr="0094766A" w:rsidRDefault="00B424B6" w:rsidP="0094766A">
      <w:pPr>
        <w:pStyle w:val="TableofFigures"/>
        <w:tabs>
          <w:tab w:val="right" w:leader="dot" w:pos="9350"/>
        </w:tabs>
        <w:spacing w:line="240" w:lineRule="auto"/>
        <w:ind w:left="0" w:firstLine="0"/>
        <w:rPr>
          <w:rFonts w:ascii="Times New Roman Bold" w:hAnsi="Times New Roman Bold"/>
          <w:vanish/>
          <w:sz w:val="2"/>
        </w:rPr>
        <w:sectPr w:rsidR="0094766A" w:rsidRPr="0094766A" w:rsidSect="00107DBF">
          <w:type w:val="continuous"/>
          <w:pgSz w:w="12240" w:h="15840"/>
          <w:pgMar w:top="1440" w:right="1440" w:bottom="1440" w:left="1440" w:header="720" w:footer="720" w:gutter="0"/>
          <w:pgNumType w:fmt="lowerRoman"/>
          <w:cols w:space="720"/>
          <w:docGrid w:linePitch="360"/>
        </w:sectPr>
      </w:pPr>
      <w:r>
        <w:fldChar w:fldCharType="end"/>
      </w:r>
    </w:p>
    <w:p w14:paraId="69C7FA65" w14:textId="77777777" w:rsidR="001C7AFC" w:rsidRPr="0094766A" w:rsidRDefault="001C7AFC" w:rsidP="001C7AFC">
      <w:pPr>
        <w:pStyle w:val="NoIndent"/>
        <w:rPr>
          <w:rFonts w:ascii="Times New Roman Bold" w:hAnsi="Times New Roman Bold"/>
          <w:vanish/>
          <w:sz w:val="2"/>
          <w:szCs w:val="2"/>
        </w:rPr>
      </w:pPr>
      <w:bookmarkStart w:id="3" w:name="_Toc8115840"/>
    </w:p>
    <w:p w14:paraId="37DDEB9A" w14:textId="52E76825" w:rsidR="0054188D" w:rsidRPr="008650E5" w:rsidRDefault="001C7AFC" w:rsidP="0054188D">
      <w:pPr>
        <w:pStyle w:val="TableofFigures"/>
        <w:tabs>
          <w:tab w:val="right" w:leader="dot" w:pos="9350"/>
        </w:tabs>
        <w:rPr>
          <w:rFonts w:eastAsiaTheme="minorEastAsia"/>
        </w:rPr>
      </w:pPr>
      <w:r>
        <w:fldChar w:fldCharType="begin"/>
      </w:r>
      <w:r>
        <w:instrText xml:space="preserve"> TOC \h \z \c "Appendix Figure" </w:instrText>
      </w:r>
      <w:r>
        <w:fldChar w:fldCharType="separate"/>
      </w:r>
    </w:p>
    <w:p w14:paraId="7C6761FF" w14:textId="657FB39A" w:rsidR="008650E5" w:rsidRPr="008650E5" w:rsidRDefault="008650E5" w:rsidP="008650E5">
      <w:pPr>
        <w:rPr>
          <w:rFonts w:eastAsiaTheme="minorEastAsia"/>
        </w:rPr>
      </w:pPr>
    </w:p>
    <w:p w14:paraId="509E12EE" w14:textId="77777777" w:rsidR="001C7AFC" w:rsidRDefault="001C7AFC" w:rsidP="001C7AFC">
      <w:pPr>
        <w:pStyle w:val="NoIndent"/>
      </w:pPr>
      <w:r>
        <w:fldChar w:fldCharType="end"/>
      </w:r>
    </w:p>
    <w:bookmarkEnd w:id="3"/>
    <w:p w14:paraId="31A02CBA" w14:textId="77777777" w:rsidR="004F605E" w:rsidRDefault="004F605E" w:rsidP="00FF38EA">
      <w:pPr>
        <w:sectPr w:rsidR="004F605E" w:rsidSect="00107DBF">
          <w:type w:val="continuous"/>
          <w:pgSz w:w="12240" w:h="15840"/>
          <w:pgMar w:top="1440" w:right="1440" w:bottom="1440" w:left="1440" w:header="720" w:footer="720" w:gutter="0"/>
          <w:pgNumType w:fmt="lowerRoman"/>
          <w:cols w:space="720"/>
          <w:docGrid w:linePitch="360"/>
        </w:sectPr>
      </w:pPr>
    </w:p>
    <w:p w14:paraId="6424EE9A" w14:textId="77777777" w:rsidR="00D01B72" w:rsidRDefault="00D01B72" w:rsidP="00D01B72">
      <w:pPr>
        <w:pStyle w:val="Heading1"/>
        <w:numPr>
          <w:ilvl w:val="0"/>
          <w:numId w:val="0"/>
        </w:numPr>
      </w:pPr>
      <w:bookmarkStart w:id="4" w:name="_Toc40435734"/>
      <w:r>
        <w:lastRenderedPageBreak/>
        <w:t>1.0 An Introduction to Systemic Lupus Erythematous</w:t>
      </w:r>
      <w:bookmarkEnd w:id="4"/>
    </w:p>
    <w:p w14:paraId="143AFF01" w14:textId="69497535" w:rsidR="0012127B" w:rsidRDefault="00C1295A" w:rsidP="0012127B">
      <w:r w:rsidRPr="00C1295A">
        <w:t>Autoimmune diseases (AIDs) comprise a heterogeneous group of disorders that are caused by the loss of immunological tolerance to self-antigens, where the immune system attacks the body’s own cells and tissues. AIDs can be organ-specific or systemic (not limited to a single organ) and may collectively affect up to ~10% of the general population (Marson, 2015)</w:t>
      </w:r>
      <w:r w:rsidR="0017572D">
        <w:t xml:space="preserve">. </w:t>
      </w:r>
    </w:p>
    <w:p w14:paraId="3655841C" w14:textId="23D33802" w:rsidR="00B917F0" w:rsidRDefault="00115EF3" w:rsidP="00A414CA">
      <w:pPr>
        <w:pStyle w:val="Heading2"/>
      </w:pPr>
      <w:bookmarkStart w:id="5" w:name="_Toc40435735"/>
      <w:r>
        <w:t>Definition and Clinical Features</w:t>
      </w:r>
      <w:bookmarkEnd w:id="5"/>
      <w:r>
        <w:t xml:space="preserve"> </w:t>
      </w:r>
    </w:p>
    <w:p w14:paraId="79185E0B" w14:textId="0BAA882A" w:rsidR="00813336" w:rsidRDefault="00813336" w:rsidP="00813336">
      <w:r w:rsidRPr="00813336">
        <w:t xml:space="preserve">Systemic Lupus Erythematous (SLE) is a chronic, multisystem autoimmune disease that is characterized by the formation of a wide variety of autoantibodies against various self-antigens (Pan, 2019). The clinical presentation of SLE is heterogeneous in nature, affecting many different organs/systems (i.e. skin, joints, heart, kidneys, lungs, central nervous system, and hematopoietic system) in the body and resulting in variable manifestations and outcomes. Although symptoms and findings vary from person to person, ranging from mild to life-threatening, the most common maladies associated with SLE include arthralgia/arthritis, skin rashes, malaise, headaches, and loss of weight and appetite (Cojocaru, 2011). SLE classification criteria have been developed and implemented to enable consistency in the definition of SLE for research and surveillance purposes. The most commonly used SLE criteria comprise those initially developed and later revised by the American College of Rheumatology (ACR) </w:t>
      </w:r>
      <w:r w:rsidR="00A632CA">
        <w:t>(</w:t>
      </w:r>
      <w:r w:rsidRPr="00A632CA">
        <w:rPr>
          <w:b/>
          <w:bCs/>
        </w:rPr>
        <w:t>Table 1</w:t>
      </w:r>
      <w:r w:rsidR="00A632CA">
        <w:t>)</w:t>
      </w:r>
      <w:r w:rsidRPr="00813336">
        <w:t xml:space="preserve"> (Hochberg, 1997). The updated ACR criteria were subsequently further revised and validated by the Systemic Lupus International Collaborating Clinics (SLICC) group </w:t>
      </w:r>
      <w:r w:rsidR="00B05BA5">
        <w:t>(</w:t>
      </w:r>
      <w:r w:rsidRPr="00B05BA5">
        <w:rPr>
          <w:b/>
          <w:bCs/>
        </w:rPr>
        <w:t>Table 2</w:t>
      </w:r>
      <w:r w:rsidR="00B05BA5">
        <w:t>)</w:t>
      </w:r>
      <w:r w:rsidRPr="00813336">
        <w:t xml:space="preserve"> (Petri, 2012). To address the challenges associated </w:t>
      </w:r>
      <w:r w:rsidRPr="00813336">
        <w:lastRenderedPageBreak/>
        <w:t>with its high clinical heterogeneity, ongoing clinical studies have focused on further improv</w:t>
      </w:r>
      <w:r w:rsidR="00F6694D">
        <w:t>ing</w:t>
      </w:r>
      <w:r w:rsidRPr="00813336">
        <w:t xml:space="preserve"> classification criteria for SLE (Aringer, 2019).</w:t>
      </w:r>
    </w:p>
    <w:p w14:paraId="6C82F9E6" w14:textId="5BBF4361" w:rsidR="00D641ED" w:rsidRDefault="00D641ED" w:rsidP="00D641ED">
      <w:pPr>
        <w:pStyle w:val="Caption"/>
        <w:rPr>
          <w:b w:val="0"/>
          <w:bCs w:val="0"/>
        </w:rPr>
      </w:pPr>
      <w:bookmarkStart w:id="6" w:name="_Toc40435750"/>
      <w:r>
        <w:t xml:space="preserve">Table </w:t>
      </w:r>
      <w:r>
        <w:fldChar w:fldCharType="begin"/>
      </w:r>
      <w:r>
        <w:instrText xml:space="preserve"> SEQ Table \* ARABIC </w:instrText>
      </w:r>
      <w:r>
        <w:fldChar w:fldCharType="separate"/>
      </w:r>
      <w:r w:rsidR="00432460">
        <w:t>1</w:t>
      </w:r>
      <w:r>
        <w:fldChar w:fldCharType="end"/>
      </w:r>
      <w:r>
        <w:t xml:space="preserve"> American College of Rheumatology (ACR) classification criteria for SLE*</w:t>
      </w:r>
      <w:bookmarkEnd w:id="6"/>
    </w:p>
    <w:tbl>
      <w:tblPr>
        <w:tblStyle w:val="GridTable1Light1"/>
        <w:tblW w:w="9829" w:type="dxa"/>
        <w:tblLook w:val="04A0" w:firstRow="1" w:lastRow="0" w:firstColumn="1" w:lastColumn="0" w:noHBand="0" w:noVBand="1"/>
      </w:tblPr>
      <w:tblGrid>
        <w:gridCol w:w="4914"/>
        <w:gridCol w:w="4915"/>
      </w:tblGrid>
      <w:tr w:rsidR="00D641ED" w14:paraId="78B50316" w14:textId="77777777" w:rsidTr="00D16308">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4914"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E2733E7" w14:textId="77777777" w:rsidR="00D641ED" w:rsidRDefault="00D641ED" w:rsidP="00D16308">
            <w:pPr>
              <w:tabs>
                <w:tab w:val="left" w:pos="3784"/>
              </w:tabs>
              <w:ind w:firstLine="0"/>
              <w:jc w:val="left"/>
              <w:rPr>
                <w:rFonts w:ascii="Cambria" w:hAnsi="Cambria"/>
                <w:b w:val="0"/>
                <w:bCs w:val="0"/>
              </w:rPr>
            </w:pPr>
            <w:r>
              <w:rPr>
                <w:rFonts w:ascii="Cambria" w:hAnsi="Cambria"/>
              </w:rPr>
              <w:t xml:space="preserve">Skin Criteria </w:t>
            </w:r>
            <w:r>
              <w:rPr>
                <w:rFonts w:ascii="Cambria" w:hAnsi="Cambria"/>
              </w:rPr>
              <w:tab/>
            </w:r>
          </w:p>
        </w:tc>
        <w:tc>
          <w:tcPr>
            <w:tcW w:w="4915"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0FEF22B" w14:textId="77777777" w:rsidR="00D641ED" w:rsidRDefault="00D641ED" w:rsidP="00D16308">
            <w:pPr>
              <w:numPr>
                <w:ilvl w:val="0"/>
                <w:numId w:val="13"/>
              </w:numPr>
              <w:spacing w:line="360" w:lineRule="auto"/>
              <w:jc w:val="left"/>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Pr>
                <w:rFonts w:ascii="Cambria" w:hAnsi="Cambria"/>
                <w:b w:val="0"/>
              </w:rPr>
              <w:t>Malar rash</w:t>
            </w:r>
          </w:p>
          <w:p w14:paraId="2F9D3FE0" w14:textId="77777777" w:rsidR="00D641ED" w:rsidRDefault="00D641ED" w:rsidP="00D16308">
            <w:pPr>
              <w:numPr>
                <w:ilvl w:val="0"/>
                <w:numId w:val="13"/>
              </w:numPr>
              <w:spacing w:line="360" w:lineRule="auto"/>
              <w:jc w:val="left"/>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Pr>
                <w:rFonts w:ascii="Cambria" w:hAnsi="Cambria"/>
                <w:b w:val="0"/>
              </w:rPr>
              <w:t>Discoid rash</w:t>
            </w:r>
          </w:p>
          <w:p w14:paraId="3EA84F90" w14:textId="77777777" w:rsidR="00D641ED" w:rsidRDefault="00D641ED" w:rsidP="00D16308">
            <w:pPr>
              <w:numPr>
                <w:ilvl w:val="0"/>
                <w:numId w:val="13"/>
              </w:numPr>
              <w:spacing w:line="360" w:lineRule="auto"/>
              <w:jc w:val="left"/>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Pr>
                <w:rFonts w:ascii="Cambria" w:hAnsi="Cambria"/>
                <w:b w:val="0"/>
              </w:rPr>
              <w:t xml:space="preserve">Photosensitivity (in sun-exposed areas) </w:t>
            </w:r>
          </w:p>
          <w:p w14:paraId="5A012353" w14:textId="77777777" w:rsidR="00D641ED" w:rsidRDefault="00D641ED" w:rsidP="00D16308">
            <w:pPr>
              <w:numPr>
                <w:ilvl w:val="0"/>
                <w:numId w:val="13"/>
              </w:numPr>
              <w:spacing w:line="360" w:lineRule="auto"/>
              <w:jc w:val="left"/>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Pr>
                <w:rFonts w:ascii="Cambria" w:hAnsi="Cambria"/>
                <w:b w:val="0"/>
              </w:rPr>
              <w:t>Oral ulcerations</w:t>
            </w:r>
            <w:r>
              <w:rPr>
                <w:rFonts w:ascii="Cambria" w:hAnsi="Cambria"/>
              </w:rPr>
              <w:t xml:space="preserve"> </w:t>
            </w:r>
          </w:p>
        </w:tc>
      </w:tr>
      <w:tr w:rsidR="00D641ED" w14:paraId="77847042" w14:textId="77777777" w:rsidTr="00D16308">
        <w:trPr>
          <w:trHeight w:val="814"/>
        </w:trPr>
        <w:tc>
          <w:tcPr>
            <w:cnfStyle w:val="001000000000" w:firstRow="0" w:lastRow="0" w:firstColumn="1" w:lastColumn="0" w:oddVBand="0" w:evenVBand="0" w:oddHBand="0" w:evenHBand="0" w:firstRowFirstColumn="0" w:firstRowLastColumn="0" w:lastRowFirstColumn="0" w:lastRowLastColumn="0"/>
            <w:tcW w:w="491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3445E53" w14:textId="77777777" w:rsidR="00D641ED" w:rsidRDefault="00D641ED" w:rsidP="00D16308">
            <w:pPr>
              <w:ind w:firstLine="0"/>
              <w:jc w:val="left"/>
              <w:rPr>
                <w:rFonts w:ascii="Cambria" w:hAnsi="Cambria"/>
                <w:b w:val="0"/>
                <w:bCs w:val="0"/>
              </w:rPr>
            </w:pPr>
            <w:r>
              <w:rPr>
                <w:rFonts w:ascii="Cambria" w:hAnsi="Cambria"/>
              </w:rPr>
              <w:t xml:space="preserve">Systemic Criteria </w:t>
            </w:r>
          </w:p>
        </w:tc>
        <w:tc>
          <w:tcPr>
            <w:tcW w:w="491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0E36F65" w14:textId="77777777" w:rsidR="00D641ED" w:rsidRDefault="00D641ED" w:rsidP="00D16308">
            <w:pPr>
              <w:numPr>
                <w:ilvl w:val="0"/>
                <w:numId w:val="14"/>
              </w:numPr>
              <w:spacing w:line="360" w:lineRule="auto"/>
              <w:jc w:val="left"/>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Arthritis (symmetric, non-erosive) </w:t>
            </w:r>
          </w:p>
          <w:p w14:paraId="303535FB" w14:textId="77777777" w:rsidR="00D641ED" w:rsidRDefault="00D641ED" w:rsidP="00D16308">
            <w:pPr>
              <w:numPr>
                <w:ilvl w:val="0"/>
                <w:numId w:val="14"/>
              </w:numPr>
              <w:spacing w:line="360" w:lineRule="auto"/>
              <w:jc w:val="left"/>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Serositis (pleuritis, pericarditis) </w:t>
            </w:r>
          </w:p>
          <w:p w14:paraId="0464B22F" w14:textId="77777777" w:rsidR="00D641ED" w:rsidRDefault="00D641ED" w:rsidP="00D16308">
            <w:pPr>
              <w:numPr>
                <w:ilvl w:val="0"/>
                <w:numId w:val="14"/>
              </w:numPr>
              <w:spacing w:line="360" w:lineRule="auto"/>
              <w:jc w:val="left"/>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Renal  disorder (persistent proteinuria or cellular urinary casts) </w:t>
            </w:r>
          </w:p>
          <w:p w14:paraId="26146571" w14:textId="77777777" w:rsidR="00D641ED" w:rsidRDefault="00D641ED" w:rsidP="00D16308">
            <w:pPr>
              <w:numPr>
                <w:ilvl w:val="0"/>
                <w:numId w:val="14"/>
              </w:numPr>
              <w:spacing w:line="360" w:lineRule="auto"/>
              <w:jc w:val="left"/>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Neurologic disorder (seizures or psychosis with no other explanation) </w:t>
            </w:r>
          </w:p>
        </w:tc>
      </w:tr>
      <w:tr w:rsidR="00D641ED" w14:paraId="73CDCFB4" w14:textId="77777777" w:rsidTr="00D16308">
        <w:trPr>
          <w:trHeight w:val="769"/>
        </w:trPr>
        <w:tc>
          <w:tcPr>
            <w:cnfStyle w:val="001000000000" w:firstRow="0" w:lastRow="0" w:firstColumn="1" w:lastColumn="0" w:oddVBand="0" w:evenVBand="0" w:oddHBand="0" w:evenHBand="0" w:firstRowFirstColumn="0" w:firstRowLastColumn="0" w:lastRowFirstColumn="0" w:lastRowLastColumn="0"/>
            <w:tcW w:w="491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ED3921F" w14:textId="77777777" w:rsidR="00D641ED" w:rsidRDefault="00D641ED" w:rsidP="00D16308">
            <w:pPr>
              <w:ind w:firstLine="0"/>
              <w:jc w:val="left"/>
              <w:rPr>
                <w:rFonts w:ascii="Cambria" w:hAnsi="Cambria"/>
                <w:b w:val="0"/>
                <w:bCs w:val="0"/>
              </w:rPr>
            </w:pPr>
            <w:r>
              <w:rPr>
                <w:rFonts w:ascii="Cambria" w:hAnsi="Cambria"/>
              </w:rPr>
              <w:t xml:space="preserve">Laboratory Criteria </w:t>
            </w:r>
          </w:p>
        </w:tc>
        <w:tc>
          <w:tcPr>
            <w:tcW w:w="491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5996DFB" w14:textId="77777777" w:rsidR="00D641ED" w:rsidRDefault="00D641ED" w:rsidP="00D16308">
            <w:pPr>
              <w:numPr>
                <w:ilvl w:val="0"/>
                <w:numId w:val="15"/>
              </w:numPr>
              <w:spacing w:line="360" w:lineRule="auto"/>
              <w:jc w:val="left"/>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Hematologic disorder (hemolytic anemia, leukopenia, or thrombocytopenia) </w:t>
            </w:r>
          </w:p>
          <w:p w14:paraId="6A1CEAEE" w14:textId="77777777" w:rsidR="00D641ED" w:rsidRDefault="00D641ED" w:rsidP="00D16308">
            <w:pPr>
              <w:numPr>
                <w:ilvl w:val="0"/>
                <w:numId w:val="15"/>
              </w:numPr>
              <w:spacing w:line="360" w:lineRule="auto"/>
              <w:jc w:val="left"/>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Immunologic disorder (antiphospholipid, anti-dsDNA, or anti-Sm antibodies) </w:t>
            </w:r>
          </w:p>
          <w:p w14:paraId="726DA7DD" w14:textId="77777777" w:rsidR="00D641ED" w:rsidRDefault="00D641ED" w:rsidP="00D16308">
            <w:pPr>
              <w:numPr>
                <w:ilvl w:val="0"/>
                <w:numId w:val="15"/>
              </w:numPr>
              <w:spacing w:line="360" w:lineRule="auto"/>
              <w:jc w:val="left"/>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Antinuclear antibody (ANA) </w:t>
            </w:r>
          </w:p>
        </w:tc>
      </w:tr>
      <w:tr w:rsidR="00D641ED" w14:paraId="3AF08786" w14:textId="77777777" w:rsidTr="00D16308">
        <w:trPr>
          <w:trHeight w:val="769"/>
        </w:trPr>
        <w:tc>
          <w:tcPr>
            <w:cnfStyle w:val="001000000000" w:firstRow="0" w:lastRow="0" w:firstColumn="1" w:lastColumn="0" w:oddVBand="0" w:evenVBand="0" w:oddHBand="0" w:evenHBand="0" w:firstRowFirstColumn="0" w:firstRowLastColumn="0" w:lastRowFirstColumn="0" w:lastRowLastColumn="0"/>
            <w:tcW w:w="9829"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9A62780" w14:textId="77777777" w:rsidR="00D641ED" w:rsidRDefault="00D641ED" w:rsidP="00D16308">
            <w:pPr>
              <w:ind w:firstLine="0"/>
              <w:jc w:val="center"/>
              <w:rPr>
                <w:rFonts w:ascii="Cambria" w:hAnsi="Cambria"/>
                <w:b w:val="0"/>
                <w:bCs w:val="0"/>
              </w:rPr>
            </w:pPr>
          </w:p>
          <w:p w14:paraId="36461DC3" w14:textId="77777777" w:rsidR="00D641ED" w:rsidRDefault="00D641ED" w:rsidP="00D16308">
            <w:pPr>
              <w:ind w:firstLine="0"/>
              <w:jc w:val="center"/>
              <w:rPr>
                <w:rFonts w:ascii="Cambria" w:hAnsi="Cambria"/>
                <w:b w:val="0"/>
                <w:bCs w:val="0"/>
              </w:rPr>
            </w:pPr>
            <w:r>
              <w:rPr>
                <w:rFonts w:ascii="Cambria" w:hAnsi="Cambria"/>
              </w:rPr>
              <w:t>*Requires a minimum of 4 out of 11 at any given time</w:t>
            </w:r>
          </w:p>
        </w:tc>
      </w:tr>
    </w:tbl>
    <w:p w14:paraId="2EEC007F" w14:textId="77777777" w:rsidR="00D641ED" w:rsidRPr="00D81E6A" w:rsidRDefault="00D641ED" w:rsidP="00D641ED">
      <w:pPr>
        <w:ind w:firstLine="0"/>
        <w:rPr>
          <w:b/>
          <w:bCs/>
          <w:sz w:val="22"/>
          <w:szCs w:val="22"/>
        </w:rPr>
      </w:pPr>
      <w:r w:rsidRPr="00D81E6A">
        <w:rPr>
          <w:b/>
          <w:bCs/>
          <w:sz w:val="22"/>
          <w:szCs w:val="22"/>
        </w:rPr>
        <w:t>(Tan, 1982) (Hochberg, 1997)</w:t>
      </w:r>
    </w:p>
    <w:p w14:paraId="3553AC6D" w14:textId="5FA0FE4A" w:rsidR="00AA2FC4" w:rsidRDefault="00880BEC" w:rsidP="002312CC">
      <w:pPr>
        <w:spacing w:line="360" w:lineRule="auto"/>
        <w:ind w:firstLine="0"/>
      </w:pPr>
      <w:r w:rsidRPr="00880BEC">
        <w:t xml:space="preserve">Note: Common symptoms of SLE that are not </w:t>
      </w:r>
      <w:r w:rsidR="00977297">
        <w:t>listed</w:t>
      </w:r>
      <w:r w:rsidR="00977297" w:rsidRPr="00880BEC">
        <w:t xml:space="preserve"> </w:t>
      </w:r>
      <w:r w:rsidR="00977297">
        <w:t>among</w:t>
      </w:r>
      <w:r w:rsidR="00977297" w:rsidRPr="00880BEC">
        <w:t xml:space="preserve"> </w:t>
      </w:r>
      <w:r w:rsidRPr="00880BEC">
        <w:t>ACR criteria include fever, extreme fatigue, weight loss, hair loss, and Raynaud’s phenomenon</w:t>
      </w:r>
    </w:p>
    <w:p w14:paraId="7C09C56D" w14:textId="388A0E62" w:rsidR="00880BEC" w:rsidRDefault="00880BEC" w:rsidP="008A2010">
      <w:pPr>
        <w:ind w:firstLine="0"/>
      </w:pPr>
    </w:p>
    <w:p w14:paraId="23568704" w14:textId="77777777" w:rsidR="0035581F" w:rsidRDefault="0035581F" w:rsidP="008A2010">
      <w:pPr>
        <w:ind w:firstLine="0"/>
      </w:pPr>
    </w:p>
    <w:p w14:paraId="7F320FA3" w14:textId="5C2BA1AD" w:rsidR="00C83310" w:rsidRDefault="00D81E6A" w:rsidP="00D81E6A">
      <w:pPr>
        <w:pStyle w:val="Caption"/>
        <w:rPr>
          <w:b w:val="0"/>
        </w:rPr>
      </w:pPr>
      <w:bookmarkStart w:id="7" w:name="_Toc40435751"/>
      <w:r>
        <w:lastRenderedPageBreak/>
        <w:t xml:space="preserve">Table </w:t>
      </w:r>
      <w:r>
        <w:fldChar w:fldCharType="begin"/>
      </w:r>
      <w:r>
        <w:instrText xml:space="preserve"> SEQ Table \* ARABIC </w:instrText>
      </w:r>
      <w:r>
        <w:fldChar w:fldCharType="separate"/>
      </w:r>
      <w:r w:rsidR="00432460">
        <w:t>2</w:t>
      </w:r>
      <w:r>
        <w:fldChar w:fldCharType="end"/>
      </w:r>
      <w:r>
        <w:t xml:space="preserve"> Systemic Lupus Internat</w:t>
      </w:r>
      <w:r w:rsidR="0035581F">
        <w:t>i</w:t>
      </w:r>
      <w:r>
        <w:t>onal Collaborating Clinics (SLICC) classificat</w:t>
      </w:r>
      <w:r w:rsidR="0035581F">
        <w:t>i</w:t>
      </w:r>
      <w:r>
        <w:t>on criteria for SLE*</w:t>
      </w:r>
      <w:bookmarkEnd w:id="7"/>
    </w:p>
    <w:tbl>
      <w:tblPr>
        <w:tblStyle w:val="GridTable1Light1"/>
        <w:tblW w:w="9766" w:type="dxa"/>
        <w:tblLook w:val="04A0" w:firstRow="1" w:lastRow="0" w:firstColumn="1" w:lastColumn="0" w:noHBand="0" w:noVBand="1"/>
      </w:tblPr>
      <w:tblGrid>
        <w:gridCol w:w="4879"/>
        <w:gridCol w:w="4887"/>
      </w:tblGrid>
      <w:tr w:rsidR="00776EAF" w14:paraId="514BA8D3" w14:textId="77777777" w:rsidTr="00D81E6A">
        <w:trPr>
          <w:cnfStyle w:val="100000000000" w:firstRow="1" w:lastRow="0" w:firstColumn="0" w:lastColumn="0" w:oddVBand="0" w:evenVBand="0" w:oddHBand="0"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4879" w:type="dxa"/>
            <w:tcBorders>
              <w:top w:val="single" w:sz="4" w:space="0" w:color="999999" w:themeColor="text1" w:themeTint="66"/>
              <w:left w:val="single" w:sz="4" w:space="0" w:color="999999" w:themeColor="text1" w:themeTint="66"/>
              <w:right w:val="single" w:sz="4" w:space="0" w:color="999999" w:themeColor="text1" w:themeTint="66"/>
            </w:tcBorders>
            <w:hideMark/>
          </w:tcPr>
          <w:p w14:paraId="0993761A" w14:textId="77777777" w:rsidR="00776EAF" w:rsidRDefault="00776EAF">
            <w:pPr>
              <w:spacing w:after="160" w:line="256" w:lineRule="auto"/>
              <w:ind w:firstLine="0"/>
              <w:jc w:val="left"/>
              <w:rPr>
                <w:rFonts w:ascii="Cambria" w:hAnsi="Cambria"/>
              </w:rPr>
            </w:pPr>
            <w:r>
              <w:rPr>
                <w:rFonts w:ascii="Cambria" w:hAnsi="Cambria"/>
              </w:rPr>
              <w:t>Clinical Criteria</w:t>
            </w:r>
          </w:p>
        </w:tc>
        <w:tc>
          <w:tcPr>
            <w:tcW w:w="4887" w:type="dxa"/>
            <w:tcBorders>
              <w:top w:val="single" w:sz="4" w:space="0" w:color="999999" w:themeColor="text1" w:themeTint="66"/>
              <w:left w:val="single" w:sz="4" w:space="0" w:color="999999" w:themeColor="text1" w:themeTint="66"/>
              <w:right w:val="single" w:sz="4" w:space="0" w:color="999999" w:themeColor="text1" w:themeTint="66"/>
            </w:tcBorders>
            <w:hideMark/>
          </w:tcPr>
          <w:p w14:paraId="79266708" w14:textId="77777777" w:rsidR="00776EAF" w:rsidRDefault="00776EAF">
            <w:pPr>
              <w:spacing w:after="160" w:line="256" w:lineRule="auto"/>
              <w:ind w:firstLine="0"/>
              <w:jc w:val="left"/>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Immunologic Criteria</w:t>
            </w:r>
          </w:p>
        </w:tc>
      </w:tr>
      <w:tr w:rsidR="00776EAF" w14:paraId="4EF8CFFB" w14:textId="77777777" w:rsidTr="00D81E6A">
        <w:trPr>
          <w:trHeight w:val="1321"/>
        </w:trPr>
        <w:tc>
          <w:tcPr>
            <w:cnfStyle w:val="001000000000" w:firstRow="0" w:lastRow="0" w:firstColumn="1" w:lastColumn="0" w:oddVBand="0" w:evenVBand="0" w:oddHBand="0" w:evenHBand="0" w:firstRowFirstColumn="0" w:firstRowLastColumn="0" w:lastRowFirstColumn="0" w:lastRowLastColumn="0"/>
            <w:tcW w:w="48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E987780" w14:textId="77777777" w:rsidR="00776EAF" w:rsidRDefault="00776EAF" w:rsidP="004910E9">
            <w:pPr>
              <w:numPr>
                <w:ilvl w:val="0"/>
                <w:numId w:val="16"/>
              </w:numPr>
              <w:spacing w:after="160"/>
              <w:contextualSpacing/>
              <w:jc w:val="left"/>
              <w:rPr>
                <w:rFonts w:ascii="Cambria" w:hAnsi="Cambria"/>
                <w:b w:val="0"/>
                <w:bCs w:val="0"/>
              </w:rPr>
            </w:pPr>
            <w:r>
              <w:rPr>
                <w:rFonts w:ascii="Cambria" w:hAnsi="Cambria"/>
                <w:b w:val="0"/>
              </w:rPr>
              <w:t>Acute Cutaneous Lupus</w:t>
            </w:r>
          </w:p>
          <w:p w14:paraId="1A2D42F8" w14:textId="77777777" w:rsidR="00776EAF" w:rsidRDefault="00776EAF" w:rsidP="004910E9">
            <w:pPr>
              <w:numPr>
                <w:ilvl w:val="0"/>
                <w:numId w:val="16"/>
              </w:numPr>
              <w:spacing w:after="160"/>
              <w:contextualSpacing/>
              <w:jc w:val="left"/>
              <w:rPr>
                <w:rFonts w:ascii="Cambria" w:hAnsi="Cambria"/>
                <w:b w:val="0"/>
                <w:bCs w:val="0"/>
              </w:rPr>
            </w:pPr>
            <w:r>
              <w:rPr>
                <w:rFonts w:ascii="Cambria" w:hAnsi="Cambria"/>
                <w:b w:val="0"/>
              </w:rPr>
              <w:t>Chronic Cutaneous Lupus</w:t>
            </w:r>
          </w:p>
          <w:p w14:paraId="556ED2EC" w14:textId="77777777" w:rsidR="00776EAF" w:rsidRDefault="00776EAF" w:rsidP="004910E9">
            <w:pPr>
              <w:numPr>
                <w:ilvl w:val="0"/>
                <w:numId w:val="16"/>
              </w:numPr>
              <w:spacing w:after="160"/>
              <w:contextualSpacing/>
              <w:jc w:val="left"/>
              <w:rPr>
                <w:rFonts w:ascii="Cambria" w:hAnsi="Cambria"/>
                <w:b w:val="0"/>
                <w:bCs w:val="0"/>
              </w:rPr>
            </w:pPr>
            <w:r>
              <w:rPr>
                <w:rFonts w:ascii="Cambria" w:hAnsi="Cambria"/>
                <w:b w:val="0"/>
              </w:rPr>
              <w:t xml:space="preserve">Oral or nasal ulcers </w:t>
            </w:r>
          </w:p>
          <w:p w14:paraId="179E95BB" w14:textId="77777777" w:rsidR="00776EAF" w:rsidRDefault="00776EAF" w:rsidP="004910E9">
            <w:pPr>
              <w:numPr>
                <w:ilvl w:val="0"/>
                <w:numId w:val="16"/>
              </w:numPr>
              <w:spacing w:after="160"/>
              <w:contextualSpacing/>
              <w:jc w:val="left"/>
              <w:rPr>
                <w:rFonts w:ascii="Cambria" w:hAnsi="Cambria"/>
                <w:b w:val="0"/>
                <w:bCs w:val="0"/>
              </w:rPr>
            </w:pPr>
            <w:r>
              <w:rPr>
                <w:rFonts w:ascii="Cambria" w:hAnsi="Cambria"/>
                <w:b w:val="0"/>
              </w:rPr>
              <w:t xml:space="preserve">Non-scarring alopecia </w:t>
            </w:r>
          </w:p>
          <w:p w14:paraId="39E2F349" w14:textId="77777777" w:rsidR="00776EAF" w:rsidRDefault="00776EAF" w:rsidP="004910E9">
            <w:pPr>
              <w:numPr>
                <w:ilvl w:val="0"/>
                <w:numId w:val="16"/>
              </w:numPr>
              <w:spacing w:after="160"/>
              <w:contextualSpacing/>
              <w:jc w:val="left"/>
              <w:rPr>
                <w:rFonts w:ascii="Cambria" w:hAnsi="Cambria"/>
                <w:b w:val="0"/>
                <w:bCs w:val="0"/>
              </w:rPr>
            </w:pPr>
            <w:r>
              <w:rPr>
                <w:rFonts w:ascii="Cambria" w:hAnsi="Cambria"/>
                <w:b w:val="0"/>
              </w:rPr>
              <w:t xml:space="preserve">Synovitis involving 2 or more joints </w:t>
            </w:r>
          </w:p>
          <w:p w14:paraId="529C14E1" w14:textId="77777777" w:rsidR="00776EAF" w:rsidRDefault="00776EAF" w:rsidP="004910E9">
            <w:pPr>
              <w:numPr>
                <w:ilvl w:val="0"/>
                <w:numId w:val="16"/>
              </w:numPr>
              <w:spacing w:after="160"/>
              <w:contextualSpacing/>
              <w:jc w:val="left"/>
              <w:rPr>
                <w:rFonts w:ascii="Cambria" w:hAnsi="Cambria"/>
                <w:b w:val="0"/>
                <w:bCs w:val="0"/>
              </w:rPr>
            </w:pPr>
            <w:r>
              <w:rPr>
                <w:rFonts w:ascii="Cambria" w:hAnsi="Cambria"/>
                <w:b w:val="0"/>
              </w:rPr>
              <w:t xml:space="preserve">Serositis </w:t>
            </w:r>
          </w:p>
          <w:p w14:paraId="48D9E204" w14:textId="77777777" w:rsidR="00776EAF" w:rsidRDefault="00776EAF" w:rsidP="004910E9">
            <w:pPr>
              <w:numPr>
                <w:ilvl w:val="0"/>
                <w:numId w:val="16"/>
              </w:numPr>
              <w:spacing w:after="160"/>
              <w:contextualSpacing/>
              <w:jc w:val="left"/>
              <w:rPr>
                <w:rFonts w:ascii="Cambria" w:hAnsi="Cambria"/>
                <w:b w:val="0"/>
                <w:bCs w:val="0"/>
              </w:rPr>
            </w:pPr>
            <w:r>
              <w:rPr>
                <w:rFonts w:ascii="Cambria" w:hAnsi="Cambria"/>
                <w:b w:val="0"/>
              </w:rPr>
              <w:t xml:space="preserve">Renal </w:t>
            </w:r>
          </w:p>
          <w:p w14:paraId="69C08AF8" w14:textId="77777777" w:rsidR="00776EAF" w:rsidRDefault="00776EAF" w:rsidP="004910E9">
            <w:pPr>
              <w:numPr>
                <w:ilvl w:val="0"/>
                <w:numId w:val="16"/>
              </w:numPr>
              <w:spacing w:after="160"/>
              <w:contextualSpacing/>
              <w:jc w:val="left"/>
              <w:rPr>
                <w:rFonts w:ascii="Cambria" w:hAnsi="Cambria"/>
                <w:b w:val="0"/>
                <w:bCs w:val="0"/>
              </w:rPr>
            </w:pPr>
            <w:r>
              <w:rPr>
                <w:rFonts w:ascii="Cambria" w:hAnsi="Cambria"/>
                <w:b w:val="0"/>
              </w:rPr>
              <w:t xml:space="preserve">Neurologic </w:t>
            </w:r>
          </w:p>
          <w:p w14:paraId="1AA02BEE" w14:textId="77777777" w:rsidR="00776EAF" w:rsidRDefault="00776EAF" w:rsidP="004910E9">
            <w:pPr>
              <w:numPr>
                <w:ilvl w:val="0"/>
                <w:numId w:val="16"/>
              </w:numPr>
              <w:spacing w:after="160"/>
              <w:contextualSpacing/>
              <w:jc w:val="left"/>
              <w:rPr>
                <w:rFonts w:ascii="Cambria" w:hAnsi="Cambria"/>
                <w:b w:val="0"/>
                <w:bCs w:val="0"/>
              </w:rPr>
            </w:pPr>
            <w:r>
              <w:rPr>
                <w:rFonts w:ascii="Cambria" w:hAnsi="Cambria"/>
                <w:b w:val="0"/>
              </w:rPr>
              <w:t xml:space="preserve">Hemolytic anemia </w:t>
            </w:r>
          </w:p>
          <w:p w14:paraId="0DC20927" w14:textId="77777777" w:rsidR="00776EAF" w:rsidRDefault="00776EAF" w:rsidP="004910E9">
            <w:pPr>
              <w:numPr>
                <w:ilvl w:val="0"/>
                <w:numId w:val="16"/>
              </w:numPr>
              <w:spacing w:after="160"/>
              <w:contextualSpacing/>
              <w:jc w:val="left"/>
              <w:rPr>
                <w:rFonts w:ascii="Cambria" w:hAnsi="Cambria"/>
                <w:b w:val="0"/>
                <w:bCs w:val="0"/>
              </w:rPr>
            </w:pPr>
            <w:r>
              <w:rPr>
                <w:rFonts w:ascii="Cambria" w:hAnsi="Cambria"/>
                <w:b w:val="0"/>
              </w:rPr>
              <w:t xml:space="preserve">Leukopenia </w:t>
            </w:r>
          </w:p>
          <w:p w14:paraId="67E5DFC7" w14:textId="77777777" w:rsidR="00776EAF" w:rsidRDefault="00776EAF" w:rsidP="004910E9">
            <w:pPr>
              <w:numPr>
                <w:ilvl w:val="0"/>
                <w:numId w:val="16"/>
              </w:numPr>
              <w:spacing w:after="160"/>
              <w:contextualSpacing/>
              <w:jc w:val="left"/>
              <w:rPr>
                <w:rFonts w:ascii="Cambria" w:hAnsi="Cambria"/>
                <w:b w:val="0"/>
                <w:bCs w:val="0"/>
              </w:rPr>
            </w:pPr>
            <w:r>
              <w:rPr>
                <w:rFonts w:ascii="Cambria" w:hAnsi="Cambria"/>
                <w:b w:val="0"/>
              </w:rPr>
              <w:t>Thrombocytopenia</w:t>
            </w:r>
          </w:p>
        </w:tc>
        <w:tc>
          <w:tcPr>
            <w:tcW w:w="488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8C6C17C" w14:textId="77777777" w:rsidR="00776EAF" w:rsidRDefault="00776EAF" w:rsidP="004910E9">
            <w:pPr>
              <w:numPr>
                <w:ilvl w:val="0"/>
                <w:numId w:val="16"/>
              </w:numPr>
              <w:spacing w:after="160"/>
              <w:contextualSpacing/>
              <w:jc w:val="left"/>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Antinuclear antibodies (ANA)</w:t>
            </w:r>
          </w:p>
          <w:p w14:paraId="7BF9BD56" w14:textId="77777777" w:rsidR="00776EAF" w:rsidRDefault="00776EAF" w:rsidP="004910E9">
            <w:pPr>
              <w:numPr>
                <w:ilvl w:val="0"/>
                <w:numId w:val="16"/>
              </w:numPr>
              <w:spacing w:after="160"/>
              <w:contextualSpacing/>
              <w:jc w:val="left"/>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Anti-dsDNA antibody</w:t>
            </w:r>
          </w:p>
          <w:p w14:paraId="36E17FDC" w14:textId="77777777" w:rsidR="00776EAF" w:rsidRDefault="00776EAF" w:rsidP="004910E9">
            <w:pPr>
              <w:numPr>
                <w:ilvl w:val="0"/>
                <w:numId w:val="16"/>
              </w:numPr>
              <w:spacing w:after="160"/>
              <w:contextualSpacing/>
              <w:jc w:val="left"/>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Anti-Sm antibody</w:t>
            </w:r>
          </w:p>
          <w:p w14:paraId="03F2D8E4" w14:textId="77777777" w:rsidR="00776EAF" w:rsidRDefault="00776EAF" w:rsidP="004910E9">
            <w:pPr>
              <w:numPr>
                <w:ilvl w:val="0"/>
                <w:numId w:val="16"/>
              </w:numPr>
              <w:spacing w:after="160"/>
              <w:contextualSpacing/>
              <w:jc w:val="left"/>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Antiphospholipid antibodies</w:t>
            </w:r>
          </w:p>
          <w:p w14:paraId="16775EA0" w14:textId="77777777" w:rsidR="00776EAF" w:rsidRDefault="00776EAF" w:rsidP="004910E9">
            <w:pPr>
              <w:numPr>
                <w:ilvl w:val="0"/>
                <w:numId w:val="16"/>
              </w:numPr>
              <w:spacing w:after="160"/>
              <w:contextualSpacing/>
              <w:jc w:val="left"/>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Low complement (C3, C4, CH50) </w:t>
            </w:r>
          </w:p>
          <w:p w14:paraId="7C75D1A6" w14:textId="77777777" w:rsidR="00776EAF" w:rsidRDefault="00776EAF" w:rsidP="004910E9">
            <w:pPr>
              <w:numPr>
                <w:ilvl w:val="0"/>
                <w:numId w:val="16"/>
              </w:numPr>
              <w:spacing w:after="160"/>
              <w:contextualSpacing/>
              <w:jc w:val="left"/>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Direct Coomb’s test in the absence of hemolytic anemia </w:t>
            </w:r>
          </w:p>
        </w:tc>
      </w:tr>
      <w:tr w:rsidR="00776EAF" w14:paraId="289325D5" w14:textId="77777777" w:rsidTr="00776EAF">
        <w:trPr>
          <w:trHeight w:val="1321"/>
        </w:trPr>
        <w:tc>
          <w:tcPr>
            <w:cnfStyle w:val="001000000000" w:firstRow="0" w:lastRow="0" w:firstColumn="1" w:lastColumn="0" w:oddVBand="0" w:evenVBand="0" w:oddHBand="0" w:evenHBand="0" w:firstRowFirstColumn="0" w:firstRowLastColumn="0" w:lastRowFirstColumn="0" w:lastRowLastColumn="0"/>
            <w:tcW w:w="9766"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A4FA1A2" w14:textId="77777777" w:rsidR="00776EAF" w:rsidRDefault="00776EAF">
            <w:pPr>
              <w:spacing w:after="160" w:line="256" w:lineRule="auto"/>
              <w:ind w:firstLine="0"/>
              <w:jc w:val="center"/>
              <w:rPr>
                <w:rFonts w:ascii="Cambria" w:hAnsi="Cambria"/>
                <w:b w:val="0"/>
                <w:bCs w:val="0"/>
                <w:szCs w:val="22"/>
                <w:u w:val="single"/>
              </w:rPr>
            </w:pPr>
          </w:p>
          <w:p w14:paraId="1BF88857" w14:textId="77777777" w:rsidR="00776EAF" w:rsidRDefault="00776EAF">
            <w:pPr>
              <w:spacing w:after="160"/>
              <w:ind w:firstLine="0"/>
              <w:jc w:val="center"/>
              <w:rPr>
                <w:rFonts w:ascii="Cambria" w:hAnsi="Cambria"/>
                <w:b w:val="0"/>
                <w:sz w:val="22"/>
                <w:szCs w:val="22"/>
              </w:rPr>
            </w:pPr>
            <w:r>
              <w:rPr>
                <w:rFonts w:ascii="Cambria" w:hAnsi="Cambria"/>
                <w:szCs w:val="22"/>
              </w:rPr>
              <w:t>* ”Requires a minimum of 4 (at least 1 clinical and 1 immunologic criteria) OR biopsy-proven lupus nephritis with positive ANA or anti-dsDNA”</w:t>
            </w:r>
          </w:p>
        </w:tc>
      </w:tr>
    </w:tbl>
    <w:p w14:paraId="6505696A" w14:textId="77777777" w:rsidR="00D81E6A" w:rsidRPr="00D81E6A" w:rsidRDefault="00D81E6A" w:rsidP="00D81E6A">
      <w:pPr>
        <w:ind w:firstLine="0"/>
        <w:rPr>
          <w:b/>
          <w:sz w:val="20"/>
          <w:szCs w:val="20"/>
        </w:rPr>
      </w:pPr>
      <w:r w:rsidRPr="00D81E6A">
        <w:rPr>
          <w:b/>
          <w:sz w:val="20"/>
          <w:szCs w:val="20"/>
        </w:rPr>
        <w:t>(Petri, 2012)</w:t>
      </w:r>
    </w:p>
    <w:p w14:paraId="7A1C9A4C" w14:textId="5F96FAED" w:rsidR="00A8474E" w:rsidRDefault="00A8474E" w:rsidP="00A8474E">
      <w:pPr>
        <w:pStyle w:val="Heading2"/>
      </w:pPr>
      <w:bookmarkStart w:id="8" w:name="_Toc40435736"/>
      <w:r>
        <w:t>Epidemiology</w:t>
      </w:r>
      <w:bookmarkEnd w:id="8"/>
    </w:p>
    <w:p w14:paraId="3317B59C" w14:textId="3E485298" w:rsidR="001440FE" w:rsidRPr="00880BEC" w:rsidRDefault="00DF1164" w:rsidP="0016738A">
      <w:r>
        <w:t xml:space="preserve">The overall age-adjusted rates of &gt;5 incident cases per 100,000 persons and &gt;72 prevalent cases per 100,000 persons were estimated based on CDC funded population-based SLE registries (Stojan, 2018). SLE prevalence is difficult to estimate because the immunological abnormalities </w:t>
      </w:r>
      <w:r>
        <w:lastRenderedPageBreak/>
        <w:t xml:space="preserve">may occur long before the clinical signs and symptoms appear, so diagnosis is delayed, especially in younger populations. The disease is characterized by a significant female preponderance, with a lifetime female-male ratio of about 9:1 (Weckerle, 2011). </w:t>
      </w:r>
      <w:r w:rsidR="00001D92">
        <w:t xml:space="preserve">The exact </w:t>
      </w:r>
      <w:r w:rsidR="00001D92" w:rsidRPr="00546F59">
        <w:t xml:space="preserve">mechanisms underlying </w:t>
      </w:r>
      <w:r w:rsidR="00A87E78">
        <w:t xml:space="preserve">the </w:t>
      </w:r>
      <w:r w:rsidR="00001D92">
        <w:t>gender</w:t>
      </w:r>
      <w:r w:rsidR="00001D92" w:rsidRPr="00546F59">
        <w:t xml:space="preserve"> </w:t>
      </w:r>
      <w:r w:rsidR="00001D92">
        <w:t xml:space="preserve">bias in autoimmunity remain to be fully understood but it is believed to be mediated by various factors such as sex hormones, sex chromosomal genes, and sex differences in epigenetic regulation. </w:t>
      </w:r>
      <w:r>
        <w:t>Women of child-bearing age are most frequently affected by SLE (Kaul, 2016). Additionally, SLE is far more frequent and severe in non-Caucasian populations, specifically African American, Hispanic, and Asian ethnicities. Long-term negative outcomes of SLE, such as higher mortality rate, have been correlated with ethnic minorities (Gonzalez, 2013). The overall standardized mortality ratio (SMR) for SLE is 2.4, indicating that there is an increased number of deaths in SLE patients compared to the general population (Bernatsky, 2006).</w:t>
      </w:r>
    </w:p>
    <w:p w14:paraId="422AB839" w14:textId="529ABC35" w:rsidR="00B917F0" w:rsidRDefault="006C234E" w:rsidP="00C87A0A">
      <w:pPr>
        <w:pStyle w:val="Heading2"/>
      </w:pPr>
      <w:bookmarkStart w:id="9" w:name="_Toc40435737"/>
      <w:r>
        <w:t>Clinical Management</w:t>
      </w:r>
      <w:bookmarkEnd w:id="9"/>
      <w:r>
        <w:t xml:space="preserve"> </w:t>
      </w:r>
    </w:p>
    <w:p w14:paraId="01BE735B" w14:textId="245E7931" w:rsidR="007E2ADD" w:rsidRDefault="00967EE5" w:rsidP="00E06D1D">
      <w:r w:rsidRPr="00967EE5">
        <w:t>Currently, there is no cure for SLE, but there are certain medical treatments and lifestyle changes that can lessen the burden of disease. Anti-inflammatory and immunosuppressive drugs currently comprise the mainstream treatment for SLE, but the drugs work to varying degrees in individuals (Yildirim-Toruner, 2011). New, targeted therapies are being developed as the pathogenesis of SLE is better understood. Once the initiation and progression of disease is made clearer, therapeutic options can be formed to block certain phases or pathways in SLE pathogenesis. There are also behavior</w:t>
      </w:r>
      <w:r w:rsidR="00B05BA5">
        <w:t>al</w:t>
      </w:r>
      <w:r w:rsidRPr="00967EE5">
        <w:t xml:space="preserve"> and lifestyle adjustments that can keep SLE in remission. The best way to keep SLE under control is by adhering to medical treatments and visiting a rheumatologist regularly. Lifestyle changes to lessen symptoms include quitting smoking and </w:t>
      </w:r>
      <w:r w:rsidRPr="00967EE5">
        <w:lastRenderedPageBreak/>
        <w:t>using sunscreen. Both smoking and UV exposure have been implicated in lupus onset and flares (Lupus Foundation of America, 2019).</w:t>
      </w:r>
    </w:p>
    <w:p w14:paraId="204B0073" w14:textId="0E3F3BF5" w:rsidR="00B917F0" w:rsidRDefault="00DF4D52" w:rsidP="00CA4246">
      <w:pPr>
        <w:pStyle w:val="Heading2"/>
      </w:pPr>
      <w:bookmarkStart w:id="10" w:name="_Toc40435738"/>
      <w:r>
        <w:t>Public Health Relevance</w:t>
      </w:r>
      <w:bookmarkEnd w:id="10"/>
      <w:r>
        <w:t xml:space="preserve"> </w:t>
      </w:r>
    </w:p>
    <w:p w14:paraId="2AEBEA0A" w14:textId="4BC7D82E" w:rsidR="00CE4EFB" w:rsidRDefault="00F14966" w:rsidP="00CE4EFB">
      <w:bookmarkStart w:id="11" w:name="_Hlk39605632"/>
      <w:r w:rsidRPr="00F14966">
        <w:t xml:space="preserve">Because it affects relatively young adults and causes significant morbidity and mortality, SLE represents a significant public health concern </w:t>
      </w:r>
      <w:bookmarkEnd w:id="11"/>
      <w:r w:rsidRPr="00F14966">
        <w:t>(Carter, 2016). SLE imposes an economic burden on both patients and society, as many individuals either have to register as disabled or quit/switch jobs due to the ongoing pain, fatigue and reduced physical activity (Macejova, 2013). Direct and indirect costs for those with SLE are significantly higher than the general population. Direct costs, including the diagnosis, treatment and management of SLE, could reach almost $70,000 per year depending upon the severity of their disease. Indirect costs, relating to disability and loss of productivity could reach approximately $20,000 each year due to loss of activity due to their diagnosis (Carter, 2016).  In addition, this disorder disproportionally affects women of child-bearing age, creating issues in social activities, relationships and family-planning. Late diagnosis and treatment are associated with poor outcomes in SLE patients. Public health initiatives are aimed towards finding earlier detection biomarkers</w:t>
      </w:r>
      <w:r w:rsidR="002827A5">
        <w:t>, including genetic markers,</w:t>
      </w:r>
      <w:r w:rsidRPr="00F14966">
        <w:t xml:space="preserve"> for SLE and educating affected individuals on self-management tools to improve the personal and economic tolls of this disease. Identification of genetic susceptibility variants may help to not only assess the individual risk for SLE but also improve our understanding of underlying biological mechanisms/pathways, which in turn may guide the development of new and better biomarkers and/or therapeutic options for </w:t>
      </w:r>
      <w:r w:rsidR="00B05BA5">
        <w:t>this devastating disease</w:t>
      </w:r>
      <w:r w:rsidRPr="00F14966">
        <w:t>.</w:t>
      </w:r>
    </w:p>
    <w:p w14:paraId="5C67A1C7" w14:textId="3B5A7F76" w:rsidR="000C7ABE" w:rsidRPr="0035581F" w:rsidRDefault="006D0D4F" w:rsidP="0035581F">
      <w:pPr>
        <w:pStyle w:val="Heading1"/>
        <w:ind w:hanging="2232"/>
      </w:pPr>
      <w:bookmarkStart w:id="12" w:name="_Toc40435739"/>
      <w:r w:rsidRPr="0035581F">
        <w:lastRenderedPageBreak/>
        <w:t>Immunopathogenesis of SLE</w:t>
      </w:r>
      <w:bookmarkEnd w:id="12"/>
    </w:p>
    <w:p w14:paraId="24464CCA" w14:textId="5C041D5C" w:rsidR="00142372" w:rsidRDefault="00DD03C6" w:rsidP="00692089">
      <w:r w:rsidRPr="00DD03C6">
        <w:t xml:space="preserve">The pathogenesis of SLE is not fully understood, but dysregulation of the innate and adaptive immune systems seems to play a </w:t>
      </w:r>
      <w:r w:rsidR="00262F1E">
        <w:t>major</w:t>
      </w:r>
      <w:r w:rsidR="00262F1E" w:rsidRPr="00DD03C6">
        <w:t xml:space="preserve"> </w:t>
      </w:r>
      <w:r w:rsidRPr="00DD03C6">
        <w:t xml:space="preserve">role in this autoimmune disorder. SLE is characterized by the occurrence of a wide variety of autoantibodies, mainly targeting the components of various nucleoproteins and nucleoprotein complexes (Namjou, 2007). SLE-associated immunological dysfunction is believed to precede the onset of clinical disease and may involve multiple abnormalities including increased cell death (e.g. apoptosis, NETosis), defective clearance of apoptotic debris and/or antigen-antibody complexes, altered antigen processing and/or presentation, altered signaling pathways [e.g., </w:t>
      </w:r>
      <w:bookmarkStart w:id="13" w:name="_Hlk40134750"/>
      <w:r w:rsidRPr="00DD03C6">
        <w:t>type I interferon</w:t>
      </w:r>
      <w:bookmarkEnd w:id="13"/>
      <w:r w:rsidRPr="00DD03C6">
        <w:t xml:space="preserve"> (IFN) and nuclear factor kappa light chain enhancer of activated B cells (NFκB)], T-cell dysregulation, and B-cell hyperactivity (Teruel, 2017). Abnormal cytokine secretion prolongs inflammation at the site where B cells are producing autoantibodies, creating the cycle of autoimmunity and eventually leading to permanent tissue damage (Pan, 2019).</w:t>
      </w:r>
    </w:p>
    <w:p w14:paraId="2601DC01" w14:textId="5F315FDB" w:rsidR="00692089" w:rsidRDefault="004910E9" w:rsidP="0035581F">
      <w:pPr>
        <w:pStyle w:val="Heading1"/>
        <w:ind w:hanging="2232"/>
      </w:pPr>
      <w:bookmarkStart w:id="14" w:name="_Toc40435740"/>
      <w:r>
        <w:lastRenderedPageBreak/>
        <w:t>Genetics of SLE</w:t>
      </w:r>
      <w:bookmarkEnd w:id="14"/>
    </w:p>
    <w:p w14:paraId="191494EA" w14:textId="4CBD4BC1" w:rsidR="001855D2" w:rsidRDefault="00AD04A2" w:rsidP="001855D2">
      <w:r w:rsidRPr="00AD04A2">
        <w:t>SLE has a complex genetic basis (multifactorial and polygenic) and is believed to result from an intricate interaction of environmental and hormonal risk factors with multiple genetic susceptibility loci (Kaul, 2016). SLE and other autoimmune disorders tend to run in families, but usually do not follow Mendelian (monogenic) inheritance patterns. In total, there are over 80 genetic loci found to be associated with SLE susceptibility (Chen, 2017), mainly implicating common variants with potential effects on the genes involved in various immune functions/pathways (</w:t>
      </w:r>
      <w:r w:rsidRPr="00A65ABA">
        <w:rPr>
          <w:b/>
          <w:bCs/>
        </w:rPr>
        <w:t>Fig</w:t>
      </w:r>
      <w:r w:rsidR="00A65ABA">
        <w:rPr>
          <w:b/>
          <w:bCs/>
        </w:rPr>
        <w:t>ure</w:t>
      </w:r>
      <w:r w:rsidRPr="00A65ABA">
        <w:rPr>
          <w:b/>
          <w:bCs/>
        </w:rPr>
        <w:t xml:space="preserve"> 1</w:t>
      </w:r>
      <w:r w:rsidRPr="00AD04A2">
        <w:t>).</w:t>
      </w:r>
    </w:p>
    <w:p w14:paraId="1B099B96" w14:textId="77777777" w:rsidR="009178A5" w:rsidRDefault="009178A5" w:rsidP="001855D2"/>
    <w:p w14:paraId="3197CF9D" w14:textId="17979371" w:rsidR="001047DF" w:rsidRDefault="00B824D9" w:rsidP="00FE5085">
      <w:pPr>
        <w:pStyle w:val="CaptionDescription"/>
      </w:pPr>
      <w:r>
        <w:drawing>
          <wp:inline distT="0" distB="0" distL="0" distR="0" wp14:anchorId="0B01F24B" wp14:editId="78503465">
            <wp:extent cx="4791710" cy="288353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1710" cy="2883535"/>
                    </a:xfrm>
                    <a:prstGeom prst="rect">
                      <a:avLst/>
                    </a:prstGeom>
                    <a:noFill/>
                  </pic:spPr>
                </pic:pic>
              </a:graphicData>
            </a:graphic>
          </wp:inline>
        </w:drawing>
      </w:r>
    </w:p>
    <w:p w14:paraId="2D0001F6" w14:textId="77777777" w:rsidR="0035581F" w:rsidRPr="0035581F" w:rsidRDefault="0035581F" w:rsidP="0035581F"/>
    <w:p w14:paraId="0AD2FC65" w14:textId="1C9349C7" w:rsidR="0035581F" w:rsidRDefault="0035581F" w:rsidP="0035581F">
      <w:pPr>
        <w:pStyle w:val="Caption"/>
      </w:pPr>
      <w:bookmarkStart w:id="15" w:name="_Toc40435755"/>
      <w:r>
        <w:t xml:space="preserve">Figure </w:t>
      </w:r>
      <w:r>
        <w:fldChar w:fldCharType="begin"/>
      </w:r>
      <w:r>
        <w:instrText xml:space="preserve"> SEQ Figure \* ARABIC </w:instrText>
      </w:r>
      <w:r>
        <w:fldChar w:fldCharType="separate"/>
      </w:r>
      <w:r w:rsidR="00432460">
        <w:t>1</w:t>
      </w:r>
      <w:r>
        <w:fldChar w:fldCharType="end"/>
      </w:r>
      <w:r>
        <w:t>Genes and immune pathways implicated in SLE susceptibility</w:t>
      </w:r>
      <w:bookmarkEnd w:id="15"/>
    </w:p>
    <w:p w14:paraId="611088A2" w14:textId="23B489A4" w:rsidR="00FE5085" w:rsidRDefault="00B037B0" w:rsidP="00E80628">
      <w:pPr>
        <w:pStyle w:val="CaptionDescription"/>
        <w:spacing w:line="360" w:lineRule="auto"/>
        <w:jc w:val="both"/>
        <w:rPr>
          <w:b w:val="0"/>
          <w:i/>
          <w:sz w:val="24"/>
        </w:rPr>
      </w:pPr>
      <w:r w:rsidRPr="00ED3678">
        <w:rPr>
          <w:b w:val="0"/>
          <w:i/>
          <w:sz w:val="24"/>
        </w:rPr>
        <w:t>Adapted from (Teruel, 2017)</w:t>
      </w:r>
      <w:r w:rsidRPr="00ED3678">
        <w:rPr>
          <w:b w:val="0"/>
          <w:sz w:val="24"/>
        </w:rPr>
        <w:t xml:space="preserve"> </w:t>
      </w:r>
      <w:r w:rsidR="00F15687" w:rsidRPr="00ED3678">
        <w:rPr>
          <w:b w:val="0"/>
          <w:sz w:val="24"/>
        </w:rPr>
        <w:t xml:space="preserve">“The character size indicates the effect of each gene on SLE susceptibility, as measured by the odds ratio (OR) to risk that it confers. Larger character size </w:t>
      </w:r>
      <w:r w:rsidR="00F15687" w:rsidRPr="00ED3678">
        <w:rPr>
          <w:b w:val="0"/>
          <w:sz w:val="24"/>
        </w:rPr>
        <w:lastRenderedPageBreak/>
        <w:t>indicates genes with large effects (OR ≥ 2), whereas smaller character size corresponds to genes with smaller effect size (OR ≤ 1.2). Similarly, the cluster size of the pathway emphasizes its relevance in SLE pathology, according to the number of the genes and their individual effects. The SLE-associated genes represented by rare variants with high prevalence of the disease are in bold black-blue.”</w:t>
      </w:r>
      <w:r w:rsidR="00F15687" w:rsidRPr="00ED3678">
        <w:rPr>
          <w:b w:val="0"/>
          <w:i/>
          <w:sz w:val="24"/>
        </w:rPr>
        <w:t xml:space="preserve"> </w:t>
      </w:r>
    </w:p>
    <w:p w14:paraId="5DEC576B" w14:textId="77777777" w:rsidR="00B037B0" w:rsidRPr="00E80628" w:rsidRDefault="00B037B0" w:rsidP="00E80628">
      <w:pPr>
        <w:rPr>
          <w:b/>
        </w:rPr>
      </w:pPr>
    </w:p>
    <w:p w14:paraId="6F1721B1" w14:textId="29D157BA" w:rsidR="00F92D0C" w:rsidRDefault="00F92D0C" w:rsidP="00F92D0C">
      <w:r>
        <w:t xml:space="preserve">The first risk locus to be associated with SLE was the major histocompatibility complex (MHC) locus and this locus still provides the strongest risk for genetic susceptibility. The MHC locus harbors various genes that encode molecules involved in antigen presentation, inflammation, the complement system and other innate and adaptive immune system functions, hinting at the region’s importance in autoimmunity (Matzaraki, 2017). The MHC region is, in general, difficult to work with due to </w:t>
      </w:r>
      <w:r w:rsidR="000C685E">
        <w:t xml:space="preserve">the </w:t>
      </w:r>
      <w:r>
        <w:t>extended linkage disequilibrium</w:t>
      </w:r>
      <w:r w:rsidR="00815B15">
        <w:t xml:space="preserve"> (LD)</w:t>
      </w:r>
      <w:r>
        <w:t xml:space="preserve"> that makes statistical interpretation of associations with single nucleotide polymorphisms</w:t>
      </w:r>
      <w:r w:rsidR="00815B15">
        <w:t xml:space="preserve"> (SNPs)</w:t>
      </w:r>
      <w:r>
        <w:t xml:space="preserve"> challenging. Nonetheless, variants within this region strong</w:t>
      </w:r>
      <w:r w:rsidR="00815B15">
        <w:t>ly</w:t>
      </w:r>
      <w:r>
        <w:t xml:space="preserve"> </w:t>
      </w:r>
      <w:r w:rsidR="00815B15">
        <w:t>influence</w:t>
      </w:r>
      <w:r>
        <w:t xml:space="preserve"> SLE susceptibility (Bolstad, 2012). Advances in genetic </w:t>
      </w:r>
      <w:r w:rsidR="0025149F">
        <w:t xml:space="preserve">technologies and </w:t>
      </w:r>
      <w:r>
        <w:t>association studies</w:t>
      </w:r>
      <w:r w:rsidR="0066514B">
        <w:t xml:space="preserve"> are </w:t>
      </w:r>
      <w:r w:rsidR="00111068">
        <w:t xml:space="preserve">expected </w:t>
      </w:r>
      <w:r w:rsidR="0066514B">
        <w:t xml:space="preserve">to </w:t>
      </w:r>
      <w:r>
        <w:t xml:space="preserve">increase the ability to fine-map the MHC </w:t>
      </w:r>
      <w:r w:rsidR="0025149F">
        <w:t>associations</w:t>
      </w:r>
      <w:r>
        <w:t xml:space="preserve">. </w:t>
      </w:r>
    </w:p>
    <w:p w14:paraId="4F3AD3C2" w14:textId="1ED33499" w:rsidR="005F2379" w:rsidRDefault="00F92D0C" w:rsidP="005C540E">
      <w:r>
        <w:t>The MHC region on chromosome 6p21 is divided into three subregions</w:t>
      </w:r>
      <w:r w:rsidR="00AE7FE7">
        <w:t xml:space="preserve"> </w:t>
      </w:r>
      <w:r w:rsidR="002D5FE7">
        <w:t xml:space="preserve">harboring the </w:t>
      </w:r>
      <w:r w:rsidR="00AE7FE7" w:rsidRPr="00AE7FE7">
        <w:t>human leukocyte antigen</w:t>
      </w:r>
      <w:r w:rsidR="002D5FE7">
        <w:t xml:space="preserve"> (HLA) and/or non-HLA genes</w:t>
      </w:r>
      <w:r>
        <w:t>: the class I region containing class I HLA genes (e.g., HLA</w:t>
      </w:r>
      <w:r w:rsidR="00AE7FE7">
        <w:t>-</w:t>
      </w:r>
      <w:r>
        <w:t xml:space="preserve">A, </w:t>
      </w:r>
      <w:r w:rsidR="00AE7FE7">
        <w:t>HLA-</w:t>
      </w:r>
      <w:r>
        <w:t xml:space="preserve">B and </w:t>
      </w:r>
      <w:r w:rsidR="00AE7FE7">
        <w:t>HLA-</w:t>
      </w:r>
      <w:r>
        <w:t>C genes), the class II region containing class II HLA genes (e.g., HLA</w:t>
      </w:r>
      <w:r w:rsidR="00AE7FE7">
        <w:t>-</w:t>
      </w:r>
      <w:r>
        <w:t xml:space="preserve">DR, </w:t>
      </w:r>
      <w:r w:rsidR="00AE7FE7">
        <w:t>HLA-</w:t>
      </w:r>
      <w:r>
        <w:t xml:space="preserve">DQ and </w:t>
      </w:r>
      <w:r w:rsidR="00AE7FE7">
        <w:t>HLA-</w:t>
      </w:r>
      <w:r>
        <w:t xml:space="preserve">DP genes), and the class III region (located in between class I and II regions) containing </w:t>
      </w:r>
      <w:r w:rsidR="005516A6">
        <w:t xml:space="preserve">only </w:t>
      </w:r>
      <w:r>
        <w:t>non-HLA</w:t>
      </w:r>
      <w:r>
        <w:rPr>
          <w:b/>
        </w:rPr>
        <w:t xml:space="preserve"> </w:t>
      </w:r>
      <w:r>
        <w:t>genes (Horton, 2004). Studies suggest the involvement of both HLA and non-HLA genes at the MHC locus in SLE-related immunopathology (Morris, 2012).</w:t>
      </w:r>
    </w:p>
    <w:p w14:paraId="5F3726C5" w14:textId="279582D0" w:rsidR="005C540E" w:rsidRDefault="00282750" w:rsidP="0035581F">
      <w:pPr>
        <w:pStyle w:val="Heading1"/>
        <w:ind w:left="0" w:firstLine="0"/>
      </w:pPr>
      <w:bookmarkStart w:id="16" w:name="_Toc40435741"/>
      <w:r w:rsidRPr="00282750">
        <w:lastRenderedPageBreak/>
        <w:t>LTA/TNF/LTB Gene Cluster on Chromosome 6p21</w:t>
      </w:r>
      <w:r w:rsidR="0089178B">
        <w:t xml:space="preserve"> and immunological functions of encoded proteins</w:t>
      </w:r>
      <w:bookmarkEnd w:id="16"/>
    </w:p>
    <w:p w14:paraId="537DB391" w14:textId="5F1F5335" w:rsidR="00282750" w:rsidRPr="00116F1F" w:rsidRDefault="00E50E79" w:rsidP="00BE08C7">
      <w:r w:rsidRPr="00E50E79">
        <w:t>The MHC class III region</w:t>
      </w:r>
      <w:r w:rsidR="00AF5C59">
        <w:t xml:space="preserve"> </w:t>
      </w:r>
      <w:r w:rsidRPr="00E50E79">
        <w:t>contain</w:t>
      </w:r>
      <w:r w:rsidR="00AF5C59">
        <w:t>s</w:t>
      </w:r>
      <w:r w:rsidRPr="00E50E79">
        <w:t xml:space="preserve"> various non-HLA genes, includ</w:t>
      </w:r>
      <w:r w:rsidR="00AF5C59">
        <w:t>ing</w:t>
      </w:r>
      <w:r w:rsidRPr="00E50E79">
        <w:t xml:space="preserve"> three genes belonging to the Tumor Necrosis Factor Super Family (TNFSF) </w:t>
      </w:r>
      <w:r w:rsidR="003E4976">
        <w:t xml:space="preserve">and forming a </w:t>
      </w:r>
      <w:r w:rsidRPr="00E50E79">
        <w:t>tight gene cluster</w:t>
      </w:r>
      <w:r w:rsidR="003E4976">
        <w:t xml:space="preserve"> at 6p21</w:t>
      </w:r>
      <w:r w:rsidRPr="00E50E79">
        <w:t xml:space="preserve">. These three genes are </w:t>
      </w:r>
      <w:r w:rsidRPr="00E50E79">
        <w:rPr>
          <w:i/>
        </w:rPr>
        <w:t>LTA</w:t>
      </w:r>
      <w:r w:rsidR="00BE08C7">
        <w:rPr>
          <w:iCs/>
        </w:rPr>
        <w:t xml:space="preserve">, </w:t>
      </w:r>
      <w:r w:rsidRPr="00E50E79">
        <w:rPr>
          <w:i/>
        </w:rPr>
        <w:t>TNF</w:t>
      </w:r>
      <w:r w:rsidR="00BE08C7">
        <w:rPr>
          <w:iCs/>
        </w:rPr>
        <w:t xml:space="preserve">, and </w:t>
      </w:r>
      <w:r w:rsidRPr="00E50E79">
        <w:rPr>
          <w:i/>
        </w:rPr>
        <w:t>LTB,</w:t>
      </w:r>
      <w:r w:rsidRPr="00E50E79">
        <w:t xml:space="preserve"> whose protein products </w:t>
      </w:r>
      <w:bookmarkStart w:id="17" w:name="_Hlk40132504"/>
      <w:r w:rsidR="00FA4041">
        <w:t>[</w:t>
      </w:r>
      <w:r w:rsidR="00BE08C7">
        <w:t>lymphotoxin-</w:t>
      </w:r>
      <w:bookmarkEnd w:id="17"/>
      <w:r w:rsidR="00BE08C7">
        <w:t xml:space="preserve">alpha, </w:t>
      </w:r>
      <w:r w:rsidR="00BE08C7" w:rsidRPr="00BE08C7">
        <w:t>tumor necrosis factor</w:t>
      </w:r>
      <w:r w:rsidR="00FA4041">
        <w:t xml:space="preserve"> (a.k.a. TNF</w:t>
      </w:r>
      <w:r w:rsidR="00BE08C7">
        <w:t>-alpha</w:t>
      </w:r>
      <w:r w:rsidR="00FA4041">
        <w:t>)</w:t>
      </w:r>
      <w:r w:rsidR="00BE08C7">
        <w:t xml:space="preserve">, and </w:t>
      </w:r>
      <w:r w:rsidR="00BE08C7" w:rsidRPr="00BE08C7">
        <w:t>lymphotoxin-</w:t>
      </w:r>
      <w:r w:rsidR="00BE08C7">
        <w:t>beta, respectively</w:t>
      </w:r>
      <w:r w:rsidR="00FA4041">
        <w:t>]</w:t>
      </w:r>
      <w:r w:rsidR="00BE08C7" w:rsidRPr="00E50E79">
        <w:t xml:space="preserve"> </w:t>
      </w:r>
      <w:r w:rsidRPr="00E50E79">
        <w:t>show biological interaction</w:t>
      </w:r>
      <w:r w:rsidR="00BE08C7">
        <w:t>s</w:t>
      </w:r>
      <w:r w:rsidRPr="00E50E79">
        <w:t xml:space="preserve"> (Sedy, 2014)</w:t>
      </w:r>
      <w:r w:rsidR="000119A4" w:rsidRPr="000119A4">
        <w:t xml:space="preserve"> </w:t>
      </w:r>
      <w:bookmarkStart w:id="18" w:name="_Hlk40135254"/>
      <w:r w:rsidR="000119A4" w:rsidRPr="00E50E79">
        <w:t>(</w:t>
      </w:r>
      <w:r w:rsidR="000119A4" w:rsidRPr="00A65ABA">
        <w:rPr>
          <w:b/>
          <w:bCs/>
        </w:rPr>
        <w:t>Fig</w:t>
      </w:r>
      <w:r w:rsidR="000119A4">
        <w:rPr>
          <w:b/>
          <w:bCs/>
        </w:rPr>
        <w:t>ure</w:t>
      </w:r>
      <w:r w:rsidR="000119A4" w:rsidRPr="00A65ABA">
        <w:rPr>
          <w:b/>
          <w:bCs/>
        </w:rPr>
        <w:t xml:space="preserve"> 2</w:t>
      </w:r>
      <w:r w:rsidR="000119A4" w:rsidRPr="00E50E79">
        <w:t>)</w:t>
      </w:r>
      <w:bookmarkEnd w:id="18"/>
      <w:r w:rsidRPr="00E50E79">
        <w:t xml:space="preserve">. The TNFSF signals to assist immune cells with proliferation </w:t>
      </w:r>
      <w:r w:rsidR="00EB04AC">
        <w:t xml:space="preserve">and </w:t>
      </w:r>
      <w:r w:rsidRPr="00E50E79">
        <w:t xml:space="preserve">differentiation </w:t>
      </w:r>
      <w:r w:rsidR="00EB04AC">
        <w:t>into</w:t>
      </w:r>
      <w:r w:rsidRPr="00E50E79">
        <w:t xml:space="preserve"> effector cells (Sonar, 2015). </w:t>
      </w:r>
      <w:bookmarkStart w:id="19" w:name="_Hlk39585487"/>
      <w:r w:rsidRPr="00E50E79">
        <w:t xml:space="preserve">Additionally, polymorphisms in the genes encoding TNFSF members have been reported to be associated with susceptibility to </w:t>
      </w:r>
      <w:r w:rsidR="00DC0D0F">
        <w:t>various</w:t>
      </w:r>
      <w:r w:rsidR="00DC0D0F" w:rsidRPr="00E50E79">
        <w:t xml:space="preserve"> </w:t>
      </w:r>
      <w:r w:rsidRPr="00E50E79">
        <w:t>infections, inflammatory conditions, autoimmune diseases, and cancer</w:t>
      </w:r>
      <w:r w:rsidR="00DC0D0F">
        <w:t>s</w:t>
      </w:r>
      <w:r w:rsidRPr="00E50E79">
        <w:t>. Studies of this gene cluster in SLE are relatively limited (predominantly focusing on selected variants) and the results are inconsistent/inconclusive</w:t>
      </w:r>
      <w:r w:rsidR="0029281A">
        <w:t>,</w:t>
      </w:r>
      <w:r w:rsidRPr="00E50E79">
        <w:t xml:space="preserve"> while their meta-analyses suggest ethnic-specific variant effects/associations (Chen, 2019).</w:t>
      </w:r>
    </w:p>
    <w:bookmarkEnd w:id="19"/>
    <w:p w14:paraId="505CEFAF" w14:textId="1398DCD9" w:rsidR="00F57327" w:rsidRPr="00F57327" w:rsidRDefault="00F57327" w:rsidP="00F57327">
      <w:pPr>
        <w:pStyle w:val="BodyText"/>
        <w:rPr>
          <w:bCs/>
        </w:rPr>
      </w:pPr>
      <w:r w:rsidRPr="00F57327">
        <w:t xml:space="preserve">The </w:t>
      </w:r>
      <w:r w:rsidRPr="00F57327">
        <w:rPr>
          <w:bCs/>
        </w:rPr>
        <w:t>LT/TNF/LIGHT</w:t>
      </w:r>
      <w:r w:rsidRPr="00F57327">
        <w:t xml:space="preserve"> system, which includes </w:t>
      </w:r>
      <w:r w:rsidR="00D13BB6">
        <w:t>four</w:t>
      </w:r>
      <w:r w:rsidR="00D13BB6" w:rsidRPr="00F57327">
        <w:t xml:space="preserve"> </w:t>
      </w:r>
      <w:r w:rsidRPr="00F57327">
        <w:t xml:space="preserve">closely related TNFSF members </w:t>
      </w:r>
      <w:r w:rsidR="00D13BB6">
        <w:t>[</w:t>
      </w:r>
      <w:r w:rsidRPr="00F57327">
        <w:rPr>
          <w:bCs/>
        </w:rPr>
        <w:t>lymphotoxin-</w:t>
      </w:r>
      <w:r w:rsidR="006278C4">
        <w:rPr>
          <w:bCs/>
        </w:rPr>
        <w:t>alpha</w:t>
      </w:r>
      <w:r w:rsidRPr="00F57327">
        <w:rPr>
          <w:bCs/>
        </w:rPr>
        <w:t>/</w:t>
      </w:r>
      <w:r w:rsidR="006278C4">
        <w:rPr>
          <w:bCs/>
        </w:rPr>
        <w:t>beta</w:t>
      </w:r>
      <w:r w:rsidRPr="00F57327">
        <w:rPr>
          <w:bCs/>
        </w:rPr>
        <w:t xml:space="preserve"> (</w:t>
      </w:r>
      <w:r w:rsidR="006278C4">
        <w:rPr>
          <w:bCs/>
        </w:rPr>
        <w:t xml:space="preserve">encoded by </w:t>
      </w:r>
      <w:r w:rsidRPr="00ED3678">
        <w:rPr>
          <w:bCs/>
          <w:i/>
          <w:iCs/>
        </w:rPr>
        <w:t>LTA</w:t>
      </w:r>
      <w:r w:rsidRPr="00F57327">
        <w:rPr>
          <w:bCs/>
        </w:rPr>
        <w:t>/</w:t>
      </w:r>
      <w:r w:rsidRPr="00ED3678">
        <w:rPr>
          <w:bCs/>
          <w:i/>
          <w:iCs/>
        </w:rPr>
        <w:t>LTB</w:t>
      </w:r>
      <w:r w:rsidR="006278C4">
        <w:rPr>
          <w:bCs/>
        </w:rPr>
        <w:t xml:space="preserve"> </w:t>
      </w:r>
      <w:bookmarkStart w:id="20" w:name="_Hlk40133115"/>
      <w:r w:rsidR="006278C4">
        <w:rPr>
          <w:bCs/>
        </w:rPr>
        <w:t>on chromosome 6p21</w:t>
      </w:r>
      <w:bookmarkEnd w:id="20"/>
      <w:r w:rsidRPr="00F57327">
        <w:rPr>
          <w:bCs/>
        </w:rPr>
        <w:t>), TNF-</w:t>
      </w:r>
      <w:r w:rsidR="00B6555B">
        <w:rPr>
          <w:bCs/>
        </w:rPr>
        <w:t>alpha</w:t>
      </w:r>
      <w:r w:rsidR="006278C4">
        <w:rPr>
          <w:bCs/>
        </w:rPr>
        <w:t xml:space="preserve"> (encoded by </w:t>
      </w:r>
      <w:r w:rsidR="006278C4" w:rsidRPr="00ED3678">
        <w:rPr>
          <w:bCs/>
          <w:i/>
          <w:iCs/>
        </w:rPr>
        <w:t>TNF</w:t>
      </w:r>
      <w:r w:rsidR="006278C4" w:rsidRPr="006278C4">
        <w:rPr>
          <w:bCs/>
        </w:rPr>
        <w:t xml:space="preserve"> </w:t>
      </w:r>
      <w:r w:rsidR="006278C4">
        <w:rPr>
          <w:bCs/>
        </w:rPr>
        <w:t>on chromosome 6p21)</w:t>
      </w:r>
      <w:r w:rsidRPr="00F57327">
        <w:rPr>
          <w:bCs/>
        </w:rPr>
        <w:t>,</w:t>
      </w:r>
      <w:r w:rsidRPr="00F57327">
        <w:t xml:space="preserve"> and </w:t>
      </w:r>
      <w:r w:rsidRPr="00F57327">
        <w:rPr>
          <w:bCs/>
        </w:rPr>
        <w:t>LIGHT (</w:t>
      </w:r>
      <w:r w:rsidR="006278C4">
        <w:rPr>
          <w:bCs/>
        </w:rPr>
        <w:t xml:space="preserve">encoded by </w:t>
      </w:r>
      <w:r w:rsidRPr="00ED3678">
        <w:rPr>
          <w:bCs/>
          <w:i/>
          <w:iCs/>
        </w:rPr>
        <w:t>TNFSF14</w:t>
      </w:r>
      <w:r w:rsidR="006278C4" w:rsidRPr="006278C4">
        <w:rPr>
          <w:bCs/>
        </w:rPr>
        <w:t xml:space="preserve"> </w:t>
      </w:r>
      <w:r w:rsidR="006278C4">
        <w:rPr>
          <w:bCs/>
        </w:rPr>
        <w:t xml:space="preserve">on chromosome </w:t>
      </w:r>
      <w:r w:rsidR="006278C4">
        <w:t>19p13</w:t>
      </w:r>
      <w:r w:rsidRPr="00F57327">
        <w:rPr>
          <w:bCs/>
        </w:rPr>
        <w:t>)</w:t>
      </w:r>
      <w:r w:rsidR="00D13BB6">
        <w:rPr>
          <w:bCs/>
        </w:rPr>
        <w:t>]</w:t>
      </w:r>
      <w:r w:rsidRPr="00F57327">
        <w:rPr>
          <w:bCs/>
        </w:rPr>
        <w:t>, plays an important role in</w:t>
      </w:r>
      <w:r w:rsidRPr="00F57327">
        <w:rPr>
          <w:b/>
          <w:bCs/>
        </w:rPr>
        <w:t xml:space="preserve"> </w:t>
      </w:r>
      <w:r w:rsidRPr="00F57327">
        <w:rPr>
          <w:bCs/>
        </w:rPr>
        <w:t>orchestrating</w:t>
      </w:r>
      <w:r w:rsidRPr="00F57327">
        <w:rPr>
          <w:b/>
          <w:bCs/>
        </w:rPr>
        <w:t xml:space="preserve"> </w:t>
      </w:r>
      <w:r w:rsidRPr="00F57327">
        <w:rPr>
          <w:bCs/>
        </w:rPr>
        <w:t>the</w:t>
      </w:r>
      <w:r w:rsidRPr="00F57327">
        <w:rPr>
          <w:b/>
          <w:bCs/>
        </w:rPr>
        <w:t xml:space="preserve"> </w:t>
      </w:r>
      <w:r w:rsidRPr="00F57327">
        <w:t xml:space="preserve">formation, maintenance, and </w:t>
      </w:r>
      <w:r w:rsidRPr="00F57327">
        <w:rPr>
          <w:bCs/>
        </w:rPr>
        <w:t>remodeling</w:t>
      </w:r>
      <w:r w:rsidRPr="00F57327">
        <w:t xml:space="preserve"> of lymphoid tissue</w:t>
      </w:r>
      <w:r w:rsidR="00B33651">
        <w:t xml:space="preserve"> that is an integral part of the immune system </w:t>
      </w:r>
      <w:r w:rsidRPr="00F57327">
        <w:t xml:space="preserve"> (Zhu, 2011). The </w:t>
      </w:r>
      <w:r w:rsidRPr="00F57327">
        <w:rPr>
          <w:bCs/>
        </w:rPr>
        <w:t>LT/TNF/LIGHT</w:t>
      </w:r>
      <w:r w:rsidRPr="00F57327">
        <w:t xml:space="preserve"> </w:t>
      </w:r>
      <w:r w:rsidR="00D13BB6">
        <w:t>proteins</w:t>
      </w:r>
      <w:r w:rsidRPr="00F57327">
        <w:t xml:space="preserve"> </w:t>
      </w:r>
      <w:r w:rsidRPr="00F57327">
        <w:rPr>
          <w:bCs/>
        </w:rPr>
        <w:t>and their cognate receptors</w:t>
      </w:r>
      <w:r w:rsidR="00957728">
        <w:rPr>
          <w:bCs/>
        </w:rPr>
        <w:t xml:space="preserve"> </w:t>
      </w:r>
      <w:r w:rsidR="00957728" w:rsidRPr="00E50E79">
        <w:t>(</w:t>
      </w:r>
      <w:r w:rsidR="00957728" w:rsidRPr="00A65ABA">
        <w:rPr>
          <w:b/>
          <w:bCs/>
        </w:rPr>
        <w:t>Fig</w:t>
      </w:r>
      <w:r w:rsidR="00957728">
        <w:rPr>
          <w:b/>
          <w:bCs/>
        </w:rPr>
        <w:t>ure</w:t>
      </w:r>
      <w:r w:rsidR="00957728" w:rsidRPr="00A65ABA">
        <w:rPr>
          <w:b/>
          <w:bCs/>
        </w:rPr>
        <w:t xml:space="preserve"> 2</w:t>
      </w:r>
      <w:r w:rsidR="00957728" w:rsidRPr="00E50E79">
        <w:t>)</w:t>
      </w:r>
      <w:r w:rsidRPr="00F57327">
        <w:rPr>
          <w:b/>
          <w:bCs/>
        </w:rPr>
        <w:t xml:space="preserve"> </w:t>
      </w:r>
      <w:r w:rsidRPr="00F57327">
        <w:t xml:space="preserve">form a complex cellular and molecular network </w:t>
      </w:r>
      <w:r w:rsidRPr="00F57327">
        <w:rPr>
          <w:bCs/>
        </w:rPr>
        <w:t>involved in the development and maintenance of the immune system, inflammation and cell death (Remouchamps, 2011)</w:t>
      </w:r>
      <w:r w:rsidRPr="00F57327">
        <w:t xml:space="preserve">. They execute their functions </w:t>
      </w:r>
      <w:r w:rsidRPr="00F57327">
        <w:rPr>
          <w:bCs/>
        </w:rPr>
        <w:t>through multi</w:t>
      </w:r>
      <w:r w:rsidR="00563DAB">
        <w:rPr>
          <w:bCs/>
        </w:rPr>
        <w:t>-</w:t>
      </w:r>
      <w:r w:rsidRPr="00F57327">
        <w:rPr>
          <w:bCs/>
        </w:rPr>
        <w:t>directional interactions via membrane-bound and/or soluble forms</w:t>
      </w:r>
      <w:r w:rsidR="00A26E37">
        <w:rPr>
          <w:bCs/>
        </w:rPr>
        <w:t>,</w:t>
      </w:r>
      <w:r w:rsidRPr="00F57327">
        <w:rPr>
          <w:bCs/>
        </w:rPr>
        <w:t xml:space="preserve"> resulting in local and</w:t>
      </w:r>
      <w:r w:rsidRPr="00F57327">
        <w:t xml:space="preserve"> </w:t>
      </w:r>
      <w:r w:rsidRPr="00F57327">
        <w:rPr>
          <w:bCs/>
        </w:rPr>
        <w:t>distant regulatory effects.</w:t>
      </w:r>
    </w:p>
    <w:p w14:paraId="5674D99E" w14:textId="77777777" w:rsidR="00A65ABA" w:rsidRDefault="00A65ABA" w:rsidP="00B82F59">
      <w:pPr>
        <w:pStyle w:val="Caption"/>
      </w:pPr>
    </w:p>
    <w:p w14:paraId="6FF0E67C" w14:textId="77777777" w:rsidR="00A65ABA" w:rsidRDefault="00A65ABA" w:rsidP="00B82F59">
      <w:pPr>
        <w:pStyle w:val="Caption"/>
      </w:pPr>
    </w:p>
    <w:p w14:paraId="6F5D52F2" w14:textId="2483C88B" w:rsidR="00EC6F11" w:rsidRDefault="00B60A6A" w:rsidP="006C3705">
      <w:pPr>
        <w:pStyle w:val="CaptionDescription"/>
      </w:pPr>
      <w:r>
        <mc:AlternateContent>
          <mc:Choice Requires="wps">
            <w:drawing>
              <wp:anchor distT="0" distB="0" distL="114300" distR="114300" simplePos="0" relativeHeight="251659776" behindDoc="0" locked="0" layoutInCell="1" allowOverlap="1" wp14:anchorId="73FE155F" wp14:editId="052E5868">
                <wp:simplePos x="0" y="0"/>
                <wp:positionH relativeFrom="column">
                  <wp:posOffset>3514725</wp:posOffset>
                </wp:positionH>
                <wp:positionV relativeFrom="paragraph">
                  <wp:posOffset>968375</wp:posOffset>
                </wp:positionV>
                <wp:extent cx="447675" cy="5143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7675" cy="514350"/>
                        </a:xfrm>
                        <a:prstGeom prst="rect">
                          <a:avLst/>
                        </a:prstGeom>
                        <a:noFill/>
                        <a:ln w="6350">
                          <a:noFill/>
                        </a:ln>
                      </wps:spPr>
                      <wps:txbx>
                        <w:txbxContent>
                          <w:p w14:paraId="5AF2FC09" w14:textId="766C8E68" w:rsidR="00040665" w:rsidRPr="00B60A6A" w:rsidRDefault="00040665" w:rsidP="00B60A6A">
                            <w:pPr>
                              <w:ind w:firstLine="0"/>
                              <w:jc w:val="left"/>
                              <w:rPr>
                                <w:sz w:val="14"/>
                                <w:szCs w:val="14"/>
                              </w:rPr>
                            </w:pPr>
                            <w:r w:rsidRPr="00B60A6A">
                              <w:rPr>
                                <w:sz w:val="14"/>
                                <w:szCs w:val="14"/>
                              </w:rPr>
                              <w:t>MMP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E155F" id="Text Box 10" o:spid="_x0000_s1027" type="#_x0000_t202" style="position:absolute;left:0;text-align:left;margin-left:276.75pt;margin-top:76.25pt;width:35.25pt;height:4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" filled="f" stroked="f" strokeweight=".5pt">
                <v:textbox>
                  <w:txbxContent>
                    <w:p w14:paraId="5AF2FC09" w14:textId="766C8E68" w:rsidR="00040665" w:rsidRPr="00B60A6A" w:rsidRDefault="00040665" w:rsidP="00B60A6A">
                      <w:pPr>
                        <w:ind w:firstLine="0"/>
                        <w:jc w:val="left"/>
                        <w:rPr>
                          <w:sz w:val="14"/>
                          <w:szCs w:val="14"/>
                        </w:rPr>
                      </w:pPr>
                      <w:r w:rsidRPr="00B60A6A">
                        <w:rPr>
                          <w:sz w:val="14"/>
                          <w:szCs w:val="14"/>
                        </w:rPr>
                        <w:t>MMP</w:t>
                      </w:r>
                    </w:p>
                  </w:txbxContent>
                </v:textbox>
              </v:shape>
            </w:pict>
          </mc:Fallback>
        </mc:AlternateContent>
      </w:r>
      <w:r>
        <mc:AlternateContent>
          <mc:Choice Requires="wps">
            <w:drawing>
              <wp:anchor distT="0" distB="0" distL="114300" distR="114300" simplePos="0" relativeHeight="251660800" behindDoc="0" locked="0" layoutInCell="1" allowOverlap="1" wp14:anchorId="04F4C3DB" wp14:editId="6A81A726">
                <wp:simplePos x="0" y="0"/>
                <wp:positionH relativeFrom="column">
                  <wp:posOffset>1952625</wp:posOffset>
                </wp:positionH>
                <wp:positionV relativeFrom="paragraph">
                  <wp:posOffset>958850</wp:posOffset>
                </wp:positionV>
                <wp:extent cx="447675" cy="5143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47675" cy="514350"/>
                        </a:xfrm>
                        <a:prstGeom prst="rect">
                          <a:avLst/>
                        </a:prstGeom>
                        <a:noFill/>
                        <a:ln w="6350">
                          <a:noFill/>
                        </a:ln>
                      </wps:spPr>
                      <wps:txbx>
                        <w:txbxContent>
                          <w:p w14:paraId="4B7B6B91" w14:textId="77777777" w:rsidR="00040665" w:rsidRPr="00B60A6A" w:rsidRDefault="00040665" w:rsidP="00B60A6A">
                            <w:pPr>
                              <w:ind w:firstLine="0"/>
                              <w:jc w:val="left"/>
                              <w:rPr>
                                <w:sz w:val="14"/>
                                <w:szCs w:val="14"/>
                              </w:rPr>
                            </w:pPr>
                            <w:r w:rsidRPr="00B60A6A">
                              <w:rPr>
                                <w:sz w:val="14"/>
                                <w:szCs w:val="14"/>
                              </w:rPr>
                              <w:t>MMP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4C3DB" id="Text Box 11" o:spid="_x0000_s1028" type="#_x0000_t202" style="position:absolute;left:0;text-align:left;margin-left:153.75pt;margin-top:75.5pt;width:35.25pt;height:4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" filled="f" stroked="f" strokeweight=".5pt">
                <v:textbox>
                  <w:txbxContent>
                    <w:p w14:paraId="4B7B6B91" w14:textId="77777777" w:rsidR="00040665" w:rsidRPr="00B60A6A" w:rsidRDefault="00040665" w:rsidP="00B60A6A">
                      <w:pPr>
                        <w:ind w:firstLine="0"/>
                        <w:jc w:val="left"/>
                        <w:rPr>
                          <w:sz w:val="14"/>
                          <w:szCs w:val="14"/>
                        </w:rPr>
                      </w:pPr>
                      <w:r w:rsidRPr="00B60A6A">
                        <w:rPr>
                          <w:sz w:val="14"/>
                          <w:szCs w:val="14"/>
                        </w:rPr>
                        <w:t>MMP</w:t>
                      </w:r>
                    </w:p>
                  </w:txbxContent>
                </v:textbox>
              </v:shape>
            </w:pict>
          </mc:Fallback>
        </mc:AlternateContent>
      </w:r>
      <w:r>
        <mc:AlternateContent>
          <mc:Choice Requires="wps">
            <w:drawing>
              <wp:anchor distT="0" distB="0" distL="114300" distR="114300" simplePos="0" relativeHeight="251654656" behindDoc="0" locked="0" layoutInCell="1" allowOverlap="1" wp14:anchorId="1A1D4EFC" wp14:editId="42E4DE20">
                <wp:simplePos x="0" y="0"/>
                <wp:positionH relativeFrom="column">
                  <wp:posOffset>1962150</wp:posOffset>
                </wp:positionH>
                <wp:positionV relativeFrom="paragraph">
                  <wp:posOffset>835025</wp:posOffset>
                </wp:positionV>
                <wp:extent cx="304800" cy="133350"/>
                <wp:effectExtent l="19050" t="19050" r="19050" b="38100"/>
                <wp:wrapNone/>
                <wp:docPr id="8" name="Arrow: Left 8"/>
                <wp:cNvGraphicFramePr/>
                <a:graphic xmlns:a="http://schemas.openxmlformats.org/drawingml/2006/main">
                  <a:graphicData uri="http://schemas.microsoft.com/office/word/2010/wordprocessingShape">
                    <wps:wsp>
                      <wps:cNvSpPr/>
                      <wps:spPr>
                        <a:xfrm>
                          <a:off x="0" y="0"/>
                          <a:ext cx="304800" cy="13335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F6C754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26" type="#_x0000_t66" style="position:absolute;margin-left:154.5pt;margin-top:65.75pt;width:24pt;height:10.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" adj="4725" fillcolor="black [3200]" strokecolor="black [1600]" strokeweight="1pt"/>
            </w:pict>
          </mc:Fallback>
        </mc:AlternateContent>
      </w:r>
      <w:r>
        <mc:AlternateContent>
          <mc:Choice Requires="wps">
            <w:drawing>
              <wp:anchor distT="0" distB="0" distL="114300" distR="114300" simplePos="0" relativeHeight="251657728" behindDoc="0" locked="0" layoutInCell="1" allowOverlap="1" wp14:anchorId="4E555138" wp14:editId="404424D7">
                <wp:simplePos x="0" y="0"/>
                <wp:positionH relativeFrom="column">
                  <wp:posOffset>3581400</wp:posOffset>
                </wp:positionH>
                <wp:positionV relativeFrom="paragraph">
                  <wp:posOffset>854075</wp:posOffset>
                </wp:positionV>
                <wp:extent cx="304800" cy="133350"/>
                <wp:effectExtent l="0" t="19050" r="38100" b="38100"/>
                <wp:wrapNone/>
                <wp:docPr id="9" name="Arrow: Left 9"/>
                <wp:cNvGraphicFramePr/>
                <a:graphic xmlns:a="http://schemas.openxmlformats.org/drawingml/2006/main">
                  <a:graphicData uri="http://schemas.microsoft.com/office/word/2010/wordprocessingShape">
                    <wps:wsp>
                      <wps:cNvSpPr/>
                      <wps:spPr>
                        <a:xfrm rot="10800000">
                          <a:off x="0" y="0"/>
                          <a:ext cx="304800" cy="133350"/>
                        </a:xfrm>
                        <a:prstGeom prst="lef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854C1E" id="Arrow: Left 9" o:spid="_x0000_s1026" type="#_x0000_t66" style="position:absolute;margin-left:282pt;margin-top:67.25pt;width:24pt;height:10.5pt;rotation:18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" adj="4725" fillcolor="windowText" strokeweight="1pt"/>
            </w:pict>
          </mc:Fallback>
        </mc:AlternateContent>
      </w:r>
      <w:r w:rsidR="006C3705">
        <w:drawing>
          <wp:inline distT="0" distB="0" distL="0" distR="0" wp14:anchorId="7E78C4FE" wp14:editId="128327F0">
            <wp:extent cx="3571875" cy="388519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tretch>
                      <a:fillRect/>
                    </a:stretch>
                  </pic:blipFill>
                  <pic:spPr bwMode="auto">
                    <a:xfrm>
                      <a:off x="0" y="0"/>
                      <a:ext cx="3581570" cy="3895743"/>
                    </a:xfrm>
                    <a:prstGeom prst="rect">
                      <a:avLst/>
                    </a:prstGeom>
                    <a:noFill/>
                  </pic:spPr>
                </pic:pic>
              </a:graphicData>
            </a:graphic>
          </wp:inline>
        </w:drawing>
      </w:r>
    </w:p>
    <w:p w14:paraId="3C9354C9" w14:textId="3756B04A" w:rsidR="002312CC" w:rsidRDefault="002312CC" w:rsidP="002312CC">
      <w:pPr>
        <w:pStyle w:val="Caption"/>
        <w:rPr>
          <w:sz w:val="24"/>
        </w:rPr>
      </w:pPr>
      <w:bookmarkStart w:id="21" w:name="_Toc40435756"/>
      <w:r>
        <w:t xml:space="preserve">Figure </w:t>
      </w:r>
      <w:r>
        <w:fldChar w:fldCharType="begin"/>
      </w:r>
      <w:r>
        <w:instrText xml:space="preserve"> SEQ Figure \* ARABIC </w:instrText>
      </w:r>
      <w:r>
        <w:fldChar w:fldCharType="separate"/>
      </w:r>
      <w:r w:rsidR="00432460">
        <w:t>2</w:t>
      </w:r>
      <w:r>
        <w:fldChar w:fldCharType="end"/>
      </w:r>
      <w:r>
        <w:t xml:space="preserve"> Complicated cellular and molecular network of TNF/LT/LIGHT family members</w:t>
      </w:r>
      <w:bookmarkEnd w:id="21"/>
    </w:p>
    <w:p w14:paraId="5F561845" w14:textId="213E5609" w:rsidR="00A3757D" w:rsidRDefault="00480B7C" w:rsidP="002312CC">
      <w:pPr>
        <w:pStyle w:val="CaptionDescription"/>
        <w:spacing w:line="360" w:lineRule="auto"/>
        <w:jc w:val="both"/>
      </w:pPr>
      <w:r w:rsidRPr="00ED3678">
        <w:rPr>
          <w:b w:val="0"/>
          <w:i/>
          <w:sz w:val="24"/>
        </w:rPr>
        <w:t>Adapted and Modified from (Zhu, 2011)</w:t>
      </w:r>
      <w:r w:rsidR="00D76BFF" w:rsidRPr="00FD0548">
        <w:rPr>
          <w:b w:val="0"/>
          <w:sz w:val="24"/>
        </w:rPr>
        <w:t xml:space="preserve"> </w:t>
      </w:r>
      <w:r w:rsidR="00D76BFF">
        <w:rPr>
          <w:b w:val="0"/>
          <w:sz w:val="24"/>
        </w:rPr>
        <w:t>Interactions between l</w:t>
      </w:r>
      <w:r w:rsidR="00D76BFF" w:rsidRPr="00D76BFF">
        <w:rPr>
          <w:b w:val="0"/>
          <w:sz w:val="24"/>
        </w:rPr>
        <w:t>igand</w:t>
      </w:r>
      <w:r w:rsidR="00D76BFF">
        <w:rPr>
          <w:b w:val="0"/>
          <w:sz w:val="24"/>
        </w:rPr>
        <w:t xml:space="preserve">s and </w:t>
      </w:r>
      <w:r w:rsidR="00D76BFF" w:rsidRPr="00D76BFF">
        <w:rPr>
          <w:b w:val="0"/>
          <w:sz w:val="24"/>
        </w:rPr>
        <w:t>receptor</w:t>
      </w:r>
      <w:r w:rsidR="00D76BFF">
        <w:rPr>
          <w:b w:val="0"/>
          <w:sz w:val="24"/>
        </w:rPr>
        <w:t>s</w:t>
      </w:r>
      <w:r w:rsidR="00D76BFF" w:rsidRPr="00D76BFF">
        <w:rPr>
          <w:b w:val="0"/>
          <w:sz w:val="24"/>
        </w:rPr>
        <w:t xml:space="preserve"> </w:t>
      </w:r>
      <w:r w:rsidR="00D76BFF">
        <w:rPr>
          <w:b w:val="0"/>
          <w:sz w:val="24"/>
        </w:rPr>
        <w:t>(</w:t>
      </w:r>
      <w:r w:rsidR="00B60A6A">
        <w:rPr>
          <w:b w:val="0"/>
          <w:sz w:val="24"/>
        </w:rPr>
        <w:t>line arr</w:t>
      </w:r>
      <w:r w:rsidR="00D76BFF">
        <w:rPr>
          <w:b w:val="0"/>
          <w:sz w:val="24"/>
        </w:rPr>
        <w:t xml:space="preserve">ows) </w:t>
      </w:r>
      <w:r w:rsidR="00D76BFF" w:rsidRPr="00D76BFF">
        <w:rPr>
          <w:b w:val="0"/>
          <w:sz w:val="24"/>
        </w:rPr>
        <w:t xml:space="preserve">and cells </w:t>
      </w:r>
      <w:r w:rsidR="00D76BFF">
        <w:rPr>
          <w:b w:val="0"/>
          <w:sz w:val="24"/>
        </w:rPr>
        <w:t xml:space="preserve">involved in their production </w:t>
      </w:r>
      <w:r w:rsidR="00D76BFF" w:rsidRPr="00D76BFF">
        <w:rPr>
          <w:b w:val="0"/>
          <w:sz w:val="24"/>
        </w:rPr>
        <w:t xml:space="preserve">are </w:t>
      </w:r>
      <w:r w:rsidR="00D76BFF">
        <w:rPr>
          <w:b w:val="0"/>
          <w:sz w:val="24"/>
        </w:rPr>
        <w:t>depicted</w:t>
      </w:r>
      <w:r w:rsidR="00D76BFF" w:rsidRPr="00D76BFF">
        <w:rPr>
          <w:b w:val="0"/>
          <w:sz w:val="24"/>
        </w:rPr>
        <w:t>. The action sites for metalloproteinases (MMPs) that convert membrane-bound ligands into secreted/soluble forms</w:t>
      </w:r>
      <w:r w:rsidR="008748F2">
        <w:rPr>
          <w:b w:val="0"/>
          <w:sz w:val="24"/>
        </w:rPr>
        <w:t xml:space="preserve"> </w:t>
      </w:r>
      <w:r w:rsidR="00D76BFF" w:rsidRPr="00D76BFF">
        <w:rPr>
          <w:b w:val="0"/>
          <w:sz w:val="24"/>
        </w:rPr>
        <w:t xml:space="preserve">are indicated by </w:t>
      </w:r>
      <w:r w:rsidR="00B60A6A">
        <w:rPr>
          <w:b w:val="0"/>
          <w:sz w:val="24"/>
        </w:rPr>
        <w:t>bolded</w:t>
      </w:r>
      <w:r w:rsidR="00D76BFF" w:rsidRPr="00D76BFF">
        <w:rPr>
          <w:b w:val="0"/>
          <w:sz w:val="24"/>
        </w:rPr>
        <w:t xml:space="preserve"> </w:t>
      </w:r>
      <w:r w:rsidR="00D76BFF">
        <w:rPr>
          <w:b w:val="0"/>
          <w:sz w:val="24"/>
        </w:rPr>
        <w:t>arrows</w:t>
      </w:r>
      <w:r w:rsidR="0009451E">
        <w:rPr>
          <w:b w:val="0"/>
          <w:sz w:val="24"/>
        </w:rPr>
        <w:t xml:space="preserve"> (Gubernatorova, 2016)</w:t>
      </w:r>
      <w:r w:rsidR="008748F2">
        <w:rPr>
          <w:b w:val="0"/>
          <w:sz w:val="24"/>
        </w:rPr>
        <w:t>.</w:t>
      </w:r>
      <w:r w:rsidR="00D76BFF" w:rsidRPr="00D76BFF" w:rsidDel="00603C47">
        <w:rPr>
          <w:b w:val="0"/>
          <w:sz w:val="24"/>
        </w:rPr>
        <w:t xml:space="preserve"> </w:t>
      </w:r>
    </w:p>
    <w:p w14:paraId="1F773D70" w14:textId="77777777" w:rsidR="00480B7C" w:rsidRPr="00FD0548" w:rsidRDefault="00480B7C" w:rsidP="00ED3678"/>
    <w:p w14:paraId="47ED5573" w14:textId="3FBB73E6" w:rsidR="00FA4041" w:rsidRDefault="00FA4041" w:rsidP="002312CC">
      <w:pPr>
        <w:pStyle w:val="BodyText"/>
        <w:spacing w:after="0"/>
      </w:pPr>
      <w:r w:rsidRPr="008D2C16">
        <w:t>Tumor Necrosis Factor (TNF) is a multifunctional protein that has both pro</w:t>
      </w:r>
      <w:r>
        <w:t>-</w:t>
      </w:r>
      <w:r w:rsidRPr="008D2C16">
        <w:t xml:space="preserve"> and anti-inflammatory functions within the immune system. This cytokine is mainly secreted </w:t>
      </w:r>
      <w:r w:rsidR="00E77C0B">
        <w:t>by</w:t>
      </w:r>
      <w:r w:rsidR="00E77C0B" w:rsidRPr="008D2C16">
        <w:t xml:space="preserve"> </w:t>
      </w:r>
      <w:r w:rsidRPr="008D2C16">
        <w:t>immune cells, predominantly by monocytes/macrophages and T cells. TNF can signal T lymphocytes to activate and proliferate or to undergo apoptosis</w:t>
      </w:r>
      <w:r w:rsidRPr="008D2C16">
        <w:rPr>
          <w:b/>
        </w:rPr>
        <w:t xml:space="preserve"> </w:t>
      </w:r>
      <w:r w:rsidRPr="008D2C16">
        <w:t xml:space="preserve">(Mehta, 2018). </w:t>
      </w:r>
      <w:r w:rsidRPr="008D2C16">
        <w:rPr>
          <w:bCs/>
        </w:rPr>
        <w:t>The relationship between TNF and</w:t>
      </w:r>
      <w:r w:rsidRPr="008D2C16">
        <w:t xml:space="preserve"> </w:t>
      </w:r>
      <w:r w:rsidRPr="008D2C16">
        <w:rPr>
          <w:bCs/>
        </w:rPr>
        <w:t>different T cell subtypes appears to be quite complex including several paradoxical</w:t>
      </w:r>
      <w:r w:rsidRPr="008D2C16">
        <w:rPr>
          <w:b/>
          <w:bCs/>
        </w:rPr>
        <w:t xml:space="preserve"> </w:t>
      </w:r>
      <w:r w:rsidRPr="008D2C16">
        <w:rPr>
          <w:bCs/>
        </w:rPr>
        <w:t xml:space="preserve">effects on T </w:t>
      </w:r>
      <w:r w:rsidRPr="008D2C16">
        <w:rPr>
          <w:bCs/>
        </w:rPr>
        <w:lastRenderedPageBreak/>
        <w:t xml:space="preserve">cell biology (Bystrom, 2018). </w:t>
      </w:r>
      <w:r w:rsidRPr="008D2C16">
        <w:t>Other functions of TNF include stimulating cytokine production (inducing a cascade of various inflammatory cytokines), orchestrating the tissue recruitment of immune cells, enhancing adhesion molecule expression, increasing neutrophil activation</w:t>
      </w:r>
      <w:r w:rsidR="002632C1">
        <w:t>,</w:t>
      </w:r>
      <w:r w:rsidRPr="008D2C16">
        <w:t xml:space="preserve"> acting as a co-stimulator for T cell activation and antibody production, </w:t>
      </w:r>
      <w:r w:rsidR="002632C1">
        <w:t xml:space="preserve">and </w:t>
      </w:r>
      <w:r w:rsidRPr="008D2C16">
        <w:t xml:space="preserve">resolution of inflammation and induction of tissue repair (Chen, 2019). Almost all cells express </w:t>
      </w:r>
      <w:r w:rsidR="00B6555B">
        <w:t>TNF</w:t>
      </w:r>
      <w:r w:rsidRPr="008D2C16">
        <w:t xml:space="preserve"> </w:t>
      </w:r>
      <w:r w:rsidR="00B6555B">
        <w:t>r</w:t>
      </w:r>
      <w:r w:rsidRPr="008D2C16">
        <w:t xml:space="preserve">eceptors, making it a ubiquitous </w:t>
      </w:r>
      <w:r w:rsidR="00B6555B">
        <w:t>protein</w:t>
      </w:r>
      <w:r w:rsidRPr="008D2C16">
        <w:t xml:space="preserve"> across all body systems (Mehta, 2018). Overproduction of TNF has been </w:t>
      </w:r>
      <w:r w:rsidR="00B6555B">
        <w:t>observed</w:t>
      </w:r>
      <w:r w:rsidRPr="008D2C16">
        <w:t xml:space="preserve"> in different autoimmune diseases characterized by chronic inflammation. Elevated TNF levels were also detected in SLE patients and shown to correlate with active disease (Postal, 2011).</w:t>
      </w:r>
      <w:r>
        <w:t xml:space="preserve"> </w:t>
      </w:r>
      <w:r w:rsidRPr="008D2C16">
        <w:t>TNF inhibitors have been used in the clinical setting to deter rheumatic diseases and lower inflammation (Croft, 2017). Adversely though, some anti-TNF therapies have actually been shown to cause lupus-like symptoms when used for other inflammatory diseases, indicating the delicate balance of interactions between this ligand and its receptors (Shovman, 2018).</w:t>
      </w:r>
    </w:p>
    <w:p w14:paraId="026A55C5" w14:textId="26BDE81E" w:rsidR="008D2C16" w:rsidRPr="008D2C16" w:rsidRDefault="008D2C16" w:rsidP="008D2C16">
      <w:pPr>
        <w:pStyle w:val="BodyText"/>
      </w:pPr>
      <w:r w:rsidRPr="008D2C16">
        <w:rPr>
          <w:bCs/>
        </w:rPr>
        <w:t xml:space="preserve">Originally considered functionally redundant to TNF, the </w:t>
      </w:r>
      <w:r w:rsidR="00B14386" w:rsidRPr="00F57327">
        <w:rPr>
          <w:bCs/>
        </w:rPr>
        <w:t>lymphotoxin</w:t>
      </w:r>
      <w:r w:rsidR="00B14386" w:rsidRPr="008D2C16">
        <w:rPr>
          <w:bCs/>
        </w:rPr>
        <w:t xml:space="preserve"> </w:t>
      </w:r>
      <w:r w:rsidR="00B14386">
        <w:rPr>
          <w:bCs/>
        </w:rPr>
        <w:t>(</w:t>
      </w:r>
      <w:r w:rsidRPr="008D2C16">
        <w:rPr>
          <w:bCs/>
        </w:rPr>
        <w:t>LT</w:t>
      </w:r>
      <w:r w:rsidR="00B14386">
        <w:rPr>
          <w:bCs/>
        </w:rPr>
        <w:t>)</w:t>
      </w:r>
      <w:r w:rsidRPr="008D2C16">
        <w:rPr>
          <w:bCs/>
        </w:rPr>
        <w:t xml:space="preserve"> proteins have later been shown to play important roles in lymphoid </w:t>
      </w:r>
      <w:r w:rsidR="00070610" w:rsidRPr="008D2C16">
        <w:t>tissue development</w:t>
      </w:r>
      <w:r w:rsidR="0029024C">
        <w:t>/</w:t>
      </w:r>
      <w:r w:rsidR="0029024C" w:rsidRPr="008D2C16">
        <w:t>homeostasis</w:t>
      </w:r>
      <w:r w:rsidR="00070610" w:rsidRPr="008D2C16" w:rsidDel="00070610">
        <w:rPr>
          <w:bCs/>
        </w:rPr>
        <w:t xml:space="preserve"> </w:t>
      </w:r>
      <w:r w:rsidRPr="008D2C16">
        <w:rPr>
          <w:bCs/>
        </w:rPr>
        <w:t xml:space="preserve">and effector immune responses </w:t>
      </w:r>
      <w:r w:rsidR="00726CE1" w:rsidRPr="008D2C16">
        <w:t>(Bienkowska, 2014)</w:t>
      </w:r>
      <w:r w:rsidR="00070610">
        <w:t>,</w:t>
      </w:r>
      <w:r w:rsidR="00726CE1">
        <w:t xml:space="preserve"> </w:t>
      </w:r>
      <w:r w:rsidRPr="008D2C16">
        <w:rPr>
          <w:bCs/>
        </w:rPr>
        <w:t xml:space="preserve">and more recently also in </w:t>
      </w:r>
      <w:r w:rsidR="00B14386" w:rsidRPr="00DD03C6">
        <w:t>type I interferon</w:t>
      </w:r>
      <w:r w:rsidR="00B14386" w:rsidRPr="008D2C16">
        <w:rPr>
          <w:bCs/>
        </w:rPr>
        <w:t xml:space="preserve"> </w:t>
      </w:r>
      <w:r w:rsidR="00B14386">
        <w:rPr>
          <w:bCs/>
        </w:rPr>
        <w:t>(</w:t>
      </w:r>
      <w:r w:rsidRPr="008D2C16">
        <w:rPr>
          <w:bCs/>
        </w:rPr>
        <w:t>IFN-I</w:t>
      </w:r>
      <w:r w:rsidR="00B14386">
        <w:rPr>
          <w:bCs/>
        </w:rPr>
        <w:t>)</w:t>
      </w:r>
      <w:r w:rsidRPr="008D2C16">
        <w:rPr>
          <w:bCs/>
        </w:rPr>
        <w:t xml:space="preserve"> production</w:t>
      </w:r>
      <w:r w:rsidR="0029024C">
        <w:rPr>
          <w:bCs/>
        </w:rPr>
        <w:t xml:space="preserve"> by</w:t>
      </w:r>
      <w:r w:rsidRPr="008D2C16">
        <w:rPr>
          <w:bCs/>
        </w:rPr>
        <w:t xml:space="preserve"> </w:t>
      </w:r>
      <w:r w:rsidR="0029024C" w:rsidRPr="008D2C16">
        <w:t xml:space="preserve">dendritic cells </w:t>
      </w:r>
      <w:r w:rsidR="00726CE1">
        <w:rPr>
          <w:bCs/>
        </w:rPr>
        <w:t xml:space="preserve"> (</w:t>
      </w:r>
      <w:r w:rsidR="00726CE1" w:rsidRPr="008D2C16">
        <w:rPr>
          <w:bCs/>
        </w:rPr>
        <w:t>Gommerman, 2014</w:t>
      </w:r>
      <w:r w:rsidR="00726CE1">
        <w:rPr>
          <w:bCs/>
        </w:rPr>
        <w:t>)</w:t>
      </w:r>
      <w:r w:rsidRPr="008D2C16">
        <w:rPr>
          <w:bCs/>
        </w:rPr>
        <w:t xml:space="preserve"> as well as in gut microbiota regulation (Upadhyay, 2013). </w:t>
      </w:r>
      <w:r w:rsidRPr="008D2C16">
        <w:t>LTA</w:t>
      </w:r>
      <w:r w:rsidR="00070610">
        <w:t xml:space="preserve"> and </w:t>
      </w:r>
      <w:r w:rsidR="00330A38">
        <w:t>LTB</w:t>
      </w:r>
      <w:r w:rsidR="00070610">
        <w:t xml:space="preserve"> </w:t>
      </w:r>
      <w:r w:rsidR="00330A38">
        <w:t>are</w:t>
      </w:r>
      <w:r w:rsidR="00330A38" w:rsidRPr="008D2C16">
        <w:t xml:space="preserve"> </w:t>
      </w:r>
      <w:r w:rsidRPr="008D2C16">
        <w:t>expressed by T cells, B cells</w:t>
      </w:r>
      <w:r w:rsidR="00330A38">
        <w:t xml:space="preserve">, </w:t>
      </w:r>
      <w:r w:rsidR="00330A38" w:rsidRPr="008D2C16">
        <w:t>NK cells,</w:t>
      </w:r>
      <w:r w:rsidRPr="008D2C16">
        <w:t xml:space="preserve"> and </w:t>
      </w:r>
      <w:r w:rsidR="00330A38">
        <w:t>innate lymphoid cells</w:t>
      </w:r>
      <w:r w:rsidR="00330A38" w:rsidRPr="008D2C16">
        <w:t xml:space="preserve"> </w:t>
      </w:r>
      <w:r w:rsidRPr="008D2C16">
        <w:t>(Zh</w:t>
      </w:r>
      <w:r w:rsidR="00C32674">
        <w:t>u</w:t>
      </w:r>
      <w:r w:rsidRPr="008D2C16">
        <w:t>, 201</w:t>
      </w:r>
      <w:r w:rsidR="00C32674">
        <w:t>1</w:t>
      </w:r>
      <w:r w:rsidRPr="008D2C16">
        <w:t xml:space="preserve">). Together, LTA and LTB can form a stable heterodimeric complex </w:t>
      </w:r>
      <w:r w:rsidR="00957728" w:rsidRPr="00E50E79">
        <w:t>(</w:t>
      </w:r>
      <w:r w:rsidR="00957728" w:rsidRPr="00A65ABA">
        <w:rPr>
          <w:b/>
          <w:bCs/>
        </w:rPr>
        <w:t>Fig</w:t>
      </w:r>
      <w:r w:rsidR="00957728">
        <w:rPr>
          <w:b/>
          <w:bCs/>
        </w:rPr>
        <w:t>ure</w:t>
      </w:r>
      <w:r w:rsidR="00957728" w:rsidRPr="00A65ABA">
        <w:rPr>
          <w:b/>
          <w:bCs/>
        </w:rPr>
        <w:t xml:space="preserve"> 2</w:t>
      </w:r>
      <w:r w:rsidR="00957728" w:rsidRPr="00E50E79">
        <w:t>)</w:t>
      </w:r>
      <w:r w:rsidRPr="008D2C16">
        <w:t xml:space="preserve">. </w:t>
      </w:r>
      <w:r w:rsidR="00495597" w:rsidRPr="008D2C16">
        <w:t xml:space="preserve">LTB is far less </w:t>
      </w:r>
      <w:r w:rsidR="00495597">
        <w:t>studied</w:t>
      </w:r>
      <w:r w:rsidR="00495597" w:rsidRPr="008D2C16">
        <w:t xml:space="preserve"> th</w:t>
      </w:r>
      <w:r w:rsidR="00495597">
        <w:t>an LTA or TNF (Albarbar</w:t>
      </w:r>
      <w:r w:rsidR="00B531E2">
        <w:t>,</w:t>
      </w:r>
      <w:r w:rsidR="00495597">
        <w:t xml:space="preserve"> 2015).</w:t>
      </w:r>
    </w:p>
    <w:p w14:paraId="446906A3" w14:textId="58D75317" w:rsidR="008D2C16" w:rsidRPr="008D2C16" w:rsidRDefault="008D2C16" w:rsidP="008D2C16">
      <w:pPr>
        <w:pStyle w:val="BodyText"/>
      </w:pPr>
      <w:r w:rsidRPr="008D2C16">
        <w:tab/>
      </w:r>
    </w:p>
    <w:p w14:paraId="482D06CA" w14:textId="565E7384" w:rsidR="008D2C16" w:rsidRDefault="00707A35" w:rsidP="002312CC">
      <w:pPr>
        <w:pStyle w:val="Heading1"/>
        <w:ind w:hanging="2232"/>
      </w:pPr>
      <w:bookmarkStart w:id="22" w:name="_Toc40435742"/>
      <w:r>
        <w:lastRenderedPageBreak/>
        <w:t>Study Objective and Specific Aims</w:t>
      </w:r>
      <w:bookmarkEnd w:id="22"/>
      <w:r>
        <w:t xml:space="preserve"> </w:t>
      </w:r>
    </w:p>
    <w:p w14:paraId="0DB4B34F" w14:textId="25DC558C" w:rsidR="00272A89" w:rsidRDefault="00272A89" w:rsidP="00587A52">
      <w:pPr>
        <w:pStyle w:val="BodyText"/>
      </w:pPr>
      <w:r>
        <w:t xml:space="preserve">The primary objective of this study </w:t>
      </w:r>
      <w:r w:rsidR="00A65ABA">
        <w:t>was</w:t>
      </w:r>
      <w:r>
        <w:t xml:space="preserve"> to investigate the genetic association of the </w:t>
      </w:r>
      <w:r w:rsidRPr="006233EC">
        <w:rPr>
          <w:i/>
        </w:rPr>
        <w:t>LTA/TNF/LTB</w:t>
      </w:r>
      <w:r>
        <w:t xml:space="preserve"> region on chromosome 6p21 with SLE susceptibility. Because </w:t>
      </w:r>
      <w:r w:rsidR="00CE5CA7" w:rsidRPr="006233EC">
        <w:rPr>
          <w:i/>
        </w:rPr>
        <w:t>LTA/TNF/LTB</w:t>
      </w:r>
      <w:r w:rsidR="00CE5CA7">
        <w:t xml:space="preserve"> </w:t>
      </w:r>
      <w:r>
        <w:t xml:space="preserve">are strong candidate genes, </w:t>
      </w:r>
      <w:r w:rsidR="00CE5CA7" w:rsidRPr="00CE5CA7">
        <w:rPr>
          <w:bCs/>
        </w:rPr>
        <w:t xml:space="preserve">functionally relevant </w:t>
      </w:r>
      <w:r>
        <w:t xml:space="preserve">variants at </w:t>
      </w:r>
      <w:r w:rsidR="00CE5CA7">
        <w:t>this</w:t>
      </w:r>
      <w:r>
        <w:t xml:space="preserve"> locus </w:t>
      </w:r>
      <w:r w:rsidR="00A65ABA">
        <w:t>might</w:t>
      </w:r>
      <w:r>
        <w:t xml:space="preserve"> </w:t>
      </w:r>
      <w:r w:rsidR="003C0CC6">
        <w:t>contribute to</w:t>
      </w:r>
      <w:r>
        <w:t xml:space="preserve"> the risk of developing SLE. Below are </w:t>
      </w:r>
      <w:r w:rsidR="00CE5CA7">
        <w:t xml:space="preserve">the </w:t>
      </w:r>
      <w:r>
        <w:t xml:space="preserve">specific aims </w:t>
      </w:r>
      <w:r w:rsidR="00286DE4">
        <w:t>of this study</w:t>
      </w:r>
      <w:r>
        <w:t xml:space="preserve">: </w:t>
      </w:r>
    </w:p>
    <w:p w14:paraId="4F5B86A3" w14:textId="77777777" w:rsidR="00286DE4" w:rsidRDefault="00286DE4" w:rsidP="00587A52">
      <w:pPr>
        <w:pStyle w:val="BodyText"/>
      </w:pPr>
    </w:p>
    <w:p w14:paraId="73C45AC1" w14:textId="2C59D9D8" w:rsidR="00587A52" w:rsidRDefault="00272A89" w:rsidP="009170E3">
      <w:pPr>
        <w:pStyle w:val="BodyText"/>
      </w:pPr>
      <w:r w:rsidRPr="00587A52">
        <w:rPr>
          <w:b/>
          <w:bCs/>
          <w:i/>
          <w:iCs/>
        </w:rPr>
        <w:t>Specific Aim 1:</w:t>
      </w:r>
      <w:r>
        <w:t xml:space="preserve"> </w:t>
      </w:r>
      <w:r w:rsidRPr="00735F45">
        <w:t xml:space="preserve">To investigate the association of the </w:t>
      </w:r>
      <w:r w:rsidRPr="00735F45">
        <w:rPr>
          <w:i/>
        </w:rPr>
        <w:t>LTA/TNF/LTB</w:t>
      </w:r>
      <w:r w:rsidRPr="00735F45">
        <w:t xml:space="preserve"> locus with susceptibility to SLE in </w:t>
      </w:r>
      <w:r w:rsidR="0080364A">
        <w:t xml:space="preserve">a </w:t>
      </w:r>
      <w:r w:rsidRPr="00735F45">
        <w:t>data set</w:t>
      </w:r>
      <w:r w:rsidR="003823FC" w:rsidRPr="00735F45">
        <w:t xml:space="preserve"> comprising </w:t>
      </w:r>
      <w:r w:rsidR="00735F45" w:rsidRPr="00735F45">
        <w:t>fourteen</w:t>
      </w:r>
      <w:r w:rsidR="003C0CC6" w:rsidRPr="00735F45">
        <w:t xml:space="preserve"> QC-passed</w:t>
      </w:r>
      <w:r w:rsidR="003823FC" w:rsidRPr="00735F45">
        <w:t xml:space="preserve"> </w:t>
      </w:r>
      <w:r w:rsidR="00951335">
        <w:t xml:space="preserve">single </w:t>
      </w:r>
      <w:r w:rsidR="00951335" w:rsidRPr="00951335">
        <w:t xml:space="preserve">nucleotide polymorphisms </w:t>
      </w:r>
      <w:r w:rsidR="00951335">
        <w:t xml:space="preserve">(SNPs) </w:t>
      </w:r>
      <w:r w:rsidR="000A11AB" w:rsidRPr="00735F45">
        <w:t xml:space="preserve">genotyped or </w:t>
      </w:r>
      <w:r w:rsidR="009937C9" w:rsidRPr="00735F45">
        <w:t xml:space="preserve">imputed in </w:t>
      </w:r>
      <w:r w:rsidR="00635207" w:rsidRPr="00735F45">
        <w:t xml:space="preserve">an SLE </w:t>
      </w:r>
      <w:r w:rsidR="00735F45" w:rsidRPr="00735F45">
        <w:rPr>
          <w:rStyle w:val="Emphasis"/>
          <w:i w:val="0"/>
          <w:iCs w:val="0"/>
          <w:shd w:val="clear" w:color="auto" w:fill="FFFFFF"/>
        </w:rPr>
        <w:t>case-control sample</w:t>
      </w:r>
      <w:r w:rsidR="00735F45" w:rsidRPr="00735F45">
        <w:rPr>
          <w:shd w:val="clear" w:color="auto" w:fill="FFFFFF"/>
        </w:rPr>
        <w:t> of </w:t>
      </w:r>
      <w:r w:rsidR="00735F45" w:rsidRPr="00735F45">
        <w:rPr>
          <w:rStyle w:val="Emphasis"/>
          <w:i w:val="0"/>
          <w:iCs w:val="0"/>
          <w:shd w:val="clear" w:color="auto" w:fill="FFFFFF"/>
        </w:rPr>
        <w:t>European ancestry</w:t>
      </w:r>
      <w:r w:rsidR="00735F45" w:rsidRPr="00735F45">
        <w:rPr>
          <w:shd w:val="clear" w:color="auto" w:fill="FFFFFF"/>
        </w:rPr>
        <w:t> (~1,</w:t>
      </w:r>
      <w:r w:rsidR="00735F45">
        <w:rPr>
          <w:shd w:val="clear" w:color="auto" w:fill="FFFFFF"/>
        </w:rPr>
        <w:t>150</w:t>
      </w:r>
      <w:r w:rsidR="00735F45" w:rsidRPr="00735F45">
        <w:rPr>
          <w:shd w:val="clear" w:color="auto" w:fill="FFFFFF"/>
        </w:rPr>
        <w:t> </w:t>
      </w:r>
      <w:r w:rsidR="00735F45" w:rsidRPr="00735F45">
        <w:rPr>
          <w:rStyle w:val="Emphasis"/>
          <w:i w:val="0"/>
          <w:iCs w:val="0"/>
          <w:shd w:val="clear" w:color="auto" w:fill="FFFFFF"/>
        </w:rPr>
        <w:t>subjects</w:t>
      </w:r>
      <w:r w:rsidR="00735F45" w:rsidRPr="00735F45">
        <w:rPr>
          <w:shd w:val="clear" w:color="auto" w:fill="FFFFFF"/>
        </w:rPr>
        <w:t>)</w:t>
      </w:r>
      <w:r w:rsidRPr="00735F45">
        <w:t xml:space="preserve">. </w:t>
      </w:r>
    </w:p>
    <w:p w14:paraId="5E5AA450" w14:textId="77777777" w:rsidR="00286DE4" w:rsidRPr="00735F45" w:rsidRDefault="00286DE4" w:rsidP="009170E3">
      <w:pPr>
        <w:pStyle w:val="BodyText"/>
      </w:pPr>
    </w:p>
    <w:p w14:paraId="1C0B48A8" w14:textId="02E465BF" w:rsidR="00707A35" w:rsidRPr="00707A35" w:rsidRDefault="00272A89" w:rsidP="005D34AE">
      <w:pPr>
        <w:pStyle w:val="BodyText"/>
      </w:pPr>
      <w:r w:rsidRPr="00587A52">
        <w:rPr>
          <w:b/>
          <w:bCs/>
          <w:i/>
          <w:iCs/>
        </w:rPr>
        <w:t xml:space="preserve">Specific Aim </w:t>
      </w:r>
      <w:r w:rsidR="003C0CC6">
        <w:rPr>
          <w:b/>
          <w:bCs/>
          <w:i/>
          <w:iCs/>
        </w:rPr>
        <w:t>2</w:t>
      </w:r>
      <w:r w:rsidRPr="00587A52">
        <w:rPr>
          <w:b/>
          <w:bCs/>
          <w:i/>
          <w:iCs/>
        </w:rPr>
        <w:t>:</w:t>
      </w:r>
      <w:r>
        <w:t xml:space="preserve"> To </w:t>
      </w:r>
      <w:r w:rsidR="00735F45">
        <w:t xml:space="preserve">use publicly available resources and bioinformatics tools (i) </w:t>
      </w:r>
      <w:r w:rsidR="00286DE4">
        <w:t xml:space="preserve">to </w:t>
      </w:r>
      <w:r w:rsidR="00735F45">
        <w:t xml:space="preserve">assess </w:t>
      </w:r>
      <w:r w:rsidRPr="006233EC">
        <w:rPr>
          <w:i/>
        </w:rPr>
        <w:t>in silico</w:t>
      </w:r>
      <w:r>
        <w:t xml:space="preserve"> whether the SLE-associated variants have </w:t>
      </w:r>
      <w:r w:rsidR="005D34AE">
        <w:t xml:space="preserve">putative </w:t>
      </w:r>
      <w:r>
        <w:t xml:space="preserve">functional effects in order to gain further insights into </w:t>
      </w:r>
      <w:r w:rsidR="006A293B">
        <w:t>SLE</w:t>
      </w:r>
      <w:r w:rsidR="005D34AE">
        <w:t xml:space="preserve"> </w:t>
      </w:r>
      <w:r>
        <w:t>pathogenesis</w:t>
      </w:r>
      <w:r w:rsidR="00885091">
        <w:t>, and (ii) to evaluate the replication of identified associations in previously reported studies/data sets.</w:t>
      </w:r>
    </w:p>
    <w:p w14:paraId="2B1E68BD" w14:textId="2D34A0BC" w:rsidR="00A3757D" w:rsidRDefault="003D244F" w:rsidP="002312CC">
      <w:pPr>
        <w:pStyle w:val="Heading1"/>
        <w:ind w:hanging="2232"/>
      </w:pPr>
      <w:bookmarkStart w:id="23" w:name="_Toc40435743"/>
      <w:r>
        <w:lastRenderedPageBreak/>
        <w:t>Methods</w:t>
      </w:r>
      <w:bookmarkEnd w:id="23"/>
    </w:p>
    <w:p w14:paraId="53779742" w14:textId="5E7E9B57" w:rsidR="0036439E" w:rsidRDefault="00A85029" w:rsidP="00B45324">
      <w:r>
        <w:t>The study</w:t>
      </w:r>
      <w:r w:rsidR="00900BBF">
        <w:t xml:space="preserve"> </w:t>
      </w:r>
      <w:r w:rsidR="00900BBF" w:rsidRPr="00900BBF">
        <w:t xml:space="preserve">data set </w:t>
      </w:r>
      <w:r w:rsidR="00900BBF">
        <w:t xml:space="preserve">has included </w:t>
      </w:r>
      <w:r w:rsidR="00B62CD3">
        <w:t xml:space="preserve">the </w:t>
      </w:r>
      <w:r w:rsidR="00B62CD3" w:rsidRPr="004F4945">
        <w:rPr>
          <w:i/>
        </w:rPr>
        <w:t>LTA/TNF/LTB</w:t>
      </w:r>
      <w:r w:rsidR="00B62CD3">
        <w:t xml:space="preserve"> region SNPs </w:t>
      </w:r>
      <w:r w:rsidR="00B45324">
        <w:t xml:space="preserve">data </w:t>
      </w:r>
      <w:r w:rsidR="002C1568">
        <w:t>derived from a</w:t>
      </w:r>
      <w:r w:rsidR="002C1568" w:rsidRPr="00821214">
        <w:t xml:space="preserve"> </w:t>
      </w:r>
      <w:r w:rsidR="00515F76" w:rsidRPr="00821214">
        <w:t xml:space="preserve">genome-wide </w:t>
      </w:r>
      <w:r w:rsidR="00C17BCE">
        <w:t>genotype</w:t>
      </w:r>
      <w:r w:rsidR="00C17BCE" w:rsidRPr="00821214">
        <w:t xml:space="preserve"> </w:t>
      </w:r>
      <w:r w:rsidR="00515F76" w:rsidRPr="00821214">
        <w:t>data on</w:t>
      </w:r>
      <w:r w:rsidR="00666258" w:rsidRPr="00821214">
        <w:t xml:space="preserve"> </w:t>
      </w:r>
      <w:r w:rsidR="0015318E" w:rsidRPr="00821214">
        <w:t>an SLE case-control sample</w:t>
      </w:r>
      <w:r w:rsidR="00900081">
        <w:t xml:space="preserve"> </w:t>
      </w:r>
      <w:r w:rsidR="00B45324">
        <w:t xml:space="preserve">that were </w:t>
      </w:r>
      <w:r w:rsidR="00900081">
        <w:t xml:space="preserve">imputed </w:t>
      </w:r>
      <w:r w:rsidR="00900081" w:rsidRPr="00CF562F">
        <w:t>using the 1000 Genomes and HapMap reference panels</w:t>
      </w:r>
      <w:r w:rsidR="00550A54">
        <w:t xml:space="preserve"> (</w:t>
      </w:r>
      <w:r w:rsidR="004C7157">
        <w:t>performed by Golden Helix</w:t>
      </w:r>
      <w:r w:rsidR="00550A54">
        <w:t xml:space="preserve"> using</w:t>
      </w:r>
      <w:r w:rsidR="00550A54" w:rsidRPr="00550A54">
        <w:t xml:space="preserve"> the Beagle software package</w:t>
      </w:r>
      <w:r w:rsidR="00550A54">
        <w:t>)</w:t>
      </w:r>
      <w:r w:rsidR="002C1568">
        <w:t xml:space="preserve">. </w:t>
      </w:r>
      <w:r w:rsidR="00C07EA3">
        <w:t>Study subjects</w:t>
      </w:r>
      <w:r w:rsidR="0042110E" w:rsidRPr="0042110E">
        <w:t xml:space="preserve"> were recruited at three sites (Pittsburgh, Chicago, and Montreal) using similar protocols. Additional information on these collections can be found </w:t>
      </w:r>
      <w:r w:rsidR="0042110E">
        <w:t>in previous publications</w:t>
      </w:r>
      <w:r w:rsidR="0042110E" w:rsidRPr="0042110E">
        <w:t xml:space="preserve"> </w:t>
      </w:r>
      <w:r w:rsidR="00E362EE">
        <w:t>(</w:t>
      </w:r>
      <w:r w:rsidR="00E362EE" w:rsidRPr="000956D9">
        <w:t xml:space="preserve">Pineau, 2006) </w:t>
      </w:r>
      <w:r w:rsidR="000956D9" w:rsidRPr="000956D9">
        <w:t>(</w:t>
      </w:r>
      <w:r w:rsidR="00E362EE" w:rsidRPr="000956D9">
        <w:t>Rhew, 2009</w:t>
      </w:r>
      <w:r w:rsidR="000956D9" w:rsidRPr="000956D9">
        <w:t>) (Demirci, 2011) (Bernatsky, 2013)</w:t>
      </w:r>
      <w:r w:rsidR="0042110E" w:rsidRPr="000956D9">
        <w:t xml:space="preserve"> </w:t>
      </w:r>
      <w:r w:rsidR="000956D9" w:rsidRPr="000956D9">
        <w:t>(Demirci, 2016)</w:t>
      </w:r>
      <w:r w:rsidR="0042110E" w:rsidRPr="000956D9">
        <w:t>.</w:t>
      </w:r>
      <w:r w:rsidR="0042110E" w:rsidRPr="0042110E">
        <w:t xml:space="preserve"> DNAs extracted from </w:t>
      </w:r>
      <w:r w:rsidR="0042110E">
        <w:t>stored</w:t>
      </w:r>
      <w:r w:rsidR="0042110E" w:rsidRPr="0042110E">
        <w:t xml:space="preserve"> buffy coat samples were </w:t>
      </w:r>
      <w:r w:rsidR="00C82890">
        <w:t>genotyped</w:t>
      </w:r>
      <w:r w:rsidR="0042110E" w:rsidRPr="0042110E">
        <w:t xml:space="preserve"> </w:t>
      </w:r>
      <w:r w:rsidR="00C82890">
        <w:t xml:space="preserve">using </w:t>
      </w:r>
      <w:r w:rsidR="0042110E" w:rsidRPr="0042110E">
        <w:t xml:space="preserve">Affy </w:t>
      </w:r>
      <w:r w:rsidR="00007126">
        <w:t>SNP6</w:t>
      </w:r>
      <w:r w:rsidR="0042110E" w:rsidRPr="0042110E">
        <w:t xml:space="preserve"> </w:t>
      </w:r>
      <w:r w:rsidR="004065EF">
        <w:t>platform</w:t>
      </w:r>
      <w:r w:rsidR="0042110E" w:rsidRPr="0042110E">
        <w:t xml:space="preserve">. </w:t>
      </w:r>
      <w:r w:rsidR="00121AD8" w:rsidRPr="00121AD8">
        <w:t xml:space="preserve">After excluding </w:t>
      </w:r>
      <w:r w:rsidR="00121AD8">
        <w:t>the subjects</w:t>
      </w:r>
      <w:r w:rsidR="00121AD8" w:rsidRPr="00121AD8">
        <w:t xml:space="preserve"> with cryptic relationship</w:t>
      </w:r>
      <w:r w:rsidR="00121AD8">
        <w:t xml:space="preserve">, </w:t>
      </w:r>
      <w:r w:rsidR="00121AD8" w:rsidRPr="00121AD8">
        <w:t xml:space="preserve">removing </w:t>
      </w:r>
      <w:r w:rsidR="00121AD8">
        <w:t>the samples with poor performance</w:t>
      </w:r>
      <w:r w:rsidR="00121AD8" w:rsidRPr="00121AD8">
        <w:t xml:space="preserve"> and </w:t>
      </w:r>
      <w:r w:rsidR="006556C9">
        <w:t xml:space="preserve">also the outliers identified by population </w:t>
      </w:r>
      <w:r w:rsidR="00121AD8" w:rsidRPr="00121AD8">
        <w:t xml:space="preserve">stratification analysis, </w:t>
      </w:r>
      <w:r w:rsidR="00134F66">
        <w:rPr>
          <w:bCs/>
        </w:rPr>
        <w:t>~1,150</w:t>
      </w:r>
      <w:r w:rsidR="00121AD8" w:rsidRPr="006233EC">
        <w:rPr>
          <w:bCs/>
        </w:rPr>
        <w:t xml:space="preserve"> </w:t>
      </w:r>
      <w:r w:rsidR="00134F66">
        <w:rPr>
          <w:bCs/>
        </w:rPr>
        <w:t xml:space="preserve">European-descent </w:t>
      </w:r>
      <w:r w:rsidR="00121AD8" w:rsidRPr="006233EC">
        <w:rPr>
          <w:bCs/>
        </w:rPr>
        <w:t>subjects</w:t>
      </w:r>
      <w:r w:rsidR="00134F66">
        <w:rPr>
          <w:bCs/>
        </w:rPr>
        <w:t xml:space="preserve"> </w:t>
      </w:r>
      <w:r w:rsidR="00121AD8" w:rsidRPr="006233EC">
        <w:rPr>
          <w:bCs/>
        </w:rPr>
        <w:t xml:space="preserve">were available for </w:t>
      </w:r>
      <w:r w:rsidR="006A293B">
        <w:rPr>
          <w:bCs/>
        </w:rPr>
        <w:t>subsequent</w:t>
      </w:r>
      <w:r w:rsidR="006A293B" w:rsidRPr="006A293B">
        <w:rPr>
          <w:bCs/>
        </w:rPr>
        <w:t xml:space="preserve"> analys</w:t>
      </w:r>
      <w:r w:rsidR="006A293B">
        <w:rPr>
          <w:bCs/>
        </w:rPr>
        <w:t>e</w:t>
      </w:r>
      <w:r w:rsidR="00121AD8" w:rsidRPr="006233EC">
        <w:rPr>
          <w:bCs/>
        </w:rPr>
        <w:t>s</w:t>
      </w:r>
      <w:r w:rsidR="00121AD8" w:rsidRPr="00121AD8">
        <w:t xml:space="preserve">. </w:t>
      </w:r>
      <w:r w:rsidR="002C1568">
        <w:t xml:space="preserve">SLE subjects </w:t>
      </w:r>
      <w:r w:rsidR="00134F66" w:rsidRPr="006233EC">
        <w:rPr>
          <w:bCs/>
        </w:rPr>
        <w:t>(</w:t>
      </w:r>
      <w:r w:rsidR="00134F66">
        <w:rPr>
          <w:bCs/>
        </w:rPr>
        <w:t>n=</w:t>
      </w:r>
      <w:r w:rsidR="00134F66" w:rsidRPr="006233EC">
        <w:rPr>
          <w:bCs/>
        </w:rPr>
        <w:t>661</w:t>
      </w:r>
      <w:r w:rsidR="00134F66">
        <w:rPr>
          <w:bCs/>
        </w:rPr>
        <w:t>)</w:t>
      </w:r>
      <w:r w:rsidR="00134F66" w:rsidRPr="006233EC">
        <w:rPr>
          <w:bCs/>
        </w:rPr>
        <w:t xml:space="preserve"> </w:t>
      </w:r>
      <w:r w:rsidR="002C1568">
        <w:t xml:space="preserve">were 18 years of age or older (mean age 45 ± 12 years; 97% women) and met the American College of Rheumatology (ACR) classification criteria for definite or probable SLE </w:t>
      </w:r>
      <w:r w:rsidR="002C1568" w:rsidRPr="0065014E">
        <w:t>(Tan, 1982) (Hochberg, 1997).</w:t>
      </w:r>
      <w:r w:rsidR="002C1568">
        <w:t xml:space="preserve"> SLE-free control</w:t>
      </w:r>
      <w:r w:rsidR="00B62CD3">
        <w:t>s</w:t>
      </w:r>
      <w:r w:rsidR="002C1568">
        <w:t xml:space="preserve"> </w:t>
      </w:r>
      <w:r w:rsidR="00134F66" w:rsidRPr="006233EC">
        <w:rPr>
          <w:bCs/>
        </w:rPr>
        <w:t>(</w:t>
      </w:r>
      <w:r w:rsidR="00134F66">
        <w:rPr>
          <w:bCs/>
        </w:rPr>
        <w:t>n=</w:t>
      </w:r>
      <w:r w:rsidR="00134F66" w:rsidRPr="006233EC">
        <w:rPr>
          <w:bCs/>
        </w:rPr>
        <w:t xml:space="preserve">487) </w:t>
      </w:r>
      <w:r w:rsidR="002C1568">
        <w:t xml:space="preserve">were 21 years or older (mean age 49 ± 11 years; 100% women). </w:t>
      </w:r>
    </w:p>
    <w:p w14:paraId="18BCD9DA" w14:textId="1DE1B1D9" w:rsidR="002C1568" w:rsidRDefault="001C7CFC" w:rsidP="00A56EED">
      <w:r>
        <w:t>Data were available for f</w:t>
      </w:r>
      <w:r w:rsidR="00666258">
        <w:t>ifteen</w:t>
      </w:r>
      <w:r w:rsidR="002C1568">
        <w:t xml:space="preserve"> SNPs with minor allele frequency (MAF) &gt; 1% </w:t>
      </w:r>
      <w:r w:rsidR="008D45C3">
        <w:t>(7 directly genotyped and 8 imputed with a</w:t>
      </w:r>
      <w:r w:rsidR="008D45C3" w:rsidRPr="00951335">
        <w:t xml:space="preserve"> high-probability</w:t>
      </w:r>
      <w:r w:rsidR="008D45C3">
        <w:t xml:space="preserve">) </w:t>
      </w:r>
      <w:bookmarkStart w:id="24" w:name="_Hlk39527866"/>
      <w:r w:rsidR="002C1568">
        <w:t>from the LTA/TNF/LTB gene cluster and flanking intergenic regions on chr</w:t>
      </w:r>
      <w:r w:rsidR="008D45C3">
        <w:t>omosome</w:t>
      </w:r>
      <w:r w:rsidR="002C1568">
        <w:t xml:space="preserve"> 6p21</w:t>
      </w:r>
      <w:bookmarkEnd w:id="24"/>
      <w:r w:rsidR="002C1568">
        <w:t xml:space="preserve"> </w:t>
      </w:r>
      <w:r w:rsidR="00666258">
        <w:t>(</w:t>
      </w:r>
      <w:r w:rsidR="00666258" w:rsidRPr="00666258">
        <w:rPr>
          <w:b/>
          <w:bCs/>
        </w:rPr>
        <w:t>Figure 3</w:t>
      </w:r>
      <w:r w:rsidR="00666258">
        <w:t>)</w:t>
      </w:r>
      <w:r w:rsidR="002C1568">
        <w:t xml:space="preserve">. </w:t>
      </w:r>
      <w:r w:rsidR="0080364A">
        <w:t>The g</w:t>
      </w:r>
      <w:r w:rsidR="00642C24">
        <w:t>enotype and a</w:t>
      </w:r>
      <w:r w:rsidR="00642C24" w:rsidRPr="00AC109C">
        <w:t>llele frequencies were calculated</w:t>
      </w:r>
      <w:r w:rsidR="00642C24">
        <w:t xml:space="preserve"> by direct counting method. </w:t>
      </w:r>
      <w:r w:rsidR="00642C24" w:rsidRPr="00AC109C">
        <w:t xml:space="preserve">Observed genotype frequencies were compared to those expected under </w:t>
      </w:r>
      <w:r w:rsidR="00A56EED" w:rsidRPr="00A56EED">
        <w:t xml:space="preserve">Hardy–Weinberg equilibrium </w:t>
      </w:r>
      <w:r w:rsidR="00A56EED">
        <w:t>(</w:t>
      </w:r>
      <w:r w:rsidR="00642C24" w:rsidRPr="00AC109C">
        <w:t>HWE</w:t>
      </w:r>
      <w:r w:rsidR="00A56EED">
        <w:t>)</w:t>
      </w:r>
      <w:r w:rsidR="00642C24" w:rsidRPr="00AC109C">
        <w:t xml:space="preserve"> and the significance of deviations was tested by the chi</w:t>
      </w:r>
      <w:r w:rsidR="00CC1E06">
        <w:t>-</w:t>
      </w:r>
      <w:r w:rsidR="00642C24" w:rsidRPr="00AC109C">
        <w:t>squared goodness</w:t>
      </w:r>
      <w:r w:rsidR="00CC1E06">
        <w:t>-</w:t>
      </w:r>
      <w:r w:rsidR="00642C24" w:rsidRPr="00AC109C">
        <w:t>of</w:t>
      </w:r>
      <w:r w:rsidR="00CC1E06">
        <w:t>-</w:t>
      </w:r>
      <w:r w:rsidR="00642C24" w:rsidRPr="00AC109C">
        <w:t>fit test.</w:t>
      </w:r>
      <w:r w:rsidR="00642C24">
        <w:t xml:space="preserve"> </w:t>
      </w:r>
      <w:r w:rsidR="00A56EED">
        <w:t xml:space="preserve">A total of </w:t>
      </w:r>
      <w:r w:rsidR="008D45C3">
        <w:t>14</w:t>
      </w:r>
      <w:r w:rsidR="00A56EED">
        <w:t xml:space="preserve"> SNPs</w:t>
      </w:r>
      <w:r w:rsidR="008D45C3">
        <w:t xml:space="preserve"> with &gt;90% call rate </w:t>
      </w:r>
      <w:r w:rsidR="00A56EED">
        <w:t xml:space="preserve">and </w:t>
      </w:r>
      <w:r w:rsidR="000213BE">
        <w:t>in concordance with HWE</w:t>
      </w:r>
      <w:r w:rsidR="005A7D6B">
        <w:t xml:space="preserve"> </w:t>
      </w:r>
      <w:r w:rsidR="008D45C3">
        <w:t>were included in subsequent association analyses</w:t>
      </w:r>
      <w:r w:rsidR="008A29F3">
        <w:t xml:space="preserve"> (1 SNP was removed due to lower call rate)</w:t>
      </w:r>
      <w:r w:rsidR="008D45C3">
        <w:t>.</w:t>
      </w:r>
    </w:p>
    <w:p w14:paraId="413523D9" w14:textId="16C366E7" w:rsidR="00990DE0" w:rsidRDefault="00A41436" w:rsidP="00990DE0">
      <w:pPr>
        <w:rPr>
          <w:bCs/>
        </w:rPr>
      </w:pPr>
      <w:r>
        <w:lastRenderedPageBreak/>
        <w:t>G</w:t>
      </w:r>
      <w:r w:rsidRPr="00F3396F">
        <w:t>enotype distribution differen</w:t>
      </w:r>
      <w:r>
        <w:t xml:space="preserve">ces between SLE cases and controls </w:t>
      </w:r>
      <w:r w:rsidRPr="00F3396F">
        <w:t xml:space="preserve">were tested </w:t>
      </w:r>
      <w:r w:rsidR="00355B9C">
        <w:t xml:space="preserve">for each SNP </w:t>
      </w:r>
      <w:r w:rsidR="00B71C0B">
        <w:t xml:space="preserve">by </w:t>
      </w:r>
      <w:r w:rsidR="00355B9C">
        <w:t>conducting</w:t>
      </w:r>
      <w:r w:rsidR="000213BE">
        <w:t xml:space="preserve"> logistic regression analysis </w:t>
      </w:r>
      <w:r w:rsidRPr="00F3396F">
        <w:t xml:space="preserve">under </w:t>
      </w:r>
      <w:r w:rsidR="00F60DEC" w:rsidRPr="00A04503">
        <w:t xml:space="preserve">the </w:t>
      </w:r>
      <w:r w:rsidRPr="00A04503">
        <w:t>dominant</w:t>
      </w:r>
      <w:r w:rsidR="00A04503">
        <w:t xml:space="preserve"> (minor</w:t>
      </w:r>
      <w:r w:rsidR="003A66A1">
        <w:t xml:space="preserve"> allele homozygote</w:t>
      </w:r>
      <w:r w:rsidR="00A04503" w:rsidRPr="00A04503">
        <w:t xml:space="preserve"> </w:t>
      </w:r>
      <w:r w:rsidR="003A66A1">
        <w:t>= 1,</w:t>
      </w:r>
      <w:r w:rsidR="00A04503">
        <w:t xml:space="preserve"> </w:t>
      </w:r>
      <w:r w:rsidR="003A66A1">
        <w:t>heterozygote = 1,</w:t>
      </w:r>
      <w:r w:rsidR="00A04503">
        <w:t xml:space="preserve"> major</w:t>
      </w:r>
      <w:r w:rsidR="003A66A1">
        <w:t xml:space="preserve"> allele homozygote = 0</w:t>
      </w:r>
      <w:r w:rsidR="00A04503" w:rsidRPr="00A04503">
        <w:t>)</w:t>
      </w:r>
      <w:r w:rsidRPr="00A04503">
        <w:t xml:space="preserve"> </w:t>
      </w:r>
      <w:r w:rsidR="000213BE" w:rsidRPr="00A04503">
        <w:t xml:space="preserve">and additive </w:t>
      </w:r>
      <w:r w:rsidR="00A04503">
        <w:t>(minor</w:t>
      </w:r>
      <w:r w:rsidR="009B44B7">
        <w:t xml:space="preserve"> allele homozygote </w:t>
      </w:r>
      <w:r w:rsidR="00A04503">
        <w:t>=</w:t>
      </w:r>
      <w:r w:rsidR="009B44B7">
        <w:t xml:space="preserve"> </w:t>
      </w:r>
      <w:r w:rsidR="00A04503">
        <w:t>2</w:t>
      </w:r>
      <w:r w:rsidR="003A66A1">
        <w:t>,</w:t>
      </w:r>
      <w:r w:rsidR="00A04503" w:rsidRPr="00A04503">
        <w:t xml:space="preserve"> </w:t>
      </w:r>
      <w:r w:rsidR="009B44B7">
        <w:t xml:space="preserve">heterozygote </w:t>
      </w:r>
      <w:r w:rsidR="00A04503">
        <w:t>=</w:t>
      </w:r>
      <w:r w:rsidR="009B44B7">
        <w:t xml:space="preserve"> </w:t>
      </w:r>
      <w:r w:rsidR="00A04503">
        <w:t>1, major</w:t>
      </w:r>
      <w:r w:rsidR="009B44B7">
        <w:t xml:space="preserve"> allele homozygote </w:t>
      </w:r>
      <w:r w:rsidR="00A04503">
        <w:t>=</w:t>
      </w:r>
      <w:r w:rsidR="009B44B7">
        <w:t xml:space="preserve"> </w:t>
      </w:r>
      <w:r w:rsidR="00A04503">
        <w:t>0)</w:t>
      </w:r>
      <w:r w:rsidR="00A04503" w:rsidRPr="00A04503">
        <w:t xml:space="preserve"> </w:t>
      </w:r>
      <w:r w:rsidRPr="00A04503">
        <w:t>model</w:t>
      </w:r>
      <w:r w:rsidR="000213BE" w:rsidRPr="00A04503">
        <w:t>s</w:t>
      </w:r>
      <w:r>
        <w:t xml:space="preserve"> </w:t>
      </w:r>
      <w:r w:rsidR="00740D3E">
        <w:t>that included</w:t>
      </w:r>
      <w:r w:rsidR="00F60DEC">
        <w:t xml:space="preserve"> the </w:t>
      </w:r>
      <w:r w:rsidR="000213BE">
        <w:t>site and age</w:t>
      </w:r>
      <w:r w:rsidR="00F60DEC">
        <w:t xml:space="preserve"> as covariates</w:t>
      </w:r>
      <w:r w:rsidRPr="00F3396F">
        <w:t>.</w:t>
      </w:r>
      <w:r>
        <w:t xml:space="preserve"> </w:t>
      </w:r>
      <w:r w:rsidR="001406A3">
        <w:t xml:space="preserve">The </w:t>
      </w:r>
      <w:r w:rsidR="00B71C0B" w:rsidRPr="00990DE0">
        <w:t xml:space="preserve">Haploview </w:t>
      </w:r>
      <w:r w:rsidR="001406A3">
        <w:t>program</w:t>
      </w:r>
      <w:r w:rsidR="008172C1">
        <w:t xml:space="preserve"> </w:t>
      </w:r>
      <w:r w:rsidR="008172C1" w:rsidRPr="006233EC">
        <w:t>(</w:t>
      </w:r>
      <w:hyperlink r:id="rId11" w:history="1">
        <w:r w:rsidR="008172C1" w:rsidRPr="006233EC">
          <w:rPr>
            <w:rStyle w:val="Hyperlink"/>
            <w:color w:val="auto"/>
            <w:u w:val="none"/>
          </w:rPr>
          <w:t>https://www.broadinstitute.org/haploview/haploview</w:t>
        </w:r>
      </w:hyperlink>
      <w:r w:rsidR="008172C1" w:rsidRPr="006233EC">
        <w:t>)</w:t>
      </w:r>
      <w:r w:rsidR="001406A3">
        <w:t xml:space="preserve"> version 4.</w:t>
      </w:r>
      <w:r w:rsidR="00404622">
        <w:t>2</w:t>
      </w:r>
      <w:r w:rsidR="001406A3">
        <w:t xml:space="preserve"> </w:t>
      </w:r>
      <w:r w:rsidR="00740D3E" w:rsidRPr="006233EC">
        <w:t>was used</w:t>
      </w:r>
      <w:r w:rsidR="00740D3E">
        <w:t xml:space="preserve"> </w:t>
      </w:r>
      <w:r w:rsidR="00B71C0B" w:rsidRPr="006233EC">
        <w:t xml:space="preserve">to </w:t>
      </w:r>
      <w:r w:rsidR="00355B9C">
        <w:t xml:space="preserve">assess the </w:t>
      </w:r>
      <w:r w:rsidR="00355B9C" w:rsidRPr="006845DF">
        <w:t xml:space="preserve">LD </w:t>
      </w:r>
      <w:r w:rsidR="00355B9C">
        <w:t xml:space="preserve">between the pairs of </w:t>
      </w:r>
      <w:r w:rsidR="00355B9C">
        <w:tab/>
      </w:r>
      <w:r w:rsidR="001406A3">
        <w:t xml:space="preserve">studied </w:t>
      </w:r>
      <w:r w:rsidR="00355B9C">
        <w:t>SNPs and</w:t>
      </w:r>
      <w:r w:rsidR="00492583">
        <w:t xml:space="preserve"> also</w:t>
      </w:r>
      <w:r w:rsidR="00355B9C">
        <w:t xml:space="preserve"> to perform haplotype association analysis of SLE-</w:t>
      </w:r>
      <w:r w:rsidR="001406A3">
        <w:t>relevant</w:t>
      </w:r>
      <w:r w:rsidR="00355B9C">
        <w:t xml:space="preserve"> SNPs in the study </w:t>
      </w:r>
      <w:r w:rsidR="00F60DEC">
        <w:t>sample</w:t>
      </w:r>
      <w:r w:rsidR="00B71C0B">
        <w:t xml:space="preserve">. Multiple testing concerns were addressed by </w:t>
      </w:r>
      <w:r w:rsidR="00355B9C">
        <w:t>performing</w:t>
      </w:r>
      <w:r w:rsidR="00B71C0B">
        <w:t xml:space="preserve"> Bonferroni correction in single-site analys</w:t>
      </w:r>
      <w:r w:rsidR="00355B9C">
        <w:t>e</w:t>
      </w:r>
      <w:r w:rsidR="00B71C0B">
        <w:t>s and permutation</w:t>
      </w:r>
      <w:r w:rsidR="00492583">
        <w:t xml:space="preserve"> testing</w:t>
      </w:r>
      <w:r w:rsidR="00B71C0B">
        <w:t xml:space="preserve"> in haplotype analysis.</w:t>
      </w:r>
      <w:r w:rsidR="00787D75">
        <w:t xml:space="preserve"> </w:t>
      </w:r>
      <w:r w:rsidR="002477A0" w:rsidRPr="004419FA">
        <w:rPr>
          <w:i/>
        </w:rPr>
        <w:t>In silico</w:t>
      </w:r>
      <w:r w:rsidR="002477A0" w:rsidRPr="004419FA">
        <w:t xml:space="preserve"> </w:t>
      </w:r>
      <w:r w:rsidR="002477A0" w:rsidRPr="004419FA">
        <w:rPr>
          <w:bCs/>
        </w:rPr>
        <w:t xml:space="preserve">assessment </w:t>
      </w:r>
      <w:r w:rsidR="00DF67D9">
        <w:rPr>
          <w:bCs/>
        </w:rPr>
        <w:t xml:space="preserve">of </w:t>
      </w:r>
      <w:r w:rsidR="004419FA">
        <w:rPr>
          <w:bCs/>
        </w:rPr>
        <w:t xml:space="preserve">putative </w:t>
      </w:r>
      <w:r w:rsidR="004419FA" w:rsidRPr="004419FA">
        <w:t xml:space="preserve">functional </w:t>
      </w:r>
      <w:r w:rsidR="004419FA">
        <w:t xml:space="preserve">effects </w:t>
      </w:r>
      <w:r w:rsidR="002477A0" w:rsidRPr="004419FA">
        <w:rPr>
          <w:bCs/>
        </w:rPr>
        <w:t>of SLE-</w:t>
      </w:r>
      <w:r w:rsidR="004419FA">
        <w:rPr>
          <w:bCs/>
        </w:rPr>
        <w:t>associated</w:t>
      </w:r>
      <w:r w:rsidR="002477A0" w:rsidRPr="004419FA">
        <w:rPr>
          <w:bCs/>
        </w:rPr>
        <w:t xml:space="preserve"> SNPs was </w:t>
      </w:r>
      <w:r w:rsidR="008172C1">
        <w:rPr>
          <w:bCs/>
        </w:rPr>
        <w:t>done</w:t>
      </w:r>
      <w:r w:rsidR="008172C1" w:rsidRPr="004419FA">
        <w:rPr>
          <w:bCs/>
        </w:rPr>
        <w:t xml:space="preserve"> </w:t>
      </w:r>
      <w:r w:rsidR="002477A0" w:rsidRPr="004419FA">
        <w:rPr>
          <w:bCs/>
        </w:rPr>
        <w:t xml:space="preserve">using </w:t>
      </w:r>
      <w:r w:rsidR="004419FA" w:rsidRPr="004419FA">
        <w:rPr>
          <w:bCs/>
        </w:rPr>
        <w:t xml:space="preserve">RegulomeDB </w:t>
      </w:r>
      <w:r w:rsidR="008172C1" w:rsidRPr="004419FA">
        <w:rPr>
          <w:bCs/>
        </w:rPr>
        <w:t>(</w:t>
      </w:r>
      <w:r w:rsidR="008172C1" w:rsidRPr="007D2176">
        <w:rPr>
          <w:bCs/>
        </w:rPr>
        <w:t>https://regulomedb.org/regulome-search/</w:t>
      </w:r>
      <w:r w:rsidR="008172C1" w:rsidRPr="004419FA">
        <w:rPr>
          <w:bCs/>
        </w:rPr>
        <w:t>)</w:t>
      </w:r>
      <w:r w:rsidR="008172C1">
        <w:rPr>
          <w:bCs/>
        </w:rPr>
        <w:t xml:space="preserve"> </w:t>
      </w:r>
      <w:r w:rsidR="004419FA" w:rsidRPr="004419FA">
        <w:rPr>
          <w:bCs/>
        </w:rPr>
        <w:t>v</w:t>
      </w:r>
      <w:r w:rsidR="007D2176">
        <w:rPr>
          <w:bCs/>
        </w:rPr>
        <w:t>ersion 2.0</w:t>
      </w:r>
      <w:r w:rsidR="004419FA" w:rsidRPr="004419FA">
        <w:rPr>
          <w:bCs/>
        </w:rPr>
        <w:t xml:space="preserve"> </w:t>
      </w:r>
      <w:r w:rsidR="007D2176">
        <w:rPr>
          <w:bCs/>
        </w:rPr>
        <w:t xml:space="preserve">and </w:t>
      </w:r>
      <w:r w:rsidR="007D2176" w:rsidRPr="007D2176">
        <w:rPr>
          <w:bCs/>
        </w:rPr>
        <w:t xml:space="preserve">HaploReg </w:t>
      </w:r>
      <w:r w:rsidR="007D2176">
        <w:rPr>
          <w:bCs/>
        </w:rPr>
        <w:t>(</w:t>
      </w:r>
      <w:r w:rsidR="00DF67D9" w:rsidRPr="00B63540">
        <w:rPr>
          <w:bCs/>
        </w:rPr>
        <w:t>https://pubs.broadinstitute.org/mammals/haploreg/haploreg_v4.php</w:t>
      </w:r>
      <w:r w:rsidR="007D2176">
        <w:rPr>
          <w:bCs/>
        </w:rPr>
        <w:t>)</w:t>
      </w:r>
      <w:r w:rsidR="00DF67D9">
        <w:rPr>
          <w:bCs/>
        </w:rPr>
        <w:t xml:space="preserve"> </w:t>
      </w:r>
      <w:r w:rsidR="008172C1" w:rsidRPr="007D2176">
        <w:rPr>
          <w:bCs/>
        </w:rPr>
        <w:t>v</w:t>
      </w:r>
      <w:r w:rsidR="008172C1">
        <w:rPr>
          <w:bCs/>
        </w:rPr>
        <w:t xml:space="preserve">ersion </w:t>
      </w:r>
      <w:r w:rsidR="008172C1" w:rsidRPr="007D2176">
        <w:rPr>
          <w:bCs/>
        </w:rPr>
        <w:t>4</w:t>
      </w:r>
      <w:r w:rsidR="008172C1">
        <w:rPr>
          <w:bCs/>
        </w:rPr>
        <w:t xml:space="preserve"> </w:t>
      </w:r>
      <w:r w:rsidR="00DF67D9">
        <w:rPr>
          <w:bCs/>
        </w:rPr>
        <w:t>bioinformatics tools</w:t>
      </w:r>
      <w:r w:rsidR="007D2176">
        <w:rPr>
          <w:bCs/>
        </w:rPr>
        <w:t>.</w:t>
      </w:r>
    </w:p>
    <w:p w14:paraId="28C70A21" w14:textId="30625F8B" w:rsidR="00666258" w:rsidRDefault="00666258" w:rsidP="00990DE0">
      <w:pPr>
        <w:rPr>
          <w:bCs/>
        </w:rPr>
      </w:pPr>
      <w:r>
        <w:rPr>
          <w:noProof/>
        </w:rPr>
        <w:drawing>
          <wp:anchor distT="0" distB="0" distL="114300" distR="114300" simplePos="0" relativeHeight="251655680" behindDoc="0" locked="0" layoutInCell="1" allowOverlap="1" wp14:anchorId="0B229B07" wp14:editId="48F833A8">
            <wp:simplePos x="0" y="0"/>
            <wp:positionH relativeFrom="margin">
              <wp:align>right</wp:align>
            </wp:positionH>
            <wp:positionV relativeFrom="paragraph">
              <wp:posOffset>488950</wp:posOffset>
            </wp:positionV>
            <wp:extent cx="5943600" cy="1696720"/>
            <wp:effectExtent l="0" t="0" r="0" b="0"/>
            <wp:wrapSquare wrapText="bothSides"/>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diSNPS_picture edited.png"/>
                    <pic:cNvPicPr/>
                  </pic:nvPicPr>
                  <pic:blipFill>
                    <a:blip r:embed="rId12"/>
                    <a:stretch>
                      <a:fillRect/>
                    </a:stretch>
                  </pic:blipFill>
                  <pic:spPr>
                    <a:xfrm>
                      <a:off x="0" y="0"/>
                      <a:ext cx="5943600" cy="1696720"/>
                    </a:xfrm>
                    <a:prstGeom prst="rect">
                      <a:avLst/>
                    </a:prstGeom>
                  </pic:spPr>
                </pic:pic>
              </a:graphicData>
            </a:graphic>
          </wp:anchor>
        </w:drawing>
      </w:r>
    </w:p>
    <w:p w14:paraId="76B433E4" w14:textId="7CB4D3C3" w:rsidR="00A329D1" w:rsidRDefault="002312CC" w:rsidP="002312CC">
      <w:pPr>
        <w:pStyle w:val="Caption"/>
      </w:pPr>
      <w:bookmarkStart w:id="25" w:name="_Toc40435757"/>
      <w:r>
        <w:t xml:space="preserve">Figure </w:t>
      </w:r>
      <w:r>
        <w:fldChar w:fldCharType="begin"/>
      </w:r>
      <w:r>
        <w:instrText xml:space="preserve"> SEQ Figure \* ARABIC </w:instrText>
      </w:r>
      <w:r>
        <w:fldChar w:fldCharType="separate"/>
      </w:r>
      <w:r w:rsidR="00432460">
        <w:t>3</w:t>
      </w:r>
      <w:r>
        <w:fldChar w:fldCharType="end"/>
      </w:r>
      <w:r>
        <w:t xml:space="preserve"> Location of the SNPs within the LTA/TNF/LTB gene cluster and flanking intergenic regions at 6p21</w:t>
      </w:r>
      <w:bookmarkEnd w:id="25"/>
    </w:p>
    <w:p w14:paraId="12311C81" w14:textId="3CBD223A" w:rsidR="00A329D1" w:rsidRPr="00EA6BD5" w:rsidRDefault="00DE131C" w:rsidP="002312CC">
      <w:pPr>
        <w:pStyle w:val="CaptionDescription"/>
        <w:spacing w:line="360" w:lineRule="auto"/>
        <w:jc w:val="both"/>
        <w:rPr>
          <w:b w:val="0"/>
          <w:bCs/>
          <w:sz w:val="24"/>
        </w:rPr>
      </w:pPr>
      <w:bookmarkStart w:id="26" w:name="_Hlk39535650"/>
      <w:r>
        <w:rPr>
          <w:b w:val="0"/>
          <w:bCs/>
          <w:sz w:val="24"/>
        </w:rPr>
        <w:t>G</w:t>
      </w:r>
      <w:r w:rsidR="00302D24" w:rsidRPr="00EA6BD5">
        <w:rPr>
          <w:b w:val="0"/>
          <w:bCs/>
          <w:sz w:val="24"/>
        </w:rPr>
        <w:t xml:space="preserve">enerated using the Ensembl genome browser </w:t>
      </w:r>
      <w:r w:rsidR="000F36CF" w:rsidRPr="000F36CF">
        <w:rPr>
          <w:b w:val="0"/>
          <w:bCs/>
          <w:sz w:val="24"/>
        </w:rPr>
        <w:t>(https://useast.ensembl.org/index.html)</w:t>
      </w:r>
      <w:r w:rsidR="00302D24" w:rsidRPr="00EA6BD5">
        <w:rPr>
          <w:b w:val="0"/>
          <w:bCs/>
          <w:sz w:val="24"/>
        </w:rPr>
        <w:t xml:space="preserve"> and </w:t>
      </w:r>
      <w:r w:rsidR="000C62B1">
        <w:rPr>
          <w:b w:val="0"/>
          <w:bCs/>
          <w:sz w:val="24"/>
        </w:rPr>
        <w:t xml:space="preserve">the </w:t>
      </w:r>
      <w:r w:rsidR="007B44E9" w:rsidRPr="00EA6BD5">
        <w:rPr>
          <w:b w:val="0"/>
          <w:bCs/>
          <w:sz w:val="24"/>
        </w:rPr>
        <w:t xml:space="preserve">human </w:t>
      </w:r>
      <w:r w:rsidR="00302D24" w:rsidRPr="00EA6BD5">
        <w:rPr>
          <w:b w:val="0"/>
          <w:bCs/>
          <w:sz w:val="24"/>
        </w:rPr>
        <w:t xml:space="preserve">GRCh38 </w:t>
      </w:r>
      <w:r w:rsidR="007B44E9" w:rsidRPr="00EA6BD5">
        <w:rPr>
          <w:b w:val="0"/>
          <w:bCs/>
          <w:sz w:val="24"/>
        </w:rPr>
        <w:t xml:space="preserve">assembly </w:t>
      </w:r>
      <w:r w:rsidR="00302D24" w:rsidRPr="00EA6BD5">
        <w:rPr>
          <w:b w:val="0"/>
          <w:bCs/>
          <w:sz w:val="24"/>
        </w:rPr>
        <w:t>as the reference</w:t>
      </w:r>
      <w:r w:rsidR="003E18BF" w:rsidRPr="00EA6BD5">
        <w:rPr>
          <w:b w:val="0"/>
          <w:bCs/>
          <w:sz w:val="24"/>
        </w:rPr>
        <w:t xml:space="preserve"> (</w:t>
      </w:r>
      <w:r w:rsidR="000C62B1">
        <w:rPr>
          <w:b w:val="0"/>
          <w:bCs/>
          <w:sz w:val="24"/>
        </w:rPr>
        <w:t xml:space="preserve">of note, the </w:t>
      </w:r>
      <w:r w:rsidR="00E266D1" w:rsidRPr="00EA6BD5">
        <w:rPr>
          <w:b w:val="0"/>
          <w:bCs/>
          <w:sz w:val="24"/>
        </w:rPr>
        <w:t xml:space="preserve">most recent </w:t>
      </w:r>
      <w:r w:rsidR="000C62B1">
        <w:rPr>
          <w:b w:val="0"/>
          <w:bCs/>
          <w:sz w:val="24"/>
        </w:rPr>
        <w:t xml:space="preserve">info </w:t>
      </w:r>
      <w:r w:rsidR="00EE335F">
        <w:rPr>
          <w:b w:val="0"/>
          <w:bCs/>
          <w:sz w:val="24"/>
        </w:rPr>
        <w:t>on</w:t>
      </w:r>
      <w:r w:rsidR="000C62B1">
        <w:rPr>
          <w:b w:val="0"/>
          <w:bCs/>
          <w:sz w:val="24"/>
        </w:rPr>
        <w:t xml:space="preserve"> </w:t>
      </w:r>
      <w:r w:rsidR="00E266D1" w:rsidRPr="00EA6BD5">
        <w:rPr>
          <w:b w:val="0"/>
          <w:bCs/>
          <w:sz w:val="24"/>
        </w:rPr>
        <w:t xml:space="preserve">NCBI gene </w:t>
      </w:r>
      <w:r w:rsidR="00EE335F">
        <w:rPr>
          <w:b w:val="0"/>
          <w:bCs/>
          <w:sz w:val="24"/>
        </w:rPr>
        <w:t xml:space="preserve">portal </w:t>
      </w:r>
      <w:r w:rsidR="00E266D1" w:rsidRPr="00EA6BD5">
        <w:rPr>
          <w:b w:val="0"/>
          <w:bCs/>
          <w:sz w:val="24"/>
        </w:rPr>
        <w:t>suggests the presence</w:t>
      </w:r>
      <w:r w:rsidR="00B446FE" w:rsidRPr="00EA6BD5">
        <w:rPr>
          <w:b w:val="0"/>
          <w:bCs/>
          <w:sz w:val="24"/>
        </w:rPr>
        <w:t xml:space="preserve"> of</w:t>
      </w:r>
      <w:r w:rsidR="00E266D1" w:rsidRPr="00EA6BD5">
        <w:rPr>
          <w:b w:val="0"/>
          <w:bCs/>
          <w:sz w:val="24"/>
        </w:rPr>
        <w:t xml:space="preserve"> longer </w:t>
      </w:r>
      <w:r w:rsidR="00E266D1" w:rsidRPr="00EA6BD5">
        <w:rPr>
          <w:b w:val="0"/>
          <w:bCs/>
          <w:i/>
          <w:iCs/>
          <w:sz w:val="24"/>
        </w:rPr>
        <w:t>LTA</w:t>
      </w:r>
      <w:r w:rsidR="00E266D1" w:rsidRPr="00EA6BD5">
        <w:rPr>
          <w:b w:val="0"/>
          <w:bCs/>
          <w:sz w:val="24"/>
        </w:rPr>
        <w:t xml:space="preserve"> splice forms with additional 5’UTR exons </w:t>
      </w:r>
      <w:r w:rsidR="00B446FE" w:rsidRPr="00EA6BD5">
        <w:rPr>
          <w:b w:val="0"/>
          <w:bCs/>
          <w:sz w:val="24"/>
        </w:rPr>
        <w:t xml:space="preserve">and introns </w:t>
      </w:r>
      <w:r w:rsidR="00E266D1" w:rsidRPr="00EA6BD5">
        <w:rPr>
          <w:b w:val="0"/>
          <w:bCs/>
          <w:sz w:val="24"/>
        </w:rPr>
        <w:t xml:space="preserve">extending to </w:t>
      </w:r>
      <w:r w:rsidR="00AF3CC7">
        <w:rPr>
          <w:b w:val="0"/>
          <w:bCs/>
          <w:sz w:val="24"/>
        </w:rPr>
        <w:t>include</w:t>
      </w:r>
      <w:r w:rsidR="00E266D1" w:rsidRPr="00EA6BD5">
        <w:rPr>
          <w:b w:val="0"/>
          <w:bCs/>
          <w:sz w:val="24"/>
        </w:rPr>
        <w:t xml:space="preserve"> the SNPs shown as </w:t>
      </w:r>
      <w:r w:rsidR="00B446FE" w:rsidRPr="00EA6BD5">
        <w:rPr>
          <w:b w:val="0"/>
          <w:bCs/>
          <w:sz w:val="24"/>
        </w:rPr>
        <w:t xml:space="preserve">upstream </w:t>
      </w:r>
      <w:r w:rsidR="00E266D1" w:rsidRPr="00EA6BD5">
        <w:rPr>
          <w:b w:val="0"/>
          <w:bCs/>
          <w:sz w:val="24"/>
        </w:rPr>
        <w:t>intergenic</w:t>
      </w:r>
      <w:r w:rsidR="000C62B1">
        <w:rPr>
          <w:b w:val="0"/>
          <w:bCs/>
          <w:sz w:val="24"/>
        </w:rPr>
        <w:t xml:space="preserve"> variants</w:t>
      </w:r>
      <w:r w:rsidR="00E266D1" w:rsidRPr="00EA6BD5">
        <w:rPr>
          <w:b w:val="0"/>
          <w:bCs/>
          <w:sz w:val="24"/>
        </w:rPr>
        <w:t xml:space="preserve"> in this figure)</w:t>
      </w:r>
      <w:r w:rsidR="00302D24" w:rsidRPr="00EA6BD5">
        <w:rPr>
          <w:b w:val="0"/>
          <w:bCs/>
          <w:sz w:val="24"/>
        </w:rPr>
        <w:t>.</w:t>
      </w:r>
    </w:p>
    <w:bookmarkEnd w:id="26"/>
    <w:p w14:paraId="2476B317" w14:textId="6031DB4A" w:rsidR="00666258" w:rsidRDefault="00666258" w:rsidP="00990DE0"/>
    <w:p w14:paraId="4AC4DD34" w14:textId="529CB81E" w:rsidR="00EA519C" w:rsidRDefault="002A2265" w:rsidP="002312CC">
      <w:pPr>
        <w:pStyle w:val="Heading1"/>
        <w:ind w:hanging="2232"/>
      </w:pPr>
      <w:bookmarkStart w:id="27" w:name="_Toc40435744"/>
      <w:r w:rsidRPr="000F5CFF">
        <w:lastRenderedPageBreak/>
        <w:t>Results</w:t>
      </w:r>
      <w:bookmarkEnd w:id="27"/>
    </w:p>
    <w:p w14:paraId="7CCA2CB0" w14:textId="65811FB8" w:rsidR="00A042C0" w:rsidRDefault="00A042C0" w:rsidP="00A042C0">
      <w:r>
        <w:t>The</w:t>
      </w:r>
      <w:r w:rsidR="00577BFD">
        <w:t xml:space="preserve"> </w:t>
      </w:r>
      <w:r>
        <w:t xml:space="preserve">information on fourteen </w:t>
      </w:r>
      <w:bookmarkStart w:id="28" w:name="_Hlk39534802"/>
      <w:r w:rsidRPr="00A042C0">
        <w:rPr>
          <w:i/>
          <w:iCs/>
        </w:rPr>
        <w:t>LTA/TNF/LTB</w:t>
      </w:r>
      <w:r>
        <w:t xml:space="preserve"> region SNPs selected for association analysis with</w:t>
      </w:r>
      <w:r w:rsidR="00216EFB" w:rsidRPr="00DA05BB">
        <w:t xml:space="preserve"> SLE</w:t>
      </w:r>
      <w:r>
        <w:t xml:space="preserve"> in this study</w:t>
      </w:r>
      <w:bookmarkEnd w:id="28"/>
      <w:r>
        <w:t xml:space="preserve"> </w:t>
      </w:r>
      <w:r w:rsidR="00A56687">
        <w:t>can be found</w:t>
      </w:r>
      <w:r w:rsidR="00577BFD">
        <w:t xml:space="preserve"> </w:t>
      </w:r>
      <w:r>
        <w:t xml:space="preserve">in </w:t>
      </w:r>
      <w:r w:rsidRPr="00A042C0">
        <w:rPr>
          <w:b/>
          <w:bCs/>
        </w:rPr>
        <w:t>Table 3</w:t>
      </w:r>
      <w:r w:rsidR="00216EFB" w:rsidRPr="00DA05BB">
        <w:t xml:space="preserve">. </w:t>
      </w:r>
      <w:bookmarkStart w:id="29" w:name="_Hlk39535680"/>
      <w:r>
        <w:t xml:space="preserve">The LD </w:t>
      </w:r>
      <w:r w:rsidRPr="00A042C0">
        <w:t xml:space="preserve">plot </w:t>
      </w:r>
      <w:r w:rsidR="002633FF">
        <w:t>showing</w:t>
      </w:r>
      <w:r w:rsidRPr="00A042C0">
        <w:t xml:space="preserve"> the pairwise </w:t>
      </w:r>
      <w:r w:rsidR="002633FF">
        <w:t>correlations</w:t>
      </w:r>
      <w:r w:rsidRPr="00A042C0">
        <w:t xml:space="preserve"> between </w:t>
      </w:r>
      <w:r w:rsidR="002633FF">
        <w:t>the</w:t>
      </w:r>
      <w:r w:rsidRPr="00A042C0">
        <w:t xml:space="preserve"> SNPs of interest</w:t>
      </w:r>
      <w:r w:rsidR="002633FF">
        <w:t xml:space="preserve"> in the study sample i</w:t>
      </w:r>
      <w:bookmarkEnd w:id="29"/>
      <w:r w:rsidR="002633FF">
        <w:t xml:space="preserve">s </w:t>
      </w:r>
      <w:r w:rsidR="00A56687">
        <w:t>provided</w:t>
      </w:r>
      <w:r w:rsidR="002633FF">
        <w:t xml:space="preserve"> in </w:t>
      </w:r>
      <w:bookmarkStart w:id="30" w:name="_Hlk39566060"/>
      <w:r w:rsidR="002633FF" w:rsidRPr="002633FF">
        <w:rPr>
          <w:b/>
          <w:bCs/>
        </w:rPr>
        <w:t>Figure 4</w:t>
      </w:r>
      <w:bookmarkEnd w:id="30"/>
      <w:r w:rsidRPr="00A042C0">
        <w:t>.</w:t>
      </w:r>
    </w:p>
    <w:p w14:paraId="61502409" w14:textId="77777777" w:rsidR="009B6014" w:rsidRPr="00A042C0" w:rsidRDefault="009B6014" w:rsidP="00432460">
      <w:pPr>
        <w:spacing w:line="240" w:lineRule="auto"/>
      </w:pPr>
    </w:p>
    <w:p w14:paraId="3F912479" w14:textId="3E5A7F97" w:rsidR="00432460" w:rsidRPr="00ED3678" w:rsidRDefault="00432460" w:rsidP="00432460">
      <w:pPr>
        <w:pStyle w:val="Caption"/>
        <w:rPr>
          <w:b w:val="0"/>
        </w:rPr>
      </w:pPr>
      <w:bookmarkStart w:id="31" w:name="_Toc40435752"/>
      <w:r>
        <w:t xml:space="preserve">Table </w:t>
      </w:r>
      <w:r>
        <w:fldChar w:fldCharType="begin"/>
      </w:r>
      <w:r>
        <w:instrText xml:space="preserve"> SEQ Table \* ARABIC </w:instrText>
      </w:r>
      <w:r>
        <w:fldChar w:fldCharType="separate"/>
      </w:r>
      <w:r>
        <w:t>3</w:t>
      </w:r>
      <w:r>
        <w:fldChar w:fldCharType="end"/>
      </w:r>
      <w:r>
        <w:t xml:space="preserve"> The </w:t>
      </w:r>
      <w:r w:rsidRPr="00432460">
        <w:rPr>
          <w:i/>
        </w:rPr>
        <w:t>LTA/TNF/LTB</w:t>
      </w:r>
      <w:r>
        <w:t xml:space="preserve"> region SNPs selected for association analysis with SLE</w:t>
      </w:r>
      <w:bookmarkEnd w:id="31"/>
    </w:p>
    <w:tbl>
      <w:tblPr>
        <w:tblStyle w:val="PlainTable21"/>
        <w:tblW w:w="9270" w:type="dxa"/>
        <w:tblLook w:val="04A0" w:firstRow="1" w:lastRow="0" w:firstColumn="1" w:lastColumn="0" w:noHBand="0" w:noVBand="1"/>
      </w:tblPr>
      <w:tblGrid>
        <w:gridCol w:w="469"/>
        <w:gridCol w:w="1271"/>
        <w:gridCol w:w="1315"/>
        <w:gridCol w:w="1890"/>
        <w:gridCol w:w="821"/>
        <w:gridCol w:w="799"/>
        <w:gridCol w:w="810"/>
        <w:gridCol w:w="990"/>
        <w:gridCol w:w="905"/>
      </w:tblGrid>
      <w:tr w:rsidR="008F031D" w:rsidRPr="003A0345" w14:paraId="01D18065" w14:textId="77777777" w:rsidTr="005218B7">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469" w:type="dxa"/>
            <w:hideMark/>
          </w:tcPr>
          <w:p w14:paraId="461B7070" w14:textId="77777777" w:rsidR="00A13F04" w:rsidRPr="00A13F04" w:rsidRDefault="00A13F04" w:rsidP="00A13F04">
            <w:pPr>
              <w:spacing w:line="240" w:lineRule="auto"/>
              <w:ind w:firstLine="0"/>
              <w:jc w:val="left"/>
              <w:rPr>
                <w:rFonts w:ascii="Calibri" w:hAnsi="Calibri" w:cs="Calibri"/>
                <w:sz w:val="22"/>
                <w:szCs w:val="22"/>
              </w:rPr>
            </w:pPr>
            <w:r w:rsidRPr="00A13F04">
              <w:rPr>
                <w:rFonts w:ascii="Calibri" w:hAnsi="Calibri" w:cs="Calibri"/>
                <w:sz w:val="22"/>
                <w:szCs w:val="22"/>
              </w:rPr>
              <w:t>#</w:t>
            </w:r>
          </w:p>
        </w:tc>
        <w:tc>
          <w:tcPr>
            <w:tcW w:w="1271" w:type="dxa"/>
            <w:hideMark/>
          </w:tcPr>
          <w:p w14:paraId="25B540C5" w14:textId="77777777" w:rsidR="00A13F04" w:rsidRPr="00A13F04" w:rsidRDefault="00A13F04" w:rsidP="00A13F04">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A13F04">
              <w:rPr>
                <w:rFonts w:ascii="Calibri" w:hAnsi="Calibri" w:cs="Calibri"/>
                <w:sz w:val="22"/>
                <w:szCs w:val="22"/>
              </w:rPr>
              <w:t>Ref SNP ID</w:t>
            </w:r>
          </w:p>
        </w:tc>
        <w:tc>
          <w:tcPr>
            <w:tcW w:w="1315" w:type="dxa"/>
            <w:hideMark/>
          </w:tcPr>
          <w:p w14:paraId="3582955E" w14:textId="76679F0C" w:rsidR="00A13F04" w:rsidRPr="00A13F04" w:rsidRDefault="00A13F04" w:rsidP="00A13F04">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A13F04">
              <w:rPr>
                <w:rFonts w:ascii="Calibri" w:hAnsi="Calibri" w:cs="Calibri"/>
                <w:sz w:val="22"/>
                <w:szCs w:val="22"/>
              </w:rPr>
              <w:t>Position</w:t>
            </w:r>
            <w:r w:rsidR="008F031D" w:rsidRPr="003A0345">
              <w:rPr>
                <w:rFonts w:ascii="Calibri" w:hAnsi="Calibri" w:cs="Calibri"/>
                <w:sz w:val="22"/>
                <w:szCs w:val="22"/>
              </w:rPr>
              <w:t xml:space="preserve"> on chr 6</w:t>
            </w:r>
            <w:r w:rsidRPr="00A13F04">
              <w:rPr>
                <w:rFonts w:ascii="Calibri" w:hAnsi="Calibri" w:cs="Calibri"/>
                <w:sz w:val="22"/>
                <w:szCs w:val="22"/>
              </w:rPr>
              <w:t xml:space="preserve"> (hg38)</w:t>
            </w:r>
          </w:p>
        </w:tc>
        <w:tc>
          <w:tcPr>
            <w:tcW w:w="1890" w:type="dxa"/>
            <w:hideMark/>
          </w:tcPr>
          <w:p w14:paraId="6DA8FBC8" w14:textId="1182AFEB" w:rsidR="00A13F04" w:rsidRPr="00A13F04" w:rsidRDefault="00A13F04" w:rsidP="00A13F04">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A13F04">
              <w:rPr>
                <w:rFonts w:ascii="Calibri" w:hAnsi="Calibri" w:cs="Calibri"/>
                <w:sz w:val="22"/>
                <w:szCs w:val="22"/>
              </w:rPr>
              <w:t>Location in</w:t>
            </w:r>
            <w:r w:rsidR="008F031D" w:rsidRPr="003A0345">
              <w:rPr>
                <w:rFonts w:ascii="Calibri" w:hAnsi="Calibri" w:cs="Calibri"/>
                <w:sz w:val="22"/>
                <w:szCs w:val="22"/>
              </w:rPr>
              <w:t xml:space="preserve"> </w:t>
            </w:r>
            <w:r w:rsidR="00047555">
              <w:rPr>
                <w:rFonts w:ascii="Calibri" w:hAnsi="Calibri" w:cs="Calibri"/>
                <w:sz w:val="22"/>
                <w:szCs w:val="22"/>
              </w:rPr>
              <w:t>gene</w:t>
            </w:r>
            <w:r w:rsidRPr="00A13F04">
              <w:rPr>
                <w:rFonts w:ascii="Calibri" w:hAnsi="Calibri" w:cs="Calibri"/>
                <w:sz w:val="22"/>
                <w:szCs w:val="22"/>
              </w:rPr>
              <w:t xml:space="preserve"> </w:t>
            </w:r>
            <w:r w:rsidR="00047555">
              <w:rPr>
                <w:rFonts w:ascii="Calibri" w:hAnsi="Calibri" w:cs="Calibri"/>
                <w:sz w:val="22"/>
                <w:szCs w:val="22"/>
              </w:rPr>
              <w:t xml:space="preserve">cluster </w:t>
            </w:r>
            <w:r w:rsidR="004419FA">
              <w:rPr>
                <w:rFonts w:ascii="Calibri" w:hAnsi="Calibri" w:cs="Calibri"/>
                <w:sz w:val="22"/>
                <w:szCs w:val="22"/>
              </w:rPr>
              <w:t>region</w:t>
            </w:r>
          </w:p>
        </w:tc>
        <w:tc>
          <w:tcPr>
            <w:tcW w:w="821" w:type="dxa"/>
            <w:hideMark/>
          </w:tcPr>
          <w:p w14:paraId="06D0102F" w14:textId="77777777" w:rsidR="00A13F04" w:rsidRPr="00A13F04" w:rsidRDefault="00A13F04" w:rsidP="00A13F04">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A13F04">
              <w:rPr>
                <w:rFonts w:ascii="Calibri" w:hAnsi="Calibri" w:cs="Calibri"/>
                <w:sz w:val="22"/>
                <w:szCs w:val="22"/>
              </w:rPr>
              <w:t xml:space="preserve">Alleles </w:t>
            </w:r>
          </w:p>
        </w:tc>
        <w:tc>
          <w:tcPr>
            <w:tcW w:w="799" w:type="dxa"/>
            <w:hideMark/>
          </w:tcPr>
          <w:p w14:paraId="77099D88" w14:textId="77777777" w:rsidR="00A13F04" w:rsidRPr="00A13F04" w:rsidRDefault="00A13F04" w:rsidP="00A13F04">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A13F04">
              <w:rPr>
                <w:rFonts w:ascii="Calibri" w:hAnsi="Calibri" w:cs="Calibri"/>
                <w:sz w:val="22"/>
                <w:szCs w:val="22"/>
              </w:rPr>
              <w:t>MAF All</w:t>
            </w:r>
          </w:p>
        </w:tc>
        <w:tc>
          <w:tcPr>
            <w:tcW w:w="810" w:type="dxa"/>
            <w:hideMark/>
          </w:tcPr>
          <w:p w14:paraId="46ED6F07" w14:textId="77777777" w:rsidR="00A13F04" w:rsidRPr="00A13F04" w:rsidRDefault="00A13F04" w:rsidP="00A13F04">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A13F04">
              <w:rPr>
                <w:rFonts w:ascii="Calibri" w:hAnsi="Calibri" w:cs="Calibri"/>
                <w:sz w:val="22"/>
                <w:szCs w:val="22"/>
              </w:rPr>
              <w:t xml:space="preserve">MAF Cases </w:t>
            </w:r>
          </w:p>
        </w:tc>
        <w:tc>
          <w:tcPr>
            <w:tcW w:w="990" w:type="dxa"/>
            <w:hideMark/>
          </w:tcPr>
          <w:p w14:paraId="1DC94CDE" w14:textId="77777777" w:rsidR="00A13F04" w:rsidRPr="00A13F04" w:rsidRDefault="00A13F04" w:rsidP="00A13F04">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A13F04">
              <w:rPr>
                <w:rFonts w:ascii="Calibri" w:hAnsi="Calibri" w:cs="Calibri"/>
                <w:sz w:val="22"/>
                <w:szCs w:val="22"/>
              </w:rPr>
              <w:t xml:space="preserve">MAF Controls </w:t>
            </w:r>
          </w:p>
        </w:tc>
        <w:tc>
          <w:tcPr>
            <w:tcW w:w="905" w:type="dxa"/>
            <w:hideMark/>
          </w:tcPr>
          <w:p w14:paraId="4E9694A6" w14:textId="0189D2B0" w:rsidR="00A13F04" w:rsidRPr="005218B7" w:rsidRDefault="00A13F04" w:rsidP="00A13F04">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A13F04">
              <w:rPr>
                <w:rFonts w:ascii="Calibri" w:hAnsi="Calibri" w:cs="Calibri"/>
                <w:sz w:val="22"/>
                <w:szCs w:val="22"/>
              </w:rPr>
              <w:t xml:space="preserve">HWE </w:t>
            </w:r>
            <w:r w:rsidR="005218B7">
              <w:rPr>
                <w:rFonts w:ascii="Calibri" w:hAnsi="Calibri" w:cs="Calibri"/>
                <w:sz w:val="22"/>
                <w:szCs w:val="22"/>
              </w:rPr>
              <w:t xml:space="preserve"> </w:t>
            </w:r>
            <w:r w:rsidRPr="00A13F04">
              <w:rPr>
                <w:rFonts w:ascii="Calibri" w:hAnsi="Calibri" w:cs="Calibri"/>
                <w:i/>
                <w:iCs/>
                <w:sz w:val="22"/>
                <w:szCs w:val="22"/>
              </w:rPr>
              <w:t>P</w:t>
            </w:r>
            <w:r w:rsidR="005218B7">
              <w:rPr>
                <w:rFonts w:ascii="Calibri" w:hAnsi="Calibri" w:cs="Calibri"/>
                <w:sz w:val="22"/>
                <w:szCs w:val="22"/>
              </w:rPr>
              <w:t>-value</w:t>
            </w:r>
          </w:p>
        </w:tc>
      </w:tr>
      <w:tr w:rsidR="003A0345" w:rsidRPr="00A13F04" w14:paraId="4E439FBD" w14:textId="77777777" w:rsidTr="005218B7">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469" w:type="dxa"/>
            <w:hideMark/>
          </w:tcPr>
          <w:p w14:paraId="5D375F3B" w14:textId="77777777" w:rsidR="00A13F04" w:rsidRPr="00A13F04" w:rsidRDefault="00A13F04" w:rsidP="00A13F04">
            <w:pPr>
              <w:spacing w:line="240" w:lineRule="auto"/>
              <w:ind w:firstLine="0"/>
              <w:jc w:val="left"/>
              <w:rPr>
                <w:rFonts w:ascii="Calibri" w:hAnsi="Calibri" w:cs="Calibri"/>
                <w:color w:val="000000"/>
                <w:sz w:val="22"/>
                <w:szCs w:val="22"/>
              </w:rPr>
            </w:pPr>
            <w:r w:rsidRPr="00A13F04">
              <w:rPr>
                <w:rFonts w:ascii="Calibri" w:hAnsi="Calibri" w:cs="Calibri"/>
                <w:color w:val="000000"/>
                <w:sz w:val="22"/>
                <w:szCs w:val="22"/>
              </w:rPr>
              <w:t>1</w:t>
            </w:r>
          </w:p>
        </w:tc>
        <w:tc>
          <w:tcPr>
            <w:tcW w:w="1271" w:type="dxa"/>
            <w:hideMark/>
          </w:tcPr>
          <w:p w14:paraId="304D51A6"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rs13215091</w:t>
            </w:r>
          </w:p>
        </w:tc>
        <w:tc>
          <w:tcPr>
            <w:tcW w:w="1315" w:type="dxa"/>
            <w:hideMark/>
          </w:tcPr>
          <w:p w14:paraId="21421769"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31560913</w:t>
            </w:r>
          </w:p>
        </w:tc>
        <w:tc>
          <w:tcPr>
            <w:tcW w:w="1890" w:type="dxa"/>
            <w:hideMark/>
          </w:tcPr>
          <w:p w14:paraId="7F88E345"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 xml:space="preserve">LTA: Upstream </w:t>
            </w:r>
          </w:p>
        </w:tc>
        <w:tc>
          <w:tcPr>
            <w:tcW w:w="821" w:type="dxa"/>
            <w:hideMark/>
          </w:tcPr>
          <w:p w14:paraId="4183BCE3"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C&gt;T</w:t>
            </w:r>
          </w:p>
        </w:tc>
        <w:tc>
          <w:tcPr>
            <w:tcW w:w="799" w:type="dxa"/>
            <w:hideMark/>
          </w:tcPr>
          <w:p w14:paraId="75F21CD0"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0.052</w:t>
            </w:r>
          </w:p>
        </w:tc>
        <w:tc>
          <w:tcPr>
            <w:tcW w:w="810" w:type="dxa"/>
            <w:hideMark/>
          </w:tcPr>
          <w:p w14:paraId="64485B49"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0.055</w:t>
            </w:r>
          </w:p>
        </w:tc>
        <w:tc>
          <w:tcPr>
            <w:tcW w:w="990" w:type="dxa"/>
            <w:hideMark/>
          </w:tcPr>
          <w:p w14:paraId="46E2E5F2"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0.049</w:t>
            </w:r>
          </w:p>
        </w:tc>
        <w:tc>
          <w:tcPr>
            <w:tcW w:w="905" w:type="dxa"/>
            <w:hideMark/>
          </w:tcPr>
          <w:p w14:paraId="099C5A5F"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0.063</w:t>
            </w:r>
          </w:p>
        </w:tc>
      </w:tr>
      <w:tr w:rsidR="003A0345" w:rsidRPr="00A13F04" w14:paraId="1A57746D" w14:textId="77777777" w:rsidTr="005218B7">
        <w:trPr>
          <w:trHeight w:hRule="exact" w:val="432"/>
        </w:trPr>
        <w:tc>
          <w:tcPr>
            <w:cnfStyle w:val="001000000000" w:firstRow="0" w:lastRow="0" w:firstColumn="1" w:lastColumn="0" w:oddVBand="0" w:evenVBand="0" w:oddHBand="0" w:evenHBand="0" w:firstRowFirstColumn="0" w:firstRowLastColumn="0" w:lastRowFirstColumn="0" w:lastRowLastColumn="0"/>
            <w:tcW w:w="469" w:type="dxa"/>
            <w:hideMark/>
          </w:tcPr>
          <w:p w14:paraId="1353FC77" w14:textId="77777777" w:rsidR="00A13F04" w:rsidRPr="00A13F04" w:rsidRDefault="00A13F04" w:rsidP="00A13F04">
            <w:pPr>
              <w:spacing w:line="240" w:lineRule="auto"/>
              <w:ind w:firstLine="0"/>
              <w:jc w:val="left"/>
              <w:rPr>
                <w:rFonts w:ascii="Calibri" w:hAnsi="Calibri" w:cs="Calibri"/>
                <w:color w:val="000000"/>
                <w:sz w:val="22"/>
                <w:szCs w:val="22"/>
              </w:rPr>
            </w:pPr>
            <w:r w:rsidRPr="00A13F04">
              <w:rPr>
                <w:rFonts w:ascii="Calibri" w:hAnsi="Calibri" w:cs="Calibri"/>
                <w:color w:val="000000"/>
                <w:sz w:val="22"/>
                <w:szCs w:val="22"/>
              </w:rPr>
              <w:t>2</w:t>
            </w:r>
          </w:p>
        </w:tc>
        <w:tc>
          <w:tcPr>
            <w:tcW w:w="1271" w:type="dxa"/>
            <w:hideMark/>
          </w:tcPr>
          <w:p w14:paraId="18091CCD"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rs2857602</w:t>
            </w:r>
          </w:p>
        </w:tc>
        <w:tc>
          <w:tcPr>
            <w:tcW w:w="1315" w:type="dxa"/>
            <w:hideMark/>
          </w:tcPr>
          <w:p w14:paraId="30A2A776"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31565601</w:t>
            </w:r>
          </w:p>
        </w:tc>
        <w:tc>
          <w:tcPr>
            <w:tcW w:w="1890" w:type="dxa"/>
            <w:hideMark/>
          </w:tcPr>
          <w:p w14:paraId="6AFF1C2D"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 xml:space="preserve">LTA: Upstream </w:t>
            </w:r>
          </w:p>
        </w:tc>
        <w:tc>
          <w:tcPr>
            <w:tcW w:w="821" w:type="dxa"/>
            <w:hideMark/>
          </w:tcPr>
          <w:p w14:paraId="57E8E108"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T&gt;C</w:t>
            </w:r>
          </w:p>
        </w:tc>
        <w:tc>
          <w:tcPr>
            <w:tcW w:w="799" w:type="dxa"/>
            <w:hideMark/>
          </w:tcPr>
          <w:p w14:paraId="1C0DE552"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0.400</w:t>
            </w:r>
          </w:p>
        </w:tc>
        <w:tc>
          <w:tcPr>
            <w:tcW w:w="810" w:type="dxa"/>
            <w:hideMark/>
          </w:tcPr>
          <w:p w14:paraId="5C234677"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0.382</w:t>
            </w:r>
          </w:p>
        </w:tc>
        <w:tc>
          <w:tcPr>
            <w:tcW w:w="990" w:type="dxa"/>
            <w:hideMark/>
          </w:tcPr>
          <w:p w14:paraId="50532E9A"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0.423</w:t>
            </w:r>
          </w:p>
        </w:tc>
        <w:tc>
          <w:tcPr>
            <w:tcW w:w="905" w:type="dxa"/>
            <w:hideMark/>
          </w:tcPr>
          <w:p w14:paraId="222FAEF3"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0.942</w:t>
            </w:r>
          </w:p>
        </w:tc>
      </w:tr>
      <w:tr w:rsidR="003A0345" w:rsidRPr="00A13F04" w14:paraId="11421D6A" w14:textId="77777777" w:rsidTr="005218B7">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469" w:type="dxa"/>
            <w:hideMark/>
          </w:tcPr>
          <w:p w14:paraId="281A2C67" w14:textId="77777777" w:rsidR="00A13F04" w:rsidRPr="00A13F04" w:rsidRDefault="00A13F04" w:rsidP="00A13F04">
            <w:pPr>
              <w:spacing w:line="240" w:lineRule="auto"/>
              <w:ind w:firstLine="0"/>
              <w:jc w:val="left"/>
              <w:rPr>
                <w:rFonts w:ascii="Calibri" w:hAnsi="Calibri" w:cs="Calibri"/>
                <w:color w:val="000000"/>
                <w:sz w:val="22"/>
                <w:szCs w:val="22"/>
              </w:rPr>
            </w:pPr>
            <w:r w:rsidRPr="00A13F04">
              <w:rPr>
                <w:rFonts w:ascii="Calibri" w:hAnsi="Calibri" w:cs="Calibri"/>
                <w:color w:val="000000"/>
                <w:sz w:val="22"/>
                <w:szCs w:val="22"/>
              </w:rPr>
              <w:t>3</w:t>
            </w:r>
          </w:p>
        </w:tc>
        <w:tc>
          <w:tcPr>
            <w:tcW w:w="1271" w:type="dxa"/>
            <w:hideMark/>
          </w:tcPr>
          <w:p w14:paraId="0F2624BE"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rs2857708</w:t>
            </w:r>
          </w:p>
        </w:tc>
        <w:tc>
          <w:tcPr>
            <w:tcW w:w="1315" w:type="dxa"/>
            <w:hideMark/>
          </w:tcPr>
          <w:p w14:paraId="455C3EC7"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31565829</w:t>
            </w:r>
          </w:p>
        </w:tc>
        <w:tc>
          <w:tcPr>
            <w:tcW w:w="1890" w:type="dxa"/>
            <w:hideMark/>
          </w:tcPr>
          <w:p w14:paraId="7EE12325"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 xml:space="preserve">LTA: Upstream </w:t>
            </w:r>
          </w:p>
        </w:tc>
        <w:tc>
          <w:tcPr>
            <w:tcW w:w="821" w:type="dxa"/>
            <w:hideMark/>
          </w:tcPr>
          <w:p w14:paraId="1E0E2DE4"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C&gt;T</w:t>
            </w:r>
          </w:p>
        </w:tc>
        <w:tc>
          <w:tcPr>
            <w:tcW w:w="799" w:type="dxa"/>
            <w:hideMark/>
          </w:tcPr>
          <w:p w14:paraId="21034997"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0.111</w:t>
            </w:r>
          </w:p>
        </w:tc>
        <w:tc>
          <w:tcPr>
            <w:tcW w:w="810" w:type="dxa"/>
            <w:hideMark/>
          </w:tcPr>
          <w:p w14:paraId="162ADD75"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0.095</w:t>
            </w:r>
          </w:p>
        </w:tc>
        <w:tc>
          <w:tcPr>
            <w:tcW w:w="990" w:type="dxa"/>
            <w:hideMark/>
          </w:tcPr>
          <w:p w14:paraId="057E7C71"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0.131</w:t>
            </w:r>
          </w:p>
        </w:tc>
        <w:tc>
          <w:tcPr>
            <w:tcW w:w="905" w:type="dxa"/>
            <w:hideMark/>
          </w:tcPr>
          <w:p w14:paraId="6078B199"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0.986</w:t>
            </w:r>
          </w:p>
        </w:tc>
      </w:tr>
      <w:tr w:rsidR="003A0345" w:rsidRPr="00A13F04" w14:paraId="5E51E7DE" w14:textId="77777777" w:rsidTr="005218B7">
        <w:trPr>
          <w:trHeight w:hRule="exact" w:val="432"/>
        </w:trPr>
        <w:tc>
          <w:tcPr>
            <w:cnfStyle w:val="001000000000" w:firstRow="0" w:lastRow="0" w:firstColumn="1" w:lastColumn="0" w:oddVBand="0" w:evenVBand="0" w:oddHBand="0" w:evenHBand="0" w:firstRowFirstColumn="0" w:firstRowLastColumn="0" w:lastRowFirstColumn="0" w:lastRowLastColumn="0"/>
            <w:tcW w:w="469" w:type="dxa"/>
            <w:hideMark/>
          </w:tcPr>
          <w:p w14:paraId="306F3563" w14:textId="77777777" w:rsidR="00A13F04" w:rsidRPr="00A13F04" w:rsidRDefault="00A13F04" w:rsidP="00A13F04">
            <w:pPr>
              <w:spacing w:line="240" w:lineRule="auto"/>
              <w:ind w:firstLine="0"/>
              <w:jc w:val="left"/>
              <w:rPr>
                <w:rFonts w:ascii="Calibri" w:hAnsi="Calibri" w:cs="Calibri"/>
                <w:color w:val="000000"/>
                <w:sz w:val="22"/>
                <w:szCs w:val="22"/>
              </w:rPr>
            </w:pPr>
            <w:r w:rsidRPr="00A13F04">
              <w:rPr>
                <w:rFonts w:ascii="Calibri" w:hAnsi="Calibri" w:cs="Calibri"/>
                <w:color w:val="000000"/>
                <w:sz w:val="22"/>
                <w:szCs w:val="22"/>
              </w:rPr>
              <w:t>4</w:t>
            </w:r>
          </w:p>
        </w:tc>
        <w:tc>
          <w:tcPr>
            <w:tcW w:w="1271" w:type="dxa"/>
            <w:hideMark/>
          </w:tcPr>
          <w:p w14:paraId="355FF48D"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rs2844484</w:t>
            </w:r>
          </w:p>
        </w:tc>
        <w:tc>
          <w:tcPr>
            <w:tcW w:w="1315" w:type="dxa"/>
            <w:hideMark/>
          </w:tcPr>
          <w:p w14:paraId="3D359A0B"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31568447</w:t>
            </w:r>
          </w:p>
        </w:tc>
        <w:tc>
          <w:tcPr>
            <w:tcW w:w="1890" w:type="dxa"/>
            <w:hideMark/>
          </w:tcPr>
          <w:p w14:paraId="4C636326"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 xml:space="preserve">LTA: Upstream </w:t>
            </w:r>
          </w:p>
        </w:tc>
        <w:tc>
          <w:tcPr>
            <w:tcW w:w="821" w:type="dxa"/>
            <w:hideMark/>
          </w:tcPr>
          <w:p w14:paraId="1BDF89C4"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C&gt;T</w:t>
            </w:r>
          </w:p>
        </w:tc>
        <w:tc>
          <w:tcPr>
            <w:tcW w:w="799" w:type="dxa"/>
            <w:hideMark/>
          </w:tcPr>
          <w:p w14:paraId="69B4D953"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0.399</w:t>
            </w:r>
          </w:p>
        </w:tc>
        <w:tc>
          <w:tcPr>
            <w:tcW w:w="810" w:type="dxa"/>
            <w:hideMark/>
          </w:tcPr>
          <w:p w14:paraId="5A023D09"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0.381</w:t>
            </w:r>
          </w:p>
        </w:tc>
        <w:tc>
          <w:tcPr>
            <w:tcW w:w="990" w:type="dxa"/>
            <w:hideMark/>
          </w:tcPr>
          <w:p w14:paraId="22EC7416"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0.423</w:t>
            </w:r>
          </w:p>
        </w:tc>
        <w:tc>
          <w:tcPr>
            <w:tcW w:w="905" w:type="dxa"/>
            <w:hideMark/>
          </w:tcPr>
          <w:p w14:paraId="642E4675"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0.888</w:t>
            </w:r>
          </w:p>
        </w:tc>
      </w:tr>
      <w:tr w:rsidR="003A0345" w:rsidRPr="00A13F04" w14:paraId="2E96B5C4" w14:textId="77777777" w:rsidTr="005218B7">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469" w:type="dxa"/>
            <w:hideMark/>
          </w:tcPr>
          <w:p w14:paraId="07392909" w14:textId="77777777" w:rsidR="00A13F04" w:rsidRPr="00A13F04" w:rsidRDefault="00A13F04" w:rsidP="00A13F04">
            <w:pPr>
              <w:spacing w:line="240" w:lineRule="auto"/>
              <w:ind w:firstLine="0"/>
              <w:jc w:val="left"/>
              <w:rPr>
                <w:rFonts w:ascii="Calibri" w:hAnsi="Calibri" w:cs="Calibri"/>
                <w:color w:val="000000"/>
                <w:sz w:val="22"/>
                <w:szCs w:val="22"/>
              </w:rPr>
            </w:pPr>
            <w:r w:rsidRPr="00A13F04">
              <w:rPr>
                <w:rFonts w:ascii="Calibri" w:hAnsi="Calibri" w:cs="Calibri"/>
                <w:color w:val="000000"/>
                <w:sz w:val="22"/>
                <w:szCs w:val="22"/>
              </w:rPr>
              <w:t>5</w:t>
            </w:r>
          </w:p>
        </w:tc>
        <w:tc>
          <w:tcPr>
            <w:tcW w:w="1271" w:type="dxa"/>
            <w:hideMark/>
          </w:tcPr>
          <w:p w14:paraId="36E7FBA3"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rs2844482</w:t>
            </w:r>
          </w:p>
        </w:tc>
        <w:tc>
          <w:tcPr>
            <w:tcW w:w="1315" w:type="dxa"/>
            <w:hideMark/>
          </w:tcPr>
          <w:p w14:paraId="7CAD6CFC"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31571990</w:t>
            </w:r>
          </w:p>
        </w:tc>
        <w:tc>
          <w:tcPr>
            <w:tcW w:w="1890" w:type="dxa"/>
            <w:hideMark/>
          </w:tcPr>
          <w:p w14:paraId="243AF869"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 xml:space="preserve">LTA: Upstream </w:t>
            </w:r>
          </w:p>
        </w:tc>
        <w:tc>
          <w:tcPr>
            <w:tcW w:w="821" w:type="dxa"/>
            <w:hideMark/>
          </w:tcPr>
          <w:p w14:paraId="0558872D"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C&gt;T</w:t>
            </w:r>
          </w:p>
        </w:tc>
        <w:tc>
          <w:tcPr>
            <w:tcW w:w="799" w:type="dxa"/>
            <w:hideMark/>
          </w:tcPr>
          <w:p w14:paraId="30467136"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0.140</w:t>
            </w:r>
          </w:p>
        </w:tc>
        <w:tc>
          <w:tcPr>
            <w:tcW w:w="810" w:type="dxa"/>
            <w:hideMark/>
          </w:tcPr>
          <w:p w14:paraId="1971F05F"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0.136</w:t>
            </w:r>
          </w:p>
        </w:tc>
        <w:tc>
          <w:tcPr>
            <w:tcW w:w="990" w:type="dxa"/>
            <w:hideMark/>
          </w:tcPr>
          <w:p w14:paraId="431F387D"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0.146</w:t>
            </w:r>
          </w:p>
        </w:tc>
        <w:tc>
          <w:tcPr>
            <w:tcW w:w="905" w:type="dxa"/>
            <w:hideMark/>
          </w:tcPr>
          <w:p w14:paraId="1FC6F44B"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0.915</w:t>
            </w:r>
          </w:p>
        </w:tc>
      </w:tr>
      <w:tr w:rsidR="003A0345" w:rsidRPr="00A13F04" w14:paraId="0281F0AB" w14:textId="77777777" w:rsidTr="005218B7">
        <w:trPr>
          <w:trHeight w:hRule="exact" w:val="432"/>
        </w:trPr>
        <w:tc>
          <w:tcPr>
            <w:cnfStyle w:val="001000000000" w:firstRow="0" w:lastRow="0" w:firstColumn="1" w:lastColumn="0" w:oddVBand="0" w:evenVBand="0" w:oddHBand="0" w:evenHBand="0" w:firstRowFirstColumn="0" w:firstRowLastColumn="0" w:lastRowFirstColumn="0" w:lastRowLastColumn="0"/>
            <w:tcW w:w="469" w:type="dxa"/>
            <w:hideMark/>
          </w:tcPr>
          <w:p w14:paraId="66C7F5D8" w14:textId="77777777" w:rsidR="00A13F04" w:rsidRPr="00A13F04" w:rsidRDefault="00A13F04" w:rsidP="00A13F04">
            <w:pPr>
              <w:spacing w:line="240" w:lineRule="auto"/>
              <w:ind w:firstLine="0"/>
              <w:jc w:val="left"/>
              <w:rPr>
                <w:rFonts w:ascii="Calibri" w:hAnsi="Calibri" w:cs="Calibri"/>
                <w:color w:val="000000"/>
                <w:sz w:val="22"/>
                <w:szCs w:val="22"/>
              </w:rPr>
            </w:pPr>
            <w:r w:rsidRPr="00A13F04">
              <w:rPr>
                <w:rFonts w:ascii="Calibri" w:hAnsi="Calibri" w:cs="Calibri"/>
                <w:color w:val="000000"/>
                <w:sz w:val="22"/>
                <w:szCs w:val="22"/>
              </w:rPr>
              <w:t>6</w:t>
            </w:r>
          </w:p>
        </w:tc>
        <w:tc>
          <w:tcPr>
            <w:tcW w:w="1271" w:type="dxa"/>
            <w:hideMark/>
          </w:tcPr>
          <w:p w14:paraId="202F50EA"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rs1800683</w:t>
            </w:r>
          </w:p>
        </w:tc>
        <w:tc>
          <w:tcPr>
            <w:tcW w:w="1315" w:type="dxa"/>
            <w:hideMark/>
          </w:tcPr>
          <w:p w14:paraId="523FD4A2"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31572294</w:t>
            </w:r>
          </w:p>
        </w:tc>
        <w:tc>
          <w:tcPr>
            <w:tcW w:w="1890" w:type="dxa"/>
            <w:hideMark/>
          </w:tcPr>
          <w:p w14:paraId="75CD2A75"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 xml:space="preserve">LTA: 5' UTR </w:t>
            </w:r>
          </w:p>
        </w:tc>
        <w:tc>
          <w:tcPr>
            <w:tcW w:w="821" w:type="dxa"/>
            <w:hideMark/>
          </w:tcPr>
          <w:p w14:paraId="5AE2C203"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G&gt;A</w:t>
            </w:r>
          </w:p>
        </w:tc>
        <w:tc>
          <w:tcPr>
            <w:tcW w:w="799" w:type="dxa"/>
            <w:hideMark/>
          </w:tcPr>
          <w:p w14:paraId="4839E281"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0.351</w:t>
            </w:r>
          </w:p>
        </w:tc>
        <w:tc>
          <w:tcPr>
            <w:tcW w:w="810" w:type="dxa"/>
            <w:hideMark/>
          </w:tcPr>
          <w:p w14:paraId="6FB33A8A"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0.383</w:t>
            </w:r>
          </w:p>
        </w:tc>
        <w:tc>
          <w:tcPr>
            <w:tcW w:w="990" w:type="dxa"/>
            <w:hideMark/>
          </w:tcPr>
          <w:p w14:paraId="49D9AB81"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0.307</w:t>
            </w:r>
          </w:p>
        </w:tc>
        <w:tc>
          <w:tcPr>
            <w:tcW w:w="905" w:type="dxa"/>
            <w:hideMark/>
          </w:tcPr>
          <w:p w14:paraId="3E9558F1"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0.336</w:t>
            </w:r>
          </w:p>
        </w:tc>
      </w:tr>
      <w:tr w:rsidR="003A0345" w:rsidRPr="00A13F04" w14:paraId="77BFAF59" w14:textId="77777777" w:rsidTr="005218B7">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469" w:type="dxa"/>
            <w:hideMark/>
          </w:tcPr>
          <w:p w14:paraId="4DFA7ECD" w14:textId="77777777" w:rsidR="00A13F04" w:rsidRPr="00A13F04" w:rsidRDefault="00A13F04" w:rsidP="00A13F04">
            <w:pPr>
              <w:spacing w:line="240" w:lineRule="auto"/>
              <w:ind w:firstLine="0"/>
              <w:jc w:val="left"/>
              <w:rPr>
                <w:rFonts w:ascii="Calibri" w:hAnsi="Calibri" w:cs="Calibri"/>
                <w:color w:val="000000"/>
                <w:sz w:val="22"/>
                <w:szCs w:val="22"/>
              </w:rPr>
            </w:pPr>
            <w:r w:rsidRPr="00A13F04">
              <w:rPr>
                <w:rFonts w:ascii="Calibri" w:hAnsi="Calibri" w:cs="Calibri"/>
                <w:color w:val="000000"/>
                <w:sz w:val="22"/>
                <w:szCs w:val="22"/>
              </w:rPr>
              <w:t>7</w:t>
            </w:r>
          </w:p>
        </w:tc>
        <w:tc>
          <w:tcPr>
            <w:tcW w:w="1271" w:type="dxa"/>
            <w:hideMark/>
          </w:tcPr>
          <w:p w14:paraId="1DDF5E89"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rs2239704</w:t>
            </w:r>
          </w:p>
        </w:tc>
        <w:tc>
          <w:tcPr>
            <w:tcW w:w="1315" w:type="dxa"/>
            <w:hideMark/>
          </w:tcPr>
          <w:p w14:paraId="1D3A7301"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31572364</w:t>
            </w:r>
          </w:p>
        </w:tc>
        <w:tc>
          <w:tcPr>
            <w:tcW w:w="1890" w:type="dxa"/>
            <w:hideMark/>
          </w:tcPr>
          <w:p w14:paraId="665AC0E8"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 xml:space="preserve">LTA: Intron </w:t>
            </w:r>
          </w:p>
        </w:tc>
        <w:tc>
          <w:tcPr>
            <w:tcW w:w="821" w:type="dxa"/>
            <w:hideMark/>
          </w:tcPr>
          <w:p w14:paraId="42A7726D"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C&gt;A</w:t>
            </w:r>
          </w:p>
        </w:tc>
        <w:tc>
          <w:tcPr>
            <w:tcW w:w="799" w:type="dxa"/>
            <w:hideMark/>
          </w:tcPr>
          <w:p w14:paraId="2CDD99E3"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0.400</w:t>
            </w:r>
          </w:p>
        </w:tc>
        <w:tc>
          <w:tcPr>
            <w:tcW w:w="810" w:type="dxa"/>
            <w:hideMark/>
          </w:tcPr>
          <w:p w14:paraId="4C656E95"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0.380</w:t>
            </w:r>
          </w:p>
        </w:tc>
        <w:tc>
          <w:tcPr>
            <w:tcW w:w="990" w:type="dxa"/>
            <w:hideMark/>
          </w:tcPr>
          <w:p w14:paraId="6A503127"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0.426</w:t>
            </w:r>
          </w:p>
        </w:tc>
        <w:tc>
          <w:tcPr>
            <w:tcW w:w="905" w:type="dxa"/>
            <w:hideMark/>
          </w:tcPr>
          <w:p w14:paraId="217A9C02"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0.871</w:t>
            </w:r>
          </w:p>
        </w:tc>
      </w:tr>
      <w:tr w:rsidR="003A0345" w:rsidRPr="00A13F04" w14:paraId="3A2C62BB" w14:textId="77777777" w:rsidTr="005218B7">
        <w:trPr>
          <w:trHeight w:hRule="exact" w:val="432"/>
        </w:trPr>
        <w:tc>
          <w:tcPr>
            <w:cnfStyle w:val="001000000000" w:firstRow="0" w:lastRow="0" w:firstColumn="1" w:lastColumn="0" w:oddVBand="0" w:evenVBand="0" w:oddHBand="0" w:evenHBand="0" w:firstRowFirstColumn="0" w:firstRowLastColumn="0" w:lastRowFirstColumn="0" w:lastRowLastColumn="0"/>
            <w:tcW w:w="469" w:type="dxa"/>
            <w:hideMark/>
          </w:tcPr>
          <w:p w14:paraId="0FB6D322" w14:textId="77777777" w:rsidR="00A13F04" w:rsidRPr="00A13F04" w:rsidRDefault="00A13F04" w:rsidP="00A13F04">
            <w:pPr>
              <w:spacing w:line="240" w:lineRule="auto"/>
              <w:ind w:firstLine="0"/>
              <w:jc w:val="left"/>
              <w:rPr>
                <w:rFonts w:ascii="Calibri" w:hAnsi="Calibri" w:cs="Calibri"/>
                <w:color w:val="000000"/>
                <w:sz w:val="22"/>
                <w:szCs w:val="22"/>
              </w:rPr>
            </w:pPr>
            <w:r w:rsidRPr="00A13F04">
              <w:rPr>
                <w:rFonts w:ascii="Calibri" w:hAnsi="Calibri" w:cs="Calibri"/>
                <w:color w:val="000000"/>
                <w:sz w:val="22"/>
                <w:szCs w:val="22"/>
              </w:rPr>
              <w:t>8</w:t>
            </w:r>
          </w:p>
        </w:tc>
        <w:tc>
          <w:tcPr>
            <w:tcW w:w="1271" w:type="dxa"/>
            <w:hideMark/>
          </w:tcPr>
          <w:p w14:paraId="73CE851B"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rs2229094</w:t>
            </w:r>
          </w:p>
        </w:tc>
        <w:tc>
          <w:tcPr>
            <w:tcW w:w="1315" w:type="dxa"/>
            <w:hideMark/>
          </w:tcPr>
          <w:p w14:paraId="54D56122"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31572779</w:t>
            </w:r>
          </w:p>
        </w:tc>
        <w:tc>
          <w:tcPr>
            <w:tcW w:w="1890" w:type="dxa"/>
            <w:hideMark/>
          </w:tcPr>
          <w:p w14:paraId="18FC26CD"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LTA: Missense</w:t>
            </w:r>
          </w:p>
        </w:tc>
        <w:tc>
          <w:tcPr>
            <w:tcW w:w="821" w:type="dxa"/>
            <w:hideMark/>
          </w:tcPr>
          <w:p w14:paraId="1C694AF6"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T&gt;C</w:t>
            </w:r>
          </w:p>
        </w:tc>
        <w:tc>
          <w:tcPr>
            <w:tcW w:w="799" w:type="dxa"/>
            <w:hideMark/>
          </w:tcPr>
          <w:p w14:paraId="0E6D7398"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0.242</w:t>
            </w:r>
          </w:p>
        </w:tc>
        <w:tc>
          <w:tcPr>
            <w:tcW w:w="810" w:type="dxa"/>
            <w:hideMark/>
          </w:tcPr>
          <w:p w14:paraId="17F858DA"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0.232</w:t>
            </w:r>
          </w:p>
        </w:tc>
        <w:tc>
          <w:tcPr>
            <w:tcW w:w="990" w:type="dxa"/>
            <w:hideMark/>
          </w:tcPr>
          <w:p w14:paraId="2D755360"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0.255</w:t>
            </w:r>
          </w:p>
        </w:tc>
        <w:tc>
          <w:tcPr>
            <w:tcW w:w="905" w:type="dxa"/>
            <w:hideMark/>
          </w:tcPr>
          <w:p w14:paraId="090C5BDA"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1</w:t>
            </w:r>
          </w:p>
        </w:tc>
      </w:tr>
      <w:tr w:rsidR="003A0345" w:rsidRPr="00A13F04" w14:paraId="1BCDC77D" w14:textId="77777777" w:rsidTr="005218B7">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69" w:type="dxa"/>
            <w:hideMark/>
          </w:tcPr>
          <w:p w14:paraId="53D48409" w14:textId="77777777" w:rsidR="00A13F04" w:rsidRPr="00A13F04" w:rsidRDefault="00A13F04" w:rsidP="00A13F04">
            <w:pPr>
              <w:spacing w:line="240" w:lineRule="auto"/>
              <w:ind w:firstLine="0"/>
              <w:jc w:val="left"/>
              <w:rPr>
                <w:rFonts w:ascii="Calibri" w:hAnsi="Calibri" w:cs="Calibri"/>
                <w:color w:val="000000"/>
                <w:sz w:val="22"/>
                <w:szCs w:val="22"/>
              </w:rPr>
            </w:pPr>
            <w:r w:rsidRPr="00A13F04">
              <w:rPr>
                <w:rFonts w:ascii="Calibri" w:hAnsi="Calibri" w:cs="Calibri"/>
                <w:color w:val="000000"/>
                <w:sz w:val="22"/>
                <w:szCs w:val="22"/>
              </w:rPr>
              <w:t>9</w:t>
            </w:r>
          </w:p>
        </w:tc>
        <w:tc>
          <w:tcPr>
            <w:tcW w:w="1271" w:type="dxa"/>
            <w:hideMark/>
          </w:tcPr>
          <w:p w14:paraId="1ADA40E3"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rs1799964</w:t>
            </w:r>
          </w:p>
        </w:tc>
        <w:tc>
          <w:tcPr>
            <w:tcW w:w="1315" w:type="dxa"/>
            <w:hideMark/>
          </w:tcPr>
          <w:p w14:paraId="41F8025B"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31574531</w:t>
            </w:r>
          </w:p>
        </w:tc>
        <w:tc>
          <w:tcPr>
            <w:tcW w:w="1890" w:type="dxa"/>
            <w:hideMark/>
          </w:tcPr>
          <w:p w14:paraId="627F383F"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LTA: Downstream, TNF: Upstream</w:t>
            </w:r>
          </w:p>
        </w:tc>
        <w:tc>
          <w:tcPr>
            <w:tcW w:w="821" w:type="dxa"/>
            <w:hideMark/>
          </w:tcPr>
          <w:p w14:paraId="459DA4E6"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T&gt;C</w:t>
            </w:r>
          </w:p>
        </w:tc>
        <w:tc>
          <w:tcPr>
            <w:tcW w:w="799" w:type="dxa"/>
            <w:hideMark/>
          </w:tcPr>
          <w:p w14:paraId="4BCBE77E"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0.192</w:t>
            </w:r>
          </w:p>
        </w:tc>
        <w:tc>
          <w:tcPr>
            <w:tcW w:w="810" w:type="dxa"/>
            <w:hideMark/>
          </w:tcPr>
          <w:p w14:paraId="687CA1BD"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0.185</w:t>
            </w:r>
          </w:p>
        </w:tc>
        <w:tc>
          <w:tcPr>
            <w:tcW w:w="990" w:type="dxa"/>
            <w:hideMark/>
          </w:tcPr>
          <w:p w14:paraId="1055CF1E"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0.201</w:t>
            </w:r>
          </w:p>
        </w:tc>
        <w:tc>
          <w:tcPr>
            <w:tcW w:w="905" w:type="dxa"/>
            <w:hideMark/>
          </w:tcPr>
          <w:p w14:paraId="46F76440"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0.604</w:t>
            </w:r>
          </w:p>
        </w:tc>
      </w:tr>
      <w:tr w:rsidR="003A0345" w:rsidRPr="00A13F04" w14:paraId="73311677" w14:textId="77777777" w:rsidTr="005218B7">
        <w:trPr>
          <w:trHeight w:val="580"/>
        </w:trPr>
        <w:tc>
          <w:tcPr>
            <w:cnfStyle w:val="001000000000" w:firstRow="0" w:lastRow="0" w:firstColumn="1" w:lastColumn="0" w:oddVBand="0" w:evenVBand="0" w:oddHBand="0" w:evenHBand="0" w:firstRowFirstColumn="0" w:firstRowLastColumn="0" w:lastRowFirstColumn="0" w:lastRowLastColumn="0"/>
            <w:tcW w:w="469" w:type="dxa"/>
            <w:hideMark/>
          </w:tcPr>
          <w:p w14:paraId="406AD0E4" w14:textId="77777777" w:rsidR="00A13F04" w:rsidRPr="00A13F04" w:rsidRDefault="00A13F04" w:rsidP="00A13F04">
            <w:pPr>
              <w:spacing w:line="240" w:lineRule="auto"/>
              <w:ind w:firstLine="0"/>
              <w:jc w:val="left"/>
              <w:rPr>
                <w:rFonts w:ascii="Calibri" w:hAnsi="Calibri" w:cs="Calibri"/>
                <w:color w:val="000000"/>
                <w:sz w:val="22"/>
                <w:szCs w:val="22"/>
              </w:rPr>
            </w:pPr>
            <w:r w:rsidRPr="00A13F04">
              <w:rPr>
                <w:rFonts w:ascii="Calibri" w:hAnsi="Calibri" w:cs="Calibri"/>
                <w:color w:val="000000"/>
                <w:sz w:val="22"/>
                <w:szCs w:val="22"/>
              </w:rPr>
              <w:t>10</w:t>
            </w:r>
          </w:p>
        </w:tc>
        <w:tc>
          <w:tcPr>
            <w:tcW w:w="1271" w:type="dxa"/>
            <w:hideMark/>
          </w:tcPr>
          <w:p w14:paraId="5CDC836F"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rs1800630</w:t>
            </w:r>
          </w:p>
        </w:tc>
        <w:tc>
          <w:tcPr>
            <w:tcW w:w="1315" w:type="dxa"/>
            <w:hideMark/>
          </w:tcPr>
          <w:p w14:paraId="12AB138A"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31574699</w:t>
            </w:r>
          </w:p>
        </w:tc>
        <w:tc>
          <w:tcPr>
            <w:tcW w:w="1890" w:type="dxa"/>
            <w:hideMark/>
          </w:tcPr>
          <w:p w14:paraId="48196348"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LTA: Downstream, TNF: Upstream</w:t>
            </w:r>
          </w:p>
        </w:tc>
        <w:tc>
          <w:tcPr>
            <w:tcW w:w="821" w:type="dxa"/>
            <w:hideMark/>
          </w:tcPr>
          <w:p w14:paraId="1102AC4F"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C&gt;A</w:t>
            </w:r>
          </w:p>
        </w:tc>
        <w:tc>
          <w:tcPr>
            <w:tcW w:w="799" w:type="dxa"/>
            <w:hideMark/>
          </w:tcPr>
          <w:p w14:paraId="2E98FC70"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0.137</w:t>
            </w:r>
          </w:p>
        </w:tc>
        <w:tc>
          <w:tcPr>
            <w:tcW w:w="810" w:type="dxa"/>
            <w:hideMark/>
          </w:tcPr>
          <w:p w14:paraId="3E190ED5"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0.135</w:t>
            </w:r>
          </w:p>
        </w:tc>
        <w:tc>
          <w:tcPr>
            <w:tcW w:w="990" w:type="dxa"/>
            <w:hideMark/>
          </w:tcPr>
          <w:p w14:paraId="625AD96B"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0.140</w:t>
            </w:r>
          </w:p>
        </w:tc>
        <w:tc>
          <w:tcPr>
            <w:tcW w:w="905" w:type="dxa"/>
            <w:hideMark/>
          </w:tcPr>
          <w:p w14:paraId="5253C81E"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0.898</w:t>
            </w:r>
          </w:p>
        </w:tc>
      </w:tr>
      <w:tr w:rsidR="003A0345" w:rsidRPr="00A13F04" w14:paraId="161F236B" w14:textId="77777777" w:rsidTr="005218B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9" w:type="dxa"/>
            <w:hideMark/>
          </w:tcPr>
          <w:p w14:paraId="3D37BED4" w14:textId="77777777" w:rsidR="00A13F04" w:rsidRPr="00A13F04" w:rsidRDefault="00A13F04" w:rsidP="00A13F04">
            <w:pPr>
              <w:spacing w:line="240" w:lineRule="auto"/>
              <w:ind w:firstLine="0"/>
              <w:jc w:val="left"/>
              <w:rPr>
                <w:rFonts w:ascii="Calibri" w:hAnsi="Calibri" w:cs="Calibri"/>
                <w:color w:val="000000"/>
                <w:sz w:val="22"/>
                <w:szCs w:val="22"/>
              </w:rPr>
            </w:pPr>
            <w:r w:rsidRPr="00A13F04">
              <w:rPr>
                <w:rFonts w:ascii="Calibri" w:hAnsi="Calibri" w:cs="Calibri"/>
                <w:color w:val="000000"/>
                <w:sz w:val="22"/>
                <w:szCs w:val="22"/>
              </w:rPr>
              <w:t>11</w:t>
            </w:r>
          </w:p>
        </w:tc>
        <w:tc>
          <w:tcPr>
            <w:tcW w:w="1271" w:type="dxa"/>
            <w:hideMark/>
          </w:tcPr>
          <w:p w14:paraId="1EA09E90"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rs1800629</w:t>
            </w:r>
          </w:p>
        </w:tc>
        <w:tc>
          <w:tcPr>
            <w:tcW w:w="1315" w:type="dxa"/>
            <w:hideMark/>
          </w:tcPr>
          <w:p w14:paraId="12EFC219"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31575254</w:t>
            </w:r>
          </w:p>
        </w:tc>
        <w:tc>
          <w:tcPr>
            <w:tcW w:w="1890" w:type="dxa"/>
            <w:hideMark/>
          </w:tcPr>
          <w:p w14:paraId="12F5ED03"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TNF: Upstream</w:t>
            </w:r>
          </w:p>
        </w:tc>
        <w:tc>
          <w:tcPr>
            <w:tcW w:w="821" w:type="dxa"/>
            <w:hideMark/>
          </w:tcPr>
          <w:p w14:paraId="7F923AD7"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G&gt;A</w:t>
            </w:r>
          </w:p>
        </w:tc>
        <w:tc>
          <w:tcPr>
            <w:tcW w:w="799" w:type="dxa"/>
            <w:hideMark/>
          </w:tcPr>
          <w:p w14:paraId="27E8577F"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0.176</w:t>
            </w:r>
          </w:p>
        </w:tc>
        <w:tc>
          <w:tcPr>
            <w:tcW w:w="810" w:type="dxa"/>
            <w:hideMark/>
          </w:tcPr>
          <w:p w14:paraId="177173B0"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0.201</w:t>
            </w:r>
          </w:p>
        </w:tc>
        <w:tc>
          <w:tcPr>
            <w:tcW w:w="990" w:type="dxa"/>
            <w:hideMark/>
          </w:tcPr>
          <w:p w14:paraId="766FE487"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0.142</w:t>
            </w:r>
          </w:p>
        </w:tc>
        <w:tc>
          <w:tcPr>
            <w:tcW w:w="905" w:type="dxa"/>
            <w:hideMark/>
          </w:tcPr>
          <w:p w14:paraId="3D9EF4B9"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0.827</w:t>
            </w:r>
          </w:p>
        </w:tc>
      </w:tr>
      <w:tr w:rsidR="003A0345" w:rsidRPr="00A13F04" w14:paraId="35470B05" w14:textId="77777777" w:rsidTr="005218B7">
        <w:trPr>
          <w:trHeight w:val="432"/>
        </w:trPr>
        <w:tc>
          <w:tcPr>
            <w:cnfStyle w:val="001000000000" w:firstRow="0" w:lastRow="0" w:firstColumn="1" w:lastColumn="0" w:oddVBand="0" w:evenVBand="0" w:oddHBand="0" w:evenHBand="0" w:firstRowFirstColumn="0" w:firstRowLastColumn="0" w:lastRowFirstColumn="0" w:lastRowLastColumn="0"/>
            <w:tcW w:w="469" w:type="dxa"/>
            <w:hideMark/>
          </w:tcPr>
          <w:p w14:paraId="439E7AEA" w14:textId="77777777" w:rsidR="00A13F04" w:rsidRPr="00A13F04" w:rsidRDefault="00A13F04" w:rsidP="00A13F04">
            <w:pPr>
              <w:spacing w:line="240" w:lineRule="auto"/>
              <w:ind w:firstLine="0"/>
              <w:jc w:val="left"/>
              <w:rPr>
                <w:rFonts w:ascii="Calibri" w:hAnsi="Calibri" w:cs="Calibri"/>
                <w:color w:val="000000"/>
                <w:sz w:val="22"/>
                <w:szCs w:val="22"/>
              </w:rPr>
            </w:pPr>
            <w:r w:rsidRPr="00A13F04">
              <w:rPr>
                <w:rFonts w:ascii="Calibri" w:hAnsi="Calibri" w:cs="Calibri"/>
                <w:color w:val="000000"/>
                <w:sz w:val="22"/>
                <w:szCs w:val="22"/>
              </w:rPr>
              <w:t>12</w:t>
            </w:r>
          </w:p>
        </w:tc>
        <w:tc>
          <w:tcPr>
            <w:tcW w:w="1271" w:type="dxa"/>
            <w:hideMark/>
          </w:tcPr>
          <w:p w14:paraId="31DE41F1"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rs3093661</w:t>
            </w:r>
          </w:p>
        </w:tc>
        <w:tc>
          <w:tcPr>
            <w:tcW w:w="1315" w:type="dxa"/>
            <w:hideMark/>
          </w:tcPr>
          <w:p w14:paraId="369499B6"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31575981</w:t>
            </w:r>
          </w:p>
        </w:tc>
        <w:tc>
          <w:tcPr>
            <w:tcW w:w="1890" w:type="dxa"/>
            <w:hideMark/>
          </w:tcPr>
          <w:p w14:paraId="7DD9A8D0"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TNF: Intron</w:t>
            </w:r>
          </w:p>
        </w:tc>
        <w:tc>
          <w:tcPr>
            <w:tcW w:w="821" w:type="dxa"/>
            <w:hideMark/>
          </w:tcPr>
          <w:p w14:paraId="222E41A1"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G&gt;A</w:t>
            </w:r>
          </w:p>
        </w:tc>
        <w:tc>
          <w:tcPr>
            <w:tcW w:w="799" w:type="dxa"/>
            <w:hideMark/>
          </w:tcPr>
          <w:p w14:paraId="63987FF3"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0.031</w:t>
            </w:r>
          </w:p>
        </w:tc>
        <w:tc>
          <w:tcPr>
            <w:tcW w:w="810" w:type="dxa"/>
            <w:hideMark/>
          </w:tcPr>
          <w:p w14:paraId="6C716B89"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0.026</w:t>
            </w:r>
          </w:p>
        </w:tc>
        <w:tc>
          <w:tcPr>
            <w:tcW w:w="990" w:type="dxa"/>
            <w:hideMark/>
          </w:tcPr>
          <w:p w14:paraId="563753F0"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0.037</w:t>
            </w:r>
          </w:p>
        </w:tc>
        <w:tc>
          <w:tcPr>
            <w:tcW w:w="905" w:type="dxa"/>
            <w:hideMark/>
          </w:tcPr>
          <w:p w14:paraId="239C110E"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1</w:t>
            </w:r>
          </w:p>
        </w:tc>
      </w:tr>
      <w:tr w:rsidR="003A0345" w:rsidRPr="00A13F04" w14:paraId="666FB145" w14:textId="77777777" w:rsidTr="005218B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9" w:type="dxa"/>
            <w:hideMark/>
          </w:tcPr>
          <w:p w14:paraId="017E9CDB" w14:textId="77777777" w:rsidR="00A13F04" w:rsidRPr="00A13F04" w:rsidRDefault="00A13F04" w:rsidP="00A13F04">
            <w:pPr>
              <w:spacing w:line="240" w:lineRule="auto"/>
              <w:ind w:firstLine="0"/>
              <w:jc w:val="left"/>
              <w:rPr>
                <w:rFonts w:ascii="Calibri" w:hAnsi="Calibri" w:cs="Calibri"/>
                <w:color w:val="000000"/>
                <w:sz w:val="22"/>
                <w:szCs w:val="22"/>
              </w:rPr>
            </w:pPr>
            <w:r w:rsidRPr="00A13F04">
              <w:rPr>
                <w:rFonts w:ascii="Calibri" w:hAnsi="Calibri" w:cs="Calibri"/>
                <w:color w:val="000000"/>
                <w:sz w:val="22"/>
                <w:szCs w:val="22"/>
              </w:rPr>
              <w:t>13</w:t>
            </w:r>
          </w:p>
        </w:tc>
        <w:tc>
          <w:tcPr>
            <w:tcW w:w="1271" w:type="dxa"/>
            <w:hideMark/>
          </w:tcPr>
          <w:p w14:paraId="71542F75"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rs3093662</w:t>
            </w:r>
          </w:p>
        </w:tc>
        <w:tc>
          <w:tcPr>
            <w:tcW w:w="1315" w:type="dxa"/>
            <w:hideMark/>
          </w:tcPr>
          <w:p w14:paraId="45AD9AA9"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31576412</w:t>
            </w:r>
          </w:p>
        </w:tc>
        <w:tc>
          <w:tcPr>
            <w:tcW w:w="1890" w:type="dxa"/>
            <w:hideMark/>
          </w:tcPr>
          <w:p w14:paraId="30130DDA"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 xml:space="preserve">TNF: Intron </w:t>
            </w:r>
          </w:p>
        </w:tc>
        <w:tc>
          <w:tcPr>
            <w:tcW w:w="821" w:type="dxa"/>
            <w:hideMark/>
          </w:tcPr>
          <w:p w14:paraId="66073078"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A&gt;G</w:t>
            </w:r>
          </w:p>
        </w:tc>
        <w:tc>
          <w:tcPr>
            <w:tcW w:w="799" w:type="dxa"/>
            <w:hideMark/>
          </w:tcPr>
          <w:p w14:paraId="3CDB685A"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0.066</w:t>
            </w:r>
          </w:p>
        </w:tc>
        <w:tc>
          <w:tcPr>
            <w:tcW w:w="810" w:type="dxa"/>
            <w:hideMark/>
          </w:tcPr>
          <w:p w14:paraId="483F08BB"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0.066</w:t>
            </w:r>
          </w:p>
        </w:tc>
        <w:tc>
          <w:tcPr>
            <w:tcW w:w="990" w:type="dxa"/>
            <w:hideMark/>
          </w:tcPr>
          <w:p w14:paraId="353EC514"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0.066</w:t>
            </w:r>
          </w:p>
        </w:tc>
        <w:tc>
          <w:tcPr>
            <w:tcW w:w="905" w:type="dxa"/>
            <w:hideMark/>
          </w:tcPr>
          <w:p w14:paraId="441B4D42" w14:textId="77777777" w:rsidR="00A13F04" w:rsidRPr="00A13F04" w:rsidRDefault="00A13F04" w:rsidP="00A13F0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0.678</w:t>
            </w:r>
          </w:p>
        </w:tc>
      </w:tr>
      <w:tr w:rsidR="003A0345" w:rsidRPr="00A13F04" w14:paraId="093DEF1C" w14:textId="77777777" w:rsidTr="005218B7">
        <w:trPr>
          <w:trHeight w:val="580"/>
        </w:trPr>
        <w:tc>
          <w:tcPr>
            <w:cnfStyle w:val="001000000000" w:firstRow="0" w:lastRow="0" w:firstColumn="1" w:lastColumn="0" w:oddVBand="0" w:evenVBand="0" w:oddHBand="0" w:evenHBand="0" w:firstRowFirstColumn="0" w:firstRowLastColumn="0" w:lastRowFirstColumn="0" w:lastRowLastColumn="0"/>
            <w:tcW w:w="469" w:type="dxa"/>
            <w:hideMark/>
          </w:tcPr>
          <w:p w14:paraId="65F08B2A" w14:textId="77777777" w:rsidR="00A13F04" w:rsidRPr="00A13F04" w:rsidRDefault="00A13F04" w:rsidP="00A13F04">
            <w:pPr>
              <w:spacing w:line="240" w:lineRule="auto"/>
              <w:ind w:firstLine="0"/>
              <w:jc w:val="left"/>
              <w:rPr>
                <w:rFonts w:ascii="Calibri" w:hAnsi="Calibri" w:cs="Calibri"/>
                <w:color w:val="000000"/>
                <w:sz w:val="22"/>
                <w:szCs w:val="22"/>
              </w:rPr>
            </w:pPr>
            <w:r w:rsidRPr="00A13F04">
              <w:rPr>
                <w:rFonts w:ascii="Calibri" w:hAnsi="Calibri" w:cs="Calibri"/>
                <w:color w:val="000000"/>
                <w:sz w:val="22"/>
                <w:szCs w:val="22"/>
              </w:rPr>
              <w:t>14</w:t>
            </w:r>
          </w:p>
        </w:tc>
        <w:tc>
          <w:tcPr>
            <w:tcW w:w="1271" w:type="dxa"/>
            <w:hideMark/>
          </w:tcPr>
          <w:p w14:paraId="5817C810"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rs3093672</w:t>
            </w:r>
          </w:p>
        </w:tc>
        <w:tc>
          <w:tcPr>
            <w:tcW w:w="1315" w:type="dxa"/>
            <w:hideMark/>
          </w:tcPr>
          <w:p w14:paraId="2362E6AE" w14:textId="2BFF4E9D" w:rsidR="00A13F04" w:rsidRPr="00A13F04" w:rsidRDefault="0064223E"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64223E">
              <w:rPr>
                <w:rFonts w:ascii="Calibri" w:hAnsi="Calibri" w:cs="Calibri"/>
                <w:color w:val="000000"/>
                <w:sz w:val="22"/>
                <w:szCs w:val="22"/>
              </w:rPr>
              <w:t xml:space="preserve">31579643 </w:t>
            </w:r>
          </w:p>
        </w:tc>
        <w:tc>
          <w:tcPr>
            <w:tcW w:w="1890" w:type="dxa"/>
            <w:hideMark/>
          </w:tcPr>
          <w:p w14:paraId="24386506"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TNF: Downstream, LTB: Downstream</w:t>
            </w:r>
          </w:p>
        </w:tc>
        <w:tc>
          <w:tcPr>
            <w:tcW w:w="821" w:type="dxa"/>
            <w:hideMark/>
          </w:tcPr>
          <w:p w14:paraId="2288596B"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G&gt;A</w:t>
            </w:r>
          </w:p>
        </w:tc>
        <w:tc>
          <w:tcPr>
            <w:tcW w:w="799" w:type="dxa"/>
            <w:hideMark/>
          </w:tcPr>
          <w:p w14:paraId="63DB2739"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0.017</w:t>
            </w:r>
          </w:p>
        </w:tc>
        <w:tc>
          <w:tcPr>
            <w:tcW w:w="810" w:type="dxa"/>
            <w:hideMark/>
          </w:tcPr>
          <w:p w14:paraId="697CAF3D"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0.020</w:t>
            </w:r>
          </w:p>
        </w:tc>
        <w:tc>
          <w:tcPr>
            <w:tcW w:w="990" w:type="dxa"/>
            <w:hideMark/>
          </w:tcPr>
          <w:p w14:paraId="6F5BA8D3"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0.012</w:t>
            </w:r>
          </w:p>
        </w:tc>
        <w:tc>
          <w:tcPr>
            <w:tcW w:w="905" w:type="dxa"/>
            <w:hideMark/>
          </w:tcPr>
          <w:p w14:paraId="2A68958C" w14:textId="77777777" w:rsidR="00A13F04" w:rsidRPr="00A13F04" w:rsidRDefault="00A13F04" w:rsidP="00A13F0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3F04">
              <w:rPr>
                <w:rFonts w:ascii="Calibri" w:hAnsi="Calibri" w:cs="Calibri"/>
                <w:color w:val="000000"/>
                <w:sz w:val="22"/>
                <w:szCs w:val="22"/>
              </w:rPr>
              <w:t>1</w:t>
            </w:r>
          </w:p>
        </w:tc>
      </w:tr>
    </w:tbl>
    <w:p w14:paraId="0843FBB8" w14:textId="4D7FA471" w:rsidR="00BE21C8" w:rsidRDefault="00BE21C8" w:rsidP="00F663DD">
      <w:pPr>
        <w:ind w:firstLine="0"/>
      </w:pPr>
    </w:p>
    <w:p w14:paraId="0D550196" w14:textId="112A84E7" w:rsidR="0001455D" w:rsidRDefault="0001455D" w:rsidP="00F663DD">
      <w:pPr>
        <w:ind w:firstLine="0"/>
      </w:pPr>
    </w:p>
    <w:p w14:paraId="7621AB7E" w14:textId="77777777" w:rsidR="00432460" w:rsidRDefault="00432460" w:rsidP="00F663DD">
      <w:pPr>
        <w:ind w:firstLine="0"/>
      </w:pPr>
    </w:p>
    <w:p w14:paraId="6112119E" w14:textId="39679D4E" w:rsidR="00432460" w:rsidRDefault="00432460" w:rsidP="00432460">
      <w:pPr>
        <w:spacing w:line="240" w:lineRule="auto"/>
        <w:ind w:firstLine="0"/>
      </w:pPr>
      <w:r>
        <w:rPr>
          <w:noProof/>
        </w:rPr>
        <w:lastRenderedPageBreak/>
        <w:drawing>
          <wp:anchor distT="0" distB="0" distL="114300" distR="114300" simplePos="0" relativeHeight="251656704" behindDoc="0" locked="0" layoutInCell="1" allowOverlap="1" wp14:anchorId="48BAC78B" wp14:editId="2AC22E5C">
            <wp:simplePos x="0" y="0"/>
            <wp:positionH relativeFrom="column">
              <wp:posOffset>66675</wp:posOffset>
            </wp:positionH>
            <wp:positionV relativeFrom="paragraph">
              <wp:posOffset>0</wp:posOffset>
            </wp:positionV>
            <wp:extent cx="5943600" cy="4528820"/>
            <wp:effectExtent l="0" t="0" r="0" b="5080"/>
            <wp:wrapSquare wrapText="bothSides"/>
            <wp:docPr id="1" name="Picture 1"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di-LD (14).png"/>
                    <pic:cNvPicPr/>
                  </pic:nvPicPr>
                  <pic:blipFill>
                    <a:blip r:embed="rId13"/>
                    <a:stretch>
                      <a:fillRect/>
                    </a:stretch>
                  </pic:blipFill>
                  <pic:spPr>
                    <a:xfrm>
                      <a:off x="0" y="0"/>
                      <a:ext cx="5943600" cy="4528820"/>
                    </a:xfrm>
                    <a:prstGeom prst="rect">
                      <a:avLst/>
                    </a:prstGeom>
                  </pic:spPr>
                </pic:pic>
              </a:graphicData>
            </a:graphic>
          </wp:anchor>
        </w:drawing>
      </w:r>
    </w:p>
    <w:p w14:paraId="204E28BA" w14:textId="76370BAB" w:rsidR="00432460" w:rsidRDefault="00432460" w:rsidP="00432460">
      <w:pPr>
        <w:pStyle w:val="Caption"/>
      </w:pPr>
      <w:bookmarkStart w:id="32" w:name="_Toc40435758"/>
      <w:r>
        <w:t xml:space="preserve">Figure </w:t>
      </w:r>
      <w:r>
        <w:fldChar w:fldCharType="begin"/>
      </w:r>
      <w:r>
        <w:instrText xml:space="preserve"> SEQ Figure \* ARABIC </w:instrText>
      </w:r>
      <w:r>
        <w:fldChar w:fldCharType="separate"/>
      </w:r>
      <w:r>
        <w:t>4</w:t>
      </w:r>
      <w:r>
        <w:fldChar w:fldCharType="end"/>
      </w:r>
      <w:r>
        <w:t xml:space="preserve">  The LD plot showing the pairwise correlations between the SNPs of interest in the study sample</w:t>
      </w:r>
      <w:bookmarkEnd w:id="32"/>
    </w:p>
    <w:p w14:paraId="548B81F0" w14:textId="5E9A4434" w:rsidR="003D3208" w:rsidRPr="00EA6BD5" w:rsidRDefault="00771017" w:rsidP="00432460">
      <w:pPr>
        <w:pStyle w:val="CaptionDescription"/>
        <w:spacing w:line="360" w:lineRule="auto"/>
        <w:jc w:val="both"/>
        <w:rPr>
          <w:b w:val="0"/>
          <w:bCs/>
          <w:sz w:val="24"/>
        </w:rPr>
      </w:pPr>
      <w:bookmarkStart w:id="33" w:name="_Hlk39603422"/>
      <w:r>
        <w:rPr>
          <w:b w:val="0"/>
          <w:bCs/>
          <w:sz w:val="24"/>
        </w:rPr>
        <w:t>P</w:t>
      </w:r>
      <w:r w:rsidR="00360698" w:rsidRPr="00EA6BD5">
        <w:rPr>
          <w:b w:val="0"/>
          <w:bCs/>
          <w:sz w:val="24"/>
        </w:rPr>
        <w:t xml:space="preserve">lot was generated using Haploview </w:t>
      </w:r>
      <w:r w:rsidR="000C4896">
        <w:rPr>
          <w:b w:val="0"/>
          <w:bCs/>
          <w:sz w:val="24"/>
        </w:rPr>
        <w:t xml:space="preserve">version 4.2 </w:t>
      </w:r>
      <w:r w:rsidR="00360698" w:rsidRPr="00EA6BD5">
        <w:rPr>
          <w:b w:val="0"/>
          <w:bCs/>
          <w:sz w:val="24"/>
        </w:rPr>
        <w:t xml:space="preserve">where </w:t>
      </w:r>
      <w:r w:rsidR="00EA6BD5" w:rsidRPr="00EA6BD5">
        <w:rPr>
          <w:b w:val="0"/>
          <w:bCs/>
          <w:sz w:val="24"/>
        </w:rPr>
        <w:t xml:space="preserve">the extent of LD between the SNPs of interest </w:t>
      </w:r>
      <w:r w:rsidR="00E57C7E">
        <w:rPr>
          <w:b w:val="0"/>
          <w:bCs/>
          <w:sz w:val="24"/>
        </w:rPr>
        <w:t>was</w:t>
      </w:r>
      <w:r w:rsidR="00EA6BD5" w:rsidRPr="00EA6BD5">
        <w:rPr>
          <w:b w:val="0"/>
          <w:bCs/>
          <w:sz w:val="24"/>
        </w:rPr>
        <w:t xml:space="preserve"> </w:t>
      </w:r>
      <w:r w:rsidR="00E57C7E">
        <w:rPr>
          <w:b w:val="0"/>
          <w:bCs/>
          <w:sz w:val="24"/>
        </w:rPr>
        <w:t>depicted</w:t>
      </w:r>
      <w:r w:rsidR="00EA6BD5" w:rsidRPr="00EA6BD5">
        <w:rPr>
          <w:b w:val="0"/>
          <w:bCs/>
          <w:sz w:val="24"/>
        </w:rPr>
        <w:t xml:space="preserve"> as pairwise </w:t>
      </w:r>
      <w:r w:rsidR="00EA6BD5" w:rsidRPr="00EA6BD5">
        <w:rPr>
          <w:b w:val="0"/>
          <w:bCs/>
          <w:i/>
          <w:iCs/>
          <w:sz w:val="24"/>
        </w:rPr>
        <w:t>r</w:t>
      </w:r>
      <w:r w:rsidR="00EA6BD5" w:rsidRPr="00EA6BD5">
        <w:rPr>
          <w:b w:val="0"/>
          <w:bCs/>
          <w:i/>
          <w:iCs/>
          <w:sz w:val="24"/>
          <w:vertAlign w:val="superscript"/>
        </w:rPr>
        <w:t>2</w:t>
      </w:r>
      <w:r w:rsidR="00EA6BD5" w:rsidRPr="00EA6BD5">
        <w:rPr>
          <w:b w:val="0"/>
          <w:bCs/>
          <w:sz w:val="24"/>
        </w:rPr>
        <w:t>×100 values.</w:t>
      </w:r>
    </w:p>
    <w:bookmarkEnd w:id="33"/>
    <w:p w14:paraId="6483BD42" w14:textId="2D00890F" w:rsidR="0001455D" w:rsidRDefault="0001455D" w:rsidP="00F663DD">
      <w:pPr>
        <w:ind w:firstLine="0"/>
      </w:pPr>
    </w:p>
    <w:p w14:paraId="212D6FA0" w14:textId="63D30C18" w:rsidR="0001455D" w:rsidRDefault="0001455D" w:rsidP="00F663DD">
      <w:pPr>
        <w:ind w:firstLine="0"/>
      </w:pPr>
    </w:p>
    <w:p w14:paraId="3283EC88" w14:textId="0A15E1E5" w:rsidR="0001455D" w:rsidRDefault="0001455D" w:rsidP="00F663DD">
      <w:pPr>
        <w:ind w:firstLine="0"/>
      </w:pPr>
    </w:p>
    <w:p w14:paraId="0487C26C" w14:textId="410DBDF8" w:rsidR="0001455D" w:rsidRDefault="0001455D" w:rsidP="0001455D">
      <w:pPr>
        <w:pStyle w:val="Caption"/>
      </w:pPr>
    </w:p>
    <w:p w14:paraId="5CF9F807" w14:textId="77777777" w:rsidR="000F5CFF" w:rsidRPr="000F5CFF" w:rsidRDefault="000F5CFF" w:rsidP="000F5CFF"/>
    <w:p w14:paraId="0250ED55" w14:textId="76B679D3" w:rsidR="00BE490C" w:rsidRDefault="00BE490C" w:rsidP="004B3CF6">
      <w:pPr>
        <w:ind w:firstLine="0"/>
        <w:rPr>
          <w:sz w:val="18"/>
          <w:szCs w:val="18"/>
        </w:rPr>
      </w:pPr>
    </w:p>
    <w:p w14:paraId="43282192" w14:textId="174E1E97" w:rsidR="00740D3E" w:rsidRPr="00740D3E" w:rsidRDefault="006055BF" w:rsidP="00740D3E">
      <w:pPr>
        <w:pStyle w:val="Heading2"/>
      </w:pPr>
      <w:bookmarkStart w:id="34" w:name="_Toc40435745"/>
      <w:r>
        <w:lastRenderedPageBreak/>
        <w:t>Single</w:t>
      </w:r>
      <w:r w:rsidR="00BB4AC2">
        <w:t>-Si</w:t>
      </w:r>
      <w:r>
        <w:t>te Association</w:t>
      </w:r>
      <w:r w:rsidR="00BB4AC2">
        <w:t xml:space="preserve"> Analysis</w:t>
      </w:r>
      <w:bookmarkEnd w:id="34"/>
    </w:p>
    <w:p w14:paraId="67CCA23C" w14:textId="002F8003" w:rsidR="009F50B0" w:rsidRDefault="00740D3E" w:rsidP="00740D3E">
      <w:r w:rsidRPr="00740D3E">
        <w:rPr>
          <w:bCs/>
        </w:rPr>
        <w:t xml:space="preserve">Logistic regression analysis of the effects of genotypes on SLE risk under </w:t>
      </w:r>
      <w:r>
        <w:rPr>
          <w:bCs/>
        </w:rPr>
        <w:t xml:space="preserve">the dominant and additive models </w:t>
      </w:r>
      <w:r w:rsidR="003A176C">
        <w:rPr>
          <w:bCs/>
        </w:rPr>
        <w:t>(</w:t>
      </w:r>
      <w:r w:rsidR="003A176C" w:rsidRPr="003A176C">
        <w:rPr>
          <w:b/>
        </w:rPr>
        <w:t>Table 4</w:t>
      </w:r>
      <w:r w:rsidR="003A176C">
        <w:rPr>
          <w:bCs/>
        </w:rPr>
        <w:t xml:space="preserve">) </w:t>
      </w:r>
      <w:r w:rsidR="00654726">
        <w:rPr>
          <w:bCs/>
        </w:rPr>
        <w:t>identified</w:t>
      </w:r>
      <w:r w:rsidR="000C62B1">
        <w:rPr>
          <w:bCs/>
        </w:rPr>
        <w:t xml:space="preserve"> </w:t>
      </w:r>
      <w:r w:rsidR="0023686B">
        <w:rPr>
          <w:bCs/>
        </w:rPr>
        <w:t>2</w:t>
      </w:r>
      <w:r w:rsidR="000C62B1">
        <w:rPr>
          <w:bCs/>
        </w:rPr>
        <w:t xml:space="preserve"> </w:t>
      </w:r>
      <w:r w:rsidR="000C62B1" w:rsidRPr="0086611B">
        <w:rPr>
          <w:bCs/>
        </w:rPr>
        <w:t>SNPs</w:t>
      </w:r>
      <w:r w:rsidR="000C62B1">
        <w:rPr>
          <w:bCs/>
        </w:rPr>
        <w:t xml:space="preserve"> </w:t>
      </w:r>
      <w:r w:rsidR="00654726">
        <w:rPr>
          <w:bCs/>
        </w:rPr>
        <w:t xml:space="preserve">consistently associated with </w:t>
      </w:r>
      <w:r w:rsidR="000C62B1">
        <w:rPr>
          <w:bCs/>
        </w:rPr>
        <w:t xml:space="preserve">SLE </w:t>
      </w:r>
      <w:r w:rsidR="00654726">
        <w:rPr>
          <w:bCs/>
        </w:rPr>
        <w:t>risk</w:t>
      </w:r>
      <w:r w:rsidR="00654726" w:rsidRPr="0086611B">
        <w:rPr>
          <w:bCs/>
        </w:rPr>
        <w:t xml:space="preserve"> </w:t>
      </w:r>
      <w:r w:rsidR="00654726">
        <w:rPr>
          <w:bCs/>
        </w:rPr>
        <w:t xml:space="preserve">even after </w:t>
      </w:r>
      <w:r w:rsidR="00DB6A64">
        <w:rPr>
          <w:bCs/>
        </w:rPr>
        <w:t xml:space="preserve">Bonferroni </w:t>
      </w:r>
      <w:r w:rsidR="00654726">
        <w:rPr>
          <w:bCs/>
        </w:rPr>
        <w:t>correction</w:t>
      </w:r>
      <w:r w:rsidR="00310723">
        <w:rPr>
          <w:bCs/>
        </w:rPr>
        <w:t>:</w:t>
      </w:r>
      <w:r w:rsidR="000C62B1" w:rsidRPr="0086611B">
        <w:rPr>
          <w:bCs/>
        </w:rPr>
        <w:t xml:space="preserve"> rs1800683</w:t>
      </w:r>
      <w:r w:rsidR="003A176C">
        <w:rPr>
          <w:bCs/>
        </w:rPr>
        <w:t xml:space="preserve"> </w:t>
      </w:r>
      <w:bookmarkStart w:id="35" w:name="_Hlk39565833"/>
      <w:r w:rsidR="003A176C">
        <w:rPr>
          <w:bCs/>
        </w:rPr>
        <w:t>(</w:t>
      </w:r>
      <w:r w:rsidR="003A176C" w:rsidRPr="003A176C">
        <w:rPr>
          <w:bCs/>
          <w:i/>
          <w:iCs/>
        </w:rPr>
        <w:t>P</w:t>
      </w:r>
      <w:r w:rsidR="003A176C">
        <w:rPr>
          <w:bCs/>
        </w:rPr>
        <w:t>&lt;3</w:t>
      </w:r>
      <w:r w:rsidR="003A176C" w:rsidRPr="003A176C">
        <w:rPr>
          <w:bCs/>
        </w:rPr>
        <w:t>E-04</w:t>
      </w:r>
      <w:r w:rsidR="003A176C">
        <w:rPr>
          <w:bCs/>
        </w:rPr>
        <w:t xml:space="preserve">, corrected </w:t>
      </w:r>
      <w:r w:rsidR="003A176C" w:rsidRPr="003A176C">
        <w:rPr>
          <w:bCs/>
          <w:i/>
          <w:iCs/>
        </w:rPr>
        <w:t>P</w:t>
      </w:r>
      <w:r w:rsidR="003A176C">
        <w:rPr>
          <w:bCs/>
        </w:rPr>
        <w:t>&lt;4</w:t>
      </w:r>
      <w:r w:rsidR="003A176C" w:rsidRPr="003A176C">
        <w:rPr>
          <w:bCs/>
        </w:rPr>
        <w:t>E-0</w:t>
      </w:r>
      <w:r w:rsidR="003A176C">
        <w:rPr>
          <w:bCs/>
        </w:rPr>
        <w:t xml:space="preserve">3) </w:t>
      </w:r>
      <w:bookmarkEnd w:id="35"/>
      <w:r w:rsidR="000C62B1" w:rsidRPr="0086611B">
        <w:rPr>
          <w:bCs/>
        </w:rPr>
        <w:t xml:space="preserve">and rs1800629 </w:t>
      </w:r>
      <w:r w:rsidR="003A176C">
        <w:rPr>
          <w:bCs/>
        </w:rPr>
        <w:t>(</w:t>
      </w:r>
      <w:r w:rsidR="003A176C" w:rsidRPr="003A176C">
        <w:rPr>
          <w:bCs/>
          <w:i/>
          <w:iCs/>
        </w:rPr>
        <w:t>P</w:t>
      </w:r>
      <w:r w:rsidR="003A176C">
        <w:rPr>
          <w:bCs/>
        </w:rPr>
        <w:t>&lt;</w:t>
      </w:r>
      <w:r w:rsidR="00562A6D">
        <w:rPr>
          <w:bCs/>
        </w:rPr>
        <w:t>4</w:t>
      </w:r>
      <w:r w:rsidR="003A176C" w:rsidRPr="003A176C">
        <w:rPr>
          <w:bCs/>
        </w:rPr>
        <w:t>E-0</w:t>
      </w:r>
      <w:r w:rsidR="00562A6D">
        <w:rPr>
          <w:bCs/>
        </w:rPr>
        <w:t>5</w:t>
      </w:r>
      <w:r w:rsidR="003A176C">
        <w:rPr>
          <w:bCs/>
        </w:rPr>
        <w:t xml:space="preserve">, corrected </w:t>
      </w:r>
      <w:r w:rsidR="003A176C" w:rsidRPr="003A176C">
        <w:rPr>
          <w:bCs/>
          <w:i/>
          <w:iCs/>
        </w:rPr>
        <w:t>P</w:t>
      </w:r>
      <w:r w:rsidR="003A176C">
        <w:rPr>
          <w:bCs/>
        </w:rPr>
        <w:t>&lt;</w:t>
      </w:r>
      <w:r w:rsidR="00562A6D">
        <w:rPr>
          <w:bCs/>
        </w:rPr>
        <w:t>5</w:t>
      </w:r>
      <w:r w:rsidR="003A176C" w:rsidRPr="003A176C">
        <w:rPr>
          <w:bCs/>
        </w:rPr>
        <w:t>E-0</w:t>
      </w:r>
      <w:r w:rsidR="00562A6D">
        <w:rPr>
          <w:bCs/>
        </w:rPr>
        <w:t>4</w:t>
      </w:r>
      <w:r w:rsidR="003A176C">
        <w:rPr>
          <w:bCs/>
        </w:rPr>
        <w:t>)</w:t>
      </w:r>
      <w:r w:rsidR="000C4896">
        <w:rPr>
          <w:bCs/>
        </w:rPr>
        <w:t xml:space="preserve">, </w:t>
      </w:r>
      <w:r w:rsidR="000C62B1" w:rsidRPr="0086611B">
        <w:rPr>
          <w:bCs/>
        </w:rPr>
        <w:t xml:space="preserve">located within </w:t>
      </w:r>
      <w:r w:rsidR="000C62B1" w:rsidRPr="0086611B">
        <w:rPr>
          <w:bCs/>
          <w:i/>
        </w:rPr>
        <w:t>LTA</w:t>
      </w:r>
      <w:r w:rsidR="000C62B1" w:rsidRPr="0086611B">
        <w:rPr>
          <w:bCs/>
        </w:rPr>
        <w:t xml:space="preserve"> (5’ UTR) </w:t>
      </w:r>
      <w:r w:rsidR="003A176C">
        <w:rPr>
          <w:bCs/>
        </w:rPr>
        <w:t xml:space="preserve">and </w:t>
      </w:r>
      <w:r w:rsidR="00562A6D">
        <w:rPr>
          <w:bCs/>
        </w:rPr>
        <w:t>upstream of</w:t>
      </w:r>
      <w:r w:rsidR="000C62B1" w:rsidRPr="0086611B">
        <w:rPr>
          <w:bCs/>
        </w:rPr>
        <w:t xml:space="preserve"> </w:t>
      </w:r>
      <w:r w:rsidR="000C62B1" w:rsidRPr="0086611B">
        <w:rPr>
          <w:bCs/>
          <w:i/>
        </w:rPr>
        <w:t xml:space="preserve">TNF </w:t>
      </w:r>
      <w:r w:rsidR="000C62B1" w:rsidRPr="0086611B">
        <w:rPr>
          <w:bCs/>
        </w:rPr>
        <w:t>(prom</w:t>
      </w:r>
      <w:r w:rsidR="000C62B1">
        <w:rPr>
          <w:bCs/>
        </w:rPr>
        <w:t>oter), respectively. M</w:t>
      </w:r>
      <w:r w:rsidR="000C62B1" w:rsidRPr="0086611B">
        <w:rPr>
          <w:bCs/>
        </w:rPr>
        <w:t xml:space="preserve">oderate </w:t>
      </w:r>
      <w:r w:rsidR="000C62B1">
        <w:rPr>
          <w:bCs/>
        </w:rPr>
        <w:t>LD</w:t>
      </w:r>
      <w:r w:rsidR="000C62B1" w:rsidRPr="0086611B">
        <w:rPr>
          <w:bCs/>
        </w:rPr>
        <w:t xml:space="preserve"> </w:t>
      </w:r>
      <w:r w:rsidR="00562A6D" w:rsidRPr="0086611B">
        <w:rPr>
          <w:bCs/>
        </w:rPr>
        <w:t>(</w:t>
      </w:r>
      <w:r w:rsidR="00562A6D" w:rsidRPr="0086611B">
        <w:rPr>
          <w:bCs/>
          <w:i/>
        </w:rPr>
        <w:t>r</w:t>
      </w:r>
      <w:r w:rsidR="00562A6D" w:rsidRPr="0086611B">
        <w:rPr>
          <w:bCs/>
          <w:i/>
          <w:vertAlign w:val="superscript"/>
        </w:rPr>
        <w:t>2</w:t>
      </w:r>
      <w:r w:rsidR="00562A6D">
        <w:rPr>
          <w:bCs/>
        </w:rPr>
        <w:t>=</w:t>
      </w:r>
      <w:r w:rsidR="00562A6D" w:rsidRPr="0086611B">
        <w:rPr>
          <w:bCs/>
        </w:rPr>
        <w:t>0.</w:t>
      </w:r>
      <w:r w:rsidR="00562A6D">
        <w:rPr>
          <w:bCs/>
        </w:rPr>
        <w:t>43</w:t>
      </w:r>
      <w:r w:rsidR="00562A6D" w:rsidRPr="0086611B">
        <w:rPr>
          <w:bCs/>
        </w:rPr>
        <w:t>)</w:t>
      </w:r>
      <w:r w:rsidR="00562A6D">
        <w:rPr>
          <w:bCs/>
        </w:rPr>
        <w:t xml:space="preserve"> </w:t>
      </w:r>
      <w:r w:rsidR="000C62B1" w:rsidRPr="0086611B">
        <w:rPr>
          <w:bCs/>
        </w:rPr>
        <w:t xml:space="preserve">was </w:t>
      </w:r>
      <w:r w:rsidR="000C62B1">
        <w:rPr>
          <w:bCs/>
        </w:rPr>
        <w:t>detected between t</w:t>
      </w:r>
      <w:r w:rsidR="000C62B1" w:rsidRPr="0086611B">
        <w:rPr>
          <w:bCs/>
        </w:rPr>
        <w:t xml:space="preserve">hese 2 SNPs </w:t>
      </w:r>
      <w:r>
        <w:rPr>
          <w:bCs/>
        </w:rPr>
        <w:t xml:space="preserve">in </w:t>
      </w:r>
      <w:r w:rsidR="000C4896">
        <w:rPr>
          <w:bCs/>
        </w:rPr>
        <w:t>the studied case-control</w:t>
      </w:r>
      <w:r>
        <w:rPr>
          <w:bCs/>
        </w:rPr>
        <w:t xml:space="preserve"> sample</w:t>
      </w:r>
      <w:r w:rsidR="00562A6D">
        <w:rPr>
          <w:bCs/>
        </w:rPr>
        <w:t xml:space="preserve"> (</w:t>
      </w:r>
      <w:r w:rsidR="00562A6D" w:rsidRPr="002633FF">
        <w:rPr>
          <w:b/>
          <w:bCs/>
        </w:rPr>
        <w:t>Figure 4</w:t>
      </w:r>
      <w:r w:rsidR="00562A6D">
        <w:rPr>
          <w:bCs/>
        </w:rPr>
        <w:t>).</w:t>
      </w:r>
    </w:p>
    <w:p w14:paraId="46865467" w14:textId="6548B373" w:rsidR="00432460" w:rsidRPr="00ED3678" w:rsidRDefault="00432460" w:rsidP="00432460">
      <w:pPr>
        <w:pStyle w:val="Caption"/>
        <w:rPr>
          <w:b w:val="0"/>
        </w:rPr>
      </w:pPr>
      <w:bookmarkStart w:id="36" w:name="_Toc40435753"/>
      <w:bookmarkStart w:id="37" w:name="_Hlk39543360"/>
      <w:r>
        <w:t xml:space="preserve">Table </w:t>
      </w:r>
      <w:r>
        <w:fldChar w:fldCharType="begin"/>
      </w:r>
      <w:r>
        <w:instrText xml:space="preserve"> SEQ Table \* ARABIC </w:instrText>
      </w:r>
      <w:r>
        <w:fldChar w:fldCharType="separate"/>
      </w:r>
      <w:r>
        <w:t>4</w:t>
      </w:r>
      <w:r>
        <w:fldChar w:fldCharType="end"/>
      </w:r>
      <w:r>
        <w:t xml:space="preserve"> Single-site association results for the SNPs of interest in SLE case-control sample</w:t>
      </w:r>
      <w:bookmarkEnd w:id="36"/>
    </w:p>
    <w:tbl>
      <w:tblPr>
        <w:tblStyle w:val="PlainTable21"/>
        <w:tblW w:w="9990" w:type="dxa"/>
        <w:tblLayout w:type="fixed"/>
        <w:tblLook w:val="04A0" w:firstRow="1" w:lastRow="0" w:firstColumn="1" w:lastColumn="0" w:noHBand="0" w:noVBand="1"/>
      </w:tblPr>
      <w:tblGrid>
        <w:gridCol w:w="1265"/>
        <w:gridCol w:w="805"/>
        <w:gridCol w:w="1890"/>
        <w:gridCol w:w="990"/>
        <w:gridCol w:w="1080"/>
        <w:gridCol w:w="1890"/>
        <w:gridCol w:w="990"/>
        <w:gridCol w:w="1080"/>
      </w:tblGrid>
      <w:tr w:rsidR="003A0345" w:rsidRPr="003A0345" w14:paraId="215EFBF2" w14:textId="77777777" w:rsidTr="0080567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65" w:type="dxa"/>
            <w:vMerge w:val="restart"/>
            <w:noWrap/>
            <w:hideMark/>
          </w:tcPr>
          <w:bookmarkEnd w:id="37"/>
          <w:p w14:paraId="215FF24C" w14:textId="77777777" w:rsidR="00C07EA7" w:rsidRPr="00C07EA7" w:rsidRDefault="00C07EA7" w:rsidP="00C07EA7">
            <w:pPr>
              <w:spacing w:line="240" w:lineRule="auto"/>
              <w:ind w:firstLine="0"/>
              <w:jc w:val="left"/>
              <w:rPr>
                <w:rFonts w:ascii="Calibri" w:hAnsi="Calibri" w:cs="Calibri"/>
                <w:sz w:val="20"/>
                <w:szCs w:val="20"/>
              </w:rPr>
            </w:pPr>
            <w:r w:rsidRPr="00C07EA7">
              <w:rPr>
                <w:rFonts w:ascii="Calibri" w:hAnsi="Calibri" w:cs="Calibri"/>
                <w:sz w:val="20"/>
                <w:szCs w:val="20"/>
              </w:rPr>
              <w:t>SNP</w:t>
            </w:r>
          </w:p>
        </w:tc>
        <w:tc>
          <w:tcPr>
            <w:tcW w:w="805" w:type="dxa"/>
            <w:vMerge w:val="restart"/>
            <w:hideMark/>
          </w:tcPr>
          <w:p w14:paraId="78DF22BA" w14:textId="77777777" w:rsidR="00C07EA7" w:rsidRPr="00C07EA7" w:rsidRDefault="00C07EA7" w:rsidP="00C07EA7">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07EA7">
              <w:rPr>
                <w:rFonts w:ascii="Calibri" w:hAnsi="Calibri" w:cs="Calibri"/>
                <w:sz w:val="20"/>
                <w:szCs w:val="20"/>
              </w:rPr>
              <w:t>Minor Allele</w:t>
            </w:r>
          </w:p>
        </w:tc>
        <w:tc>
          <w:tcPr>
            <w:tcW w:w="3960" w:type="dxa"/>
            <w:gridSpan w:val="3"/>
            <w:noWrap/>
            <w:hideMark/>
          </w:tcPr>
          <w:p w14:paraId="23442099" w14:textId="77777777" w:rsidR="00C07EA7" w:rsidRPr="00C07EA7" w:rsidRDefault="00C07EA7" w:rsidP="00C07EA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07EA7">
              <w:rPr>
                <w:rFonts w:ascii="Calibri" w:hAnsi="Calibri" w:cs="Calibri"/>
                <w:sz w:val="20"/>
                <w:szCs w:val="20"/>
              </w:rPr>
              <w:t>Dominant Model</w:t>
            </w:r>
          </w:p>
        </w:tc>
        <w:tc>
          <w:tcPr>
            <w:tcW w:w="3960" w:type="dxa"/>
            <w:gridSpan w:val="3"/>
            <w:noWrap/>
            <w:hideMark/>
          </w:tcPr>
          <w:p w14:paraId="07A35E22" w14:textId="77777777" w:rsidR="00C07EA7" w:rsidRPr="00C07EA7" w:rsidRDefault="00C07EA7" w:rsidP="00C07EA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07EA7">
              <w:rPr>
                <w:rFonts w:ascii="Calibri" w:hAnsi="Calibri" w:cs="Calibri"/>
                <w:sz w:val="20"/>
                <w:szCs w:val="20"/>
              </w:rPr>
              <w:t>Additive Model</w:t>
            </w:r>
          </w:p>
        </w:tc>
      </w:tr>
      <w:tr w:rsidR="003A0345" w:rsidRPr="003A0345" w14:paraId="39151D5F" w14:textId="77777777" w:rsidTr="0080567C">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265" w:type="dxa"/>
            <w:vMerge/>
            <w:hideMark/>
          </w:tcPr>
          <w:p w14:paraId="53F4323A" w14:textId="77777777" w:rsidR="00C07EA7" w:rsidRPr="00C07EA7" w:rsidRDefault="00C07EA7" w:rsidP="00C07EA7">
            <w:pPr>
              <w:spacing w:line="240" w:lineRule="auto"/>
              <w:ind w:firstLine="0"/>
              <w:jc w:val="left"/>
              <w:rPr>
                <w:rFonts w:ascii="Calibri" w:hAnsi="Calibri" w:cs="Calibri"/>
                <w:sz w:val="20"/>
                <w:szCs w:val="20"/>
              </w:rPr>
            </w:pPr>
          </w:p>
        </w:tc>
        <w:tc>
          <w:tcPr>
            <w:tcW w:w="805" w:type="dxa"/>
            <w:vMerge/>
            <w:hideMark/>
          </w:tcPr>
          <w:p w14:paraId="5A37C791"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c>
          <w:tcPr>
            <w:tcW w:w="1890" w:type="dxa"/>
            <w:noWrap/>
            <w:hideMark/>
          </w:tcPr>
          <w:p w14:paraId="28EFE01E" w14:textId="58BD75FC" w:rsidR="00C07EA7" w:rsidRPr="00C07EA7" w:rsidRDefault="00C07EA7" w:rsidP="00C07EA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C07EA7">
              <w:rPr>
                <w:rFonts w:ascii="Calibri" w:hAnsi="Calibri" w:cs="Calibri"/>
                <w:b/>
                <w:bCs/>
                <w:sz w:val="20"/>
                <w:szCs w:val="20"/>
              </w:rPr>
              <w:t>OR (95%CI)</w:t>
            </w:r>
          </w:p>
        </w:tc>
        <w:tc>
          <w:tcPr>
            <w:tcW w:w="990" w:type="dxa"/>
            <w:noWrap/>
            <w:hideMark/>
          </w:tcPr>
          <w:p w14:paraId="15759B98" w14:textId="7595C47D" w:rsidR="00C07EA7" w:rsidRPr="00C07EA7" w:rsidRDefault="00C07EA7" w:rsidP="00C07EA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C07EA7">
              <w:rPr>
                <w:rFonts w:ascii="Calibri" w:hAnsi="Calibri" w:cs="Calibri"/>
                <w:b/>
                <w:bCs/>
                <w:i/>
                <w:iCs/>
                <w:sz w:val="20"/>
                <w:szCs w:val="20"/>
              </w:rPr>
              <w:t>P</w:t>
            </w:r>
            <w:r w:rsidRPr="00C07EA7">
              <w:rPr>
                <w:rFonts w:ascii="Calibri" w:hAnsi="Calibri" w:cs="Calibri"/>
                <w:b/>
                <w:bCs/>
                <w:sz w:val="20"/>
                <w:szCs w:val="20"/>
              </w:rPr>
              <w:t>-</w:t>
            </w:r>
            <w:r w:rsidR="00863D24">
              <w:rPr>
                <w:rFonts w:ascii="Calibri" w:hAnsi="Calibri" w:cs="Calibri"/>
                <w:b/>
                <w:bCs/>
                <w:sz w:val="20"/>
                <w:szCs w:val="20"/>
              </w:rPr>
              <w:t>v</w:t>
            </w:r>
            <w:r w:rsidRPr="00C07EA7">
              <w:rPr>
                <w:rFonts w:ascii="Calibri" w:hAnsi="Calibri" w:cs="Calibri"/>
                <w:b/>
                <w:bCs/>
                <w:sz w:val="20"/>
                <w:szCs w:val="20"/>
              </w:rPr>
              <w:t>alue</w:t>
            </w:r>
          </w:p>
        </w:tc>
        <w:tc>
          <w:tcPr>
            <w:tcW w:w="1080" w:type="dxa"/>
            <w:hideMark/>
          </w:tcPr>
          <w:p w14:paraId="5BDECEA3" w14:textId="48769149" w:rsidR="00C07EA7" w:rsidRPr="00C07EA7" w:rsidRDefault="00C07EA7" w:rsidP="00C07EA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C07EA7">
              <w:rPr>
                <w:rFonts w:ascii="Calibri" w:hAnsi="Calibri" w:cs="Calibri"/>
                <w:b/>
                <w:bCs/>
                <w:sz w:val="20"/>
                <w:szCs w:val="20"/>
              </w:rPr>
              <w:t>Corre</w:t>
            </w:r>
            <w:r w:rsidR="004C7C28" w:rsidRPr="003A0345">
              <w:rPr>
                <w:rFonts w:ascii="Calibri" w:hAnsi="Calibri" w:cs="Calibri"/>
                <w:b/>
                <w:bCs/>
                <w:sz w:val="20"/>
                <w:szCs w:val="20"/>
              </w:rPr>
              <w:t>c</w:t>
            </w:r>
            <w:r w:rsidRPr="00C07EA7">
              <w:rPr>
                <w:rFonts w:ascii="Calibri" w:hAnsi="Calibri" w:cs="Calibri"/>
                <w:b/>
                <w:bCs/>
                <w:sz w:val="20"/>
                <w:szCs w:val="20"/>
              </w:rPr>
              <w:t xml:space="preserve">ted </w:t>
            </w:r>
            <w:r w:rsidR="003A176C" w:rsidRPr="00C07EA7">
              <w:rPr>
                <w:rFonts w:ascii="Calibri" w:hAnsi="Calibri" w:cs="Calibri"/>
                <w:b/>
                <w:bCs/>
                <w:i/>
                <w:iCs/>
                <w:sz w:val="20"/>
                <w:szCs w:val="20"/>
              </w:rPr>
              <w:t>P</w:t>
            </w:r>
            <w:r w:rsidR="003A176C" w:rsidRPr="00C07EA7">
              <w:rPr>
                <w:rFonts w:ascii="Calibri" w:hAnsi="Calibri" w:cs="Calibri"/>
                <w:b/>
                <w:bCs/>
                <w:sz w:val="20"/>
                <w:szCs w:val="20"/>
              </w:rPr>
              <w:t>-</w:t>
            </w:r>
            <w:r w:rsidR="00863D24">
              <w:rPr>
                <w:rFonts w:ascii="Calibri" w:hAnsi="Calibri" w:cs="Calibri"/>
                <w:b/>
                <w:bCs/>
                <w:sz w:val="20"/>
                <w:szCs w:val="20"/>
              </w:rPr>
              <w:t>v</w:t>
            </w:r>
            <w:r w:rsidR="003A176C" w:rsidRPr="00C07EA7">
              <w:rPr>
                <w:rFonts w:ascii="Calibri" w:hAnsi="Calibri" w:cs="Calibri"/>
                <w:b/>
                <w:bCs/>
                <w:sz w:val="20"/>
                <w:szCs w:val="20"/>
              </w:rPr>
              <w:t>alue</w:t>
            </w:r>
          </w:p>
        </w:tc>
        <w:tc>
          <w:tcPr>
            <w:tcW w:w="1890" w:type="dxa"/>
            <w:noWrap/>
            <w:hideMark/>
          </w:tcPr>
          <w:p w14:paraId="0DAA3ACE" w14:textId="77777777" w:rsidR="00C07EA7" w:rsidRPr="00C07EA7" w:rsidRDefault="00C07EA7" w:rsidP="00C07EA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C07EA7">
              <w:rPr>
                <w:rFonts w:ascii="Calibri" w:hAnsi="Calibri" w:cs="Calibri"/>
                <w:b/>
                <w:bCs/>
                <w:sz w:val="20"/>
                <w:szCs w:val="20"/>
              </w:rPr>
              <w:t>OR (95%CI)</w:t>
            </w:r>
          </w:p>
        </w:tc>
        <w:tc>
          <w:tcPr>
            <w:tcW w:w="990" w:type="dxa"/>
            <w:noWrap/>
            <w:hideMark/>
          </w:tcPr>
          <w:p w14:paraId="569EA06A" w14:textId="19BA20C2" w:rsidR="00C07EA7" w:rsidRPr="00C07EA7" w:rsidRDefault="00C07EA7" w:rsidP="00C07EA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C07EA7">
              <w:rPr>
                <w:rFonts w:ascii="Calibri" w:hAnsi="Calibri" w:cs="Calibri"/>
                <w:b/>
                <w:bCs/>
                <w:i/>
                <w:iCs/>
                <w:sz w:val="20"/>
                <w:szCs w:val="20"/>
              </w:rPr>
              <w:t>P</w:t>
            </w:r>
            <w:r w:rsidRPr="00C07EA7">
              <w:rPr>
                <w:rFonts w:ascii="Calibri" w:hAnsi="Calibri" w:cs="Calibri"/>
                <w:b/>
                <w:bCs/>
                <w:sz w:val="20"/>
                <w:szCs w:val="20"/>
              </w:rPr>
              <w:t>-</w:t>
            </w:r>
            <w:r w:rsidR="00863D24">
              <w:rPr>
                <w:rFonts w:ascii="Calibri" w:hAnsi="Calibri" w:cs="Calibri"/>
                <w:b/>
                <w:bCs/>
                <w:sz w:val="20"/>
                <w:szCs w:val="20"/>
              </w:rPr>
              <w:t>v</w:t>
            </w:r>
            <w:r w:rsidRPr="00C07EA7">
              <w:rPr>
                <w:rFonts w:ascii="Calibri" w:hAnsi="Calibri" w:cs="Calibri"/>
                <w:b/>
                <w:bCs/>
                <w:sz w:val="20"/>
                <w:szCs w:val="20"/>
              </w:rPr>
              <w:t>alue</w:t>
            </w:r>
          </w:p>
        </w:tc>
        <w:tc>
          <w:tcPr>
            <w:tcW w:w="1080" w:type="dxa"/>
            <w:hideMark/>
          </w:tcPr>
          <w:p w14:paraId="1E7CE976" w14:textId="758A5EFB" w:rsidR="00C07EA7" w:rsidRPr="00C07EA7" w:rsidRDefault="00C07EA7" w:rsidP="00C07EA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C07EA7">
              <w:rPr>
                <w:rFonts w:ascii="Calibri" w:hAnsi="Calibri" w:cs="Calibri"/>
                <w:b/>
                <w:bCs/>
                <w:sz w:val="20"/>
                <w:szCs w:val="20"/>
              </w:rPr>
              <w:t>Corre</w:t>
            </w:r>
            <w:r w:rsidR="004C7C28" w:rsidRPr="003A0345">
              <w:rPr>
                <w:rFonts w:ascii="Calibri" w:hAnsi="Calibri" w:cs="Calibri"/>
                <w:b/>
                <w:bCs/>
                <w:sz w:val="20"/>
                <w:szCs w:val="20"/>
              </w:rPr>
              <w:t>c</w:t>
            </w:r>
            <w:r w:rsidRPr="00C07EA7">
              <w:rPr>
                <w:rFonts w:ascii="Calibri" w:hAnsi="Calibri" w:cs="Calibri"/>
                <w:b/>
                <w:bCs/>
                <w:sz w:val="20"/>
                <w:szCs w:val="20"/>
              </w:rPr>
              <w:t xml:space="preserve">ted </w:t>
            </w:r>
            <w:r w:rsidR="003A176C" w:rsidRPr="00C07EA7">
              <w:rPr>
                <w:rFonts w:ascii="Calibri" w:hAnsi="Calibri" w:cs="Calibri"/>
                <w:b/>
                <w:bCs/>
                <w:i/>
                <w:iCs/>
                <w:sz w:val="20"/>
                <w:szCs w:val="20"/>
              </w:rPr>
              <w:t>P</w:t>
            </w:r>
            <w:r w:rsidR="003A176C" w:rsidRPr="00C07EA7">
              <w:rPr>
                <w:rFonts w:ascii="Calibri" w:hAnsi="Calibri" w:cs="Calibri"/>
                <w:b/>
                <w:bCs/>
                <w:sz w:val="20"/>
                <w:szCs w:val="20"/>
              </w:rPr>
              <w:t>-</w:t>
            </w:r>
            <w:r w:rsidR="00863D24">
              <w:rPr>
                <w:rFonts w:ascii="Calibri" w:hAnsi="Calibri" w:cs="Calibri"/>
                <w:b/>
                <w:bCs/>
                <w:sz w:val="20"/>
                <w:szCs w:val="20"/>
              </w:rPr>
              <w:t>v</w:t>
            </w:r>
            <w:r w:rsidR="003A176C" w:rsidRPr="00C07EA7">
              <w:rPr>
                <w:rFonts w:ascii="Calibri" w:hAnsi="Calibri" w:cs="Calibri"/>
                <w:b/>
                <w:bCs/>
                <w:sz w:val="20"/>
                <w:szCs w:val="20"/>
              </w:rPr>
              <w:t>alue</w:t>
            </w:r>
          </w:p>
        </w:tc>
      </w:tr>
      <w:tr w:rsidR="003A0345" w:rsidRPr="00C07EA7" w14:paraId="1E08BE92" w14:textId="77777777" w:rsidTr="0080567C">
        <w:trPr>
          <w:trHeight w:val="432"/>
        </w:trPr>
        <w:tc>
          <w:tcPr>
            <w:cnfStyle w:val="001000000000" w:firstRow="0" w:lastRow="0" w:firstColumn="1" w:lastColumn="0" w:oddVBand="0" w:evenVBand="0" w:oddHBand="0" w:evenHBand="0" w:firstRowFirstColumn="0" w:firstRowLastColumn="0" w:lastRowFirstColumn="0" w:lastRowLastColumn="0"/>
            <w:tcW w:w="1265" w:type="dxa"/>
            <w:noWrap/>
            <w:hideMark/>
          </w:tcPr>
          <w:p w14:paraId="7A14A69E" w14:textId="77777777" w:rsidR="00C07EA7" w:rsidRPr="00C07EA7" w:rsidRDefault="00C07EA7" w:rsidP="00C07EA7">
            <w:pPr>
              <w:spacing w:line="240" w:lineRule="auto"/>
              <w:ind w:firstLine="0"/>
              <w:jc w:val="left"/>
              <w:rPr>
                <w:rFonts w:ascii="Calibri" w:hAnsi="Calibri" w:cs="Calibri"/>
                <w:color w:val="000000"/>
                <w:sz w:val="20"/>
                <w:szCs w:val="20"/>
              </w:rPr>
            </w:pPr>
            <w:r w:rsidRPr="00C07EA7">
              <w:rPr>
                <w:rFonts w:ascii="Calibri" w:hAnsi="Calibri" w:cs="Calibri"/>
                <w:color w:val="000000"/>
                <w:sz w:val="20"/>
                <w:szCs w:val="20"/>
              </w:rPr>
              <w:t>rs13215091</w:t>
            </w:r>
          </w:p>
        </w:tc>
        <w:tc>
          <w:tcPr>
            <w:tcW w:w="805" w:type="dxa"/>
            <w:noWrap/>
            <w:hideMark/>
          </w:tcPr>
          <w:p w14:paraId="0548E4D4"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T</w:t>
            </w:r>
          </w:p>
        </w:tc>
        <w:tc>
          <w:tcPr>
            <w:tcW w:w="1890" w:type="dxa"/>
            <w:noWrap/>
            <w:hideMark/>
          </w:tcPr>
          <w:p w14:paraId="587F3C02"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1.061 (0.686-1.643)</w:t>
            </w:r>
          </w:p>
        </w:tc>
        <w:tc>
          <w:tcPr>
            <w:tcW w:w="990" w:type="dxa"/>
            <w:noWrap/>
            <w:hideMark/>
          </w:tcPr>
          <w:p w14:paraId="242DEBE6"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7.89E-01</w:t>
            </w:r>
          </w:p>
        </w:tc>
        <w:tc>
          <w:tcPr>
            <w:tcW w:w="1080" w:type="dxa"/>
            <w:noWrap/>
            <w:hideMark/>
          </w:tcPr>
          <w:p w14:paraId="10BFA1DC"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w:t>
            </w:r>
          </w:p>
        </w:tc>
        <w:tc>
          <w:tcPr>
            <w:tcW w:w="1890" w:type="dxa"/>
            <w:noWrap/>
            <w:hideMark/>
          </w:tcPr>
          <w:p w14:paraId="22B13D74"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1.010 (0.679-1.502)</w:t>
            </w:r>
          </w:p>
        </w:tc>
        <w:tc>
          <w:tcPr>
            <w:tcW w:w="990" w:type="dxa"/>
            <w:noWrap/>
            <w:hideMark/>
          </w:tcPr>
          <w:p w14:paraId="048F5E64"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9.60E-01</w:t>
            </w:r>
          </w:p>
        </w:tc>
        <w:tc>
          <w:tcPr>
            <w:tcW w:w="1080" w:type="dxa"/>
            <w:noWrap/>
            <w:hideMark/>
          </w:tcPr>
          <w:p w14:paraId="0B24CE3D"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w:t>
            </w:r>
          </w:p>
        </w:tc>
      </w:tr>
      <w:tr w:rsidR="003A0345" w:rsidRPr="00C07EA7" w14:paraId="22BF68B6" w14:textId="77777777" w:rsidTr="0080567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65" w:type="dxa"/>
            <w:noWrap/>
            <w:hideMark/>
          </w:tcPr>
          <w:p w14:paraId="5083BAA9" w14:textId="77777777" w:rsidR="00C07EA7" w:rsidRPr="00C07EA7" w:rsidRDefault="00C07EA7" w:rsidP="00C07EA7">
            <w:pPr>
              <w:spacing w:line="240" w:lineRule="auto"/>
              <w:ind w:firstLine="0"/>
              <w:jc w:val="left"/>
              <w:rPr>
                <w:rFonts w:ascii="Calibri" w:hAnsi="Calibri" w:cs="Calibri"/>
                <w:color w:val="000000"/>
                <w:sz w:val="20"/>
                <w:szCs w:val="20"/>
              </w:rPr>
            </w:pPr>
            <w:r w:rsidRPr="00C07EA7">
              <w:rPr>
                <w:rFonts w:ascii="Calibri" w:hAnsi="Calibri" w:cs="Calibri"/>
                <w:color w:val="000000"/>
                <w:sz w:val="20"/>
                <w:szCs w:val="20"/>
              </w:rPr>
              <w:t>rs2857602</w:t>
            </w:r>
          </w:p>
        </w:tc>
        <w:tc>
          <w:tcPr>
            <w:tcW w:w="805" w:type="dxa"/>
            <w:noWrap/>
            <w:hideMark/>
          </w:tcPr>
          <w:p w14:paraId="689CB424"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C</w:t>
            </w:r>
          </w:p>
        </w:tc>
        <w:tc>
          <w:tcPr>
            <w:tcW w:w="1890" w:type="dxa"/>
            <w:noWrap/>
            <w:hideMark/>
          </w:tcPr>
          <w:p w14:paraId="5EB7C59B"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0.816 (0.622-1.071)</w:t>
            </w:r>
          </w:p>
        </w:tc>
        <w:tc>
          <w:tcPr>
            <w:tcW w:w="990" w:type="dxa"/>
            <w:noWrap/>
            <w:hideMark/>
          </w:tcPr>
          <w:p w14:paraId="4B24C72A"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1.42E-01</w:t>
            </w:r>
          </w:p>
        </w:tc>
        <w:tc>
          <w:tcPr>
            <w:tcW w:w="1080" w:type="dxa"/>
            <w:noWrap/>
            <w:hideMark/>
          </w:tcPr>
          <w:p w14:paraId="5CF979C3"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w:t>
            </w:r>
          </w:p>
        </w:tc>
        <w:tc>
          <w:tcPr>
            <w:tcW w:w="1890" w:type="dxa"/>
            <w:noWrap/>
            <w:hideMark/>
          </w:tcPr>
          <w:p w14:paraId="69C11012"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0.772 (0.639-0.932)</w:t>
            </w:r>
          </w:p>
        </w:tc>
        <w:tc>
          <w:tcPr>
            <w:tcW w:w="990" w:type="dxa"/>
            <w:noWrap/>
            <w:hideMark/>
          </w:tcPr>
          <w:p w14:paraId="2E926166"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6.89E-03</w:t>
            </w:r>
          </w:p>
        </w:tc>
        <w:tc>
          <w:tcPr>
            <w:tcW w:w="1080" w:type="dxa"/>
            <w:noWrap/>
            <w:hideMark/>
          </w:tcPr>
          <w:p w14:paraId="40AF5E3F"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0.09653</w:t>
            </w:r>
          </w:p>
        </w:tc>
      </w:tr>
      <w:tr w:rsidR="003A0345" w:rsidRPr="00C07EA7" w14:paraId="21293880" w14:textId="77777777" w:rsidTr="0080567C">
        <w:trPr>
          <w:trHeight w:val="432"/>
        </w:trPr>
        <w:tc>
          <w:tcPr>
            <w:cnfStyle w:val="001000000000" w:firstRow="0" w:lastRow="0" w:firstColumn="1" w:lastColumn="0" w:oddVBand="0" w:evenVBand="0" w:oddHBand="0" w:evenHBand="0" w:firstRowFirstColumn="0" w:firstRowLastColumn="0" w:lastRowFirstColumn="0" w:lastRowLastColumn="0"/>
            <w:tcW w:w="1265" w:type="dxa"/>
            <w:noWrap/>
            <w:hideMark/>
          </w:tcPr>
          <w:p w14:paraId="2420CF15" w14:textId="77777777" w:rsidR="00C07EA7" w:rsidRPr="00C07EA7" w:rsidRDefault="00C07EA7" w:rsidP="00C07EA7">
            <w:pPr>
              <w:spacing w:line="240" w:lineRule="auto"/>
              <w:ind w:firstLine="0"/>
              <w:jc w:val="left"/>
              <w:rPr>
                <w:rFonts w:ascii="Calibri" w:hAnsi="Calibri" w:cs="Calibri"/>
                <w:color w:val="000000"/>
                <w:sz w:val="20"/>
                <w:szCs w:val="20"/>
              </w:rPr>
            </w:pPr>
            <w:r w:rsidRPr="00C07EA7">
              <w:rPr>
                <w:rFonts w:ascii="Calibri" w:hAnsi="Calibri" w:cs="Calibri"/>
                <w:color w:val="000000"/>
                <w:sz w:val="20"/>
                <w:szCs w:val="20"/>
              </w:rPr>
              <w:t>rs2857708</w:t>
            </w:r>
          </w:p>
        </w:tc>
        <w:tc>
          <w:tcPr>
            <w:tcW w:w="805" w:type="dxa"/>
            <w:noWrap/>
            <w:hideMark/>
          </w:tcPr>
          <w:p w14:paraId="19B51E9D"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T</w:t>
            </w:r>
          </w:p>
        </w:tc>
        <w:tc>
          <w:tcPr>
            <w:tcW w:w="1890" w:type="dxa"/>
            <w:noWrap/>
            <w:hideMark/>
          </w:tcPr>
          <w:p w14:paraId="54643989"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0.661 (0.478-0.914)</w:t>
            </w:r>
          </w:p>
        </w:tc>
        <w:tc>
          <w:tcPr>
            <w:tcW w:w="990" w:type="dxa"/>
            <w:noWrap/>
            <w:hideMark/>
          </w:tcPr>
          <w:p w14:paraId="24002812"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1.20E-02</w:t>
            </w:r>
          </w:p>
        </w:tc>
        <w:tc>
          <w:tcPr>
            <w:tcW w:w="1080" w:type="dxa"/>
            <w:noWrap/>
            <w:hideMark/>
          </w:tcPr>
          <w:p w14:paraId="350DF236"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0.16757</w:t>
            </w:r>
          </w:p>
        </w:tc>
        <w:tc>
          <w:tcPr>
            <w:tcW w:w="1890" w:type="dxa"/>
            <w:noWrap/>
            <w:hideMark/>
          </w:tcPr>
          <w:p w14:paraId="7311D9E1"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0.700 (0.520-0.943)</w:t>
            </w:r>
          </w:p>
        </w:tc>
        <w:tc>
          <w:tcPr>
            <w:tcW w:w="990" w:type="dxa"/>
            <w:noWrap/>
            <w:hideMark/>
          </w:tcPr>
          <w:p w14:paraId="0EE08BE5"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1.81E-02</w:t>
            </w:r>
          </w:p>
        </w:tc>
        <w:tc>
          <w:tcPr>
            <w:tcW w:w="1080" w:type="dxa"/>
            <w:noWrap/>
            <w:hideMark/>
          </w:tcPr>
          <w:p w14:paraId="57638D1B"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0.25272</w:t>
            </w:r>
          </w:p>
        </w:tc>
      </w:tr>
      <w:tr w:rsidR="003A0345" w:rsidRPr="00C07EA7" w14:paraId="28A3AEA8" w14:textId="77777777" w:rsidTr="0080567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65" w:type="dxa"/>
            <w:noWrap/>
            <w:hideMark/>
          </w:tcPr>
          <w:p w14:paraId="45694B5C" w14:textId="77777777" w:rsidR="00C07EA7" w:rsidRPr="00C07EA7" w:rsidRDefault="00C07EA7" w:rsidP="00C07EA7">
            <w:pPr>
              <w:spacing w:line="240" w:lineRule="auto"/>
              <w:ind w:firstLine="0"/>
              <w:jc w:val="left"/>
              <w:rPr>
                <w:rFonts w:ascii="Calibri" w:hAnsi="Calibri" w:cs="Calibri"/>
                <w:color w:val="000000"/>
                <w:sz w:val="20"/>
                <w:szCs w:val="20"/>
              </w:rPr>
            </w:pPr>
            <w:r w:rsidRPr="00C07EA7">
              <w:rPr>
                <w:rFonts w:ascii="Calibri" w:hAnsi="Calibri" w:cs="Calibri"/>
                <w:color w:val="000000"/>
                <w:sz w:val="20"/>
                <w:szCs w:val="20"/>
              </w:rPr>
              <w:t>rs2844484</w:t>
            </w:r>
          </w:p>
        </w:tc>
        <w:tc>
          <w:tcPr>
            <w:tcW w:w="805" w:type="dxa"/>
            <w:noWrap/>
            <w:hideMark/>
          </w:tcPr>
          <w:p w14:paraId="737CDF7C"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T</w:t>
            </w:r>
          </w:p>
        </w:tc>
        <w:tc>
          <w:tcPr>
            <w:tcW w:w="1890" w:type="dxa"/>
            <w:noWrap/>
            <w:hideMark/>
          </w:tcPr>
          <w:p w14:paraId="18969ACD"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0.808 (0.616-1.060)</w:t>
            </w:r>
          </w:p>
        </w:tc>
        <w:tc>
          <w:tcPr>
            <w:tcW w:w="990" w:type="dxa"/>
            <w:noWrap/>
            <w:hideMark/>
          </w:tcPr>
          <w:p w14:paraId="64BD5C99"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1.23E-01</w:t>
            </w:r>
          </w:p>
        </w:tc>
        <w:tc>
          <w:tcPr>
            <w:tcW w:w="1080" w:type="dxa"/>
            <w:noWrap/>
            <w:hideMark/>
          </w:tcPr>
          <w:p w14:paraId="4F964747"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w:t>
            </w:r>
          </w:p>
        </w:tc>
        <w:tc>
          <w:tcPr>
            <w:tcW w:w="1890" w:type="dxa"/>
            <w:noWrap/>
            <w:hideMark/>
          </w:tcPr>
          <w:p w14:paraId="533945A2"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0.768 (0.636-0.927)</w:t>
            </w:r>
          </w:p>
        </w:tc>
        <w:tc>
          <w:tcPr>
            <w:tcW w:w="990" w:type="dxa"/>
            <w:noWrap/>
            <w:hideMark/>
          </w:tcPr>
          <w:p w14:paraId="573145B2"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5.77E-03</w:t>
            </w:r>
          </w:p>
        </w:tc>
        <w:tc>
          <w:tcPr>
            <w:tcW w:w="1080" w:type="dxa"/>
            <w:noWrap/>
            <w:hideMark/>
          </w:tcPr>
          <w:p w14:paraId="184BA272"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0.08074</w:t>
            </w:r>
          </w:p>
        </w:tc>
      </w:tr>
      <w:tr w:rsidR="003A0345" w:rsidRPr="00C07EA7" w14:paraId="1B54A4A5" w14:textId="77777777" w:rsidTr="0080567C">
        <w:trPr>
          <w:trHeight w:val="432"/>
        </w:trPr>
        <w:tc>
          <w:tcPr>
            <w:cnfStyle w:val="001000000000" w:firstRow="0" w:lastRow="0" w:firstColumn="1" w:lastColumn="0" w:oddVBand="0" w:evenVBand="0" w:oddHBand="0" w:evenHBand="0" w:firstRowFirstColumn="0" w:firstRowLastColumn="0" w:lastRowFirstColumn="0" w:lastRowLastColumn="0"/>
            <w:tcW w:w="1265" w:type="dxa"/>
            <w:noWrap/>
            <w:hideMark/>
          </w:tcPr>
          <w:p w14:paraId="2A702233" w14:textId="77777777" w:rsidR="00C07EA7" w:rsidRPr="00C07EA7" w:rsidRDefault="00C07EA7" w:rsidP="00C07EA7">
            <w:pPr>
              <w:spacing w:line="240" w:lineRule="auto"/>
              <w:ind w:firstLine="0"/>
              <w:jc w:val="left"/>
              <w:rPr>
                <w:rFonts w:ascii="Calibri" w:hAnsi="Calibri" w:cs="Calibri"/>
                <w:color w:val="000000"/>
                <w:sz w:val="20"/>
                <w:szCs w:val="20"/>
              </w:rPr>
            </w:pPr>
            <w:r w:rsidRPr="00C07EA7">
              <w:rPr>
                <w:rFonts w:ascii="Calibri" w:hAnsi="Calibri" w:cs="Calibri"/>
                <w:color w:val="000000"/>
                <w:sz w:val="20"/>
                <w:szCs w:val="20"/>
              </w:rPr>
              <w:t>rs2844482</w:t>
            </w:r>
          </w:p>
        </w:tc>
        <w:tc>
          <w:tcPr>
            <w:tcW w:w="805" w:type="dxa"/>
            <w:noWrap/>
            <w:hideMark/>
          </w:tcPr>
          <w:p w14:paraId="2ADCB6BA"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T</w:t>
            </w:r>
          </w:p>
        </w:tc>
        <w:tc>
          <w:tcPr>
            <w:tcW w:w="1890" w:type="dxa"/>
            <w:noWrap/>
            <w:hideMark/>
          </w:tcPr>
          <w:p w14:paraId="705AB9E3"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0.875 (0.649-1.180)</w:t>
            </w:r>
          </w:p>
        </w:tc>
        <w:tc>
          <w:tcPr>
            <w:tcW w:w="990" w:type="dxa"/>
            <w:noWrap/>
            <w:hideMark/>
          </w:tcPr>
          <w:p w14:paraId="639A1BC5"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3.81E-01</w:t>
            </w:r>
          </w:p>
        </w:tc>
        <w:tc>
          <w:tcPr>
            <w:tcW w:w="1080" w:type="dxa"/>
            <w:noWrap/>
            <w:hideMark/>
          </w:tcPr>
          <w:p w14:paraId="2A283A65"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w:t>
            </w:r>
          </w:p>
        </w:tc>
        <w:tc>
          <w:tcPr>
            <w:tcW w:w="1890" w:type="dxa"/>
            <w:noWrap/>
            <w:hideMark/>
          </w:tcPr>
          <w:p w14:paraId="645508C2"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0.898 (0.689-1.171)</w:t>
            </w:r>
          </w:p>
        </w:tc>
        <w:tc>
          <w:tcPr>
            <w:tcW w:w="990" w:type="dxa"/>
            <w:noWrap/>
            <w:hideMark/>
          </w:tcPr>
          <w:p w14:paraId="2D3DF30A"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4.27E-01</w:t>
            </w:r>
          </w:p>
        </w:tc>
        <w:tc>
          <w:tcPr>
            <w:tcW w:w="1080" w:type="dxa"/>
            <w:noWrap/>
            <w:hideMark/>
          </w:tcPr>
          <w:p w14:paraId="3CA18413"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w:t>
            </w:r>
          </w:p>
        </w:tc>
      </w:tr>
      <w:tr w:rsidR="003A0345" w:rsidRPr="00C07EA7" w14:paraId="4741DD4A" w14:textId="77777777" w:rsidTr="0080567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65" w:type="dxa"/>
            <w:noWrap/>
            <w:hideMark/>
          </w:tcPr>
          <w:p w14:paraId="193D1C52" w14:textId="77777777" w:rsidR="00C07EA7" w:rsidRPr="00C07EA7" w:rsidRDefault="00C07EA7" w:rsidP="00C07EA7">
            <w:pPr>
              <w:spacing w:line="240" w:lineRule="auto"/>
              <w:ind w:firstLine="0"/>
              <w:jc w:val="left"/>
              <w:rPr>
                <w:rFonts w:ascii="Calibri" w:hAnsi="Calibri" w:cs="Calibri"/>
                <w:color w:val="000000"/>
                <w:sz w:val="20"/>
                <w:szCs w:val="20"/>
              </w:rPr>
            </w:pPr>
            <w:bookmarkStart w:id="38" w:name="_Hlk39543601"/>
            <w:r w:rsidRPr="00C07EA7">
              <w:rPr>
                <w:rFonts w:ascii="Calibri" w:hAnsi="Calibri" w:cs="Calibri"/>
                <w:color w:val="000000"/>
                <w:sz w:val="20"/>
                <w:szCs w:val="20"/>
              </w:rPr>
              <w:t>rs1800683</w:t>
            </w:r>
            <w:bookmarkEnd w:id="38"/>
          </w:p>
        </w:tc>
        <w:tc>
          <w:tcPr>
            <w:tcW w:w="805" w:type="dxa"/>
            <w:noWrap/>
            <w:hideMark/>
          </w:tcPr>
          <w:p w14:paraId="5874291D"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A</w:t>
            </w:r>
          </w:p>
        </w:tc>
        <w:tc>
          <w:tcPr>
            <w:tcW w:w="1890" w:type="dxa"/>
            <w:noWrap/>
            <w:hideMark/>
          </w:tcPr>
          <w:p w14:paraId="7B5A27A1"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1.666 (1.266-2.193)</w:t>
            </w:r>
          </w:p>
        </w:tc>
        <w:tc>
          <w:tcPr>
            <w:tcW w:w="990" w:type="dxa"/>
            <w:noWrap/>
            <w:hideMark/>
          </w:tcPr>
          <w:p w14:paraId="4CAF537C" w14:textId="77777777" w:rsidR="00C07EA7" w:rsidRPr="003A176C"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bookmarkStart w:id="39" w:name="_Hlk39565573"/>
            <w:r w:rsidRPr="003A176C">
              <w:rPr>
                <w:rFonts w:ascii="Calibri" w:hAnsi="Calibri" w:cs="Calibri"/>
                <w:b/>
                <w:bCs/>
                <w:color w:val="000000"/>
                <w:sz w:val="20"/>
                <w:szCs w:val="20"/>
              </w:rPr>
              <w:t>2.50E-04</w:t>
            </w:r>
            <w:bookmarkEnd w:id="39"/>
          </w:p>
        </w:tc>
        <w:tc>
          <w:tcPr>
            <w:tcW w:w="1080" w:type="dxa"/>
            <w:noWrap/>
            <w:hideMark/>
          </w:tcPr>
          <w:p w14:paraId="7D228998" w14:textId="77777777" w:rsidR="00C07EA7" w:rsidRPr="003A176C"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sidRPr="003A176C">
              <w:rPr>
                <w:rFonts w:ascii="Calibri" w:hAnsi="Calibri" w:cs="Calibri"/>
                <w:b/>
                <w:bCs/>
                <w:color w:val="000000"/>
                <w:sz w:val="20"/>
                <w:szCs w:val="20"/>
              </w:rPr>
              <w:t>0.00350</w:t>
            </w:r>
          </w:p>
        </w:tc>
        <w:tc>
          <w:tcPr>
            <w:tcW w:w="1890" w:type="dxa"/>
            <w:noWrap/>
            <w:hideMark/>
          </w:tcPr>
          <w:p w14:paraId="31058C59"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1.532 (1.253-1.875)</w:t>
            </w:r>
          </w:p>
        </w:tc>
        <w:tc>
          <w:tcPr>
            <w:tcW w:w="990" w:type="dxa"/>
            <w:noWrap/>
            <w:hideMark/>
          </w:tcPr>
          <w:p w14:paraId="3CE5FD30" w14:textId="77777777" w:rsidR="00C07EA7" w:rsidRPr="003A176C"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sidRPr="003A176C">
              <w:rPr>
                <w:rFonts w:ascii="Calibri" w:hAnsi="Calibri" w:cs="Calibri"/>
                <w:b/>
                <w:bCs/>
                <w:color w:val="000000"/>
                <w:sz w:val="20"/>
                <w:szCs w:val="20"/>
              </w:rPr>
              <w:t>2.68E-05</w:t>
            </w:r>
          </w:p>
        </w:tc>
        <w:tc>
          <w:tcPr>
            <w:tcW w:w="1080" w:type="dxa"/>
            <w:noWrap/>
            <w:hideMark/>
          </w:tcPr>
          <w:p w14:paraId="5E2EDF85"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sidRPr="00C07EA7">
              <w:rPr>
                <w:rFonts w:ascii="Calibri" w:hAnsi="Calibri" w:cs="Calibri"/>
                <w:b/>
                <w:bCs/>
                <w:color w:val="000000"/>
                <w:sz w:val="20"/>
                <w:szCs w:val="20"/>
              </w:rPr>
              <w:t>0.00037</w:t>
            </w:r>
          </w:p>
        </w:tc>
      </w:tr>
      <w:tr w:rsidR="003A0345" w:rsidRPr="00C07EA7" w14:paraId="012A1826" w14:textId="77777777" w:rsidTr="0080567C">
        <w:trPr>
          <w:trHeight w:val="432"/>
        </w:trPr>
        <w:tc>
          <w:tcPr>
            <w:cnfStyle w:val="001000000000" w:firstRow="0" w:lastRow="0" w:firstColumn="1" w:lastColumn="0" w:oddVBand="0" w:evenVBand="0" w:oddHBand="0" w:evenHBand="0" w:firstRowFirstColumn="0" w:firstRowLastColumn="0" w:lastRowFirstColumn="0" w:lastRowLastColumn="0"/>
            <w:tcW w:w="1265" w:type="dxa"/>
            <w:noWrap/>
            <w:hideMark/>
          </w:tcPr>
          <w:p w14:paraId="44D32FE8" w14:textId="77777777" w:rsidR="00C07EA7" w:rsidRPr="00C07EA7" w:rsidRDefault="00C07EA7" w:rsidP="00C07EA7">
            <w:pPr>
              <w:spacing w:line="240" w:lineRule="auto"/>
              <w:ind w:firstLine="0"/>
              <w:jc w:val="left"/>
              <w:rPr>
                <w:rFonts w:ascii="Calibri" w:hAnsi="Calibri" w:cs="Calibri"/>
                <w:color w:val="000000"/>
                <w:sz w:val="20"/>
                <w:szCs w:val="20"/>
              </w:rPr>
            </w:pPr>
            <w:r w:rsidRPr="00C07EA7">
              <w:rPr>
                <w:rFonts w:ascii="Calibri" w:hAnsi="Calibri" w:cs="Calibri"/>
                <w:color w:val="000000"/>
                <w:sz w:val="20"/>
                <w:szCs w:val="20"/>
              </w:rPr>
              <w:t>rs2239704</w:t>
            </w:r>
          </w:p>
        </w:tc>
        <w:tc>
          <w:tcPr>
            <w:tcW w:w="805" w:type="dxa"/>
            <w:noWrap/>
            <w:hideMark/>
          </w:tcPr>
          <w:p w14:paraId="74E1B0D1"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A</w:t>
            </w:r>
          </w:p>
        </w:tc>
        <w:tc>
          <w:tcPr>
            <w:tcW w:w="1890" w:type="dxa"/>
            <w:noWrap/>
            <w:hideMark/>
          </w:tcPr>
          <w:p w14:paraId="11494474"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0.792 (0.602-1.040)</w:t>
            </w:r>
          </w:p>
        </w:tc>
        <w:tc>
          <w:tcPr>
            <w:tcW w:w="990" w:type="dxa"/>
            <w:noWrap/>
            <w:hideMark/>
          </w:tcPr>
          <w:p w14:paraId="42D3D9CD"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9.30E-02</w:t>
            </w:r>
          </w:p>
        </w:tc>
        <w:tc>
          <w:tcPr>
            <w:tcW w:w="1080" w:type="dxa"/>
            <w:noWrap/>
            <w:hideMark/>
          </w:tcPr>
          <w:p w14:paraId="54576823"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w:t>
            </w:r>
          </w:p>
        </w:tc>
        <w:tc>
          <w:tcPr>
            <w:tcW w:w="1890" w:type="dxa"/>
            <w:noWrap/>
            <w:hideMark/>
          </w:tcPr>
          <w:p w14:paraId="3842D850"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0.752 (0.622-0.909)</w:t>
            </w:r>
          </w:p>
        </w:tc>
        <w:tc>
          <w:tcPr>
            <w:tcW w:w="990" w:type="dxa"/>
            <w:noWrap/>
            <w:hideMark/>
          </w:tcPr>
          <w:p w14:paraId="7771477B"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3.03E-03</w:t>
            </w:r>
          </w:p>
        </w:tc>
        <w:tc>
          <w:tcPr>
            <w:tcW w:w="1080" w:type="dxa"/>
            <w:noWrap/>
            <w:hideMark/>
          </w:tcPr>
          <w:p w14:paraId="4FD03264"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0.04249</w:t>
            </w:r>
          </w:p>
        </w:tc>
      </w:tr>
      <w:tr w:rsidR="003A0345" w:rsidRPr="00C07EA7" w14:paraId="46F9616F" w14:textId="77777777" w:rsidTr="0080567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65" w:type="dxa"/>
            <w:noWrap/>
            <w:hideMark/>
          </w:tcPr>
          <w:p w14:paraId="46ED19E9" w14:textId="77777777" w:rsidR="00C07EA7" w:rsidRPr="00C07EA7" w:rsidRDefault="00C07EA7" w:rsidP="00C07EA7">
            <w:pPr>
              <w:spacing w:line="240" w:lineRule="auto"/>
              <w:ind w:firstLine="0"/>
              <w:jc w:val="left"/>
              <w:rPr>
                <w:rFonts w:ascii="Calibri" w:hAnsi="Calibri" w:cs="Calibri"/>
                <w:color w:val="000000"/>
                <w:sz w:val="20"/>
                <w:szCs w:val="20"/>
              </w:rPr>
            </w:pPr>
            <w:r w:rsidRPr="00C07EA7">
              <w:rPr>
                <w:rFonts w:ascii="Calibri" w:hAnsi="Calibri" w:cs="Calibri"/>
                <w:color w:val="000000"/>
                <w:sz w:val="20"/>
                <w:szCs w:val="20"/>
              </w:rPr>
              <w:t>rs2229094</w:t>
            </w:r>
          </w:p>
        </w:tc>
        <w:tc>
          <w:tcPr>
            <w:tcW w:w="805" w:type="dxa"/>
            <w:noWrap/>
            <w:hideMark/>
          </w:tcPr>
          <w:p w14:paraId="1107CAA7"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C</w:t>
            </w:r>
          </w:p>
        </w:tc>
        <w:tc>
          <w:tcPr>
            <w:tcW w:w="1890" w:type="dxa"/>
            <w:noWrap/>
            <w:hideMark/>
          </w:tcPr>
          <w:p w14:paraId="72F620C9"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0.866 (0.663-1.131)</w:t>
            </w:r>
          </w:p>
        </w:tc>
        <w:tc>
          <w:tcPr>
            <w:tcW w:w="990" w:type="dxa"/>
            <w:noWrap/>
            <w:hideMark/>
          </w:tcPr>
          <w:p w14:paraId="6754C118"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2.90E-01</w:t>
            </w:r>
          </w:p>
        </w:tc>
        <w:tc>
          <w:tcPr>
            <w:tcW w:w="1080" w:type="dxa"/>
            <w:noWrap/>
            <w:hideMark/>
          </w:tcPr>
          <w:p w14:paraId="39809C25"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w:t>
            </w:r>
          </w:p>
        </w:tc>
        <w:tc>
          <w:tcPr>
            <w:tcW w:w="1890" w:type="dxa"/>
            <w:noWrap/>
            <w:hideMark/>
          </w:tcPr>
          <w:p w14:paraId="15F31CE6"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0.890 (0.717-1.105)</w:t>
            </w:r>
          </w:p>
        </w:tc>
        <w:tc>
          <w:tcPr>
            <w:tcW w:w="990" w:type="dxa"/>
            <w:noWrap/>
            <w:hideMark/>
          </w:tcPr>
          <w:p w14:paraId="2AA854C9"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2.90E-01</w:t>
            </w:r>
          </w:p>
        </w:tc>
        <w:tc>
          <w:tcPr>
            <w:tcW w:w="1080" w:type="dxa"/>
            <w:noWrap/>
            <w:hideMark/>
          </w:tcPr>
          <w:p w14:paraId="16C96376"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w:t>
            </w:r>
          </w:p>
        </w:tc>
      </w:tr>
      <w:tr w:rsidR="003A0345" w:rsidRPr="00C07EA7" w14:paraId="746D77FC" w14:textId="77777777" w:rsidTr="0080567C">
        <w:trPr>
          <w:trHeight w:val="432"/>
        </w:trPr>
        <w:tc>
          <w:tcPr>
            <w:cnfStyle w:val="001000000000" w:firstRow="0" w:lastRow="0" w:firstColumn="1" w:lastColumn="0" w:oddVBand="0" w:evenVBand="0" w:oddHBand="0" w:evenHBand="0" w:firstRowFirstColumn="0" w:firstRowLastColumn="0" w:lastRowFirstColumn="0" w:lastRowLastColumn="0"/>
            <w:tcW w:w="1265" w:type="dxa"/>
            <w:noWrap/>
            <w:hideMark/>
          </w:tcPr>
          <w:p w14:paraId="681BC8AC" w14:textId="77777777" w:rsidR="00C07EA7" w:rsidRPr="00C07EA7" w:rsidRDefault="00C07EA7" w:rsidP="00C07EA7">
            <w:pPr>
              <w:spacing w:line="240" w:lineRule="auto"/>
              <w:ind w:firstLine="0"/>
              <w:jc w:val="left"/>
              <w:rPr>
                <w:rFonts w:ascii="Calibri" w:hAnsi="Calibri" w:cs="Calibri"/>
                <w:color w:val="000000"/>
                <w:sz w:val="20"/>
                <w:szCs w:val="20"/>
              </w:rPr>
            </w:pPr>
            <w:r w:rsidRPr="00C07EA7">
              <w:rPr>
                <w:rFonts w:ascii="Calibri" w:hAnsi="Calibri" w:cs="Calibri"/>
                <w:color w:val="000000"/>
                <w:sz w:val="20"/>
                <w:szCs w:val="20"/>
              </w:rPr>
              <w:t>rs1799964</w:t>
            </w:r>
          </w:p>
        </w:tc>
        <w:tc>
          <w:tcPr>
            <w:tcW w:w="805" w:type="dxa"/>
            <w:noWrap/>
            <w:hideMark/>
          </w:tcPr>
          <w:p w14:paraId="0CEE572A"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C</w:t>
            </w:r>
          </w:p>
        </w:tc>
        <w:tc>
          <w:tcPr>
            <w:tcW w:w="1890" w:type="dxa"/>
            <w:noWrap/>
            <w:hideMark/>
          </w:tcPr>
          <w:p w14:paraId="2E929038"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0.909 (0.693-1.193)</w:t>
            </w:r>
          </w:p>
        </w:tc>
        <w:tc>
          <w:tcPr>
            <w:tcW w:w="990" w:type="dxa"/>
            <w:noWrap/>
            <w:hideMark/>
          </w:tcPr>
          <w:p w14:paraId="47B38365"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4.93E-01</w:t>
            </w:r>
          </w:p>
        </w:tc>
        <w:tc>
          <w:tcPr>
            <w:tcW w:w="1080" w:type="dxa"/>
            <w:noWrap/>
            <w:hideMark/>
          </w:tcPr>
          <w:p w14:paraId="4CC4855E"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w:t>
            </w:r>
          </w:p>
        </w:tc>
        <w:tc>
          <w:tcPr>
            <w:tcW w:w="1890" w:type="dxa"/>
            <w:noWrap/>
            <w:hideMark/>
          </w:tcPr>
          <w:p w14:paraId="2A3D5286"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0.922 (0.731-1.164)</w:t>
            </w:r>
          </w:p>
        </w:tc>
        <w:tc>
          <w:tcPr>
            <w:tcW w:w="990" w:type="dxa"/>
            <w:noWrap/>
            <w:hideMark/>
          </w:tcPr>
          <w:p w14:paraId="0D939D53"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4.95E-01</w:t>
            </w:r>
          </w:p>
        </w:tc>
        <w:tc>
          <w:tcPr>
            <w:tcW w:w="1080" w:type="dxa"/>
            <w:noWrap/>
            <w:hideMark/>
          </w:tcPr>
          <w:p w14:paraId="730726EE"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w:t>
            </w:r>
          </w:p>
        </w:tc>
      </w:tr>
      <w:tr w:rsidR="003A0345" w:rsidRPr="00C07EA7" w14:paraId="491477EC" w14:textId="77777777" w:rsidTr="0080567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65" w:type="dxa"/>
            <w:noWrap/>
            <w:hideMark/>
          </w:tcPr>
          <w:p w14:paraId="26A104BF" w14:textId="77777777" w:rsidR="00C07EA7" w:rsidRPr="00C07EA7" w:rsidRDefault="00C07EA7" w:rsidP="00C07EA7">
            <w:pPr>
              <w:spacing w:line="240" w:lineRule="auto"/>
              <w:ind w:firstLine="0"/>
              <w:jc w:val="left"/>
              <w:rPr>
                <w:rFonts w:ascii="Calibri" w:hAnsi="Calibri" w:cs="Calibri"/>
                <w:color w:val="000000"/>
                <w:sz w:val="20"/>
                <w:szCs w:val="20"/>
              </w:rPr>
            </w:pPr>
            <w:r w:rsidRPr="00C07EA7">
              <w:rPr>
                <w:rFonts w:ascii="Calibri" w:hAnsi="Calibri" w:cs="Calibri"/>
                <w:color w:val="000000"/>
                <w:sz w:val="20"/>
                <w:szCs w:val="20"/>
              </w:rPr>
              <w:t>rs1800630</w:t>
            </w:r>
          </w:p>
        </w:tc>
        <w:tc>
          <w:tcPr>
            <w:tcW w:w="805" w:type="dxa"/>
            <w:noWrap/>
            <w:hideMark/>
          </w:tcPr>
          <w:p w14:paraId="0A3FD328"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A</w:t>
            </w:r>
          </w:p>
        </w:tc>
        <w:tc>
          <w:tcPr>
            <w:tcW w:w="1890" w:type="dxa"/>
            <w:noWrap/>
            <w:hideMark/>
          </w:tcPr>
          <w:p w14:paraId="4D9448BF"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0.946 (0.699-1.280)</w:t>
            </w:r>
          </w:p>
        </w:tc>
        <w:tc>
          <w:tcPr>
            <w:tcW w:w="990" w:type="dxa"/>
            <w:noWrap/>
            <w:hideMark/>
          </w:tcPr>
          <w:p w14:paraId="4CB7AF76"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7.19E-01</w:t>
            </w:r>
          </w:p>
        </w:tc>
        <w:tc>
          <w:tcPr>
            <w:tcW w:w="1080" w:type="dxa"/>
            <w:noWrap/>
            <w:hideMark/>
          </w:tcPr>
          <w:p w14:paraId="3DD3272C"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w:t>
            </w:r>
          </w:p>
        </w:tc>
        <w:tc>
          <w:tcPr>
            <w:tcW w:w="1890" w:type="dxa"/>
            <w:noWrap/>
            <w:hideMark/>
          </w:tcPr>
          <w:p w14:paraId="68928CA3"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0.947 (0.724-1.238)</w:t>
            </w:r>
          </w:p>
        </w:tc>
        <w:tc>
          <w:tcPr>
            <w:tcW w:w="990" w:type="dxa"/>
            <w:noWrap/>
            <w:hideMark/>
          </w:tcPr>
          <w:p w14:paraId="592A3842"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6.89E-01</w:t>
            </w:r>
          </w:p>
        </w:tc>
        <w:tc>
          <w:tcPr>
            <w:tcW w:w="1080" w:type="dxa"/>
            <w:noWrap/>
            <w:hideMark/>
          </w:tcPr>
          <w:p w14:paraId="43BD1D29"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w:t>
            </w:r>
          </w:p>
        </w:tc>
      </w:tr>
      <w:tr w:rsidR="003A0345" w:rsidRPr="00C07EA7" w14:paraId="460CF611" w14:textId="77777777" w:rsidTr="0080567C">
        <w:trPr>
          <w:trHeight w:val="432"/>
        </w:trPr>
        <w:tc>
          <w:tcPr>
            <w:cnfStyle w:val="001000000000" w:firstRow="0" w:lastRow="0" w:firstColumn="1" w:lastColumn="0" w:oddVBand="0" w:evenVBand="0" w:oddHBand="0" w:evenHBand="0" w:firstRowFirstColumn="0" w:firstRowLastColumn="0" w:lastRowFirstColumn="0" w:lastRowLastColumn="0"/>
            <w:tcW w:w="1265" w:type="dxa"/>
            <w:noWrap/>
            <w:hideMark/>
          </w:tcPr>
          <w:p w14:paraId="31498442" w14:textId="77777777" w:rsidR="00C07EA7" w:rsidRPr="00C07EA7" w:rsidRDefault="00C07EA7" w:rsidP="00C07EA7">
            <w:pPr>
              <w:spacing w:line="240" w:lineRule="auto"/>
              <w:ind w:firstLine="0"/>
              <w:jc w:val="left"/>
              <w:rPr>
                <w:rFonts w:ascii="Calibri" w:hAnsi="Calibri" w:cs="Calibri"/>
                <w:color w:val="000000"/>
                <w:sz w:val="20"/>
                <w:szCs w:val="20"/>
              </w:rPr>
            </w:pPr>
            <w:r w:rsidRPr="00C07EA7">
              <w:rPr>
                <w:rFonts w:ascii="Calibri" w:hAnsi="Calibri" w:cs="Calibri"/>
                <w:color w:val="000000"/>
                <w:sz w:val="20"/>
                <w:szCs w:val="20"/>
              </w:rPr>
              <w:t>rs1800629</w:t>
            </w:r>
          </w:p>
        </w:tc>
        <w:tc>
          <w:tcPr>
            <w:tcW w:w="805" w:type="dxa"/>
            <w:noWrap/>
            <w:hideMark/>
          </w:tcPr>
          <w:p w14:paraId="6C63A48D"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A</w:t>
            </w:r>
          </w:p>
        </w:tc>
        <w:tc>
          <w:tcPr>
            <w:tcW w:w="1890" w:type="dxa"/>
            <w:noWrap/>
            <w:hideMark/>
          </w:tcPr>
          <w:p w14:paraId="45ACA77D"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1.848 (1.377-2.478)</w:t>
            </w:r>
          </w:p>
        </w:tc>
        <w:tc>
          <w:tcPr>
            <w:tcW w:w="990" w:type="dxa"/>
            <w:noWrap/>
            <w:hideMark/>
          </w:tcPr>
          <w:p w14:paraId="0BA24067" w14:textId="77777777" w:rsidR="00C07EA7" w:rsidRPr="003A176C"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sidRPr="003A176C">
              <w:rPr>
                <w:rFonts w:ascii="Calibri" w:hAnsi="Calibri" w:cs="Calibri"/>
                <w:b/>
                <w:bCs/>
                <w:color w:val="000000"/>
                <w:sz w:val="20"/>
                <w:szCs w:val="20"/>
              </w:rPr>
              <w:t>3.46E-05</w:t>
            </w:r>
          </w:p>
        </w:tc>
        <w:tc>
          <w:tcPr>
            <w:tcW w:w="1080" w:type="dxa"/>
            <w:noWrap/>
            <w:hideMark/>
          </w:tcPr>
          <w:p w14:paraId="6A8D68A9"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sidRPr="00C07EA7">
              <w:rPr>
                <w:rFonts w:ascii="Calibri" w:hAnsi="Calibri" w:cs="Calibri"/>
                <w:b/>
                <w:bCs/>
                <w:color w:val="000000"/>
                <w:sz w:val="20"/>
                <w:szCs w:val="20"/>
              </w:rPr>
              <w:t>0.00048</w:t>
            </w:r>
          </w:p>
        </w:tc>
        <w:tc>
          <w:tcPr>
            <w:tcW w:w="1890" w:type="dxa"/>
            <w:noWrap/>
            <w:hideMark/>
          </w:tcPr>
          <w:p w14:paraId="4DF512E8"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1.720 (1.328-2.227)</w:t>
            </w:r>
          </w:p>
        </w:tc>
        <w:tc>
          <w:tcPr>
            <w:tcW w:w="990" w:type="dxa"/>
            <w:noWrap/>
            <w:hideMark/>
          </w:tcPr>
          <w:p w14:paraId="4DE31D41" w14:textId="77777777" w:rsidR="00C07EA7" w:rsidRPr="003A176C"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sidRPr="003A176C">
              <w:rPr>
                <w:rFonts w:ascii="Calibri" w:hAnsi="Calibri" w:cs="Calibri"/>
                <w:b/>
                <w:bCs/>
                <w:color w:val="000000"/>
                <w:sz w:val="20"/>
                <w:szCs w:val="20"/>
              </w:rPr>
              <w:t>2.96E-05</w:t>
            </w:r>
          </w:p>
        </w:tc>
        <w:tc>
          <w:tcPr>
            <w:tcW w:w="1080" w:type="dxa"/>
            <w:noWrap/>
            <w:hideMark/>
          </w:tcPr>
          <w:p w14:paraId="1CE631B0"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sidRPr="00C07EA7">
              <w:rPr>
                <w:rFonts w:ascii="Calibri" w:hAnsi="Calibri" w:cs="Calibri"/>
                <w:b/>
                <w:bCs/>
                <w:color w:val="000000"/>
                <w:sz w:val="20"/>
                <w:szCs w:val="20"/>
              </w:rPr>
              <w:t>0.00041</w:t>
            </w:r>
          </w:p>
        </w:tc>
      </w:tr>
      <w:tr w:rsidR="003A0345" w:rsidRPr="00C07EA7" w14:paraId="1441E857" w14:textId="77777777" w:rsidTr="0080567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65" w:type="dxa"/>
            <w:noWrap/>
            <w:hideMark/>
          </w:tcPr>
          <w:p w14:paraId="7A48CECD" w14:textId="77777777" w:rsidR="00C07EA7" w:rsidRPr="00C07EA7" w:rsidRDefault="00C07EA7" w:rsidP="00C07EA7">
            <w:pPr>
              <w:spacing w:line="240" w:lineRule="auto"/>
              <w:ind w:firstLine="0"/>
              <w:jc w:val="left"/>
              <w:rPr>
                <w:rFonts w:ascii="Calibri" w:hAnsi="Calibri" w:cs="Calibri"/>
                <w:color w:val="000000"/>
                <w:sz w:val="20"/>
                <w:szCs w:val="20"/>
              </w:rPr>
            </w:pPr>
            <w:r w:rsidRPr="00C07EA7">
              <w:rPr>
                <w:rFonts w:ascii="Calibri" w:hAnsi="Calibri" w:cs="Calibri"/>
                <w:color w:val="000000"/>
                <w:sz w:val="20"/>
                <w:szCs w:val="20"/>
              </w:rPr>
              <w:t>rs3093661</w:t>
            </w:r>
          </w:p>
        </w:tc>
        <w:tc>
          <w:tcPr>
            <w:tcW w:w="805" w:type="dxa"/>
            <w:noWrap/>
            <w:hideMark/>
          </w:tcPr>
          <w:p w14:paraId="56328C80"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A</w:t>
            </w:r>
          </w:p>
        </w:tc>
        <w:tc>
          <w:tcPr>
            <w:tcW w:w="1890" w:type="dxa"/>
            <w:noWrap/>
            <w:hideMark/>
          </w:tcPr>
          <w:p w14:paraId="6C44F86B"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0.853 (0.504-1.442)</w:t>
            </w:r>
          </w:p>
        </w:tc>
        <w:tc>
          <w:tcPr>
            <w:tcW w:w="990" w:type="dxa"/>
            <w:noWrap/>
            <w:hideMark/>
          </w:tcPr>
          <w:p w14:paraId="2CFB0C9F"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5.52E-01</w:t>
            </w:r>
          </w:p>
        </w:tc>
        <w:tc>
          <w:tcPr>
            <w:tcW w:w="1080" w:type="dxa"/>
            <w:noWrap/>
            <w:hideMark/>
          </w:tcPr>
          <w:p w14:paraId="361FEB08"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w:t>
            </w:r>
          </w:p>
        </w:tc>
        <w:tc>
          <w:tcPr>
            <w:tcW w:w="1890" w:type="dxa"/>
            <w:noWrap/>
            <w:hideMark/>
          </w:tcPr>
          <w:p w14:paraId="01885F63"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0.830 (0.497-1.386)</w:t>
            </w:r>
          </w:p>
        </w:tc>
        <w:tc>
          <w:tcPr>
            <w:tcW w:w="990" w:type="dxa"/>
            <w:noWrap/>
            <w:hideMark/>
          </w:tcPr>
          <w:p w14:paraId="67C00565"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4.75E-01</w:t>
            </w:r>
          </w:p>
        </w:tc>
        <w:tc>
          <w:tcPr>
            <w:tcW w:w="1080" w:type="dxa"/>
            <w:noWrap/>
            <w:hideMark/>
          </w:tcPr>
          <w:p w14:paraId="4C9BE8E1"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w:t>
            </w:r>
          </w:p>
        </w:tc>
      </w:tr>
      <w:tr w:rsidR="003A0345" w:rsidRPr="00C07EA7" w14:paraId="0EFCE5E0" w14:textId="77777777" w:rsidTr="0080567C">
        <w:trPr>
          <w:trHeight w:val="432"/>
        </w:trPr>
        <w:tc>
          <w:tcPr>
            <w:cnfStyle w:val="001000000000" w:firstRow="0" w:lastRow="0" w:firstColumn="1" w:lastColumn="0" w:oddVBand="0" w:evenVBand="0" w:oddHBand="0" w:evenHBand="0" w:firstRowFirstColumn="0" w:firstRowLastColumn="0" w:lastRowFirstColumn="0" w:lastRowLastColumn="0"/>
            <w:tcW w:w="1265" w:type="dxa"/>
            <w:noWrap/>
            <w:hideMark/>
          </w:tcPr>
          <w:p w14:paraId="3F7B1AF6" w14:textId="77777777" w:rsidR="00C07EA7" w:rsidRPr="00C07EA7" w:rsidRDefault="00C07EA7" w:rsidP="00C07EA7">
            <w:pPr>
              <w:spacing w:line="240" w:lineRule="auto"/>
              <w:ind w:firstLine="0"/>
              <w:jc w:val="left"/>
              <w:rPr>
                <w:rFonts w:ascii="Calibri" w:hAnsi="Calibri" w:cs="Calibri"/>
                <w:color w:val="000000"/>
                <w:sz w:val="20"/>
                <w:szCs w:val="20"/>
              </w:rPr>
            </w:pPr>
            <w:r w:rsidRPr="00C07EA7">
              <w:rPr>
                <w:rFonts w:ascii="Calibri" w:hAnsi="Calibri" w:cs="Calibri"/>
                <w:color w:val="000000"/>
                <w:sz w:val="20"/>
                <w:szCs w:val="20"/>
              </w:rPr>
              <w:t>rs3093662</w:t>
            </w:r>
          </w:p>
        </w:tc>
        <w:tc>
          <w:tcPr>
            <w:tcW w:w="805" w:type="dxa"/>
            <w:noWrap/>
            <w:hideMark/>
          </w:tcPr>
          <w:p w14:paraId="70C62289"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G</w:t>
            </w:r>
          </w:p>
        </w:tc>
        <w:tc>
          <w:tcPr>
            <w:tcW w:w="1890" w:type="dxa"/>
            <w:noWrap/>
            <w:hideMark/>
          </w:tcPr>
          <w:p w14:paraId="7C27D36F"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1.026 (0.693-1.518)</w:t>
            </w:r>
          </w:p>
        </w:tc>
        <w:tc>
          <w:tcPr>
            <w:tcW w:w="990" w:type="dxa"/>
            <w:noWrap/>
            <w:hideMark/>
          </w:tcPr>
          <w:p w14:paraId="1EE7384C"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8.99E-01</w:t>
            </w:r>
          </w:p>
        </w:tc>
        <w:tc>
          <w:tcPr>
            <w:tcW w:w="1080" w:type="dxa"/>
            <w:noWrap/>
            <w:hideMark/>
          </w:tcPr>
          <w:p w14:paraId="27676F89"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w:t>
            </w:r>
          </w:p>
        </w:tc>
        <w:tc>
          <w:tcPr>
            <w:tcW w:w="1890" w:type="dxa"/>
            <w:noWrap/>
            <w:hideMark/>
          </w:tcPr>
          <w:p w14:paraId="462EAFE3"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1.035 (0.716-1.496)</w:t>
            </w:r>
          </w:p>
        </w:tc>
        <w:tc>
          <w:tcPr>
            <w:tcW w:w="990" w:type="dxa"/>
            <w:noWrap/>
            <w:hideMark/>
          </w:tcPr>
          <w:p w14:paraId="081E7E7F"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8.55E-01</w:t>
            </w:r>
          </w:p>
        </w:tc>
        <w:tc>
          <w:tcPr>
            <w:tcW w:w="1080" w:type="dxa"/>
            <w:noWrap/>
            <w:hideMark/>
          </w:tcPr>
          <w:p w14:paraId="14E77840" w14:textId="77777777" w:rsidR="00C07EA7" w:rsidRPr="00C07EA7" w:rsidRDefault="00C07EA7" w:rsidP="00C07EA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w:t>
            </w:r>
          </w:p>
        </w:tc>
      </w:tr>
      <w:tr w:rsidR="003A0345" w:rsidRPr="00C07EA7" w14:paraId="3BC50577" w14:textId="77777777" w:rsidTr="0080567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65" w:type="dxa"/>
            <w:noWrap/>
            <w:hideMark/>
          </w:tcPr>
          <w:p w14:paraId="170B85D0" w14:textId="77777777" w:rsidR="00C07EA7" w:rsidRPr="00C07EA7" w:rsidRDefault="00C07EA7" w:rsidP="00C07EA7">
            <w:pPr>
              <w:spacing w:line="240" w:lineRule="auto"/>
              <w:ind w:firstLine="0"/>
              <w:jc w:val="left"/>
              <w:rPr>
                <w:rFonts w:ascii="Calibri" w:hAnsi="Calibri" w:cs="Calibri"/>
                <w:color w:val="000000"/>
                <w:sz w:val="20"/>
                <w:szCs w:val="20"/>
              </w:rPr>
            </w:pPr>
            <w:r w:rsidRPr="00C07EA7">
              <w:rPr>
                <w:rFonts w:ascii="Calibri" w:hAnsi="Calibri" w:cs="Calibri"/>
                <w:color w:val="000000"/>
                <w:sz w:val="20"/>
                <w:szCs w:val="20"/>
              </w:rPr>
              <w:t>rs3093672</w:t>
            </w:r>
          </w:p>
        </w:tc>
        <w:tc>
          <w:tcPr>
            <w:tcW w:w="805" w:type="dxa"/>
            <w:noWrap/>
            <w:hideMark/>
          </w:tcPr>
          <w:p w14:paraId="30194252"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A</w:t>
            </w:r>
          </w:p>
        </w:tc>
        <w:tc>
          <w:tcPr>
            <w:tcW w:w="1890" w:type="dxa"/>
            <w:noWrap/>
            <w:hideMark/>
          </w:tcPr>
          <w:p w14:paraId="541221C0"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1.617 (0.761-3.433)</w:t>
            </w:r>
          </w:p>
        </w:tc>
        <w:tc>
          <w:tcPr>
            <w:tcW w:w="990" w:type="dxa"/>
            <w:noWrap/>
            <w:hideMark/>
          </w:tcPr>
          <w:p w14:paraId="56A5940C"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2.05E-01</w:t>
            </w:r>
          </w:p>
        </w:tc>
        <w:tc>
          <w:tcPr>
            <w:tcW w:w="1080" w:type="dxa"/>
            <w:noWrap/>
            <w:hideMark/>
          </w:tcPr>
          <w:p w14:paraId="292D6D46"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w:t>
            </w:r>
          </w:p>
        </w:tc>
        <w:tc>
          <w:tcPr>
            <w:tcW w:w="1890" w:type="dxa"/>
            <w:noWrap/>
            <w:hideMark/>
          </w:tcPr>
          <w:p w14:paraId="4EC5D2E5"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1.617 (0.761-3.433)</w:t>
            </w:r>
          </w:p>
        </w:tc>
        <w:tc>
          <w:tcPr>
            <w:tcW w:w="990" w:type="dxa"/>
            <w:noWrap/>
            <w:hideMark/>
          </w:tcPr>
          <w:p w14:paraId="16388B70"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2.05E-01</w:t>
            </w:r>
          </w:p>
        </w:tc>
        <w:tc>
          <w:tcPr>
            <w:tcW w:w="1080" w:type="dxa"/>
            <w:noWrap/>
            <w:hideMark/>
          </w:tcPr>
          <w:p w14:paraId="1249FEEA" w14:textId="77777777" w:rsidR="00C07EA7" w:rsidRPr="00C07EA7" w:rsidRDefault="00C07EA7" w:rsidP="00C07EA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07EA7">
              <w:rPr>
                <w:rFonts w:ascii="Calibri" w:hAnsi="Calibri" w:cs="Calibri"/>
                <w:color w:val="000000"/>
                <w:sz w:val="20"/>
                <w:szCs w:val="20"/>
              </w:rPr>
              <w:t>1</w:t>
            </w:r>
          </w:p>
        </w:tc>
      </w:tr>
    </w:tbl>
    <w:p w14:paraId="59EDCE6A" w14:textId="53B4205A" w:rsidR="003B00C0" w:rsidRPr="00ED3678" w:rsidRDefault="003B00C0" w:rsidP="00432460">
      <w:pPr>
        <w:spacing w:before="240" w:line="360" w:lineRule="auto"/>
        <w:ind w:firstLine="0"/>
        <w:rPr>
          <w:sz w:val="22"/>
          <w:szCs w:val="22"/>
        </w:rPr>
      </w:pPr>
      <w:r w:rsidRPr="00ED3678">
        <w:rPr>
          <w:sz w:val="22"/>
          <w:szCs w:val="22"/>
        </w:rPr>
        <w:t xml:space="preserve">Odds ratios (ORs) and P-values were determined by logistic regression analysis </w:t>
      </w:r>
      <w:r w:rsidR="00996636" w:rsidRPr="00ED3678">
        <w:rPr>
          <w:sz w:val="22"/>
          <w:szCs w:val="22"/>
        </w:rPr>
        <w:t>that included</w:t>
      </w:r>
      <w:r w:rsidRPr="00ED3678">
        <w:rPr>
          <w:sz w:val="22"/>
          <w:szCs w:val="22"/>
        </w:rPr>
        <w:t xml:space="preserve"> </w:t>
      </w:r>
      <w:r w:rsidR="000C62B1" w:rsidRPr="00ED3678">
        <w:rPr>
          <w:sz w:val="22"/>
          <w:szCs w:val="22"/>
        </w:rPr>
        <w:t xml:space="preserve">the </w:t>
      </w:r>
      <w:r w:rsidRPr="00ED3678">
        <w:rPr>
          <w:sz w:val="22"/>
          <w:szCs w:val="22"/>
        </w:rPr>
        <w:t xml:space="preserve">recruitment site and age as covariates; </w:t>
      </w:r>
      <w:r w:rsidR="00DE131C">
        <w:rPr>
          <w:sz w:val="22"/>
          <w:szCs w:val="22"/>
        </w:rPr>
        <w:t>c</w:t>
      </w:r>
      <w:r w:rsidRPr="00ED3678">
        <w:rPr>
          <w:sz w:val="22"/>
          <w:szCs w:val="22"/>
        </w:rPr>
        <w:t xml:space="preserve">orrected P-values were calculated using </w:t>
      </w:r>
      <w:r w:rsidR="0017388D" w:rsidRPr="00ED3678">
        <w:rPr>
          <w:sz w:val="22"/>
          <w:szCs w:val="22"/>
        </w:rPr>
        <w:t xml:space="preserve">the </w:t>
      </w:r>
      <w:r w:rsidRPr="00ED3678">
        <w:rPr>
          <w:sz w:val="22"/>
          <w:szCs w:val="22"/>
        </w:rPr>
        <w:t>Bonferroni method.</w:t>
      </w:r>
    </w:p>
    <w:p w14:paraId="56783334" w14:textId="7337E323" w:rsidR="005A4726" w:rsidRDefault="000D57B2" w:rsidP="00DE17E4">
      <w:pPr>
        <w:pStyle w:val="Heading2"/>
      </w:pPr>
      <w:bookmarkStart w:id="40" w:name="_Toc40435746"/>
      <w:bookmarkStart w:id="41" w:name="_Hlk39617400"/>
      <w:r>
        <w:lastRenderedPageBreak/>
        <w:t xml:space="preserve">Haplotype Analysis </w:t>
      </w:r>
      <w:r w:rsidR="00164BBD">
        <w:t>of SLE-associated SNPs</w:t>
      </w:r>
      <w:bookmarkEnd w:id="40"/>
    </w:p>
    <w:bookmarkEnd w:id="41"/>
    <w:p w14:paraId="42119D31" w14:textId="35155A0C" w:rsidR="0065014E" w:rsidRDefault="00423595" w:rsidP="0065014E">
      <w:r w:rsidRPr="00423595">
        <w:t>Haplotype analysis of two SLE-associated SNPs (</w:t>
      </w:r>
      <w:bookmarkStart w:id="42" w:name="_Hlk39567797"/>
      <w:bookmarkStart w:id="43" w:name="_Hlk39601801"/>
      <w:r w:rsidRPr="00423595">
        <w:t>rs1800683</w:t>
      </w:r>
      <w:bookmarkStart w:id="44" w:name="_Hlk39567831"/>
      <w:bookmarkEnd w:id="42"/>
      <w:r w:rsidR="004419FA">
        <w:t>–</w:t>
      </w:r>
      <w:r w:rsidR="00B07062">
        <w:t>r</w:t>
      </w:r>
      <w:r w:rsidRPr="00423595">
        <w:t>s1800629</w:t>
      </w:r>
      <w:bookmarkEnd w:id="43"/>
      <w:bookmarkEnd w:id="44"/>
      <w:r w:rsidR="008854DA">
        <w:t>)</w:t>
      </w:r>
      <w:r w:rsidRPr="00423595">
        <w:t xml:space="preserve"> </w:t>
      </w:r>
      <w:r w:rsidR="00CF1B49">
        <w:t xml:space="preserve">in the study sample </w:t>
      </w:r>
      <w:r w:rsidRPr="00423595">
        <w:t xml:space="preserve">revealed </w:t>
      </w:r>
      <w:r w:rsidR="00630705">
        <w:t xml:space="preserve">three </w:t>
      </w:r>
      <w:r w:rsidR="00614CF2">
        <w:t xml:space="preserve">common </w:t>
      </w:r>
      <w:r w:rsidR="00630705">
        <w:t>haplotypes</w:t>
      </w:r>
      <w:r w:rsidR="008854DA">
        <w:t xml:space="preserve"> (</w:t>
      </w:r>
      <w:r w:rsidR="008854DA" w:rsidRPr="00423595">
        <w:rPr>
          <w:b/>
          <w:bCs/>
        </w:rPr>
        <w:t>Table 5</w:t>
      </w:r>
      <w:r w:rsidR="008854DA" w:rsidRPr="00423595">
        <w:t>)</w:t>
      </w:r>
      <w:r w:rsidR="008854DA">
        <w:t>.</w:t>
      </w:r>
      <w:r w:rsidR="00630705">
        <w:t xml:space="preserve"> </w:t>
      </w:r>
      <w:r w:rsidR="00BE35A4">
        <w:t xml:space="preserve">Of these, </w:t>
      </w:r>
      <w:r w:rsidRPr="00423595">
        <w:t xml:space="preserve">the most </w:t>
      </w:r>
      <w:r w:rsidR="00614CF2">
        <w:t>frequent</w:t>
      </w:r>
      <w:r w:rsidR="00614CF2" w:rsidRPr="00423595">
        <w:t xml:space="preserve"> </w:t>
      </w:r>
      <w:r w:rsidRPr="00423595">
        <w:t xml:space="preserve">haplotype carried the </w:t>
      </w:r>
      <w:r w:rsidR="00B83C96">
        <w:t xml:space="preserve">two </w:t>
      </w:r>
      <w:r w:rsidRPr="00423595">
        <w:t>protective alleles for SLE (</w:t>
      </w:r>
      <w:r w:rsidRPr="00423595">
        <w:rPr>
          <w:b/>
          <w:bCs/>
          <w:color w:val="0070C0"/>
        </w:rPr>
        <w:t>G</w:t>
      </w:r>
      <w:bookmarkStart w:id="45" w:name="_Hlk39567901"/>
      <w:r w:rsidRPr="00423595">
        <w:rPr>
          <w:b/>
          <w:bCs/>
          <w:color w:val="0070C0"/>
        </w:rPr>
        <w:t>G</w:t>
      </w:r>
      <w:bookmarkEnd w:id="45"/>
      <w:r w:rsidRPr="00423595">
        <w:t xml:space="preserve">; </w:t>
      </w:r>
      <w:r>
        <w:t>62.4</w:t>
      </w:r>
      <w:r w:rsidRPr="00423595">
        <w:t xml:space="preserve">% in cases vs. </w:t>
      </w:r>
      <w:r>
        <w:t>69.5</w:t>
      </w:r>
      <w:r w:rsidRPr="00423595">
        <w:t xml:space="preserve">% in controls, </w:t>
      </w:r>
      <w:r w:rsidRPr="00423595">
        <w:rPr>
          <w:i/>
          <w:iCs/>
        </w:rPr>
        <w:t>P</w:t>
      </w:r>
      <w:r w:rsidRPr="00423595">
        <w:t xml:space="preserve">=5E-04) </w:t>
      </w:r>
      <w:r>
        <w:t>followed by</w:t>
      </w:r>
      <w:r w:rsidRPr="00423595">
        <w:t xml:space="preserve"> the second most </w:t>
      </w:r>
      <w:r w:rsidR="00614CF2">
        <w:t xml:space="preserve">frequent </w:t>
      </w:r>
      <w:r w:rsidRPr="00423595">
        <w:t xml:space="preserve">haplotype </w:t>
      </w:r>
      <w:r>
        <w:t xml:space="preserve">that </w:t>
      </w:r>
      <w:r w:rsidRPr="00423595">
        <w:t xml:space="preserve">carried the </w:t>
      </w:r>
      <w:r w:rsidR="00B83C96">
        <w:t xml:space="preserve">two </w:t>
      </w:r>
      <w:r w:rsidRPr="00423595">
        <w:t>risk alleles (</w:t>
      </w:r>
      <w:r w:rsidRPr="00423595">
        <w:rPr>
          <w:b/>
          <w:bCs/>
          <w:color w:val="FF0000"/>
        </w:rPr>
        <w:t>AA</w:t>
      </w:r>
      <w:r w:rsidRPr="00423595">
        <w:t xml:space="preserve">; </w:t>
      </w:r>
      <w:r>
        <w:t>20.6</w:t>
      </w:r>
      <w:r w:rsidRPr="00423595">
        <w:t>% in cases vs. 1</w:t>
      </w:r>
      <w:r>
        <w:t>5.1</w:t>
      </w:r>
      <w:r w:rsidRPr="00423595">
        <w:t xml:space="preserve">% in controls, </w:t>
      </w:r>
      <w:r w:rsidRPr="00423595">
        <w:rPr>
          <w:i/>
          <w:iCs/>
        </w:rPr>
        <w:t>P</w:t>
      </w:r>
      <w:r w:rsidRPr="00423595">
        <w:t>=</w:t>
      </w:r>
      <w:r>
        <w:t>9</w:t>
      </w:r>
      <w:r w:rsidRPr="00423595">
        <w:t xml:space="preserve">E-04). </w:t>
      </w:r>
      <w:r w:rsidR="00B83C96">
        <w:t>T</w:t>
      </w:r>
      <w:r w:rsidRPr="00423595">
        <w:t xml:space="preserve">he </w:t>
      </w:r>
      <w:r w:rsidR="00B83C96">
        <w:t xml:space="preserve">third </w:t>
      </w:r>
      <w:r w:rsidRPr="00423595">
        <w:t xml:space="preserve">common haplotype that carried the risk allele of rs1800683 </w:t>
      </w:r>
      <w:r>
        <w:t>and</w:t>
      </w:r>
      <w:r w:rsidRPr="00423595">
        <w:t xml:space="preserve"> protective allele of </w:t>
      </w:r>
      <w:r>
        <w:t>r</w:t>
      </w:r>
      <w:r w:rsidRPr="00423595">
        <w:t xml:space="preserve">s1800629 </w:t>
      </w:r>
      <w:r>
        <w:t>showed no significant risk or protective effect</w:t>
      </w:r>
      <w:r w:rsidRPr="00423595">
        <w:t xml:space="preserve"> (</w:t>
      </w:r>
      <w:r w:rsidRPr="00423595">
        <w:rPr>
          <w:b/>
          <w:bCs/>
          <w:color w:val="FF0000"/>
        </w:rPr>
        <w:t>A</w:t>
      </w:r>
      <w:r w:rsidRPr="00423595">
        <w:rPr>
          <w:b/>
          <w:bCs/>
          <w:color w:val="0070C0"/>
        </w:rPr>
        <w:t>G</w:t>
      </w:r>
      <w:r w:rsidRPr="00423595">
        <w:t>; 1</w:t>
      </w:r>
      <w:r>
        <w:t>6.9</w:t>
      </w:r>
      <w:r w:rsidRPr="00423595">
        <w:t>% in cases vs. 1</w:t>
      </w:r>
      <w:r>
        <w:t>5.4</w:t>
      </w:r>
      <w:r w:rsidRPr="00423595">
        <w:t xml:space="preserve">% in controls, </w:t>
      </w:r>
      <w:r w:rsidRPr="00423595">
        <w:rPr>
          <w:i/>
          <w:iCs/>
        </w:rPr>
        <w:t>P</w:t>
      </w:r>
      <w:r w:rsidRPr="00423595">
        <w:t>=0.</w:t>
      </w:r>
      <w:r>
        <w:t>3254</w:t>
      </w:r>
      <w:r w:rsidRPr="00423595">
        <w:t>).</w:t>
      </w:r>
      <w:r w:rsidR="00471594">
        <w:t xml:space="preserve"> </w:t>
      </w:r>
    </w:p>
    <w:p w14:paraId="739E4156" w14:textId="77777777" w:rsidR="0065014E" w:rsidRPr="0065014E" w:rsidRDefault="0065014E" w:rsidP="00432460">
      <w:pPr>
        <w:spacing w:line="240" w:lineRule="auto"/>
      </w:pPr>
    </w:p>
    <w:p w14:paraId="7103BAB4" w14:textId="6F7912FF" w:rsidR="00432460" w:rsidRPr="00ED3678" w:rsidRDefault="00432460" w:rsidP="00432460">
      <w:pPr>
        <w:pStyle w:val="Caption"/>
        <w:rPr>
          <w:b w:val="0"/>
        </w:rPr>
      </w:pPr>
      <w:bookmarkStart w:id="46" w:name="_Toc40435754"/>
      <w:r>
        <w:t xml:space="preserve">Table </w:t>
      </w:r>
      <w:r>
        <w:fldChar w:fldCharType="begin"/>
      </w:r>
      <w:r>
        <w:instrText xml:space="preserve"> SEQ Table \* ARABIC </w:instrText>
      </w:r>
      <w:r>
        <w:fldChar w:fldCharType="separate"/>
      </w:r>
      <w:r>
        <w:t>5</w:t>
      </w:r>
      <w:r>
        <w:fldChar w:fldCharType="end"/>
      </w:r>
      <w:r>
        <w:t xml:space="preserve"> Two-site haplotype analysis of SLE associaed SNPS (rs 1800683-rs1800629)</w:t>
      </w:r>
      <w:bookmarkEnd w:id="46"/>
    </w:p>
    <w:tbl>
      <w:tblPr>
        <w:tblW w:w="9450" w:type="dxa"/>
        <w:tblInd w:w="-90" w:type="dxa"/>
        <w:tblLook w:val="04A0" w:firstRow="1" w:lastRow="0" w:firstColumn="1" w:lastColumn="0" w:noHBand="0" w:noVBand="1"/>
      </w:tblPr>
      <w:tblGrid>
        <w:gridCol w:w="1260"/>
        <w:gridCol w:w="1440"/>
        <w:gridCol w:w="1170"/>
        <w:gridCol w:w="1620"/>
        <w:gridCol w:w="1350"/>
        <w:gridCol w:w="1170"/>
        <w:gridCol w:w="1440"/>
      </w:tblGrid>
      <w:tr w:rsidR="005218B7" w:rsidRPr="00AB58E1" w14:paraId="0E40C180" w14:textId="1E4B3325" w:rsidTr="005218B7">
        <w:trPr>
          <w:trHeight w:val="637"/>
        </w:trPr>
        <w:tc>
          <w:tcPr>
            <w:tcW w:w="1260" w:type="dxa"/>
            <w:tcBorders>
              <w:top w:val="single" w:sz="8" w:space="0" w:color="7F7F7F"/>
              <w:left w:val="nil"/>
              <w:bottom w:val="single" w:sz="8" w:space="0" w:color="7F7F7F"/>
              <w:right w:val="nil"/>
            </w:tcBorders>
            <w:shd w:val="clear" w:color="auto" w:fill="auto"/>
            <w:noWrap/>
            <w:vAlign w:val="center"/>
            <w:hideMark/>
          </w:tcPr>
          <w:p w14:paraId="35D5E295" w14:textId="77777777" w:rsidR="005218B7" w:rsidRPr="00AB58E1" w:rsidRDefault="005218B7" w:rsidP="005218B7">
            <w:pPr>
              <w:spacing w:line="240" w:lineRule="auto"/>
              <w:ind w:firstLine="0"/>
              <w:jc w:val="center"/>
              <w:rPr>
                <w:rFonts w:ascii="Calibri" w:hAnsi="Calibri" w:cs="Calibri"/>
                <w:b/>
                <w:bCs/>
                <w:color w:val="000000"/>
                <w:sz w:val="22"/>
                <w:szCs w:val="22"/>
              </w:rPr>
            </w:pPr>
            <w:r w:rsidRPr="00AB58E1">
              <w:rPr>
                <w:rFonts w:ascii="Calibri" w:hAnsi="Calibri" w:cs="Calibri"/>
                <w:b/>
                <w:bCs/>
                <w:color w:val="000000"/>
                <w:sz w:val="22"/>
                <w:szCs w:val="22"/>
              </w:rPr>
              <w:t>Haplotype</w:t>
            </w:r>
          </w:p>
        </w:tc>
        <w:tc>
          <w:tcPr>
            <w:tcW w:w="1440" w:type="dxa"/>
            <w:tcBorders>
              <w:top w:val="single" w:sz="8" w:space="0" w:color="7F7F7F"/>
              <w:left w:val="nil"/>
              <w:bottom w:val="single" w:sz="8" w:space="0" w:color="7F7F7F"/>
              <w:right w:val="nil"/>
            </w:tcBorders>
            <w:shd w:val="clear" w:color="auto" w:fill="auto"/>
            <w:noWrap/>
            <w:vAlign w:val="center"/>
            <w:hideMark/>
          </w:tcPr>
          <w:p w14:paraId="696239B1" w14:textId="77777777" w:rsidR="005218B7" w:rsidRPr="00AB58E1" w:rsidRDefault="005218B7" w:rsidP="005218B7">
            <w:pPr>
              <w:spacing w:line="240" w:lineRule="auto"/>
              <w:ind w:firstLine="0"/>
              <w:jc w:val="center"/>
              <w:rPr>
                <w:rFonts w:ascii="Calibri" w:hAnsi="Calibri" w:cs="Calibri"/>
                <w:b/>
                <w:bCs/>
                <w:color w:val="000000"/>
                <w:sz w:val="22"/>
                <w:szCs w:val="22"/>
              </w:rPr>
            </w:pPr>
            <w:r w:rsidRPr="00AB58E1">
              <w:rPr>
                <w:rFonts w:ascii="Calibri" w:hAnsi="Calibri" w:cs="Calibri"/>
                <w:b/>
                <w:bCs/>
                <w:color w:val="000000"/>
                <w:sz w:val="22"/>
                <w:szCs w:val="22"/>
              </w:rPr>
              <w:t>Overall Freq</w:t>
            </w:r>
          </w:p>
        </w:tc>
        <w:tc>
          <w:tcPr>
            <w:tcW w:w="1170" w:type="dxa"/>
            <w:tcBorders>
              <w:top w:val="single" w:sz="8" w:space="0" w:color="7F7F7F"/>
              <w:left w:val="nil"/>
              <w:bottom w:val="single" w:sz="8" w:space="0" w:color="7F7F7F"/>
              <w:right w:val="nil"/>
            </w:tcBorders>
            <w:shd w:val="clear" w:color="auto" w:fill="auto"/>
            <w:noWrap/>
            <w:vAlign w:val="center"/>
            <w:hideMark/>
          </w:tcPr>
          <w:p w14:paraId="784C2F70" w14:textId="77777777" w:rsidR="005218B7" w:rsidRPr="00AB58E1" w:rsidRDefault="005218B7" w:rsidP="005218B7">
            <w:pPr>
              <w:spacing w:line="240" w:lineRule="auto"/>
              <w:ind w:firstLine="0"/>
              <w:jc w:val="center"/>
              <w:rPr>
                <w:rFonts w:ascii="Calibri" w:hAnsi="Calibri" w:cs="Calibri"/>
                <w:b/>
                <w:bCs/>
                <w:color w:val="000000"/>
                <w:sz w:val="22"/>
                <w:szCs w:val="22"/>
              </w:rPr>
            </w:pPr>
            <w:r w:rsidRPr="00AB58E1">
              <w:rPr>
                <w:rFonts w:ascii="Calibri" w:hAnsi="Calibri" w:cs="Calibri"/>
                <w:b/>
                <w:bCs/>
                <w:color w:val="000000"/>
                <w:sz w:val="22"/>
                <w:szCs w:val="22"/>
              </w:rPr>
              <w:t>Case Freq</w:t>
            </w:r>
          </w:p>
        </w:tc>
        <w:tc>
          <w:tcPr>
            <w:tcW w:w="1620" w:type="dxa"/>
            <w:tcBorders>
              <w:top w:val="single" w:sz="8" w:space="0" w:color="7F7F7F"/>
              <w:left w:val="nil"/>
              <w:bottom w:val="single" w:sz="8" w:space="0" w:color="7F7F7F"/>
              <w:right w:val="nil"/>
            </w:tcBorders>
            <w:shd w:val="clear" w:color="auto" w:fill="auto"/>
            <w:noWrap/>
            <w:vAlign w:val="center"/>
            <w:hideMark/>
          </w:tcPr>
          <w:p w14:paraId="1DC4CA5C" w14:textId="2764109A" w:rsidR="005218B7" w:rsidRPr="00AB58E1" w:rsidRDefault="005218B7" w:rsidP="005218B7">
            <w:pPr>
              <w:spacing w:line="240" w:lineRule="auto"/>
              <w:ind w:firstLine="0"/>
              <w:jc w:val="center"/>
              <w:rPr>
                <w:rFonts w:ascii="Calibri" w:hAnsi="Calibri" w:cs="Calibri"/>
                <w:b/>
                <w:bCs/>
                <w:color w:val="000000"/>
                <w:sz w:val="22"/>
                <w:szCs w:val="22"/>
              </w:rPr>
            </w:pPr>
            <w:r w:rsidRPr="00AB58E1">
              <w:rPr>
                <w:rFonts w:ascii="Calibri" w:hAnsi="Calibri" w:cs="Calibri"/>
                <w:b/>
                <w:bCs/>
                <w:color w:val="000000"/>
                <w:sz w:val="22"/>
                <w:szCs w:val="22"/>
              </w:rPr>
              <w:t>Control Freq</w:t>
            </w:r>
          </w:p>
        </w:tc>
        <w:tc>
          <w:tcPr>
            <w:tcW w:w="1350" w:type="dxa"/>
            <w:tcBorders>
              <w:top w:val="single" w:sz="8" w:space="0" w:color="7F7F7F"/>
              <w:left w:val="nil"/>
              <w:bottom w:val="single" w:sz="8" w:space="0" w:color="7F7F7F"/>
              <w:right w:val="nil"/>
            </w:tcBorders>
            <w:shd w:val="clear" w:color="auto" w:fill="auto"/>
            <w:noWrap/>
            <w:vAlign w:val="center"/>
            <w:hideMark/>
          </w:tcPr>
          <w:p w14:paraId="2193E9D7" w14:textId="77777777" w:rsidR="005218B7" w:rsidRPr="00AB58E1" w:rsidRDefault="005218B7" w:rsidP="005218B7">
            <w:pPr>
              <w:spacing w:line="240" w:lineRule="auto"/>
              <w:ind w:firstLine="0"/>
              <w:jc w:val="center"/>
              <w:rPr>
                <w:rFonts w:ascii="Calibri" w:hAnsi="Calibri" w:cs="Calibri"/>
                <w:b/>
                <w:bCs/>
                <w:color w:val="000000"/>
                <w:sz w:val="22"/>
                <w:szCs w:val="22"/>
              </w:rPr>
            </w:pPr>
            <w:r w:rsidRPr="00AB58E1">
              <w:rPr>
                <w:rFonts w:ascii="Calibri" w:hAnsi="Calibri" w:cs="Calibri"/>
                <w:b/>
                <w:bCs/>
                <w:color w:val="000000"/>
                <w:sz w:val="22"/>
                <w:szCs w:val="22"/>
              </w:rPr>
              <w:t>Chi Square</w:t>
            </w:r>
          </w:p>
        </w:tc>
        <w:tc>
          <w:tcPr>
            <w:tcW w:w="1170" w:type="dxa"/>
            <w:tcBorders>
              <w:top w:val="single" w:sz="8" w:space="0" w:color="7F7F7F"/>
              <w:left w:val="nil"/>
              <w:bottom w:val="single" w:sz="8" w:space="0" w:color="7F7F7F"/>
              <w:right w:val="nil"/>
            </w:tcBorders>
            <w:shd w:val="clear" w:color="auto" w:fill="auto"/>
            <w:noWrap/>
            <w:vAlign w:val="center"/>
            <w:hideMark/>
          </w:tcPr>
          <w:p w14:paraId="427E9C58" w14:textId="77777777" w:rsidR="005218B7" w:rsidRPr="00AB58E1" w:rsidRDefault="005218B7" w:rsidP="005218B7">
            <w:pPr>
              <w:spacing w:line="240" w:lineRule="auto"/>
              <w:ind w:firstLine="0"/>
              <w:jc w:val="center"/>
              <w:rPr>
                <w:rFonts w:ascii="Calibri" w:hAnsi="Calibri" w:cs="Calibri"/>
                <w:b/>
                <w:bCs/>
                <w:color w:val="000000"/>
                <w:sz w:val="22"/>
                <w:szCs w:val="22"/>
              </w:rPr>
            </w:pPr>
            <w:r w:rsidRPr="00AB58E1">
              <w:rPr>
                <w:rFonts w:ascii="Calibri" w:hAnsi="Calibri" w:cs="Calibri"/>
                <w:b/>
                <w:bCs/>
                <w:i/>
                <w:iCs/>
                <w:color w:val="000000"/>
                <w:sz w:val="22"/>
                <w:szCs w:val="22"/>
              </w:rPr>
              <w:t>P</w:t>
            </w:r>
            <w:r w:rsidRPr="00AB58E1">
              <w:rPr>
                <w:rFonts w:ascii="Calibri" w:hAnsi="Calibri" w:cs="Calibri"/>
                <w:b/>
                <w:bCs/>
                <w:color w:val="000000"/>
                <w:sz w:val="22"/>
                <w:szCs w:val="22"/>
              </w:rPr>
              <w:t>-value</w:t>
            </w:r>
          </w:p>
        </w:tc>
        <w:tc>
          <w:tcPr>
            <w:tcW w:w="1440" w:type="dxa"/>
            <w:tcBorders>
              <w:top w:val="single" w:sz="8" w:space="0" w:color="7F7F7F"/>
              <w:left w:val="nil"/>
              <w:bottom w:val="single" w:sz="8" w:space="0" w:color="7F7F7F"/>
              <w:right w:val="nil"/>
            </w:tcBorders>
            <w:vAlign w:val="center"/>
          </w:tcPr>
          <w:p w14:paraId="45F5D13B" w14:textId="4E8B97A8" w:rsidR="005218B7" w:rsidRPr="00863D24" w:rsidRDefault="005218B7" w:rsidP="005218B7">
            <w:pPr>
              <w:spacing w:line="240" w:lineRule="auto"/>
              <w:ind w:firstLine="0"/>
              <w:jc w:val="center"/>
              <w:rPr>
                <w:rFonts w:ascii="Calibri" w:hAnsi="Calibri" w:cs="Calibri"/>
                <w:b/>
                <w:bCs/>
                <w:color w:val="000000"/>
                <w:sz w:val="22"/>
                <w:szCs w:val="22"/>
              </w:rPr>
            </w:pPr>
            <w:r w:rsidRPr="00863D24">
              <w:rPr>
                <w:rFonts w:ascii="Calibri" w:hAnsi="Calibri" w:cs="Calibri"/>
                <w:b/>
                <w:bCs/>
                <w:color w:val="000000"/>
                <w:sz w:val="22"/>
                <w:szCs w:val="22"/>
              </w:rPr>
              <w:t xml:space="preserve">Permutation </w:t>
            </w:r>
            <w:r w:rsidRPr="00863D24">
              <w:rPr>
                <w:rFonts w:ascii="Calibri" w:hAnsi="Calibri" w:cs="Calibri"/>
                <w:b/>
                <w:bCs/>
                <w:i/>
                <w:iCs/>
                <w:color w:val="000000"/>
                <w:sz w:val="22"/>
                <w:szCs w:val="22"/>
              </w:rPr>
              <w:t>P</w:t>
            </w:r>
            <w:r w:rsidRPr="00863D24">
              <w:rPr>
                <w:rFonts w:ascii="Calibri" w:hAnsi="Calibri" w:cs="Calibri"/>
                <w:b/>
                <w:bCs/>
                <w:color w:val="000000"/>
                <w:sz w:val="22"/>
                <w:szCs w:val="22"/>
              </w:rPr>
              <w:t>-value</w:t>
            </w:r>
          </w:p>
        </w:tc>
      </w:tr>
      <w:tr w:rsidR="005218B7" w:rsidRPr="00AB58E1" w14:paraId="49675864" w14:textId="0268A685" w:rsidTr="005218B7">
        <w:trPr>
          <w:trHeight w:hRule="exact" w:val="432"/>
        </w:trPr>
        <w:tc>
          <w:tcPr>
            <w:tcW w:w="1260" w:type="dxa"/>
            <w:tcBorders>
              <w:top w:val="nil"/>
              <w:left w:val="nil"/>
              <w:bottom w:val="single" w:sz="8" w:space="0" w:color="7F7F7F"/>
              <w:right w:val="nil"/>
            </w:tcBorders>
            <w:shd w:val="clear" w:color="auto" w:fill="auto"/>
            <w:noWrap/>
            <w:vAlign w:val="center"/>
            <w:hideMark/>
          </w:tcPr>
          <w:p w14:paraId="654C03B2" w14:textId="77777777" w:rsidR="005218B7" w:rsidRPr="00AB58E1" w:rsidRDefault="005218B7" w:rsidP="005218B7">
            <w:pPr>
              <w:spacing w:line="240" w:lineRule="auto"/>
              <w:ind w:firstLine="0"/>
              <w:jc w:val="center"/>
              <w:rPr>
                <w:rFonts w:ascii="Calibri" w:hAnsi="Calibri" w:cs="Calibri"/>
                <w:b/>
                <w:bCs/>
                <w:color w:val="0070C0"/>
                <w:sz w:val="22"/>
                <w:szCs w:val="22"/>
              </w:rPr>
            </w:pPr>
            <w:r w:rsidRPr="00AB58E1">
              <w:rPr>
                <w:rFonts w:ascii="Calibri" w:hAnsi="Calibri" w:cs="Calibri"/>
                <w:b/>
                <w:bCs/>
                <w:color w:val="0070C0"/>
                <w:sz w:val="22"/>
                <w:szCs w:val="22"/>
              </w:rPr>
              <w:t>GG</w:t>
            </w:r>
          </w:p>
        </w:tc>
        <w:tc>
          <w:tcPr>
            <w:tcW w:w="1440" w:type="dxa"/>
            <w:tcBorders>
              <w:top w:val="nil"/>
              <w:left w:val="nil"/>
              <w:bottom w:val="single" w:sz="8" w:space="0" w:color="7F7F7F"/>
              <w:right w:val="nil"/>
            </w:tcBorders>
            <w:shd w:val="clear" w:color="auto" w:fill="auto"/>
            <w:noWrap/>
            <w:vAlign w:val="center"/>
            <w:hideMark/>
          </w:tcPr>
          <w:p w14:paraId="3036A659" w14:textId="77777777" w:rsidR="005218B7" w:rsidRPr="00AB58E1" w:rsidRDefault="005218B7" w:rsidP="005218B7">
            <w:pPr>
              <w:spacing w:line="240" w:lineRule="auto"/>
              <w:ind w:firstLine="0"/>
              <w:jc w:val="center"/>
              <w:rPr>
                <w:rFonts w:ascii="Calibri" w:hAnsi="Calibri" w:cs="Calibri"/>
                <w:color w:val="000000"/>
                <w:sz w:val="22"/>
                <w:szCs w:val="22"/>
              </w:rPr>
            </w:pPr>
            <w:r w:rsidRPr="00AB58E1">
              <w:rPr>
                <w:rFonts w:ascii="Calibri" w:hAnsi="Calibri" w:cs="Calibri"/>
                <w:color w:val="000000"/>
                <w:sz w:val="22"/>
                <w:szCs w:val="22"/>
              </w:rPr>
              <w:t>0.654</w:t>
            </w:r>
          </w:p>
        </w:tc>
        <w:tc>
          <w:tcPr>
            <w:tcW w:w="1170" w:type="dxa"/>
            <w:tcBorders>
              <w:top w:val="nil"/>
              <w:left w:val="nil"/>
              <w:bottom w:val="single" w:sz="8" w:space="0" w:color="7F7F7F"/>
              <w:right w:val="nil"/>
            </w:tcBorders>
            <w:shd w:val="clear" w:color="auto" w:fill="auto"/>
            <w:noWrap/>
            <w:vAlign w:val="center"/>
            <w:hideMark/>
          </w:tcPr>
          <w:p w14:paraId="3B986046" w14:textId="77777777" w:rsidR="005218B7" w:rsidRPr="00AB58E1" w:rsidRDefault="005218B7" w:rsidP="005218B7">
            <w:pPr>
              <w:spacing w:line="240" w:lineRule="auto"/>
              <w:ind w:firstLine="0"/>
              <w:jc w:val="center"/>
              <w:rPr>
                <w:rFonts w:ascii="Calibri" w:hAnsi="Calibri" w:cs="Calibri"/>
                <w:color w:val="000000"/>
                <w:sz w:val="22"/>
                <w:szCs w:val="22"/>
              </w:rPr>
            </w:pPr>
            <w:r w:rsidRPr="00AB58E1">
              <w:rPr>
                <w:rFonts w:ascii="Calibri" w:hAnsi="Calibri" w:cs="Calibri"/>
                <w:color w:val="000000"/>
                <w:sz w:val="22"/>
                <w:szCs w:val="22"/>
              </w:rPr>
              <w:t>0.624</w:t>
            </w:r>
          </w:p>
        </w:tc>
        <w:tc>
          <w:tcPr>
            <w:tcW w:w="1620" w:type="dxa"/>
            <w:tcBorders>
              <w:top w:val="nil"/>
              <w:left w:val="nil"/>
              <w:bottom w:val="single" w:sz="8" w:space="0" w:color="7F7F7F"/>
              <w:right w:val="nil"/>
            </w:tcBorders>
            <w:shd w:val="clear" w:color="auto" w:fill="auto"/>
            <w:noWrap/>
            <w:vAlign w:val="center"/>
            <w:hideMark/>
          </w:tcPr>
          <w:p w14:paraId="5FB24341" w14:textId="77777777" w:rsidR="005218B7" w:rsidRPr="00AB58E1" w:rsidRDefault="005218B7" w:rsidP="005218B7">
            <w:pPr>
              <w:spacing w:line="240" w:lineRule="auto"/>
              <w:ind w:firstLine="0"/>
              <w:jc w:val="center"/>
              <w:rPr>
                <w:rFonts w:ascii="Calibri" w:hAnsi="Calibri" w:cs="Calibri"/>
                <w:color w:val="000000"/>
                <w:sz w:val="22"/>
                <w:szCs w:val="22"/>
              </w:rPr>
            </w:pPr>
            <w:r w:rsidRPr="00AB58E1">
              <w:rPr>
                <w:rFonts w:ascii="Calibri" w:hAnsi="Calibri" w:cs="Calibri"/>
                <w:color w:val="000000"/>
                <w:sz w:val="22"/>
                <w:szCs w:val="22"/>
              </w:rPr>
              <w:t>0.695</w:t>
            </w:r>
          </w:p>
        </w:tc>
        <w:tc>
          <w:tcPr>
            <w:tcW w:w="1350" w:type="dxa"/>
            <w:tcBorders>
              <w:top w:val="nil"/>
              <w:left w:val="nil"/>
              <w:bottom w:val="single" w:sz="8" w:space="0" w:color="7F7F7F"/>
              <w:right w:val="nil"/>
            </w:tcBorders>
            <w:shd w:val="clear" w:color="auto" w:fill="auto"/>
            <w:noWrap/>
            <w:vAlign w:val="center"/>
            <w:hideMark/>
          </w:tcPr>
          <w:p w14:paraId="54CB0F0C" w14:textId="77777777" w:rsidR="005218B7" w:rsidRPr="00AB58E1" w:rsidRDefault="005218B7" w:rsidP="005218B7">
            <w:pPr>
              <w:spacing w:line="240" w:lineRule="auto"/>
              <w:ind w:firstLine="0"/>
              <w:jc w:val="center"/>
              <w:rPr>
                <w:rFonts w:ascii="Calibri" w:hAnsi="Calibri" w:cs="Calibri"/>
                <w:color w:val="000000"/>
                <w:sz w:val="22"/>
                <w:szCs w:val="22"/>
              </w:rPr>
            </w:pPr>
            <w:r w:rsidRPr="00AB58E1">
              <w:rPr>
                <w:rFonts w:ascii="Calibri" w:hAnsi="Calibri" w:cs="Calibri"/>
                <w:color w:val="000000"/>
                <w:sz w:val="22"/>
                <w:szCs w:val="22"/>
              </w:rPr>
              <w:t>11.982</w:t>
            </w:r>
          </w:p>
        </w:tc>
        <w:tc>
          <w:tcPr>
            <w:tcW w:w="1170" w:type="dxa"/>
            <w:tcBorders>
              <w:top w:val="nil"/>
              <w:left w:val="nil"/>
              <w:bottom w:val="single" w:sz="8" w:space="0" w:color="7F7F7F"/>
              <w:right w:val="nil"/>
            </w:tcBorders>
            <w:shd w:val="clear" w:color="auto" w:fill="auto"/>
            <w:noWrap/>
            <w:vAlign w:val="center"/>
            <w:hideMark/>
          </w:tcPr>
          <w:p w14:paraId="0D0D118F" w14:textId="29C8FEBC" w:rsidR="005218B7" w:rsidRPr="00AB58E1" w:rsidRDefault="005218B7" w:rsidP="005218B7">
            <w:pPr>
              <w:spacing w:line="240" w:lineRule="auto"/>
              <w:ind w:firstLine="0"/>
              <w:jc w:val="center"/>
              <w:rPr>
                <w:rFonts w:ascii="Calibri" w:hAnsi="Calibri" w:cs="Calibri"/>
                <w:color w:val="000000"/>
                <w:sz w:val="22"/>
                <w:szCs w:val="22"/>
              </w:rPr>
            </w:pPr>
            <w:bookmarkStart w:id="47" w:name="_Hlk39567602"/>
            <w:r w:rsidRPr="00AB58E1">
              <w:rPr>
                <w:rFonts w:ascii="Calibri" w:hAnsi="Calibri" w:cs="Calibri"/>
                <w:color w:val="000000"/>
                <w:sz w:val="22"/>
                <w:szCs w:val="22"/>
              </w:rPr>
              <w:t>5.00E-04</w:t>
            </w:r>
            <w:bookmarkEnd w:id="47"/>
          </w:p>
        </w:tc>
        <w:tc>
          <w:tcPr>
            <w:tcW w:w="1440" w:type="dxa"/>
            <w:tcBorders>
              <w:top w:val="nil"/>
              <w:left w:val="nil"/>
              <w:bottom w:val="single" w:sz="8" w:space="0" w:color="7F7F7F"/>
              <w:right w:val="nil"/>
            </w:tcBorders>
            <w:vAlign w:val="center"/>
          </w:tcPr>
          <w:p w14:paraId="03C8E6E1" w14:textId="3A60F7D0" w:rsidR="005218B7" w:rsidRPr="00AB58E1" w:rsidRDefault="00863D24" w:rsidP="005218B7">
            <w:pPr>
              <w:spacing w:line="240" w:lineRule="auto"/>
              <w:ind w:firstLine="0"/>
              <w:jc w:val="center"/>
              <w:rPr>
                <w:rFonts w:ascii="Calibri" w:hAnsi="Calibri" w:cs="Calibri"/>
                <w:color w:val="000000"/>
                <w:sz w:val="22"/>
                <w:szCs w:val="22"/>
              </w:rPr>
            </w:pPr>
            <w:r>
              <w:rPr>
                <w:rFonts w:ascii="Calibri" w:hAnsi="Calibri" w:cs="Calibri"/>
                <w:color w:val="000000"/>
                <w:sz w:val="22"/>
                <w:szCs w:val="22"/>
              </w:rPr>
              <w:t>0.0020</w:t>
            </w:r>
          </w:p>
        </w:tc>
      </w:tr>
      <w:tr w:rsidR="005218B7" w:rsidRPr="00AB58E1" w14:paraId="6B42161E" w14:textId="4D4DFFCF" w:rsidTr="005218B7">
        <w:trPr>
          <w:trHeight w:hRule="exact" w:val="432"/>
        </w:trPr>
        <w:tc>
          <w:tcPr>
            <w:tcW w:w="1260" w:type="dxa"/>
            <w:tcBorders>
              <w:top w:val="nil"/>
              <w:left w:val="nil"/>
              <w:bottom w:val="nil"/>
              <w:right w:val="nil"/>
            </w:tcBorders>
            <w:shd w:val="clear" w:color="auto" w:fill="auto"/>
            <w:noWrap/>
            <w:vAlign w:val="center"/>
            <w:hideMark/>
          </w:tcPr>
          <w:p w14:paraId="1CB6CC12" w14:textId="77777777" w:rsidR="005218B7" w:rsidRPr="00AB58E1" w:rsidRDefault="005218B7" w:rsidP="005218B7">
            <w:pPr>
              <w:spacing w:line="240" w:lineRule="auto"/>
              <w:ind w:firstLine="0"/>
              <w:jc w:val="center"/>
              <w:rPr>
                <w:rFonts w:ascii="Calibri" w:hAnsi="Calibri" w:cs="Calibri"/>
                <w:b/>
                <w:bCs/>
                <w:color w:val="FF0000"/>
                <w:sz w:val="22"/>
                <w:szCs w:val="22"/>
              </w:rPr>
            </w:pPr>
            <w:r w:rsidRPr="00AB58E1">
              <w:rPr>
                <w:rFonts w:ascii="Calibri" w:hAnsi="Calibri" w:cs="Calibri"/>
                <w:b/>
                <w:bCs/>
                <w:color w:val="FF0000"/>
                <w:sz w:val="22"/>
                <w:szCs w:val="22"/>
              </w:rPr>
              <w:t>AA</w:t>
            </w:r>
          </w:p>
        </w:tc>
        <w:tc>
          <w:tcPr>
            <w:tcW w:w="1440" w:type="dxa"/>
            <w:tcBorders>
              <w:top w:val="nil"/>
              <w:left w:val="nil"/>
              <w:bottom w:val="nil"/>
              <w:right w:val="nil"/>
            </w:tcBorders>
            <w:shd w:val="clear" w:color="auto" w:fill="auto"/>
            <w:noWrap/>
            <w:vAlign w:val="center"/>
            <w:hideMark/>
          </w:tcPr>
          <w:p w14:paraId="2BBF9CEA" w14:textId="77777777" w:rsidR="005218B7" w:rsidRPr="00AB58E1" w:rsidRDefault="005218B7" w:rsidP="005218B7">
            <w:pPr>
              <w:spacing w:line="240" w:lineRule="auto"/>
              <w:ind w:firstLine="0"/>
              <w:jc w:val="center"/>
              <w:rPr>
                <w:rFonts w:ascii="Calibri" w:hAnsi="Calibri" w:cs="Calibri"/>
                <w:color w:val="000000"/>
                <w:sz w:val="22"/>
                <w:szCs w:val="22"/>
              </w:rPr>
            </w:pPr>
            <w:r w:rsidRPr="00AB58E1">
              <w:rPr>
                <w:rFonts w:ascii="Calibri" w:hAnsi="Calibri" w:cs="Calibri"/>
                <w:color w:val="000000"/>
                <w:sz w:val="22"/>
                <w:szCs w:val="22"/>
              </w:rPr>
              <w:t>0.183</w:t>
            </w:r>
          </w:p>
        </w:tc>
        <w:tc>
          <w:tcPr>
            <w:tcW w:w="1170" w:type="dxa"/>
            <w:tcBorders>
              <w:top w:val="nil"/>
              <w:left w:val="nil"/>
              <w:bottom w:val="nil"/>
              <w:right w:val="nil"/>
            </w:tcBorders>
            <w:shd w:val="clear" w:color="auto" w:fill="auto"/>
            <w:noWrap/>
            <w:vAlign w:val="center"/>
            <w:hideMark/>
          </w:tcPr>
          <w:p w14:paraId="70F396B2" w14:textId="77777777" w:rsidR="005218B7" w:rsidRPr="00AB58E1" w:rsidRDefault="005218B7" w:rsidP="005218B7">
            <w:pPr>
              <w:spacing w:line="240" w:lineRule="auto"/>
              <w:ind w:firstLine="0"/>
              <w:jc w:val="center"/>
              <w:rPr>
                <w:rFonts w:ascii="Calibri" w:hAnsi="Calibri" w:cs="Calibri"/>
                <w:color w:val="000000"/>
                <w:sz w:val="22"/>
                <w:szCs w:val="22"/>
              </w:rPr>
            </w:pPr>
            <w:r w:rsidRPr="00AB58E1">
              <w:rPr>
                <w:rFonts w:ascii="Calibri" w:hAnsi="Calibri" w:cs="Calibri"/>
                <w:color w:val="000000"/>
                <w:sz w:val="22"/>
                <w:szCs w:val="22"/>
              </w:rPr>
              <w:t>0.206</w:t>
            </w:r>
          </w:p>
        </w:tc>
        <w:tc>
          <w:tcPr>
            <w:tcW w:w="1620" w:type="dxa"/>
            <w:tcBorders>
              <w:top w:val="nil"/>
              <w:left w:val="nil"/>
              <w:bottom w:val="nil"/>
              <w:right w:val="nil"/>
            </w:tcBorders>
            <w:shd w:val="clear" w:color="auto" w:fill="auto"/>
            <w:noWrap/>
            <w:vAlign w:val="center"/>
            <w:hideMark/>
          </w:tcPr>
          <w:p w14:paraId="4BE914C3" w14:textId="77777777" w:rsidR="005218B7" w:rsidRPr="00AB58E1" w:rsidRDefault="005218B7" w:rsidP="005218B7">
            <w:pPr>
              <w:spacing w:line="240" w:lineRule="auto"/>
              <w:ind w:firstLine="0"/>
              <w:jc w:val="center"/>
              <w:rPr>
                <w:rFonts w:ascii="Calibri" w:hAnsi="Calibri" w:cs="Calibri"/>
                <w:color w:val="000000"/>
                <w:sz w:val="22"/>
                <w:szCs w:val="22"/>
              </w:rPr>
            </w:pPr>
            <w:r w:rsidRPr="00AB58E1">
              <w:rPr>
                <w:rFonts w:ascii="Calibri" w:hAnsi="Calibri" w:cs="Calibri"/>
                <w:color w:val="000000"/>
                <w:sz w:val="22"/>
                <w:szCs w:val="22"/>
              </w:rPr>
              <w:t>0.151</w:t>
            </w:r>
          </w:p>
        </w:tc>
        <w:tc>
          <w:tcPr>
            <w:tcW w:w="1350" w:type="dxa"/>
            <w:tcBorders>
              <w:top w:val="nil"/>
              <w:left w:val="nil"/>
              <w:bottom w:val="nil"/>
              <w:right w:val="nil"/>
            </w:tcBorders>
            <w:shd w:val="clear" w:color="auto" w:fill="auto"/>
            <w:noWrap/>
            <w:vAlign w:val="center"/>
            <w:hideMark/>
          </w:tcPr>
          <w:p w14:paraId="47CE5E79" w14:textId="77777777" w:rsidR="005218B7" w:rsidRPr="00AB58E1" w:rsidRDefault="005218B7" w:rsidP="005218B7">
            <w:pPr>
              <w:spacing w:line="240" w:lineRule="auto"/>
              <w:ind w:firstLine="0"/>
              <w:jc w:val="center"/>
              <w:rPr>
                <w:rFonts w:ascii="Calibri" w:hAnsi="Calibri" w:cs="Calibri"/>
                <w:color w:val="000000"/>
                <w:sz w:val="22"/>
                <w:szCs w:val="22"/>
              </w:rPr>
            </w:pPr>
            <w:r w:rsidRPr="00AB58E1">
              <w:rPr>
                <w:rFonts w:ascii="Calibri" w:hAnsi="Calibri" w:cs="Calibri"/>
                <w:color w:val="000000"/>
                <w:sz w:val="22"/>
                <w:szCs w:val="22"/>
              </w:rPr>
              <w:t>11.02</w:t>
            </w:r>
          </w:p>
        </w:tc>
        <w:tc>
          <w:tcPr>
            <w:tcW w:w="1170" w:type="dxa"/>
            <w:tcBorders>
              <w:top w:val="nil"/>
              <w:left w:val="nil"/>
              <w:bottom w:val="nil"/>
              <w:right w:val="nil"/>
            </w:tcBorders>
            <w:shd w:val="clear" w:color="auto" w:fill="auto"/>
            <w:noWrap/>
            <w:vAlign w:val="center"/>
            <w:hideMark/>
          </w:tcPr>
          <w:p w14:paraId="530B156F" w14:textId="77777777" w:rsidR="005218B7" w:rsidRPr="00AB58E1" w:rsidRDefault="005218B7" w:rsidP="005218B7">
            <w:pPr>
              <w:spacing w:line="240" w:lineRule="auto"/>
              <w:ind w:firstLine="0"/>
              <w:jc w:val="center"/>
              <w:rPr>
                <w:rFonts w:ascii="Calibri" w:hAnsi="Calibri" w:cs="Calibri"/>
                <w:color w:val="000000"/>
                <w:sz w:val="22"/>
                <w:szCs w:val="22"/>
              </w:rPr>
            </w:pPr>
            <w:r w:rsidRPr="00AB58E1">
              <w:rPr>
                <w:rFonts w:ascii="Calibri" w:hAnsi="Calibri" w:cs="Calibri"/>
                <w:color w:val="000000"/>
                <w:sz w:val="22"/>
                <w:szCs w:val="22"/>
              </w:rPr>
              <w:t>9.00E-04</w:t>
            </w:r>
          </w:p>
        </w:tc>
        <w:tc>
          <w:tcPr>
            <w:tcW w:w="1440" w:type="dxa"/>
            <w:tcBorders>
              <w:top w:val="nil"/>
              <w:left w:val="nil"/>
              <w:bottom w:val="nil"/>
              <w:right w:val="nil"/>
            </w:tcBorders>
            <w:vAlign w:val="center"/>
          </w:tcPr>
          <w:p w14:paraId="445B9044" w14:textId="11FB4C6B" w:rsidR="005218B7" w:rsidRPr="00AB58E1" w:rsidRDefault="00863D24" w:rsidP="005218B7">
            <w:pPr>
              <w:spacing w:line="240" w:lineRule="auto"/>
              <w:ind w:firstLine="0"/>
              <w:jc w:val="center"/>
              <w:rPr>
                <w:rFonts w:ascii="Calibri" w:hAnsi="Calibri" w:cs="Calibri"/>
                <w:color w:val="000000"/>
                <w:sz w:val="22"/>
                <w:szCs w:val="22"/>
              </w:rPr>
            </w:pPr>
            <w:r>
              <w:rPr>
                <w:rFonts w:ascii="Calibri" w:hAnsi="Calibri" w:cs="Calibri"/>
                <w:color w:val="000000"/>
                <w:sz w:val="22"/>
                <w:szCs w:val="22"/>
              </w:rPr>
              <w:t>0.0020</w:t>
            </w:r>
          </w:p>
        </w:tc>
      </w:tr>
      <w:tr w:rsidR="005218B7" w:rsidRPr="00AB58E1" w14:paraId="5333A97C" w14:textId="07BA56B9" w:rsidTr="005218B7">
        <w:trPr>
          <w:trHeight w:hRule="exact" w:val="432"/>
        </w:trPr>
        <w:tc>
          <w:tcPr>
            <w:tcW w:w="1260" w:type="dxa"/>
            <w:tcBorders>
              <w:top w:val="single" w:sz="8" w:space="0" w:color="7F7F7F"/>
              <w:left w:val="nil"/>
              <w:bottom w:val="single" w:sz="8" w:space="0" w:color="7F7F7F"/>
              <w:right w:val="nil"/>
            </w:tcBorders>
            <w:shd w:val="clear" w:color="auto" w:fill="auto"/>
            <w:noWrap/>
            <w:vAlign w:val="center"/>
            <w:hideMark/>
          </w:tcPr>
          <w:p w14:paraId="61577216" w14:textId="77777777" w:rsidR="005218B7" w:rsidRPr="00AB58E1" w:rsidRDefault="005218B7" w:rsidP="005218B7">
            <w:pPr>
              <w:spacing w:line="240" w:lineRule="auto"/>
              <w:ind w:firstLine="0"/>
              <w:jc w:val="center"/>
              <w:rPr>
                <w:rFonts w:ascii="Calibri" w:hAnsi="Calibri" w:cs="Calibri"/>
                <w:b/>
                <w:bCs/>
                <w:color w:val="FF0000"/>
                <w:sz w:val="22"/>
                <w:szCs w:val="22"/>
              </w:rPr>
            </w:pPr>
            <w:r w:rsidRPr="00AB58E1">
              <w:rPr>
                <w:rFonts w:ascii="Calibri" w:hAnsi="Calibri" w:cs="Calibri"/>
                <w:b/>
                <w:bCs/>
                <w:color w:val="FF0000"/>
                <w:sz w:val="22"/>
                <w:szCs w:val="22"/>
              </w:rPr>
              <w:t>A</w:t>
            </w:r>
            <w:r w:rsidRPr="00AB58E1">
              <w:rPr>
                <w:rFonts w:ascii="Calibri" w:hAnsi="Calibri" w:cs="Calibri"/>
                <w:b/>
                <w:bCs/>
                <w:color w:val="0070C0"/>
                <w:sz w:val="22"/>
                <w:szCs w:val="22"/>
              </w:rPr>
              <w:t>G</w:t>
            </w:r>
          </w:p>
        </w:tc>
        <w:tc>
          <w:tcPr>
            <w:tcW w:w="1440" w:type="dxa"/>
            <w:tcBorders>
              <w:top w:val="single" w:sz="8" w:space="0" w:color="7F7F7F"/>
              <w:left w:val="nil"/>
              <w:bottom w:val="single" w:sz="8" w:space="0" w:color="7F7F7F"/>
              <w:right w:val="nil"/>
            </w:tcBorders>
            <w:shd w:val="clear" w:color="auto" w:fill="auto"/>
            <w:noWrap/>
            <w:vAlign w:val="center"/>
            <w:hideMark/>
          </w:tcPr>
          <w:p w14:paraId="72C09320" w14:textId="77777777" w:rsidR="005218B7" w:rsidRPr="00AB58E1" w:rsidRDefault="005218B7" w:rsidP="005218B7">
            <w:pPr>
              <w:spacing w:line="240" w:lineRule="auto"/>
              <w:ind w:firstLine="0"/>
              <w:jc w:val="center"/>
              <w:rPr>
                <w:rFonts w:ascii="Calibri" w:hAnsi="Calibri" w:cs="Calibri"/>
                <w:color w:val="000000"/>
                <w:sz w:val="22"/>
                <w:szCs w:val="22"/>
              </w:rPr>
            </w:pPr>
            <w:r w:rsidRPr="00AB58E1">
              <w:rPr>
                <w:rFonts w:ascii="Calibri" w:hAnsi="Calibri" w:cs="Calibri"/>
                <w:color w:val="000000"/>
                <w:sz w:val="22"/>
                <w:szCs w:val="22"/>
              </w:rPr>
              <w:t>0.163</w:t>
            </w:r>
          </w:p>
        </w:tc>
        <w:tc>
          <w:tcPr>
            <w:tcW w:w="1170" w:type="dxa"/>
            <w:tcBorders>
              <w:top w:val="single" w:sz="8" w:space="0" w:color="7F7F7F"/>
              <w:left w:val="nil"/>
              <w:bottom w:val="single" w:sz="8" w:space="0" w:color="7F7F7F"/>
              <w:right w:val="nil"/>
            </w:tcBorders>
            <w:shd w:val="clear" w:color="auto" w:fill="auto"/>
            <w:noWrap/>
            <w:vAlign w:val="center"/>
            <w:hideMark/>
          </w:tcPr>
          <w:p w14:paraId="60D92A5C" w14:textId="77777777" w:rsidR="005218B7" w:rsidRPr="00AB58E1" w:rsidRDefault="005218B7" w:rsidP="005218B7">
            <w:pPr>
              <w:spacing w:line="240" w:lineRule="auto"/>
              <w:ind w:firstLine="0"/>
              <w:jc w:val="center"/>
              <w:rPr>
                <w:rFonts w:ascii="Calibri" w:hAnsi="Calibri" w:cs="Calibri"/>
                <w:color w:val="000000"/>
                <w:sz w:val="22"/>
                <w:szCs w:val="22"/>
              </w:rPr>
            </w:pPr>
            <w:r w:rsidRPr="00AB58E1">
              <w:rPr>
                <w:rFonts w:ascii="Calibri" w:hAnsi="Calibri" w:cs="Calibri"/>
                <w:color w:val="000000"/>
                <w:sz w:val="22"/>
                <w:szCs w:val="22"/>
              </w:rPr>
              <w:t>0.169</w:t>
            </w:r>
          </w:p>
        </w:tc>
        <w:tc>
          <w:tcPr>
            <w:tcW w:w="1620" w:type="dxa"/>
            <w:tcBorders>
              <w:top w:val="single" w:sz="8" w:space="0" w:color="7F7F7F"/>
              <w:left w:val="nil"/>
              <w:bottom w:val="single" w:sz="8" w:space="0" w:color="7F7F7F"/>
              <w:right w:val="nil"/>
            </w:tcBorders>
            <w:shd w:val="clear" w:color="auto" w:fill="auto"/>
            <w:noWrap/>
            <w:vAlign w:val="center"/>
            <w:hideMark/>
          </w:tcPr>
          <w:p w14:paraId="063AEF74" w14:textId="77777777" w:rsidR="005218B7" w:rsidRPr="00AB58E1" w:rsidRDefault="005218B7" w:rsidP="005218B7">
            <w:pPr>
              <w:spacing w:line="240" w:lineRule="auto"/>
              <w:ind w:firstLine="0"/>
              <w:jc w:val="center"/>
              <w:rPr>
                <w:rFonts w:ascii="Calibri" w:hAnsi="Calibri" w:cs="Calibri"/>
                <w:color w:val="000000"/>
                <w:sz w:val="22"/>
                <w:szCs w:val="22"/>
              </w:rPr>
            </w:pPr>
            <w:r w:rsidRPr="00AB58E1">
              <w:rPr>
                <w:rFonts w:ascii="Calibri" w:hAnsi="Calibri" w:cs="Calibri"/>
                <w:color w:val="000000"/>
                <w:sz w:val="22"/>
                <w:szCs w:val="22"/>
              </w:rPr>
              <w:t>0.154</w:t>
            </w:r>
          </w:p>
        </w:tc>
        <w:tc>
          <w:tcPr>
            <w:tcW w:w="1350" w:type="dxa"/>
            <w:tcBorders>
              <w:top w:val="single" w:sz="8" w:space="0" w:color="7F7F7F"/>
              <w:left w:val="nil"/>
              <w:bottom w:val="single" w:sz="8" w:space="0" w:color="7F7F7F"/>
              <w:right w:val="nil"/>
            </w:tcBorders>
            <w:shd w:val="clear" w:color="auto" w:fill="auto"/>
            <w:noWrap/>
            <w:vAlign w:val="center"/>
            <w:hideMark/>
          </w:tcPr>
          <w:p w14:paraId="1E00FB6D" w14:textId="77777777" w:rsidR="005218B7" w:rsidRPr="00AB58E1" w:rsidRDefault="005218B7" w:rsidP="005218B7">
            <w:pPr>
              <w:spacing w:line="240" w:lineRule="auto"/>
              <w:ind w:firstLine="0"/>
              <w:jc w:val="center"/>
              <w:rPr>
                <w:rFonts w:ascii="Calibri" w:hAnsi="Calibri" w:cs="Calibri"/>
                <w:color w:val="000000"/>
                <w:sz w:val="22"/>
                <w:szCs w:val="22"/>
              </w:rPr>
            </w:pPr>
            <w:r w:rsidRPr="00AB58E1">
              <w:rPr>
                <w:rFonts w:ascii="Calibri" w:hAnsi="Calibri" w:cs="Calibri"/>
                <w:color w:val="000000"/>
                <w:sz w:val="22"/>
                <w:szCs w:val="22"/>
              </w:rPr>
              <w:t>0.967</w:t>
            </w:r>
          </w:p>
        </w:tc>
        <w:tc>
          <w:tcPr>
            <w:tcW w:w="1170" w:type="dxa"/>
            <w:tcBorders>
              <w:top w:val="single" w:sz="8" w:space="0" w:color="7F7F7F"/>
              <w:left w:val="nil"/>
              <w:bottom w:val="single" w:sz="8" w:space="0" w:color="7F7F7F"/>
              <w:right w:val="nil"/>
            </w:tcBorders>
            <w:shd w:val="clear" w:color="auto" w:fill="auto"/>
            <w:noWrap/>
            <w:vAlign w:val="center"/>
            <w:hideMark/>
          </w:tcPr>
          <w:p w14:paraId="26BA469D" w14:textId="77777777" w:rsidR="005218B7" w:rsidRPr="00AB58E1" w:rsidRDefault="005218B7" w:rsidP="005218B7">
            <w:pPr>
              <w:spacing w:line="240" w:lineRule="auto"/>
              <w:ind w:firstLine="0"/>
              <w:jc w:val="center"/>
              <w:rPr>
                <w:rFonts w:ascii="Calibri" w:hAnsi="Calibri" w:cs="Calibri"/>
                <w:color w:val="000000"/>
                <w:sz w:val="22"/>
                <w:szCs w:val="22"/>
              </w:rPr>
            </w:pPr>
            <w:r w:rsidRPr="00AB58E1">
              <w:rPr>
                <w:rFonts w:ascii="Calibri" w:hAnsi="Calibri" w:cs="Calibri"/>
                <w:color w:val="000000"/>
                <w:sz w:val="22"/>
                <w:szCs w:val="22"/>
              </w:rPr>
              <w:t>0.3254</w:t>
            </w:r>
          </w:p>
        </w:tc>
        <w:tc>
          <w:tcPr>
            <w:tcW w:w="1440" w:type="dxa"/>
            <w:tcBorders>
              <w:top w:val="single" w:sz="8" w:space="0" w:color="7F7F7F"/>
              <w:left w:val="nil"/>
              <w:bottom w:val="single" w:sz="8" w:space="0" w:color="7F7F7F"/>
              <w:right w:val="nil"/>
            </w:tcBorders>
            <w:vAlign w:val="center"/>
          </w:tcPr>
          <w:p w14:paraId="129DBEC4" w14:textId="20309190" w:rsidR="005218B7" w:rsidRPr="00AB58E1" w:rsidRDefault="00863D24" w:rsidP="005218B7">
            <w:pPr>
              <w:spacing w:line="240" w:lineRule="auto"/>
              <w:ind w:firstLine="0"/>
              <w:jc w:val="center"/>
              <w:rPr>
                <w:rFonts w:ascii="Calibri" w:hAnsi="Calibri" w:cs="Calibri"/>
                <w:color w:val="000000"/>
                <w:sz w:val="22"/>
                <w:szCs w:val="22"/>
              </w:rPr>
            </w:pPr>
            <w:r>
              <w:rPr>
                <w:rFonts w:ascii="Calibri" w:hAnsi="Calibri" w:cs="Calibri"/>
                <w:color w:val="000000"/>
                <w:sz w:val="22"/>
                <w:szCs w:val="22"/>
              </w:rPr>
              <w:t>0.5560</w:t>
            </w:r>
          </w:p>
        </w:tc>
      </w:tr>
    </w:tbl>
    <w:p w14:paraId="042053F7" w14:textId="5E5334A3" w:rsidR="00AB58E1" w:rsidRPr="00ED3678" w:rsidRDefault="00B232C2" w:rsidP="00B449FE">
      <w:pPr>
        <w:autoSpaceDE w:val="0"/>
        <w:autoSpaceDN w:val="0"/>
        <w:adjustRightInd w:val="0"/>
        <w:spacing w:before="240" w:line="240" w:lineRule="auto"/>
        <w:ind w:firstLine="0"/>
        <w:jc w:val="left"/>
        <w:rPr>
          <w:color w:val="000000"/>
          <w:sz w:val="22"/>
          <w:szCs w:val="22"/>
        </w:rPr>
      </w:pPr>
      <w:r w:rsidRPr="00ED3678">
        <w:rPr>
          <w:color w:val="FF0000"/>
          <w:sz w:val="22"/>
          <w:szCs w:val="22"/>
        </w:rPr>
        <w:t>Red</w:t>
      </w:r>
      <w:r w:rsidRPr="00ED3678">
        <w:rPr>
          <w:color w:val="000000"/>
          <w:sz w:val="22"/>
          <w:szCs w:val="22"/>
        </w:rPr>
        <w:t>: Risk</w:t>
      </w:r>
      <w:r w:rsidR="00B449FE" w:rsidRPr="00ED3678">
        <w:rPr>
          <w:color w:val="000000"/>
          <w:sz w:val="22"/>
          <w:szCs w:val="22"/>
        </w:rPr>
        <w:t xml:space="preserve"> </w:t>
      </w:r>
      <w:r w:rsidRPr="00ED3678">
        <w:rPr>
          <w:color w:val="000000"/>
          <w:sz w:val="22"/>
          <w:szCs w:val="22"/>
        </w:rPr>
        <w:t>allele,</w:t>
      </w:r>
      <w:r w:rsidR="00B449FE" w:rsidRPr="00ED3678">
        <w:rPr>
          <w:color w:val="000000"/>
          <w:sz w:val="22"/>
          <w:szCs w:val="22"/>
        </w:rPr>
        <w:t xml:space="preserve"> </w:t>
      </w:r>
      <w:r w:rsidRPr="00ED3678">
        <w:rPr>
          <w:color w:val="0000FF"/>
          <w:sz w:val="22"/>
          <w:szCs w:val="22"/>
        </w:rPr>
        <w:t>Blue</w:t>
      </w:r>
      <w:r w:rsidRPr="00ED3678">
        <w:rPr>
          <w:color w:val="000000"/>
          <w:sz w:val="22"/>
          <w:szCs w:val="22"/>
        </w:rPr>
        <w:t>:</w:t>
      </w:r>
      <w:r w:rsidR="00B449FE" w:rsidRPr="00ED3678">
        <w:rPr>
          <w:color w:val="000000"/>
          <w:sz w:val="22"/>
          <w:szCs w:val="22"/>
        </w:rPr>
        <w:t xml:space="preserve"> </w:t>
      </w:r>
      <w:r w:rsidRPr="00ED3678">
        <w:rPr>
          <w:color w:val="000000"/>
          <w:sz w:val="22"/>
          <w:szCs w:val="22"/>
        </w:rPr>
        <w:t>Protective</w:t>
      </w:r>
      <w:r w:rsidR="00B449FE" w:rsidRPr="00ED3678">
        <w:rPr>
          <w:color w:val="000000"/>
          <w:sz w:val="22"/>
          <w:szCs w:val="22"/>
        </w:rPr>
        <w:t xml:space="preserve"> </w:t>
      </w:r>
      <w:r w:rsidRPr="00ED3678">
        <w:rPr>
          <w:color w:val="000000"/>
          <w:sz w:val="22"/>
          <w:szCs w:val="22"/>
        </w:rPr>
        <w:t>allele</w:t>
      </w:r>
      <w:r w:rsidR="00863D24" w:rsidRPr="00ED3678">
        <w:rPr>
          <w:color w:val="000000"/>
          <w:sz w:val="22"/>
          <w:szCs w:val="22"/>
        </w:rPr>
        <w:t xml:space="preserve">; Number of </w:t>
      </w:r>
      <w:r w:rsidR="00A92927" w:rsidRPr="00ED3678">
        <w:rPr>
          <w:color w:val="000000"/>
          <w:sz w:val="22"/>
          <w:szCs w:val="22"/>
        </w:rPr>
        <w:t>P</w:t>
      </w:r>
      <w:r w:rsidR="00863D24" w:rsidRPr="00ED3678">
        <w:rPr>
          <w:color w:val="000000"/>
          <w:sz w:val="22"/>
          <w:szCs w:val="22"/>
        </w:rPr>
        <w:t>ermutations: 1000</w:t>
      </w:r>
    </w:p>
    <w:p w14:paraId="4908ED4E" w14:textId="37B7E35A" w:rsidR="000D57B2" w:rsidRDefault="00164BBD" w:rsidP="000D57B2">
      <w:pPr>
        <w:pStyle w:val="Heading2"/>
      </w:pPr>
      <w:bookmarkStart w:id="48" w:name="_Toc40435747"/>
      <w:r>
        <w:t xml:space="preserve">Functional Assessment </w:t>
      </w:r>
      <w:r w:rsidR="000D57B2">
        <w:t xml:space="preserve">of </w:t>
      </w:r>
      <w:bookmarkStart w:id="49" w:name="_Hlk39540967"/>
      <w:r>
        <w:t>SLE-associated</w:t>
      </w:r>
      <w:r w:rsidR="000D57B2">
        <w:t xml:space="preserve"> SNPs</w:t>
      </w:r>
      <w:bookmarkEnd w:id="48"/>
      <w:bookmarkEnd w:id="49"/>
    </w:p>
    <w:p w14:paraId="74525664" w14:textId="404A0260" w:rsidR="007328D8" w:rsidRDefault="00246312" w:rsidP="00E30F8C">
      <w:r>
        <w:t xml:space="preserve">The SLE-associated SNPs, </w:t>
      </w:r>
      <w:r w:rsidRPr="00423595">
        <w:t>rs1800683</w:t>
      </w:r>
      <w:r>
        <w:t xml:space="preserve"> and r</w:t>
      </w:r>
      <w:r w:rsidRPr="00423595">
        <w:t>s1800629</w:t>
      </w:r>
      <w:r>
        <w:t xml:space="preserve">, </w:t>
      </w:r>
      <w:r w:rsidR="00E41AA1">
        <w:t>have</w:t>
      </w:r>
      <w:r w:rsidRPr="00246312">
        <w:t xml:space="preserve"> RegulomeDB score</w:t>
      </w:r>
      <w:r>
        <w:t>s</w:t>
      </w:r>
      <w:r w:rsidRPr="00246312">
        <w:t xml:space="preserve"> of </w:t>
      </w:r>
      <w:r w:rsidRPr="00246312">
        <w:rPr>
          <w:b/>
          <w:bCs/>
        </w:rPr>
        <w:t>2b</w:t>
      </w:r>
      <w:r>
        <w:t xml:space="preserve"> and </w:t>
      </w:r>
      <w:r w:rsidRPr="00246312">
        <w:rPr>
          <w:b/>
          <w:bCs/>
        </w:rPr>
        <w:t>1d</w:t>
      </w:r>
      <w:r>
        <w:t>,</w:t>
      </w:r>
      <w:r w:rsidRPr="00246312">
        <w:t xml:space="preserve"> </w:t>
      </w:r>
      <w:r w:rsidR="00F44A55">
        <w:t xml:space="preserve">respectively, </w:t>
      </w:r>
      <w:r w:rsidRPr="00246312">
        <w:t xml:space="preserve">indicating a </w:t>
      </w:r>
      <w:r>
        <w:t>strong</w:t>
      </w:r>
      <w:r w:rsidRPr="00246312">
        <w:t xml:space="preserve"> regulatory potential</w:t>
      </w:r>
      <w:r>
        <w:t xml:space="preserve"> (2b=“</w:t>
      </w:r>
      <w:r w:rsidRPr="00246312">
        <w:t>TF binding + any motif + DNase Footprint + DNase peak</w:t>
      </w:r>
      <w:r>
        <w:t>”, 1d=</w:t>
      </w:r>
      <w:r w:rsidRPr="00246312">
        <w:t xml:space="preserve"> </w:t>
      </w:r>
      <w:r>
        <w:t>“</w:t>
      </w:r>
      <w:r w:rsidRPr="00246312">
        <w:t>eQTL + TF binding + any motif + DNase peak</w:t>
      </w:r>
      <w:r>
        <w:t>”)</w:t>
      </w:r>
      <w:r w:rsidR="00DE131C">
        <w:t xml:space="preserve"> </w:t>
      </w:r>
      <w:r>
        <w:t>(details of</w:t>
      </w:r>
      <w:r w:rsidR="00F44A55">
        <w:t xml:space="preserve"> the</w:t>
      </w:r>
      <w:r>
        <w:t xml:space="preserve"> scoring </w:t>
      </w:r>
      <w:r w:rsidRPr="00246312">
        <w:t>scheme</w:t>
      </w:r>
      <w:r>
        <w:t xml:space="preserve"> can be found at</w:t>
      </w:r>
      <w:r w:rsidRPr="00246312">
        <w:t xml:space="preserve"> https://regulomedb.org/regulome-help/</w:t>
      </w:r>
      <w:r>
        <w:t>).</w:t>
      </w:r>
      <w:r w:rsidR="005509A5">
        <w:rPr>
          <w:b/>
          <w:bCs/>
          <w:noProof/>
          <w:sz w:val="20"/>
          <w:szCs w:val="20"/>
        </w:rPr>
        <w:fldChar w:fldCharType="begin"/>
      </w:r>
      <w:r w:rsidR="005509A5">
        <w:instrText xml:space="preserve"> LINK </w:instrText>
      </w:r>
      <w:r w:rsidR="007328D8">
        <w:instrText xml:space="preserve">Excel.SheetBinaryMacroEnabled.12 "C:\\Users\\kutzn\\OneDrive\\Documents\\PITT FOLDER\\Spring 2020\\Masters Essay\\LD Link 1.txt" "LD Link 1!R1C1:R7C9" </w:instrText>
      </w:r>
      <w:r w:rsidR="005509A5">
        <w:instrText xml:space="preserve">\a \f 4 \h  \* MERGEFORMAT </w:instrText>
      </w:r>
      <w:r w:rsidR="005509A5">
        <w:rPr>
          <w:b/>
          <w:bCs/>
          <w:noProof/>
          <w:sz w:val="20"/>
          <w:szCs w:val="20"/>
        </w:rPr>
        <w:fldChar w:fldCharType="separate"/>
      </w:r>
    </w:p>
    <w:p w14:paraId="620D763A" w14:textId="3DB14C6C" w:rsidR="007328D8" w:rsidRDefault="005509A5" w:rsidP="00E30F8C">
      <w:r>
        <w:lastRenderedPageBreak/>
        <w:fldChar w:fldCharType="end"/>
      </w:r>
      <w:r w:rsidR="00DF3BC0" w:rsidRPr="00DF3BC0">
        <w:t xml:space="preserve"> </w:t>
      </w:r>
      <w:r w:rsidR="00DF3BC0">
        <w:t xml:space="preserve">The evaluation of </w:t>
      </w:r>
      <w:bookmarkStart w:id="50" w:name="_Hlk39603831"/>
      <w:r w:rsidR="00DF3BC0">
        <w:t xml:space="preserve">the </w:t>
      </w:r>
      <w:r w:rsidR="00DF3BC0" w:rsidRPr="00423595">
        <w:t>rs1800683</w:t>
      </w:r>
      <w:r w:rsidR="00DF3BC0">
        <w:t xml:space="preserve"> and r</w:t>
      </w:r>
      <w:r w:rsidR="00DF3BC0" w:rsidRPr="00423595">
        <w:t>s1800629</w:t>
      </w:r>
      <w:r w:rsidR="00DF3BC0">
        <w:t xml:space="preserve"> SNPs</w:t>
      </w:r>
      <w:r w:rsidR="00CA110D">
        <w:t>,</w:t>
      </w:r>
      <w:r w:rsidR="00DF3BC0">
        <w:t xml:space="preserve"> as well as those in complete LD </w:t>
      </w:r>
      <w:r w:rsidR="003D12DC">
        <w:t>(</w:t>
      </w:r>
      <w:r w:rsidR="003D12DC" w:rsidRPr="00CA110D">
        <w:rPr>
          <w:i/>
          <w:iCs/>
        </w:rPr>
        <w:t>r</w:t>
      </w:r>
      <w:r w:rsidR="003D12DC" w:rsidRPr="00CA110D">
        <w:rPr>
          <w:i/>
          <w:iCs/>
          <w:vertAlign w:val="superscript"/>
        </w:rPr>
        <w:t>2</w:t>
      </w:r>
      <w:r w:rsidR="003D12DC">
        <w:t xml:space="preserve">=1) </w:t>
      </w:r>
      <w:r w:rsidR="00DF3BC0">
        <w:t xml:space="preserve">with </w:t>
      </w:r>
      <w:r w:rsidR="00F44A55">
        <w:t>these 2 SNPs</w:t>
      </w:r>
      <w:r w:rsidR="00DF3BC0">
        <w:t xml:space="preserve"> in European</w:t>
      </w:r>
      <w:r w:rsidR="00CA110D">
        <w:t xml:space="preserve"> subjects</w:t>
      </w:r>
      <w:r w:rsidR="00E41AA1">
        <w:t xml:space="preserve"> (rs909253 and rs2516482, respectively)</w:t>
      </w:r>
      <w:r w:rsidR="00CA110D">
        <w:t>,</w:t>
      </w:r>
      <w:r w:rsidR="00DF3BC0">
        <w:t xml:space="preserve"> </w:t>
      </w:r>
      <w:bookmarkEnd w:id="50"/>
      <w:r w:rsidR="00DF3BC0">
        <w:t>using HaploReg v</w:t>
      </w:r>
      <w:r w:rsidR="00CA110D">
        <w:t xml:space="preserve">ersion </w:t>
      </w:r>
      <w:r w:rsidR="00DF3BC0">
        <w:t>4 further support</w:t>
      </w:r>
      <w:r w:rsidR="00E41AA1">
        <w:t>s</w:t>
      </w:r>
      <w:r w:rsidR="00DF3BC0">
        <w:t xml:space="preserve"> </w:t>
      </w:r>
      <w:r w:rsidR="00A9688B">
        <w:t xml:space="preserve">a </w:t>
      </w:r>
      <w:r w:rsidR="00DF3BC0">
        <w:t>potential regulatory function</w:t>
      </w:r>
      <w:r w:rsidR="00E41AA1">
        <w:t xml:space="preserve"> </w:t>
      </w:r>
      <w:r w:rsidR="00A9688B">
        <w:t>for</w:t>
      </w:r>
      <w:r w:rsidR="00256936">
        <w:t xml:space="preserve"> </w:t>
      </w:r>
      <w:r w:rsidR="00E41AA1">
        <w:t>these polymorphisms</w:t>
      </w:r>
      <w:r w:rsidR="00DF3BC0">
        <w:t xml:space="preserve"> (</w:t>
      </w:r>
      <w:r w:rsidR="00DF3BC0" w:rsidRPr="00DF3BC0">
        <w:rPr>
          <w:b/>
          <w:bCs/>
        </w:rPr>
        <w:t>Figure 5</w:t>
      </w:r>
      <w:r w:rsidR="00DF3BC0">
        <w:t xml:space="preserve">). </w:t>
      </w:r>
    </w:p>
    <w:p w14:paraId="3578328F" w14:textId="57F5A466" w:rsidR="003D12DC" w:rsidRDefault="003D12DC" w:rsidP="007328D8">
      <w:pPr>
        <w:jc w:val="left"/>
      </w:pPr>
      <w:r>
        <w:rPr>
          <w:noProof/>
        </w:rPr>
        <w:drawing>
          <wp:anchor distT="0" distB="0" distL="114300" distR="114300" simplePos="0" relativeHeight="251658752" behindDoc="0" locked="0" layoutInCell="1" allowOverlap="1" wp14:anchorId="77F20EB1" wp14:editId="460DF6FD">
            <wp:simplePos x="0" y="0"/>
            <wp:positionH relativeFrom="margin">
              <wp:align>right</wp:align>
            </wp:positionH>
            <wp:positionV relativeFrom="paragraph">
              <wp:posOffset>476406</wp:posOffset>
            </wp:positionV>
            <wp:extent cx="5943600" cy="4086860"/>
            <wp:effectExtent l="0" t="0" r="0" b="8890"/>
            <wp:wrapSquare wrapText="bothSides"/>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05-05-20 at 08.34 PM.JPG"/>
                    <pic:cNvPicPr/>
                  </pic:nvPicPr>
                  <pic:blipFill>
                    <a:blip r:embed="rId14"/>
                    <a:stretch>
                      <a:fillRect/>
                    </a:stretch>
                  </pic:blipFill>
                  <pic:spPr>
                    <a:xfrm>
                      <a:off x="0" y="0"/>
                      <a:ext cx="5943600" cy="4086860"/>
                    </a:xfrm>
                    <a:prstGeom prst="rect">
                      <a:avLst/>
                    </a:prstGeom>
                  </pic:spPr>
                </pic:pic>
              </a:graphicData>
            </a:graphic>
          </wp:anchor>
        </w:drawing>
      </w:r>
    </w:p>
    <w:p w14:paraId="124FD11F" w14:textId="3C7B5301" w:rsidR="003D12DC" w:rsidRDefault="00432460" w:rsidP="00432460">
      <w:pPr>
        <w:pStyle w:val="Caption"/>
      </w:pPr>
      <w:bookmarkStart w:id="51" w:name="_Toc40435759"/>
      <w:r>
        <w:t xml:space="preserve">Figure </w:t>
      </w:r>
      <w:r>
        <w:fldChar w:fldCharType="begin"/>
      </w:r>
      <w:r>
        <w:instrText xml:space="preserve"> SEQ Figure \* ARABIC </w:instrText>
      </w:r>
      <w:r>
        <w:fldChar w:fldCharType="separate"/>
      </w:r>
      <w:r>
        <w:t>5</w:t>
      </w:r>
      <w:r>
        <w:fldChar w:fldCharType="end"/>
      </w:r>
      <w:r>
        <w:t xml:space="preserve"> Functional annotation of SLE associated SNPs using HaploReg tool</w:t>
      </w:r>
      <w:bookmarkEnd w:id="51"/>
    </w:p>
    <w:p w14:paraId="1898F6FD" w14:textId="627438EA" w:rsidR="003D12DC" w:rsidRPr="00EA6BD5" w:rsidRDefault="00CA110D" w:rsidP="0054188D">
      <w:pPr>
        <w:pStyle w:val="CaptionDescription"/>
        <w:spacing w:line="360" w:lineRule="auto"/>
        <w:jc w:val="both"/>
        <w:rPr>
          <w:b w:val="0"/>
          <w:bCs/>
          <w:sz w:val="24"/>
        </w:rPr>
      </w:pPr>
      <w:r>
        <w:rPr>
          <w:b w:val="0"/>
          <w:bCs/>
          <w:sz w:val="24"/>
        </w:rPr>
        <w:t xml:space="preserve">HaploReg version 4 was used to evaluate </w:t>
      </w:r>
      <w:r w:rsidRPr="00CA110D">
        <w:rPr>
          <w:b w:val="0"/>
          <w:bCs/>
          <w:sz w:val="24"/>
        </w:rPr>
        <w:t xml:space="preserve">the </w:t>
      </w:r>
      <w:r w:rsidR="00B541ED">
        <w:rPr>
          <w:b w:val="0"/>
          <w:bCs/>
          <w:sz w:val="24"/>
        </w:rPr>
        <w:t xml:space="preserve">regulatory potential of the </w:t>
      </w:r>
      <w:r w:rsidRPr="00CA110D">
        <w:rPr>
          <w:b w:val="0"/>
          <w:bCs/>
          <w:sz w:val="24"/>
        </w:rPr>
        <w:t xml:space="preserve">rs1800683 and rs1800629 SNPs </w:t>
      </w:r>
      <w:r w:rsidR="00B541ED">
        <w:rPr>
          <w:b w:val="0"/>
          <w:bCs/>
          <w:sz w:val="24"/>
        </w:rPr>
        <w:t>plus</w:t>
      </w:r>
      <w:r>
        <w:rPr>
          <w:b w:val="0"/>
          <w:bCs/>
          <w:sz w:val="24"/>
        </w:rPr>
        <w:t xml:space="preserve"> </w:t>
      </w:r>
      <w:r w:rsidRPr="00CA110D">
        <w:rPr>
          <w:b w:val="0"/>
          <w:bCs/>
          <w:sz w:val="24"/>
        </w:rPr>
        <w:t>those</w:t>
      </w:r>
      <w:r w:rsidR="00B541ED">
        <w:rPr>
          <w:b w:val="0"/>
          <w:bCs/>
          <w:sz w:val="24"/>
        </w:rPr>
        <w:t xml:space="preserve"> SNPs</w:t>
      </w:r>
      <w:r w:rsidRPr="00CA110D">
        <w:rPr>
          <w:b w:val="0"/>
          <w:bCs/>
          <w:sz w:val="24"/>
        </w:rPr>
        <w:t xml:space="preserve"> in complete LD (</w:t>
      </w:r>
      <w:r w:rsidRPr="00CA110D">
        <w:rPr>
          <w:b w:val="0"/>
          <w:bCs/>
          <w:i/>
          <w:iCs/>
          <w:sz w:val="24"/>
        </w:rPr>
        <w:t>r</w:t>
      </w:r>
      <w:r w:rsidRPr="00B541ED">
        <w:rPr>
          <w:b w:val="0"/>
          <w:bCs/>
          <w:i/>
          <w:iCs/>
          <w:sz w:val="24"/>
          <w:vertAlign w:val="superscript"/>
        </w:rPr>
        <w:t>2</w:t>
      </w:r>
      <w:r w:rsidRPr="00CA110D">
        <w:rPr>
          <w:b w:val="0"/>
          <w:bCs/>
          <w:sz w:val="24"/>
        </w:rPr>
        <w:t xml:space="preserve">=1) with </w:t>
      </w:r>
      <w:r>
        <w:rPr>
          <w:b w:val="0"/>
          <w:bCs/>
          <w:sz w:val="24"/>
        </w:rPr>
        <w:t>them</w:t>
      </w:r>
      <w:r w:rsidRPr="00CA110D">
        <w:rPr>
          <w:b w:val="0"/>
          <w:bCs/>
          <w:sz w:val="24"/>
        </w:rPr>
        <w:t xml:space="preserve"> in European</w:t>
      </w:r>
      <w:r>
        <w:rPr>
          <w:b w:val="0"/>
          <w:bCs/>
          <w:sz w:val="24"/>
        </w:rPr>
        <w:t>-descent subjects.</w:t>
      </w:r>
    </w:p>
    <w:p w14:paraId="76E2AE1D" w14:textId="713E76E8" w:rsidR="007328D8" w:rsidRDefault="007328D8" w:rsidP="007328D8">
      <w:pPr>
        <w:jc w:val="left"/>
      </w:pPr>
    </w:p>
    <w:p w14:paraId="0464A389" w14:textId="23E27EFC" w:rsidR="007328D8" w:rsidRDefault="007328D8" w:rsidP="007328D8">
      <w:pPr>
        <w:jc w:val="left"/>
      </w:pPr>
    </w:p>
    <w:p w14:paraId="432E5693" w14:textId="77777777" w:rsidR="007328D8" w:rsidRDefault="007328D8" w:rsidP="007328D8">
      <w:pPr>
        <w:jc w:val="left"/>
      </w:pPr>
    </w:p>
    <w:p w14:paraId="01A20686" w14:textId="0AA6D604" w:rsidR="002A2265" w:rsidRDefault="009D430A" w:rsidP="0054188D">
      <w:pPr>
        <w:pStyle w:val="Heading1"/>
        <w:ind w:hanging="2232"/>
      </w:pPr>
      <w:bookmarkStart w:id="52" w:name="_Toc40435748"/>
      <w:r>
        <w:lastRenderedPageBreak/>
        <w:t>Discussion</w:t>
      </w:r>
      <w:bookmarkEnd w:id="52"/>
      <w:r>
        <w:t xml:space="preserve"> </w:t>
      </w:r>
    </w:p>
    <w:p w14:paraId="08F0AB9D" w14:textId="3302AA91" w:rsidR="00192D29" w:rsidRDefault="00192D29" w:rsidP="00192D29">
      <w:r>
        <w:t xml:space="preserve">In this study, the association of genetic polymorphisms at the </w:t>
      </w:r>
      <w:r w:rsidRPr="00C15C32">
        <w:rPr>
          <w:i/>
          <w:iCs/>
        </w:rPr>
        <w:t>LTA/TNF/LTB</w:t>
      </w:r>
      <w:r>
        <w:t xml:space="preserve"> locus with SLE risk was evaluated in ~1,150 European-descent SLE case-control subjects. The </w:t>
      </w:r>
      <w:bookmarkStart w:id="53" w:name="_Hlk39588909"/>
      <w:r>
        <w:t xml:space="preserve">LTA/TNF/LTB gene cluster </w:t>
      </w:r>
      <w:bookmarkEnd w:id="53"/>
      <w:r w:rsidR="00A51C5A">
        <w:t>(</w:t>
      </w:r>
      <w:r w:rsidR="00A51C5A" w:rsidRPr="00192D29">
        <w:rPr>
          <w:b/>
          <w:bCs/>
        </w:rPr>
        <w:t>Figure 3</w:t>
      </w:r>
      <w:r w:rsidR="00A51C5A">
        <w:t xml:space="preserve">) </w:t>
      </w:r>
      <w:r>
        <w:t>resides within the MHC class III region on chromosome 6p21 and harbors 3 members of the Tumor Necrosis Factor Super Family</w:t>
      </w:r>
      <w:r w:rsidR="003133D6">
        <w:t xml:space="preserve"> (TNFSF)</w:t>
      </w:r>
      <w:r>
        <w:t xml:space="preserve"> whose protein products show significant biological interactions</w:t>
      </w:r>
      <w:r w:rsidR="00A51C5A">
        <w:t xml:space="preserve"> (</w:t>
      </w:r>
      <w:r w:rsidR="00A51C5A" w:rsidRPr="00192D29">
        <w:rPr>
          <w:b/>
          <w:bCs/>
        </w:rPr>
        <w:t>Figure 2</w:t>
      </w:r>
      <w:r w:rsidR="00A51C5A">
        <w:t>)</w:t>
      </w:r>
      <w:r>
        <w:t xml:space="preserve"> and carry out</w:t>
      </w:r>
      <w:r w:rsidR="00566063">
        <w:t xml:space="preserve"> multiple </w:t>
      </w:r>
      <w:r>
        <w:t>important immune functions</w:t>
      </w:r>
      <w:r w:rsidR="00FD2F1B">
        <w:t>,</w:t>
      </w:r>
      <w:r w:rsidR="00C82186">
        <w:t xml:space="preserve"> </w:t>
      </w:r>
      <w:r w:rsidR="001F0B27">
        <w:t xml:space="preserve">including their </w:t>
      </w:r>
      <w:r w:rsidR="00C82186">
        <w:t>contributi</w:t>
      </w:r>
      <w:r w:rsidR="001F0B27">
        <w:t>ons</w:t>
      </w:r>
      <w:r w:rsidR="00C82186">
        <w:t xml:space="preserve"> to acute/chronic inflammation</w:t>
      </w:r>
      <w:r>
        <w:t xml:space="preserve">. </w:t>
      </w:r>
    </w:p>
    <w:p w14:paraId="3B838E6B" w14:textId="08565745" w:rsidR="00885091" w:rsidRDefault="00192D29" w:rsidP="00192D29">
      <w:r>
        <w:t xml:space="preserve">Of fourteen </w:t>
      </w:r>
      <w:r w:rsidRPr="00C15C32">
        <w:rPr>
          <w:i/>
          <w:iCs/>
        </w:rPr>
        <w:t>LTA/TNF/LTB</w:t>
      </w:r>
      <w:r>
        <w:t xml:space="preserve"> region SNPs (MAF&gt;1%) investigated in this study for association with SLE under the dominant and additive models</w:t>
      </w:r>
      <w:r w:rsidR="007A0B09">
        <w:t xml:space="preserve"> (</w:t>
      </w:r>
      <w:r>
        <w:t>enabl</w:t>
      </w:r>
      <w:r w:rsidR="00C15C32">
        <w:t>ing</w:t>
      </w:r>
      <w:r>
        <w:t xml:space="preserve"> more powerful statistical analyses as compared to the recessive model</w:t>
      </w:r>
      <w:r w:rsidR="007A0B09">
        <w:t xml:space="preserve">), </w:t>
      </w:r>
      <w:r>
        <w:t xml:space="preserve">two SNPs were consistently found to be </w:t>
      </w:r>
      <w:r w:rsidR="00256936">
        <w:t>associated with</w:t>
      </w:r>
      <w:r>
        <w:t xml:space="preserve"> SLE </w:t>
      </w:r>
      <w:r w:rsidR="00256936">
        <w:t>risk:</w:t>
      </w:r>
      <w:r>
        <w:t xml:space="preserve"> </w:t>
      </w:r>
      <w:bookmarkStart w:id="54" w:name="_Hlk39594649"/>
      <w:r>
        <w:t xml:space="preserve">rs1800683 and </w:t>
      </w:r>
      <w:bookmarkStart w:id="55" w:name="_Hlk39588721"/>
      <w:r>
        <w:t xml:space="preserve">rs1800629 </w:t>
      </w:r>
      <w:bookmarkEnd w:id="55"/>
      <w:r>
        <w:t xml:space="preserve">located within </w:t>
      </w:r>
      <w:r w:rsidRPr="00C15C32">
        <w:rPr>
          <w:i/>
          <w:iCs/>
        </w:rPr>
        <w:t>LTA</w:t>
      </w:r>
      <w:r>
        <w:t xml:space="preserve"> (5’ UTR variant) </w:t>
      </w:r>
      <w:bookmarkEnd w:id="54"/>
      <w:r>
        <w:t xml:space="preserve">and between </w:t>
      </w:r>
      <w:r w:rsidRPr="00C15C32">
        <w:rPr>
          <w:i/>
          <w:iCs/>
        </w:rPr>
        <w:t>LTA</w:t>
      </w:r>
      <w:r>
        <w:t xml:space="preserve"> and </w:t>
      </w:r>
      <w:r w:rsidRPr="00C15C32">
        <w:rPr>
          <w:i/>
          <w:iCs/>
        </w:rPr>
        <w:t>TNF</w:t>
      </w:r>
      <w:r>
        <w:t xml:space="preserve"> (</w:t>
      </w:r>
      <w:r w:rsidR="007A0B09" w:rsidRPr="007A0B09">
        <w:rPr>
          <w:i/>
          <w:iCs/>
        </w:rPr>
        <w:t>TNF</w:t>
      </w:r>
      <w:r w:rsidR="007A0B09">
        <w:t xml:space="preserve"> </w:t>
      </w:r>
      <w:r>
        <w:t>promoter variant), respectively (</w:t>
      </w:r>
      <w:r w:rsidRPr="00192D29">
        <w:rPr>
          <w:b/>
          <w:bCs/>
        </w:rPr>
        <w:t>Table</w:t>
      </w:r>
      <w:r w:rsidR="00595252">
        <w:rPr>
          <w:b/>
          <w:bCs/>
        </w:rPr>
        <w:t>s 3 and</w:t>
      </w:r>
      <w:r w:rsidRPr="00192D29">
        <w:rPr>
          <w:b/>
          <w:bCs/>
        </w:rPr>
        <w:t xml:space="preserve"> 4</w:t>
      </w:r>
      <w:r>
        <w:t xml:space="preserve">). While the association of the rs1800629 SNP with SLE appeared to be model-independent, the rs1800683 SNP showed a stronger association under the </w:t>
      </w:r>
      <w:r w:rsidR="004C3E17">
        <w:t xml:space="preserve">additive </w:t>
      </w:r>
      <w:r>
        <w:t>model (</w:t>
      </w:r>
      <w:r w:rsidRPr="00192D29">
        <w:rPr>
          <w:b/>
          <w:bCs/>
        </w:rPr>
        <w:t>Table 4</w:t>
      </w:r>
      <w:r>
        <w:t xml:space="preserve">). </w:t>
      </w:r>
      <w:r w:rsidR="00D027A9">
        <w:t>M</w:t>
      </w:r>
      <w:r>
        <w:t>oderate LD was present between these 2 SNPs (</w:t>
      </w:r>
      <w:r w:rsidRPr="00DC0B7B">
        <w:rPr>
          <w:i/>
          <w:iCs/>
        </w:rPr>
        <w:t>r</w:t>
      </w:r>
      <w:r w:rsidRPr="00DC0B7B">
        <w:rPr>
          <w:i/>
          <w:iCs/>
          <w:vertAlign w:val="superscript"/>
        </w:rPr>
        <w:t>2</w:t>
      </w:r>
      <w:r>
        <w:t xml:space="preserve">&lt;0.5) in the </w:t>
      </w:r>
      <w:r w:rsidR="004C3E17">
        <w:t xml:space="preserve">study </w:t>
      </w:r>
      <w:r>
        <w:t xml:space="preserve">sample </w:t>
      </w:r>
      <w:r w:rsidR="003902F6">
        <w:t xml:space="preserve">comprising </w:t>
      </w:r>
      <w:r w:rsidR="003902F6" w:rsidRPr="003902F6">
        <w:t>European-descent</w:t>
      </w:r>
      <w:r w:rsidR="003902F6">
        <w:t xml:space="preserve"> subjects</w:t>
      </w:r>
      <w:r w:rsidR="003902F6" w:rsidRPr="003902F6">
        <w:t xml:space="preserve"> </w:t>
      </w:r>
      <w:r>
        <w:t>(</w:t>
      </w:r>
      <w:r w:rsidRPr="00192D29">
        <w:rPr>
          <w:b/>
          <w:bCs/>
        </w:rPr>
        <w:t>Figure 4</w:t>
      </w:r>
      <w:r>
        <w:t>)</w:t>
      </w:r>
      <w:r w:rsidR="00DC0B7B">
        <w:t xml:space="preserve"> and</w:t>
      </w:r>
      <w:r>
        <w:t xml:space="preserve"> </w:t>
      </w:r>
      <w:r w:rsidR="00DC0B7B">
        <w:t>t</w:t>
      </w:r>
      <w:r w:rsidR="00EA5A2A">
        <w:tab/>
        <w:t xml:space="preserve">he haplotypes carrying the risk or protective alleles of both SNPs </w:t>
      </w:r>
      <w:r w:rsidR="003902F6">
        <w:t xml:space="preserve">showed significant </w:t>
      </w:r>
      <w:r w:rsidR="004C3E17">
        <w:t>associat</w:t>
      </w:r>
      <w:r w:rsidR="003902F6">
        <w:t>ion</w:t>
      </w:r>
      <w:r w:rsidR="004C3E17">
        <w:t xml:space="preserve"> with </w:t>
      </w:r>
      <w:r w:rsidR="00EA5A2A">
        <w:t>SLE (</w:t>
      </w:r>
      <w:r w:rsidR="00EA5A2A" w:rsidRPr="00EA5A2A">
        <w:rPr>
          <w:b/>
          <w:bCs/>
        </w:rPr>
        <w:t>Table 5</w:t>
      </w:r>
      <w:r w:rsidR="00EA5A2A">
        <w:t>).</w:t>
      </w:r>
    </w:p>
    <w:p w14:paraId="0C0C1D94" w14:textId="5141CA53" w:rsidR="00754485" w:rsidRDefault="00400D1E" w:rsidP="004A38E0">
      <w:r>
        <w:t xml:space="preserve">The </w:t>
      </w:r>
      <w:r w:rsidRPr="00754485">
        <w:rPr>
          <w:i/>
          <w:iCs/>
        </w:rPr>
        <w:t>TNF</w:t>
      </w:r>
      <w:r>
        <w:t xml:space="preserve"> promoter </w:t>
      </w:r>
      <w:r w:rsidR="00754485">
        <w:t xml:space="preserve">SNP rs1800629 is </w:t>
      </w:r>
      <w:r w:rsidR="00566063">
        <w:t>one of the</w:t>
      </w:r>
      <w:r w:rsidR="00754485">
        <w:t xml:space="preserve"> most commonly studied </w:t>
      </w:r>
      <w:r w:rsidR="00754485" w:rsidRPr="00754485">
        <w:t>variants</w:t>
      </w:r>
      <w:r w:rsidR="00754485">
        <w:t xml:space="preserve"> from the LTA/TNF/LTB gene cluste</w:t>
      </w:r>
      <w:r w:rsidR="00566063">
        <w:t xml:space="preserve">r </w:t>
      </w:r>
      <w:r w:rsidR="006375B1">
        <w:t>in relation to SLE and other autoimmune diseases, which</w:t>
      </w:r>
      <w:r w:rsidR="00CA0083">
        <w:t xml:space="preserve"> </w:t>
      </w:r>
      <w:r w:rsidR="00D92EBA">
        <w:t xml:space="preserve">has </w:t>
      </w:r>
      <w:r w:rsidR="00CA0083">
        <w:t>yielded</w:t>
      </w:r>
      <w:r w:rsidR="00566063">
        <w:t xml:space="preserve"> somewhat inconsistent</w:t>
      </w:r>
      <w:r w:rsidR="006375B1">
        <w:t xml:space="preserve"> association</w:t>
      </w:r>
      <w:r w:rsidR="00754485" w:rsidRPr="00754485">
        <w:t xml:space="preserve"> result</w:t>
      </w:r>
      <w:r w:rsidR="006375B1">
        <w:t>s</w:t>
      </w:r>
      <w:r w:rsidR="00953CFC">
        <w:t>.</w:t>
      </w:r>
      <w:r w:rsidR="006375B1">
        <w:t xml:space="preserve"> </w:t>
      </w:r>
      <w:r w:rsidR="00953CFC">
        <w:t>H</w:t>
      </w:r>
      <w:r w:rsidR="006375B1">
        <w:t>owever,</w:t>
      </w:r>
      <w:r w:rsidR="00754485" w:rsidRPr="00754485">
        <w:t xml:space="preserve"> </w:t>
      </w:r>
      <w:r w:rsidR="004A38E0">
        <w:t xml:space="preserve">most </w:t>
      </w:r>
      <w:r w:rsidR="00754485">
        <w:t>recent</w:t>
      </w:r>
      <w:r w:rsidR="00754485" w:rsidRPr="00754485">
        <w:t xml:space="preserve"> meta-analys</w:t>
      </w:r>
      <w:r w:rsidR="006375B1">
        <w:t>e</w:t>
      </w:r>
      <w:r w:rsidR="00754485" w:rsidRPr="00754485">
        <w:t xml:space="preserve">s </w:t>
      </w:r>
      <w:r w:rsidR="004A38E0" w:rsidRPr="00181511">
        <w:t>(</w:t>
      </w:r>
      <w:r w:rsidR="00181511" w:rsidRPr="00181511">
        <w:t>Yang, 2017</w:t>
      </w:r>
      <w:bookmarkStart w:id="56" w:name="_Hlk39598501"/>
      <w:r w:rsidR="00181511">
        <w:t>) (</w:t>
      </w:r>
      <w:r w:rsidR="004A38E0">
        <w:t>Chen</w:t>
      </w:r>
      <w:r w:rsidR="004878A2">
        <w:t>,</w:t>
      </w:r>
      <w:r w:rsidR="004A38E0">
        <w:t xml:space="preserve"> 2019</w:t>
      </w:r>
      <w:bookmarkEnd w:id="56"/>
      <w:r w:rsidR="004A38E0">
        <w:t xml:space="preserve">) support its overall contribution to SLE risk and </w:t>
      </w:r>
      <w:r w:rsidR="00754485" w:rsidRPr="00754485">
        <w:t xml:space="preserve">suggest ethnic-specific </w:t>
      </w:r>
      <w:r w:rsidR="004A38E0">
        <w:t>effects/</w:t>
      </w:r>
      <w:r w:rsidR="00754485" w:rsidRPr="00754485">
        <w:t>associations</w:t>
      </w:r>
      <w:r w:rsidR="00754485">
        <w:t xml:space="preserve"> </w:t>
      </w:r>
      <w:r w:rsidR="004A38E0">
        <w:t>–</w:t>
      </w:r>
      <w:r w:rsidR="00754485">
        <w:t xml:space="preserve"> mainly observed in </w:t>
      </w:r>
      <w:r w:rsidR="00754485" w:rsidRPr="00754485">
        <w:t>Europeans</w:t>
      </w:r>
      <w:r w:rsidR="00754485">
        <w:t xml:space="preserve"> and </w:t>
      </w:r>
      <w:r w:rsidR="00754485" w:rsidRPr="00754485">
        <w:t>Latin Americans</w:t>
      </w:r>
      <w:r w:rsidR="00202D9B">
        <w:t>,</w:t>
      </w:r>
      <w:r w:rsidR="00754485">
        <w:t xml:space="preserve"> but not in </w:t>
      </w:r>
      <w:r w:rsidR="00754485" w:rsidRPr="00754485">
        <w:t xml:space="preserve">Africans and </w:t>
      </w:r>
      <w:r w:rsidR="00754485" w:rsidRPr="00754485">
        <w:lastRenderedPageBreak/>
        <w:t>Asians</w:t>
      </w:r>
      <w:r w:rsidR="004A38E0">
        <w:t xml:space="preserve"> </w:t>
      </w:r>
      <w:bookmarkStart w:id="57" w:name="_Hlk40144925"/>
      <w:r w:rsidR="00754485" w:rsidRPr="00754485">
        <w:t>(Chen, 2019)</w:t>
      </w:r>
      <w:bookmarkEnd w:id="57"/>
      <w:r w:rsidR="00754485" w:rsidRPr="00754485">
        <w:t>.</w:t>
      </w:r>
      <w:r w:rsidR="00CA0083">
        <w:t xml:space="preserve"> Consistent with </w:t>
      </w:r>
      <w:r w:rsidR="00953CFC">
        <w:t>these</w:t>
      </w:r>
      <w:r w:rsidR="006375B1">
        <w:t xml:space="preserve"> observations</w:t>
      </w:r>
      <w:r w:rsidR="00CA0083">
        <w:t xml:space="preserve">, </w:t>
      </w:r>
      <w:r w:rsidR="00216F45">
        <w:t>the</w:t>
      </w:r>
      <w:r w:rsidR="00CA0083">
        <w:t xml:space="preserve"> results </w:t>
      </w:r>
      <w:r w:rsidR="00216F45">
        <w:t xml:space="preserve">of current study </w:t>
      </w:r>
      <w:r w:rsidR="006375B1">
        <w:t xml:space="preserve">in </w:t>
      </w:r>
      <w:r w:rsidR="00CA0083">
        <w:t>European</w:t>
      </w:r>
      <w:r w:rsidR="006375B1">
        <w:t xml:space="preserve">-descent subjects also </w:t>
      </w:r>
      <w:r w:rsidR="00CA0083">
        <w:t xml:space="preserve">support a potential role of </w:t>
      </w:r>
      <w:r w:rsidR="00CA0083" w:rsidRPr="00CA0083">
        <w:rPr>
          <w:i/>
          <w:iCs/>
        </w:rPr>
        <w:t>TNF</w:t>
      </w:r>
      <w:r w:rsidR="00CA0083">
        <w:t>/rs1800629 in SLE susceptibility</w:t>
      </w:r>
      <w:r w:rsidR="006375B1">
        <w:t>.</w:t>
      </w:r>
    </w:p>
    <w:p w14:paraId="4CDC0DAC" w14:textId="300F3C09" w:rsidR="00D61761" w:rsidRDefault="0067141F" w:rsidP="00FB1D00">
      <w:r>
        <w:t xml:space="preserve">While the </w:t>
      </w:r>
      <w:r w:rsidRPr="00C15C32">
        <w:rPr>
          <w:i/>
          <w:iCs/>
        </w:rPr>
        <w:t>LTA</w:t>
      </w:r>
      <w:r>
        <w:t xml:space="preserve"> 5’ UTR SNP</w:t>
      </w:r>
      <w:bookmarkStart w:id="58" w:name="_Hlk39597695"/>
      <w:r w:rsidR="004D4454">
        <w:t xml:space="preserve"> </w:t>
      </w:r>
      <w:r>
        <w:t>rs1800683</w:t>
      </w:r>
      <w:bookmarkEnd w:id="58"/>
      <w:r>
        <w:t xml:space="preserve"> is </w:t>
      </w:r>
      <w:r w:rsidR="00C13539">
        <w:t xml:space="preserve">overall </w:t>
      </w:r>
      <w:r>
        <w:t>not a commonly studied/reported polymorphi</w:t>
      </w:r>
      <w:r w:rsidR="00664E59">
        <w:t xml:space="preserve">sm in the literature, </w:t>
      </w:r>
      <w:bookmarkStart w:id="59" w:name="_Hlk39598197"/>
      <w:r w:rsidR="00896D7D" w:rsidRPr="00896D7D">
        <w:t xml:space="preserve">rs909253 </w:t>
      </w:r>
      <w:bookmarkEnd w:id="59"/>
      <w:r w:rsidR="00896D7D">
        <w:t xml:space="preserve">– </w:t>
      </w:r>
      <w:r w:rsidR="00664E59">
        <w:t xml:space="preserve">an intronic </w:t>
      </w:r>
      <w:r w:rsidR="00664E59" w:rsidRPr="00664E59">
        <w:rPr>
          <w:i/>
          <w:iCs/>
        </w:rPr>
        <w:t>LTA</w:t>
      </w:r>
      <w:r w:rsidR="00664E59">
        <w:t xml:space="preserve"> SN</w:t>
      </w:r>
      <w:r w:rsidR="00896D7D">
        <w:t xml:space="preserve">P </w:t>
      </w:r>
      <w:r w:rsidR="00664E59">
        <w:t xml:space="preserve">that is </w:t>
      </w:r>
      <w:r w:rsidR="000B5CBE">
        <w:t xml:space="preserve">in </w:t>
      </w:r>
      <w:r w:rsidR="00664E59">
        <w:t>complete LD with rs1800683 in Europeans (</w:t>
      </w:r>
      <w:r w:rsidR="00664E59" w:rsidRPr="00664E59">
        <w:rPr>
          <w:b/>
          <w:bCs/>
        </w:rPr>
        <w:t>Figure 5</w:t>
      </w:r>
      <w:r w:rsidR="00664E59">
        <w:t>)</w:t>
      </w:r>
      <w:r w:rsidR="00896D7D">
        <w:t xml:space="preserve"> – </w:t>
      </w:r>
      <w:r w:rsidR="00664E59">
        <w:t xml:space="preserve">was reported to be associated with SLE </w:t>
      </w:r>
      <w:r w:rsidR="00C13539">
        <w:t xml:space="preserve">in Caucasians and Asians </w:t>
      </w:r>
      <w:r w:rsidR="00C13539" w:rsidRPr="00437606">
        <w:t>(</w:t>
      </w:r>
      <w:r w:rsidR="00437606" w:rsidRPr="00437606">
        <w:t>Ahmed</w:t>
      </w:r>
      <w:r w:rsidR="0054348E">
        <w:t xml:space="preserve">, </w:t>
      </w:r>
      <w:r w:rsidR="00437606" w:rsidRPr="00437606">
        <w:t>2014) (Zhang, 2015)</w:t>
      </w:r>
      <w:r w:rsidR="00C13539" w:rsidRPr="00437606">
        <w:t xml:space="preserve"> </w:t>
      </w:r>
      <w:r w:rsidR="00437606" w:rsidRPr="00437606">
        <w:t>(Umare,</w:t>
      </w:r>
      <w:r w:rsidR="00437606">
        <w:t xml:space="preserve"> </w:t>
      </w:r>
      <w:r w:rsidR="00437606" w:rsidRPr="00437606">
        <w:t>2017</w:t>
      </w:r>
      <w:r w:rsidR="00C13539" w:rsidRPr="00437606">
        <w:t>)</w:t>
      </w:r>
      <w:r w:rsidR="00202D9B">
        <w:t>,</w:t>
      </w:r>
      <w:r w:rsidR="00C13539">
        <w:t xml:space="preserve"> as well as</w:t>
      </w:r>
      <w:r w:rsidR="00202D9B">
        <w:t>,</w:t>
      </w:r>
      <w:r w:rsidR="00C13539">
        <w:t xml:space="preserve"> with </w:t>
      </w:r>
      <w:bookmarkStart w:id="60" w:name="_Hlk39599629"/>
      <w:r w:rsidR="00C13539" w:rsidRPr="00C13539">
        <w:t>Sjögren’s syndrome</w:t>
      </w:r>
      <w:r w:rsidR="00D61761">
        <w:t xml:space="preserve"> </w:t>
      </w:r>
      <w:bookmarkEnd w:id="60"/>
      <w:r w:rsidR="00D61761">
        <w:t>in Europeans (</w:t>
      </w:r>
      <w:r w:rsidR="00437606" w:rsidRPr="00437606">
        <w:t>Bolstad, 2012</w:t>
      </w:r>
      <w:r w:rsidR="00D61761" w:rsidRPr="00437606">
        <w:t>),</w:t>
      </w:r>
      <w:r w:rsidR="00D61761">
        <w:t xml:space="preserve"> </w:t>
      </w:r>
      <w:r w:rsidR="00896D7D">
        <w:t>another systemic</w:t>
      </w:r>
      <w:r w:rsidR="00D61761">
        <w:t xml:space="preserve"> autoimmune disease</w:t>
      </w:r>
      <w:r w:rsidR="00664E59">
        <w:t xml:space="preserve"> </w:t>
      </w:r>
      <w:r w:rsidR="00D61761" w:rsidRPr="00D61761">
        <w:t xml:space="preserve">that share </w:t>
      </w:r>
      <w:r w:rsidR="00D61761">
        <w:t>several</w:t>
      </w:r>
      <w:r w:rsidR="00D61761" w:rsidRPr="00D61761">
        <w:t xml:space="preserve"> clinical and molecular aspects</w:t>
      </w:r>
      <w:r w:rsidR="00D61761">
        <w:t xml:space="preserve"> with SLE (</w:t>
      </w:r>
      <w:r w:rsidR="00437606" w:rsidRPr="00437606">
        <w:t>Teruel, 2016).</w:t>
      </w:r>
      <w:r w:rsidR="00437606">
        <w:t xml:space="preserve"> </w:t>
      </w:r>
      <w:r w:rsidR="004E485F">
        <w:t xml:space="preserve">In the </w:t>
      </w:r>
      <w:r w:rsidR="00FB1D00" w:rsidRPr="00FB1D00">
        <w:t>Sjögren’s syndrome</w:t>
      </w:r>
      <w:r w:rsidR="00FB1D00">
        <w:t xml:space="preserve"> </w:t>
      </w:r>
      <w:r w:rsidR="00FB1D00" w:rsidRPr="00327C46">
        <w:t>study (</w:t>
      </w:r>
      <w:r w:rsidR="00327C46" w:rsidRPr="00327C46">
        <w:t>Bolstad, 2012</w:t>
      </w:r>
      <w:r w:rsidR="00FB1D00" w:rsidRPr="00327C46">
        <w:t>)</w:t>
      </w:r>
      <w:r w:rsidR="00202D9B">
        <w:t>,</w:t>
      </w:r>
      <w:r w:rsidR="00FB1D00" w:rsidRPr="00327C46">
        <w:t xml:space="preserve"> </w:t>
      </w:r>
      <w:r w:rsidR="00202D9B">
        <w:t xml:space="preserve">which </w:t>
      </w:r>
      <w:r w:rsidR="004E485F">
        <w:t xml:space="preserve">also evaluated the entire </w:t>
      </w:r>
      <w:r w:rsidR="004E485F" w:rsidRPr="004E485F">
        <w:rPr>
          <w:i/>
          <w:iCs/>
        </w:rPr>
        <w:t xml:space="preserve">LTA/TNF/LTB </w:t>
      </w:r>
      <w:r w:rsidR="004E485F">
        <w:t>locus</w:t>
      </w:r>
      <w:r w:rsidR="00FB1D00">
        <w:t xml:space="preserve">, rs1800629 and rs909253 (closely linked to </w:t>
      </w:r>
      <w:r w:rsidR="00FB1D00" w:rsidRPr="003A3241">
        <w:t>rs1800683</w:t>
      </w:r>
      <w:r w:rsidR="00FB1D00">
        <w:t>) showed the strongest association</w:t>
      </w:r>
      <w:r w:rsidR="000B5CBE">
        <w:t>s</w:t>
      </w:r>
      <w:r w:rsidR="00FB1D00">
        <w:t xml:space="preserve"> with disease risk</w:t>
      </w:r>
      <w:r w:rsidR="00202D9B">
        <w:t xml:space="preserve"> out of all tested SNPs</w:t>
      </w:r>
      <w:r w:rsidR="00FB1D00">
        <w:t xml:space="preserve">, similar to </w:t>
      </w:r>
      <w:r w:rsidR="00202D9B">
        <w:t xml:space="preserve">the observations with </w:t>
      </w:r>
      <w:r w:rsidR="00FB1D00">
        <w:t xml:space="preserve">SLE risk in </w:t>
      </w:r>
      <w:r w:rsidR="000B5CBE">
        <w:t>th</w:t>
      </w:r>
      <w:r w:rsidR="00202D9B">
        <w:t>e current</w:t>
      </w:r>
      <w:r w:rsidR="00FB1D00">
        <w:t xml:space="preserve"> study.</w:t>
      </w:r>
    </w:p>
    <w:p w14:paraId="4ABD6520" w14:textId="537EFE5C" w:rsidR="00216F45" w:rsidRDefault="00B63945" w:rsidP="00D61761">
      <w:r>
        <w:t xml:space="preserve">Consistent with their locations in </w:t>
      </w:r>
      <w:r w:rsidRPr="00B63945">
        <w:rPr>
          <w:i/>
          <w:iCs/>
        </w:rPr>
        <w:t>LTA</w:t>
      </w:r>
      <w:r>
        <w:t xml:space="preserve"> (5’UTR) and </w:t>
      </w:r>
      <w:r w:rsidRPr="00B63945">
        <w:rPr>
          <w:i/>
          <w:iCs/>
        </w:rPr>
        <w:t>TNF</w:t>
      </w:r>
      <w:r>
        <w:t xml:space="preserve"> (promoter), </w:t>
      </w:r>
      <w:r w:rsidRPr="00E80628">
        <w:rPr>
          <w:i/>
          <w:iCs/>
        </w:rPr>
        <w:t>in</w:t>
      </w:r>
      <w:r>
        <w:t xml:space="preserve"> </w:t>
      </w:r>
      <w:r w:rsidRPr="00B63945">
        <w:rPr>
          <w:i/>
          <w:iCs/>
        </w:rPr>
        <w:t>silico</w:t>
      </w:r>
      <w:r>
        <w:t xml:space="preserve"> assessment of the </w:t>
      </w:r>
      <w:r w:rsidR="00715625">
        <w:t xml:space="preserve">functional </w:t>
      </w:r>
      <w:r>
        <w:t xml:space="preserve">effects of </w:t>
      </w:r>
      <w:bookmarkStart w:id="61" w:name="_Hlk39598332"/>
      <w:r>
        <w:t xml:space="preserve">rs1800683 </w:t>
      </w:r>
      <w:bookmarkEnd w:id="61"/>
      <w:r>
        <w:t xml:space="preserve">and rs1800629 </w:t>
      </w:r>
      <w:r w:rsidR="0071756A">
        <w:t>(using RegulomeDB and HaploReg</w:t>
      </w:r>
      <w:r w:rsidR="00F80FD6">
        <w:t xml:space="preserve">) </w:t>
      </w:r>
      <w:r>
        <w:t>suggest</w:t>
      </w:r>
      <w:r w:rsidR="0022236B">
        <w:t>s</w:t>
      </w:r>
      <w:r>
        <w:t xml:space="preserve"> </w:t>
      </w:r>
      <w:r w:rsidR="0071756A">
        <w:t xml:space="preserve">potential </w:t>
      </w:r>
      <w:r w:rsidR="00715625">
        <w:t xml:space="preserve">regulatory </w:t>
      </w:r>
      <w:r w:rsidR="000B5CBE">
        <w:t>effects</w:t>
      </w:r>
      <w:r>
        <w:t xml:space="preserve"> of these SNPs </w:t>
      </w:r>
      <w:r w:rsidR="000B5CBE">
        <w:t>on</w:t>
      </w:r>
      <w:r>
        <w:t xml:space="preserve"> gene expression. </w:t>
      </w:r>
      <w:r w:rsidR="0010319C">
        <w:t xml:space="preserve">Indeed, previously </w:t>
      </w:r>
      <w:r w:rsidR="00EE4966">
        <w:t>published</w:t>
      </w:r>
      <w:r w:rsidR="002E339E">
        <w:t xml:space="preserve"> studies reported </w:t>
      </w:r>
      <w:r w:rsidR="00AF6784">
        <w:t>modified</w:t>
      </w:r>
      <w:r w:rsidR="002E339E" w:rsidRPr="002E339E">
        <w:t xml:space="preserve"> transcriptional activity</w:t>
      </w:r>
      <w:r w:rsidR="002E339E">
        <w:t xml:space="preserve"> </w:t>
      </w:r>
      <w:r w:rsidR="00251E0D">
        <w:t xml:space="preserve">and </w:t>
      </w:r>
      <w:r w:rsidR="000338B5">
        <w:t>altered</w:t>
      </w:r>
      <w:r w:rsidR="00251E0D">
        <w:t xml:space="preserve"> plasma/serum cytokine levels </w:t>
      </w:r>
      <w:r w:rsidR="003A3241">
        <w:t>associated with</w:t>
      </w:r>
      <w:r w:rsidR="002E339E">
        <w:t xml:space="preserve"> </w:t>
      </w:r>
      <w:r w:rsidR="002E339E" w:rsidRPr="00896D7D">
        <w:t>rs909253</w:t>
      </w:r>
      <w:r w:rsidR="002E339E">
        <w:t xml:space="preserve"> </w:t>
      </w:r>
      <w:r w:rsidR="003A3241">
        <w:t>(closely</w:t>
      </w:r>
      <w:r w:rsidR="00464292">
        <w:t xml:space="preserve"> </w:t>
      </w:r>
      <w:r w:rsidR="003A3241">
        <w:t xml:space="preserve">linked to </w:t>
      </w:r>
      <w:r w:rsidR="003A3241" w:rsidRPr="003A3241">
        <w:t>rs1800683</w:t>
      </w:r>
      <w:r w:rsidR="003A3241">
        <w:t xml:space="preserve">) and </w:t>
      </w:r>
      <w:r w:rsidR="003A3241" w:rsidRPr="002E339E">
        <w:t>rs1800629</w:t>
      </w:r>
      <w:bookmarkStart w:id="62" w:name="_Hlk40141904"/>
      <w:r w:rsidR="003A3241">
        <w:t xml:space="preserve"> </w:t>
      </w:r>
      <w:bookmarkEnd w:id="62"/>
      <w:r w:rsidR="003A3241" w:rsidRPr="00327C46">
        <w:t>(</w:t>
      </w:r>
      <w:r w:rsidR="00327C46" w:rsidRPr="00327C46">
        <w:t>Bolstad, 2012) (Umare, 2017)</w:t>
      </w:r>
      <w:r w:rsidR="003A3241" w:rsidRPr="00327C46">
        <w:t xml:space="preserve"> </w:t>
      </w:r>
      <w:r w:rsidR="00327C46" w:rsidRPr="00327C46">
        <w:t>(</w:t>
      </w:r>
      <w:r w:rsidR="003A3241" w:rsidRPr="00327C46">
        <w:t>Chen 2019).</w:t>
      </w:r>
      <w:r w:rsidR="00D61761" w:rsidRPr="00327C46">
        <w:t> </w:t>
      </w:r>
      <w:r w:rsidR="00AB2C4A" w:rsidRPr="00327C46">
        <w:rPr>
          <w:bCs/>
        </w:rPr>
        <w:t>Interestingly</w:t>
      </w:r>
      <w:r w:rsidR="00AB2C4A">
        <w:rPr>
          <w:bCs/>
        </w:rPr>
        <w:t xml:space="preserve">, LTA and TNF </w:t>
      </w:r>
      <w:r w:rsidR="00AB2C4A">
        <w:t xml:space="preserve">cytokines show </w:t>
      </w:r>
      <w:r w:rsidR="00AB2C4A" w:rsidRPr="00AB2C4A">
        <w:rPr>
          <w:bCs/>
        </w:rPr>
        <w:t xml:space="preserve">homology in </w:t>
      </w:r>
      <w:r w:rsidR="00AB2C4A">
        <w:rPr>
          <w:bCs/>
        </w:rPr>
        <w:t xml:space="preserve">their </w:t>
      </w:r>
      <w:r w:rsidR="00AB2C4A" w:rsidRPr="00AB2C4A">
        <w:rPr>
          <w:bCs/>
        </w:rPr>
        <w:t xml:space="preserve">amino-acid composition </w:t>
      </w:r>
      <w:r w:rsidR="00AB2C4A">
        <w:rPr>
          <w:bCs/>
        </w:rPr>
        <w:t>and bind to the same receptors, TNFRI and TNFRII (</w:t>
      </w:r>
      <w:r w:rsidR="00AB2C4A" w:rsidRPr="00AB2C4A">
        <w:rPr>
          <w:b/>
        </w:rPr>
        <w:t>Figure 2</w:t>
      </w:r>
      <w:r w:rsidR="00AB2C4A">
        <w:rPr>
          <w:bCs/>
        </w:rPr>
        <w:t>).</w:t>
      </w:r>
    </w:p>
    <w:p w14:paraId="30CA2308" w14:textId="3B36176D" w:rsidR="006D03F3" w:rsidRDefault="001D6B07" w:rsidP="006D03F3">
      <w:pPr>
        <w:rPr>
          <w:bCs/>
        </w:rPr>
      </w:pPr>
      <w:bookmarkStart w:id="63" w:name="_Hlk39605309"/>
      <w:r w:rsidRPr="001D6B07">
        <w:rPr>
          <w:bCs/>
        </w:rPr>
        <w:t xml:space="preserve">In summary, </w:t>
      </w:r>
      <w:r>
        <w:rPr>
          <w:bCs/>
        </w:rPr>
        <w:t xml:space="preserve">the results of this study provide further support </w:t>
      </w:r>
      <w:r w:rsidR="00D66ED5">
        <w:rPr>
          <w:bCs/>
        </w:rPr>
        <w:t xml:space="preserve">for </w:t>
      </w:r>
      <w:r w:rsidR="000F125D">
        <w:rPr>
          <w:bCs/>
        </w:rPr>
        <w:t>the</w:t>
      </w:r>
      <w:r>
        <w:rPr>
          <w:bCs/>
        </w:rPr>
        <w:t xml:space="preserve"> </w:t>
      </w:r>
      <w:r w:rsidR="00AB2C4A">
        <w:rPr>
          <w:bCs/>
        </w:rPr>
        <w:t>potential</w:t>
      </w:r>
      <w:r>
        <w:rPr>
          <w:bCs/>
        </w:rPr>
        <w:t xml:space="preserve"> involvement of </w:t>
      </w:r>
      <w:r w:rsidRPr="001D6B07">
        <w:rPr>
          <w:bCs/>
        </w:rPr>
        <w:t xml:space="preserve">functionally relevant </w:t>
      </w:r>
      <w:r w:rsidRPr="001D6B07">
        <w:rPr>
          <w:bCs/>
          <w:i/>
        </w:rPr>
        <w:t>LTA/TNF</w:t>
      </w:r>
      <w:r w:rsidRPr="001D6B07">
        <w:rPr>
          <w:bCs/>
        </w:rPr>
        <w:t xml:space="preserve"> polymorphisms </w:t>
      </w:r>
      <w:r>
        <w:rPr>
          <w:bCs/>
        </w:rPr>
        <w:t xml:space="preserve">in </w:t>
      </w:r>
      <w:r w:rsidRPr="001D6B07">
        <w:rPr>
          <w:bCs/>
        </w:rPr>
        <w:t>SLE susceptibility</w:t>
      </w:r>
      <w:r>
        <w:rPr>
          <w:bCs/>
        </w:rPr>
        <w:t xml:space="preserve"> </w:t>
      </w:r>
      <w:bookmarkEnd w:id="63"/>
      <w:r>
        <w:rPr>
          <w:bCs/>
        </w:rPr>
        <w:t xml:space="preserve">and </w:t>
      </w:r>
      <w:r w:rsidR="000B5CBE">
        <w:rPr>
          <w:bCs/>
        </w:rPr>
        <w:t>SLE-</w:t>
      </w:r>
      <w:r w:rsidR="000F125D">
        <w:rPr>
          <w:bCs/>
        </w:rPr>
        <w:t>related immuno</w:t>
      </w:r>
      <w:r>
        <w:rPr>
          <w:bCs/>
        </w:rPr>
        <w:t>pathogenesis</w:t>
      </w:r>
      <w:r w:rsidR="00AB2C4A">
        <w:rPr>
          <w:bCs/>
        </w:rPr>
        <w:t xml:space="preserve">. </w:t>
      </w:r>
      <w:r w:rsidR="000B5CBE">
        <w:rPr>
          <w:bCs/>
        </w:rPr>
        <w:t>However, a</w:t>
      </w:r>
      <w:r w:rsidR="00D76FAC">
        <w:rPr>
          <w:bCs/>
        </w:rPr>
        <w:t>lthough it is not the focus of current study</w:t>
      </w:r>
      <w:r w:rsidRPr="001D6B07">
        <w:rPr>
          <w:bCs/>
        </w:rPr>
        <w:t xml:space="preserve">, their effects </w:t>
      </w:r>
      <w:r w:rsidR="00D76FAC">
        <w:rPr>
          <w:bCs/>
        </w:rPr>
        <w:t xml:space="preserve">should be assessed in relation to other </w:t>
      </w:r>
      <w:r w:rsidR="000B5CBE">
        <w:rPr>
          <w:bCs/>
        </w:rPr>
        <w:t>SLE-</w:t>
      </w:r>
      <w:r w:rsidR="00D76FAC">
        <w:rPr>
          <w:bCs/>
        </w:rPr>
        <w:t xml:space="preserve">relevant </w:t>
      </w:r>
      <w:r w:rsidRPr="001D6B07">
        <w:rPr>
          <w:bCs/>
        </w:rPr>
        <w:t xml:space="preserve">variants </w:t>
      </w:r>
      <w:r w:rsidR="00D76FAC">
        <w:rPr>
          <w:bCs/>
        </w:rPr>
        <w:t>located throughout t</w:t>
      </w:r>
      <w:r w:rsidRPr="001D6B07">
        <w:rPr>
          <w:bCs/>
        </w:rPr>
        <w:t xml:space="preserve">he </w:t>
      </w:r>
      <w:r w:rsidR="00D76FAC">
        <w:rPr>
          <w:bCs/>
        </w:rPr>
        <w:t xml:space="preserve">entire </w:t>
      </w:r>
      <w:r w:rsidRPr="001D6B07">
        <w:rPr>
          <w:bCs/>
        </w:rPr>
        <w:t xml:space="preserve">MHC </w:t>
      </w:r>
      <w:r w:rsidR="00D76FAC">
        <w:rPr>
          <w:bCs/>
        </w:rPr>
        <w:t>region due to well</w:t>
      </w:r>
      <w:r w:rsidR="000B5CBE">
        <w:rPr>
          <w:bCs/>
        </w:rPr>
        <w:t>-</w:t>
      </w:r>
      <w:r w:rsidR="00D76FAC">
        <w:rPr>
          <w:bCs/>
        </w:rPr>
        <w:t>known</w:t>
      </w:r>
      <w:r w:rsidRPr="001D6B07">
        <w:rPr>
          <w:bCs/>
        </w:rPr>
        <w:t xml:space="preserve"> extended LD </w:t>
      </w:r>
      <w:r w:rsidR="00D76FAC">
        <w:rPr>
          <w:bCs/>
        </w:rPr>
        <w:t>observed in this region</w:t>
      </w:r>
      <w:r w:rsidRPr="001D6B07">
        <w:rPr>
          <w:bCs/>
        </w:rPr>
        <w:t xml:space="preserve">. </w:t>
      </w:r>
      <w:r w:rsidR="00D310C4">
        <w:rPr>
          <w:bCs/>
        </w:rPr>
        <w:t xml:space="preserve">It should also be noted that some </w:t>
      </w:r>
      <w:r w:rsidR="00D310C4">
        <w:rPr>
          <w:bCs/>
        </w:rPr>
        <w:lastRenderedPageBreak/>
        <w:t xml:space="preserve">associations </w:t>
      </w:r>
      <w:r w:rsidR="00E275FE">
        <w:rPr>
          <w:bCs/>
        </w:rPr>
        <w:t>might</w:t>
      </w:r>
      <w:r w:rsidR="00D310C4">
        <w:rPr>
          <w:bCs/>
        </w:rPr>
        <w:t xml:space="preserve"> have been missed </w:t>
      </w:r>
      <w:r w:rsidR="009F4173">
        <w:rPr>
          <w:bCs/>
        </w:rPr>
        <w:t>due to</w:t>
      </w:r>
      <w:r w:rsidR="00D310C4">
        <w:rPr>
          <w:bCs/>
        </w:rPr>
        <w:t xml:space="preserve"> insufficient study power </w:t>
      </w:r>
      <w:r w:rsidR="009F4173">
        <w:rPr>
          <w:bCs/>
        </w:rPr>
        <w:t>stemming from</w:t>
      </w:r>
      <w:r w:rsidR="00D310C4">
        <w:rPr>
          <w:bCs/>
        </w:rPr>
        <w:t xml:space="preserve"> the modest size of the study sample. </w:t>
      </w:r>
      <w:r w:rsidR="00CD4D4A">
        <w:rPr>
          <w:bCs/>
        </w:rPr>
        <w:t xml:space="preserve">Furthermore, </w:t>
      </w:r>
      <w:r w:rsidR="00441F63">
        <w:rPr>
          <w:bCs/>
        </w:rPr>
        <w:t xml:space="preserve">considering the ethnic-specific associations suggested for this locus </w:t>
      </w:r>
      <w:r w:rsidR="00441F63" w:rsidRPr="00754485">
        <w:t>(Chen, 2019)</w:t>
      </w:r>
      <w:r w:rsidR="00441F63">
        <w:t xml:space="preserve">, it would </w:t>
      </w:r>
      <w:r w:rsidR="00E275FE">
        <w:t xml:space="preserve">also </w:t>
      </w:r>
      <w:r w:rsidR="00441F63">
        <w:t xml:space="preserve">be highly relevant to </w:t>
      </w:r>
      <w:r w:rsidR="00E275FE">
        <w:t>comprehensively</w:t>
      </w:r>
      <w:r w:rsidR="00441F63">
        <w:t xml:space="preserve"> </w:t>
      </w:r>
      <w:r w:rsidR="004E3D01">
        <w:t>study</w:t>
      </w:r>
      <w:r w:rsidR="00441F63">
        <w:t xml:space="preserve"> other ethnic groups, such as African</w:t>
      </w:r>
      <w:r w:rsidR="004E3D01" w:rsidRPr="004E3D01">
        <w:t xml:space="preserve"> </w:t>
      </w:r>
      <w:r w:rsidR="004E3D01">
        <w:t>Americans</w:t>
      </w:r>
      <w:r w:rsidR="00441F63">
        <w:t xml:space="preserve"> </w:t>
      </w:r>
      <w:r w:rsidR="00E275FE">
        <w:t>and</w:t>
      </w:r>
      <w:r w:rsidR="00441F63">
        <w:t xml:space="preserve"> Hispanic </w:t>
      </w:r>
      <w:bookmarkStart w:id="64" w:name="_Hlk40145228"/>
      <w:r w:rsidR="00441F63">
        <w:t>Americans</w:t>
      </w:r>
      <w:bookmarkEnd w:id="64"/>
      <w:r w:rsidR="00441F63">
        <w:t xml:space="preserve">, who </w:t>
      </w:r>
      <w:r w:rsidR="004E3D01">
        <w:t>are</w:t>
      </w:r>
      <w:r w:rsidR="00441F63">
        <w:t xml:space="preserve"> disproportionately (more commonly and more severely) affected by </w:t>
      </w:r>
      <w:r w:rsidR="004E3D01">
        <w:t>SLE</w:t>
      </w:r>
      <w:r w:rsidR="00441F63">
        <w:t>.</w:t>
      </w:r>
      <w:r w:rsidR="00441F63">
        <w:rPr>
          <w:bCs/>
        </w:rPr>
        <w:t xml:space="preserve"> </w:t>
      </w:r>
      <w:r w:rsidR="006D03F3" w:rsidRPr="006D03F3">
        <w:rPr>
          <w:bCs/>
        </w:rPr>
        <w:t xml:space="preserve">Continuing further genetic research </w:t>
      </w:r>
      <w:r w:rsidR="00D66ED5">
        <w:rPr>
          <w:bCs/>
        </w:rPr>
        <w:t>may increase our</w:t>
      </w:r>
      <w:r w:rsidR="00D66ED5" w:rsidRPr="006D03F3">
        <w:rPr>
          <w:bCs/>
        </w:rPr>
        <w:t xml:space="preserve"> </w:t>
      </w:r>
      <w:r w:rsidR="006D03F3" w:rsidRPr="006D03F3">
        <w:rPr>
          <w:bCs/>
        </w:rPr>
        <w:t xml:space="preserve">understanding of </w:t>
      </w:r>
      <w:r w:rsidR="006D03F3">
        <w:rPr>
          <w:bCs/>
        </w:rPr>
        <w:t>biological</w:t>
      </w:r>
      <w:r w:rsidR="006D03F3" w:rsidRPr="006D03F3">
        <w:rPr>
          <w:bCs/>
        </w:rPr>
        <w:t xml:space="preserve"> mechanisms </w:t>
      </w:r>
      <w:r w:rsidR="006D03F3">
        <w:rPr>
          <w:bCs/>
        </w:rPr>
        <w:t>underlying</w:t>
      </w:r>
      <w:r w:rsidR="006D03F3" w:rsidRPr="006D03F3">
        <w:rPr>
          <w:bCs/>
        </w:rPr>
        <w:t xml:space="preserve"> SLE</w:t>
      </w:r>
      <w:r w:rsidR="006D03F3">
        <w:rPr>
          <w:bCs/>
        </w:rPr>
        <w:t>.</w:t>
      </w:r>
    </w:p>
    <w:p w14:paraId="29DA8C21" w14:textId="685F8E8A" w:rsidR="005B283C" w:rsidRPr="005B283C" w:rsidRDefault="005B283C" w:rsidP="005B283C">
      <w:pPr>
        <w:rPr>
          <w:bCs/>
        </w:rPr>
      </w:pPr>
      <w:r w:rsidRPr="005B283C">
        <w:rPr>
          <w:bCs/>
        </w:rPr>
        <w:t xml:space="preserve">Due to heterogeneous nature of SLE symptoms and difficulties of differential diagnosis, genetic tools may be helpful to improve the diagnosis and management of patients with SLE. Furthermore, because SLE patients are suspected to develop immunological findings before the clinical manifestation of disease, genetic tools may serve for </w:t>
      </w:r>
      <w:r w:rsidR="00DD1C99">
        <w:rPr>
          <w:bCs/>
        </w:rPr>
        <w:t xml:space="preserve">diagnosis </w:t>
      </w:r>
      <w:r w:rsidRPr="005B283C">
        <w:rPr>
          <w:bCs/>
        </w:rPr>
        <w:t>of preclinical disease</w:t>
      </w:r>
      <w:r w:rsidR="00DD1C99">
        <w:rPr>
          <w:bCs/>
        </w:rPr>
        <w:t xml:space="preserve"> and </w:t>
      </w:r>
      <w:r w:rsidR="00DD1C99" w:rsidRPr="005B283C">
        <w:rPr>
          <w:bCs/>
        </w:rPr>
        <w:t>primary prevention</w:t>
      </w:r>
      <w:r w:rsidR="00DD1C99">
        <w:rPr>
          <w:bCs/>
        </w:rPr>
        <w:t xml:space="preserve"> of clinical disease</w:t>
      </w:r>
      <w:r w:rsidRPr="005B283C">
        <w:rPr>
          <w:bCs/>
        </w:rPr>
        <w:t xml:space="preserve">. Genetic profiles </w:t>
      </w:r>
      <w:r w:rsidR="00DD1C99">
        <w:rPr>
          <w:bCs/>
        </w:rPr>
        <w:t>may also</w:t>
      </w:r>
      <w:r w:rsidR="00DD1C99" w:rsidRPr="005B283C">
        <w:rPr>
          <w:bCs/>
        </w:rPr>
        <w:t xml:space="preserve"> </w:t>
      </w:r>
      <w:r w:rsidRPr="005B283C">
        <w:rPr>
          <w:bCs/>
        </w:rPr>
        <w:t>serve as biomarkers for monitoring disease progression and</w:t>
      </w:r>
      <w:r w:rsidR="00DD1C99">
        <w:rPr>
          <w:bCs/>
        </w:rPr>
        <w:t xml:space="preserve"> for personalizing</w:t>
      </w:r>
      <w:r w:rsidRPr="005B283C">
        <w:rPr>
          <w:bCs/>
        </w:rPr>
        <w:t xml:space="preserve"> treatment regimens for SLE patients. Common forms of SLE have a complex genetic basis with no clear familial inheritance pattern, but instead </w:t>
      </w:r>
      <w:r w:rsidR="004E097D">
        <w:rPr>
          <w:bCs/>
        </w:rPr>
        <w:t xml:space="preserve">result from </w:t>
      </w:r>
      <w:r w:rsidRPr="005B283C">
        <w:rPr>
          <w:bCs/>
        </w:rPr>
        <w:t xml:space="preserve"> </w:t>
      </w:r>
      <w:r w:rsidR="004E097D">
        <w:rPr>
          <w:bCs/>
        </w:rPr>
        <w:t xml:space="preserve">complex </w:t>
      </w:r>
      <w:r w:rsidRPr="005B283C">
        <w:rPr>
          <w:bCs/>
        </w:rPr>
        <w:t>interaction</w:t>
      </w:r>
      <w:r w:rsidR="004E097D">
        <w:rPr>
          <w:bCs/>
        </w:rPr>
        <w:t>s</w:t>
      </w:r>
      <w:r w:rsidRPr="005B283C">
        <w:rPr>
          <w:bCs/>
        </w:rPr>
        <w:t xml:space="preserve"> between demographic traits, environmental factors, and multiple genetic loci. SLE </w:t>
      </w:r>
      <w:r w:rsidR="00CE5C81">
        <w:rPr>
          <w:bCs/>
        </w:rPr>
        <w:t>and other autoimmune diseases may cluster</w:t>
      </w:r>
      <w:r w:rsidRPr="005B283C">
        <w:rPr>
          <w:bCs/>
        </w:rPr>
        <w:t xml:space="preserve"> </w:t>
      </w:r>
      <w:r w:rsidR="00CE5C81">
        <w:rPr>
          <w:bCs/>
        </w:rPr>
        <w:t>with</w:t>
      </w:r>
      <w:r w:rsidRPr="005B283C">
        <w:rPr>
          <w:bCs/>
        </w:rPr>
        <w:t>in families and concordance</w:t>
      </w:r>
      <w:r w:rsidR="00F23C06">
        <w:rPr>
          <w:bCs/>
        </w:rPr>
        <w:t xml:space="preserve"> rates are higher</w:t>
      </w:r>
      <w:r w:rsidRPr="005B283C">
        <w:rPr>
          <w:bCs/>
        </w:rPr>
        <w:t xml:space="preserve"> in monozygotic </w:t>
      </w:r>
      <w:r w:rsidR="00F23C06">
        <w:rPr>
          <w:bCs/>
        </w:rPr>
        <w:t>versus</w:t>
      </w:r>
      <w:r w:rsidR="00F23C06" w:rsidRPr="005B283C">
        <w:rPr>
          <w:bCs/>
        </w:rPr>
        <w:t xml:space="preserve"> </w:t>
      </w:r>
      <w:r w:rsidRPr="005B283C">
        <w:rPr>
          <w:bCs/>
        </w:rPr>
        <w:t>dizygotic twins</w:t>
      </w:r>
      <w:r w:rsidR="00A81FFB">
        <w:rPr>
          <w:bCs/>
        </w:rPr>
        <w:t>, consistent with multifactorial polygenic nature of the disease</w:t>
      </w:r>
      <w:r w:rsidRPr="005B283C">
        <w:rPr>
          <w:bCs/>
        </w:rPr>
        <w:t xml:space="preserve"> (Ulff-Moller, 2017). With access to known risk</w:t>
      </w:r>
      <w:r w:rsidR="001150E9" w:rsidRPr="001150E9">
        <w:rPr>
          <w:bCs/>
        </w:rPr>
        <w:t xml:space="preserve"> </w:t>
      </w:r>
      <w:r w:rsidR="001150E9" w:rsidRPr="005B283C">
        <w:rPr>
          <w:bCs/>
        </w:rPr>
        <w:t>by patients</w:t>
      </w:r>
      <w:r w:rsidRPr="005B283C">
        <w:rPr>
          <w:bCs/>
        </w:rPr>
        <w:t xml:space="preserve">, primary and secondary prevention methods can be used to either prevent </w:t>
      </w:r>
      <w:r w:rsidR="001150E9">
        <w:rPr>
          <w:bCs/>
        </w:rPr>
        <w:t xml:space="preserve">the onset of </w:t>
      </w:r>
      <w:r w:rsidRPr="005B283C">
        <w:rPr>
          <w:bCs/>
        </w:rPr>
        <w:t xml:space="preserve">clinical disease or reduce </w:t>
      </w:r>
      <w:r w:rsidR="001150E9">
        <w:rPr>
          <w:bCs/>
        </w:rPr>
        <w:t xml:space="preserve">the risk </w:t>
      </w:r>
      <w:r w:rsidR="00493C23">
        <w:rPr>
          <w:bCs/>
        </w:rPr>
        <w:t>of</w:t>
      </w:r>
      <w:r w:rsidR="001150E9">
        <w:rPr>
          <w:bCs/>
        </w:rPr>
        <w:t xml:space="preserve"> </w:t>
      </w:r>
      <w:r w:rsidRPr="005B283C">
        <w:rPr>
          <w:bCs/>
        </w:rPr>
        <w:t>flare</w:t>
      </w:r>
      <w:r w:rsidR="001150E9">
        <w:rPr>
          <w:bCs/>
        </w:rPr>
        <w:t>-</w:t>
      </w:r>
      <w:r w:rsidRPr="005B283C">
        <w:rPr>
          <w:bCs/>
        </w:rPr>
        <w:t>ups</w:t>
      </w:r>
      <w:r w:rsidR="001150E9">
        <w:rPr>
          <w:bCs/>
        </w:rPr>
        <w:t xml:space="preserve"> in order to avoid cumulative organ </w:t>
      </w:r>
      <w:r w:rsidR="001150E9">
        <w:rPr>
          <w:bCs/>
        </w:rPr>
        <w:lastRenderedPageBreak/>
        <w:t>damage</w:t>
      </w:r>
      <w:r w:rsidRPr="005B283C">
        <w:rPr>
          <w:bCs/>
        </w:rPr>
        <w:t xml:space="preserve">. A possible solution for calculating risk of complex diseases like SLE is implementing Polygenic Risk Scores (PRS). Complex diseases are influenced by many genetic variants with small to moderate effect sizes. In order to meaningfully predict </w:t>
      </w:r>
      <w:r w:rsidR="00493C23">
        <w:rPr>
          <w:bCs/>
        </w:rPr>
        <w:t xml:space="preserve">the </w:t>
      </w:r>
      <w:r w:rsidRPr="005B283C">
        <w:rPr>
          <w:bCs/>
        </w:rPr>
        <w:t xml:space="preserve">risk, all of these genetic variants must be examined in aggregate to understand the overall impact of having multiple risk variants (Torkamani, 2018). PRS are calculated as weighted sum scores of risk alleles by applying effect sizes from genome-wide association studies as their weight. Although PRS are theoretically a sound measure of genetic variance, whether or not they hold validity to polygenic predisposition is still under debate due to their limitations of unknown variant effect sizes, discrepancies in weighted sums, and missing heritability (Janssens, 2019) (Chen, 2020). Another drawback to PRS </w:t>
      </w:r>
      <w:r w:rsidR="00A961C0">
        <w:rPr>
          <w:bCs/>
        </w:rPr>
        <w:t>is</w:t>
      </w:r>
      <w:r w:rsidR="00A961C0" w:rsidRPr="005B283C">
        <w:rPr>
          <w:bCs/>
        </w:rPr>
        <w:t xml:space="preserve"> </w:t>
      </w:r>
      <w:r w:rsidRPr="005B283C">
        <w:rPr>
          <w:bCs/>
        </w:rPr>
        <w:t xml:space="preserve">that the GWAS data that the weighted sums are calculated from often lack understudied minority groups </w:t>
      </w:r>
      <w:r w:rsidR="00A961C0">
        <w:rPr>
          <w:bCs/>
        </w:rPr>
        <w:t>in</w:t>
      </w:r>
      <w:r w:rsidR="00A961C0" w:rsidRPr="005B283C">
        <w:rPr>
          <w:bCs/>
        </w:rPr>
        <w:t xml:space="preserve"> </w:t>
      </w:r>
      <w:r w:rsidRPr="005B283C">
        <w:rPr>
          <w:bCs/>
        </w:rPr>
        <w:t xml:space="preserve">which SLE is more severe and common.  Further research into the efficacy of PRS </w:t>
      </w:r>
      <w:r w:rsidR="00A961C0">
        <w:rPr>
          <w:bCs/>
        </w:rPr>
        <w:t>is</w:t>
      </w:r>
      <w:r w:rsidR="00A961C0" w:rsidRPr="005B283C">
        <w:rPr>
          <w:bCs/>
        </w:rPr>
        <w:t xml:space="preserve"> </w:t>
      </w:r>
      <w:r w:rsidRPr="005B283C">
        <w:rPr>
          <w:bCs/>
        </w:rPr>
        <w:t xml:space="preserve">necessary before moving this model into the clinical setting. </w:t>
      </w:r>
    </w:p>
    <w:p w14:paraId="403E9A91" w14:textId="4ED36652" w:rsidR="005B283C" w:rsidRPr="005B283C" w:rsidRDefault="005B283C" w:rsidP="005B283C">
      <w:pPr>
        <w:rPr>
          <w:bCs/>
        </w:rPr>
      </w:pPr>
      <w:r w:rsidRPr="005B283C">
        <w:rPr>
          <w:bCs/>
        </w:rPr>
        <w:t>As more is learned about SLE in different populations and genetic screening tools are respectively developed, it will be important to build the knowledge and awareness of rheumatologists, other practitioners and the general population. The screen</w:t>
      </w:r>
      <w:r w:rsidR="00472DDC">
        <w:rPr>
          <w:bCs/>
        </w:rPr>
        <w:t>ing</w:t>
      </w:r>
      <w:r w:rsidRPr="005B283C">
        <w:rPr>
          <w:bCs/>
        </w:rPr>
        <w:t xml:space="preserve"> would likely </w:t>
      </w:r>
      <w:r w:rsidR="00472DDC">
        <w:rPr>
          <w:bCs/>
        </w:rPr>
        <w:t xml:space="preserve">primarily target </w:t>
      </w:r>
      <w:r w:rsidRPr="005B283C">
        <w:rPr>
          <w:bCs/>
        </w:rPr>
        <w:t xml:space="preserve">those who harbor the greatest risk factors </w:t>
      </w:r>
      <w:r w:rsidR="00472DDC">
        <w:rPr>
          <w:bCs/>
        </w:rPr>
        <w:t>for developing</w:t>
      </w:r>
      <w:r w:rsidR="00472DDC" w:rsidRPr="005B283C">
        <w:rPr>
          <w:bCs/>
        </w:rPr>
        <w:t xml:space="preserve"> </w:t>
      </w:r>
      <w:r w:rsidRPr="005B283C">
        <w:rPr>
          <w:bCs/>
        </w:rPr>
        <w:t>SLE: female gender, African/Hispanic</w:t>
      </w:r>
      <w:r w:rsidR="00694369">
        <w:rPr>
          <w:bCs/>
        </w:rPr>
        <w:t>/Asian</w:t>
      </w:r>
      <w:r w:rsidRPr="005B283C">
        <w:rPr>
          <w:bCs/>
        </w:rPr>
        <w:t xml:space="preserve"> </w:t>
      </w:r>
      <w:r w:rsidR="00694369">
        <w:rPr>
          <w:bCs/>
        </w:rPr>
        <w:t>ancestry</w:t>
      </w:r>
      <w:r w:rsidRPr="005B283C">
        <w:rPr>
          <w:bCs/>
        </w:rPr>
        <w:t xml:space="preserve">, and family </w:t>
      </w:r>
      <w:r w:rsidR="0065660F">
        <w:rPr>
          <w:bCs/>
        </w:rPr>
        <w:t xml:space="preserve">history of SLE and/or other autoimmune disease(s) </w:t>
      </w:r>
      <w:r w:rsidRPr="005B283C">
        <w:rPr>
          <w:bCs/>
        </w:rPr>
        <w:t xml:space="preserve">(Carter, 2016). SLE can </w:t>
      </w:r>
      <w:r w:rsidR="007B7CE7">
        <w:rPr>
          <w:bCs/>
        </w:rPr>
        <w:t xml:space="preserve">mimic many </w:t>
      </w:r>
      <w:r w:rsidRPr="005B283C">
        <w:rPr>
          <w:bCs/>
        </w:rPr>
        <w:t xml:space="preserve">other conditions, so increasing the awareness of this disorder </w:t>
      </w:r>
      <w:r w:rsidR="007B7CE7">
        <w:rPr>
          <w:bCs/>
        </w:rPr>
        <w:t xml:space="preserve">and new screening tools </w:t>
      </w:r>
      <w:r w:rsidRPr="005B283C">
        <w:rPr>
          <w:bCs/>
        </w:rPr>
        <w:t xml:space="preserve">among both practitioners and the general population is key to making faster diagnoses. Organizations, such </w:t>
      </w:r>
      <w:r w:rsidR="007B7CE7">
        <w:rPr>
          <w:bCs/>
        </w:rPr>
        <w:t xml:space="preserve">as </w:t>
      </w:r>
      <w:r w:rsidRPr="005B283C">
        <w:rPr>
          <w:bCs/>
        </w:rPr>
        <w:t>The Lupus Foundation of America (</w:t>
      </w:r>
      <w:hyperlink r:id="rId15" w:history="1">
        <w:r w:rsidR="007E75BC" w:rsidRPr="007E75BC">
          <w:rPr>
            <w:color w:val="0000FF"/>
            <w:u w:val="single"/>
          </w:rPr>
          <w:t>https://www.lupus.org/</w:t>
        </w:r>
      </w:hyperlink>
      <w:r w:rsidRPr="005B283C">
        <w:rPr>
          <w:bCs/>
        </w:rPr>
        <w:t>) and The American College of Rheumatology (</w:t>
      </w:r>
      <w:hyperlink r:id="rId16" w:history="1">
        <w:r w:rsidR="007E75BC" w:rsidRPr="007E75BC">
          <w:rPr>
            <w:color w:val="0000FF"/>
            <w:u w:val="single"/>
          </w:rPr>
          <w:t>https://www.rheumatology.org/</w:t>
        </w:r>
      </w:hyperlink>
      <w:r w:rsidRPr="005B283C">
        <w:rPr>
          <w:bCs/>
        </w:rPr>
        <w:t xml:space="preserve">), advocate to lawmakers, physicians and </w:t>
      </w:r>
      <w:r w:rsidRPr="005B283C">
        <w:rPr>
          <w:bCs/>
        </w:rPr>
        <w:lastRenderedPageBreak/>
        <w:t xml:space="preserve">patients to enable better disease management and disease prevention for SLE. Utilizing national organizations to begin conversations about </w:t>
      </w:r>
      <w:r w:rsidR="00326712">
        <w:rPr>
          <w:bCs/>
        </w:rPr>
        <w:t xml:space="preserve">the potential </w:t>
      </w:r>
      <w:r w:rsidRPr="005B283C">
        <w:rPr>
          <w:bCs/>
        </w:rPr>
        <w:t>us</w:t>
      </w:r>
      <w:r w:rsidR="00326712">
        <w:rPr>
          <w:bCs/>
        </w:rPr>
        <w:t>e</w:t>
      </w:r>
      <w:r w:rsidRPr="005B283C">
        <w:rPr>
          <w:bCs/>
        </w:rPr>
        <w:t xml:space="preserve"> </w:t>
      </w:r>
      <w:r w:rsidR="00326712">
        <w:rPr>
          <w:bCs/>
        </w:rPr>
        <w:t xml:space="preserve">of </w:t>
      </w:r>
      <w:r w:rsidRPr="005B283C">
        <w:rPr>
          <w:bCs/>
        </w:rPr>
        <w:t xml:space="preserve">genetic testing would provide an avenue for more research and overall education related to SLE screening. The public health goal of increasing the use of screening practices for SLE would be to provide earlier detection and therefore lower the economic burden and improve quality of life for SLE patients. </w:t>
      </w:r>
    </w:p>
    <w:p w14:paraId="5257F74B" w14:textId="2090C220" w:rsidR="000F5CFF" w:rsidRDefault="000F5CFF" w:rsidP="000F5CFF">
      <w:pPr>
        <w:pStyle w:val="Heading"/>
      </w:pPr>
      <w:bookmarkStart w:id="65" w:name="_Toc8115852"/>
      <w:bookmarkStart w:id="66" w:name="_Toc40435749"/>
      <w:r>
        <w:lastRenderedPageBreak/>
        <w:t>Bibliography</w:t>
      </w:r>
      <w:bookmarkEnd w:id="65"/>
      <w:bookmarkEnd w:id="66"/>
    </w:p>
    <w:p w14:paraId="09ABA77A" w14:textId="1F093B25" w:rsidR="00437606" w:rsidRPr="00193597" w:rsidRDefault="00437606" w:rsidP="00437606">
      <w:pPr>
        <w:pStyle w:val="BibliographyEntry"/>
      </w:pPr>
      <w:r w:rsidRPr="00193597">
        <w:t xml:space="preserve">Ahmed, H. H., Taha, F. M., Darweesh Hel, S., &amp; Morsi, H. M. (2014). Association between TNF promoter -308 G&gt;A and LTA 252 A&gt;G polymorphisms and systemic lupus erythematosus. </w:t>
      </w:r>
      <w:r w:rsidRPr="00193597">
        <w:rPr>
          <w:i/>
          <w:iCs/>
        </w:rPr>
        <w:t>Mol Biol Rep, 41</w:t>
      </w:r>
      <w:r w:rsidRPr="00193597">
        <w:t>(4), 2029-2036.</w:t>
      </w:r>
    </w:p>
    <w:p w14:paraId="0036E260" w14:textId="649F1EE7" w:rsidR="000F5CFF" w:rsidRPr="00193597" w:rsidRDefault="000F5CFF" w:rsidP="000F5CFF">
      <w:pPr>
        <w:pStyle w:val="BibliographyEntry"/>
      </w:pPr>
      <w:r w:rsidRPr="00193597">
        <w:t>Albarbar, B., et al. (2015). Regulation of cell fate by lymphotoxin (LT) receptor signalling: Functional differences and similarities of the LT system to other TNF superfamily (TNFSF) members.</w:t>
      </w:r>
      <w:r w:rsidR="00837B81" w:rsidRPr="00193597">
        <w:t xml:space="preserve"> </w:t>
      </w:r>
      <w:r w:rsidRPr="00193597">
        <w:rPr>
          <w:i/>
          <w:iCs/>
        </w:rPr>
        <w:t>Cytokine Growth Factor Rev 26</w:t>
      </w:r>
      <w:r w:rsidRPr="00193597">
        <w:t>(6): 659-671.</w:t>
      </w:r>
    </w:p>
    <w:p w14:paraId="549727A8" w14:textId="5BF730CA" w:rsidR="000F5CFF" w:rsidRPr="00193597" w:rsidRDefault="000F5CFF" w:rsidP="000F5CFF">
      <w:pPr>
        <w:pStyle w:val="BibliographyEntry"/>
      </w:pPr>
      <w:r w:rsidRPr="00193597">
        <w:t xml:space="preserve">Aringer, M., et al. (2019). 2019 European League Against Rheumatism/American College of Rheumatology Classification Criteria for Systemic Lupus Erythematosus. </w:t>
      </w:r>
      <w:r w:rsidRPr="00193597">
        <w:rPr>
          <w:i/>
          <w:iCs/>
        </w:rPr>
        <w:t>Arthritis Rheumatol 71</w:t>
      </w:r>
      <w:r w:rsidRPr="00193597">
        <w:t>(9): 1400-1412.</w:t>
      </w:r>
    </w:p>
    <w:p w14:paraId="7A651793" w14:textId="77777777" w:rsidR="00D777D5" w:rsidRPr="00193597" w:rsidRDefault="00D777D5" w:rsidP="00D777D5">
      <w:pPr>
        <w:pStyle w:val="BibliographyEntry"/>
      </w:pPr>
      <w:r w:rsidRPr="00193597">
        <w:t xml:space="preserve">Bernatsky, S., et al. (2006). Mortality in systemic lupus erythematosus. </w:t>
      </w:r>
      <w:r w:rsidRPr="00193597">
        <w:rPr>
          <w:i/>
          <w:iCs/>
        </w:rPr>
        <w:t>Arthritis Rheum 54</w:t>
      </w:r>
      <w:r w:rsidRPr="00193597">
        <w:t>(8): 2550-2557.</w:t>
      </w:r>
    </w:p>
    <w:p w14:paraId="031D9C20" w14:textId="402ECEBC" w:rsidR="000956D9" w:rsidRPr="00E80628" w:rsidRDefault="000956D9" w:rsidP="000F5CFF">
      <w:pPr>
        <w:pStyle w:val="BibliographyEntry"/>
      </w:pPr>
      <w:r w:rsidRPr="00E80628">
        <w:t>Bernatsky, S</w:t>
      </w:r>
      <w:r w:rsidR="00302F16" w:rsidRPr="00E80628">
        <w:t>., et al.</w:t>
      </w:r>
      <w:r w:rsidRPr="00E80628">
        <w:t xml:space="preserve"> (2013). Cancer risk in systemic lupus: an updated international multi-centre cohort study. </w:t>
      </w:r>
      <w:r w:rsidRPr="00E80628">
        <w:rPr>
          <w:i/>
          <w:iCs/>
        </w:rPr>
        <w:t>J Autoimmun, 42</w:t>
      </w:r>
      <w:r w:rsidRPr="00E80628">
        <w:t>, 130-135.</w:t>
      </w:r>
    </w:p>
    <w:p w14:paraId="3C7A089C" w14:textId="13F34C25" w:rsidR="000F5CFF" w:rsidRPr="00193597" w:rsidRDefault="000F5CFF" w:rsidP="000F5CFF">
      <w:pPr>
        <w:pStyle w:val="BibliographyEntry"/>
      </w:pPr>
      <w:r w:rsidRPr="00193597">
        <w:t xml:space="preserve">Bienkowska, J., et al. (2014). Lymphotoxin-LIGHT pathway regulates the interferon signature in rheumatoid arthritis. </w:t>
      </w:r>
      <w:r w:rsidRPr="00193597">
        <w:rPr>
          <w:i/>
          <w:iCs/>
        </w:rPr>
        <w:t>PLoS One 9</w:t>
      </w:r>
      <w:r w:rsidRPr="00193597">
        <w:t>(11): e112545.</w:t>
      </w:r>
    </w:p>
    <w:p w14:paraId="30A90D02" w14:textId="24242FAA" w:rsidR="000F5CFF" w:rsidRPr="00193597" w:rsidRDefault="000F5CFF" w:rsidP="000F5CFF">
      <w:pPr>
        <w:pStyle w:val="BibliographyEntry"/>
      </w:pPr>
      <w:r w:rsidRPr="00193597">
        <w:t xml:space="preserve">Bolstad, A. I., </w:t>
      </w:r>
      <w:bookmarkStart w:id="67" w:name="_Hlk40465578"/>
      <w:r w:rsidRPr="00193597">
        <w:t>et al. (</w:t>
      </w:r>
      <w:bookmarkEnd w:id="67"/>
      <w:r w:rsidRPr="00193597">
        <w:t xml:space="preserve">2012). Association between genetic variants in the tumour necrosis factor/lymphotoxin alpha/lymphotoxin beta locus and primary Sjogren's syndrome in Scandinavian samples. </w:t>
      </w:r>
      <w:r w:rsidRPr="00193597">
        <w:rPr>
          <w:i/>
          <w:iCs/>
        </w:rPr>
        <w:t>Ann Rheum Dis 71</w:t>
      </w:r>
      <w:r w:rsidRPr="00193597">
        <w:t>(6): 981-988.</w:t>
      </w:r>
    </w:p>
    <w:p w14:paraId="2937A520" w14:textId="01F76835" w:rsidR="00A678F7" w:rsidRPr="00E80628" w:rsidRDefault="00A678F7" w:rsidP="000F5CFF">
      <w:pPr>
        <w:pStyle w:val="BibliographyEntry"/>
      </w:pPr>
      <w:r w:rsidRPr="00E80628">
        <w:t>Bystrom J</w:t>
      </w:r>
      <w:r w:rsidR="00967A68">
        <w:t>.</w:t>
      </w:r>
      <w:r w:rsidRPr="00E80628">
        <w:t xml:space="preserve">, </w:t>
      </w:r>
      <w:r w:rsidRPr="00193597">
        <w:t>et al. (</w:t>
      </w:r>
      <w:r>
        <w:t>2018)</w:t>
      </w:r>
      <w:r w:rsidRPr="00E80628">
        <w:t>.</w:t>
      </w:r>
      <w:r>
        <w:t xml:space="preserve"> </w:t>
      </w:r>
      <w:r w:rsidRPr="00E80628">
        <w:t xml:space="preserve">TNFα in the regulation of Treg and Th17 cells in rheumatoid arthritis and other autoimmune inflammatory diseases. </w:t>
      </w:r>
      <w:r w:rsidRPr="00E80628">
        <w:rPr>
          <w:i/>
          <w:iCs/>
        </w:rPr>
        <w:t>Cytokine</w:t>
      </w:r>
      <w:r w:rsidRPr="00E80628">
        <w:t xml:space="preserve"> </w:t>
      </w:r>
      <w:r w:rsidRPr="00E80628">
        <w:rPr>
          <w:i/>
          <w:iCs/>
        </w:rPr>
        <w:t>101</w:t>
      </w:r>
      <w:r w:rsidRPr="00E80628">
        <w:t xml:space="preserve">:4-13. </w:t>
      </w:r>
    </w:p>
    <w:p w14:paraId="6064D260" w14:textId="449F2ABE" w:rsidR="000F5CFF" w:rsidRPr="00193597" w:rsidRDefault="000F5CFF" w:rsidP="000F5CFF">
      <w:pPr>
        <w:pStyle w:val="BibliographyEntry"/>
      </w:pPr>
      <w:r w:rsidRPr="00D95566">
        <w:t xml:space="preserve">Carter, E. E., et al. (2016). </w:t>
      </w:r>
      <w:r w:rsidRPr="00193597">
        <w:t xml:space="preserve">The global burden of SLE: prevalence, health disparities and socioeconomic impact. </w:t>
      </w:r>
      <w:r w:rsidRPr="00193597">
        <w:rPr>
          <w:i/>
          <w:iCs/>
        </w:rPr>
        <w:t>Nat Rev Rheumatol 12</w:t>
      </w:r>
      <w:r w:rsidRPr="00193597">
        <w:t>(10): 605-620.</w:t>
      </w:r>
    </w:p>
    <w:p w14:paraId="2A18BF06" w14:textId="77777777" w:rsidR="009A7862" w:rsidRPr="00193597" w:rsidRDefault="009A7862" w:rsidP="009A7862">
      <w:pPr>
        <w:pStyle w:val="BibliographyEntry"/>
      </w:pPr>
      <w:r w:rsidRPr="00E80628">
        <w:t xml:space="preserve">Chen, L., et al. </w:t>
      </w:r>
      <w:r w:rsidRPr="00193597">
        <w:t xml:space="preserve">(2017). Genetic advances in systemic lupus erythematosus: an update. </w:t>
      </w:r>
      <w:r w:rsidRPr="00193597">
        <w:rPr>
          <w:i/>
          <w:iCs/>
        </w:rPr>
        <w:t>Curr Opin Rheumatol 29</w:t>
      </w:r>
      <w:r w:rsidRPr="00193597">
        <w:t>(5): 423-433.</w:t>
      </w:r>
    </w:p>
    <w:p w14:paraId="52DABDBF" w14:textId="6DC44A33" w:rsidR="000F5CFF" w:rsidRPr="00193597" w:rsidRDefault="000F5CFF" w:rsidP="000F5CFF">
      <w:pPr>
        <w:pStyle w:val="BibliographyEntry"/>
        <w:rPr>
          <w:lang w:val="es-ES"/>
        </w:rPr>
      </w:pPr>
      <w:r w:rsidRPr="00193597">
        <w:lastRenderedPageBreak/>
        <w:t>Chen, L., et al. (2019). Association between tumor necrosis factor polymorphisms and rheumatoid arthritis as well as systemic lupus erythematosus: a meta-analysis.</w:t>
      </w:r>
      <w:r w:rsidR="009C0F8B" w:rsidRPr="00193597">
        <w:t xml:space="preserve"> </w:t>
      </w:r>
      <w:r w:rsidRPr="00193597">
        <w:rPr>
          <w:i/>
          <w:iCs/>
          <w:lang w:val="es-ES"/>
        </w:rPr>
        <w:t>Braz J Med Biol Res 52</w:t>
      </w:r>
      <w:r w:rsidRPr="00193597">
        <w:rPr>
          <w:lang w:val="es-ES"/>
        </w:rPr>
        <w:t>(3): e7927.</w:t>
      </w:r>
    </w:p>
    <w:p w14:paraId="654F0151" w14:textId="19733215" w:rsidR="00F12624" w:rsidRPr="00E80628" w:rsidRDefault="00F12624" w:rsidP="00F12624">
      <w:pPr>
        <w:pStyle w:val="BibliographyEntry"/>
        <w:rPr>
          <w:lang w:val="fr-FR"/>
        </w:rPr>
      </w:pPr>
      <w:r w:rsidRPr="00E80628">
        <w:rPr>
          <w:lang w:val="es-ES"/>
        </w:rPr>
        <w:t>Chen, L</w:t>
      </w:r>
      <w:r w:rsidR="00302F16" w:rsidRPr="00E80628">
        <w:rPr>
          <w:lang w:val="es-ES"/>
        </w:rPr>
        <w:t xml:space="preserve"> et al</w:t>
      </w:r>
      <w:r w:rsidRPr="00E80628">
        <w:rPr>
          <w:lang w:val="es-ES"/>
        </w:rPr>
        <w:t xml:space="preserve">. </w:t>
      </w:r>
      <w:r w:rsidRPr="00193597">
        <w:t xml:space="preserve">(2020). Genome-wide assessment of genetic risk for systemic lupus erythematosus and disease severity. </w:t>
      </w:r>
      <w:r w:rsidRPr="00E80628">
        <w:rPr>
          <w:i/>
          <w:lang w:val="fr-FR"/>
        </w:rPr>
        <w:t>Hum Mol Genet</w:t>
      </w:r>
      <w:r w:rsidRPr="00E80628">
        <w:rPr>
          <w:lang w:val="fr-FR"/>
        </w:rPr>
        <w:t>. doi:10.1093/hmg/ddaa030</w:t>
      </w:r>
    </w:p>
    <w:p w14:paraId="2E2D6AB6" w14:textId="50D2205B" w:rsidR="000F5CFF" w:rsidRPr="00193597" w:rsidRDefault="000F5CFF" w:rsidP="000F5CFF">
      <w:pPr>
        <w:pStyle w:val="BibliographyEntry"/>
      </w:pPr>
      <w:r w:rsidRPr="00E80628">
        <w:rPr>
          <w:lang w:val="fr-FR"/>
        </w:rPr>
        <w:t xml:space="preserve">Cojocaru, M., et al. </w:t>
      </w:r>
      <w:r w:rsidRPr="00193597">
        <w:t xml:space="preserve">(2011). Manifestations of systemic lupus erythematosus. </w:t>
      </w:r>
      <w:r w:rsidRPr="00193597">
        <w:rPr>
          <w:i/>
          <w:iCs/>
        </w:rPr>
        <w:t>Maedica (Buchar) 6</w:t>
      </w:r>
      <w:r w:rsidRPr="00193597">
        <w:t>(4): 330-336.</w:t>
      </w:r>
    </w:p>
    <w:p w14:paraId="1F639239" w14:textId="5ADFF0CE" w:rsidR="000F5CFF" w:rsidRPr="00193597" w:rsidRDefault="000F5CFF" w:rsidP="000F5CFF">
      <w:pPr>
        <w:pStyle w:val="BibliographyEntry"/>
      </w:pPr>
      <w:r w:rsidRPr="00193597">
        <w:t>Croft, M. and R. M. Siegel (2017). Beyond TNF: TNF superfamily cytokines as targets for the treatment of rheumatic diseases</w:t>
      </w:r>
      <w:r w:rsidRPr="00193597">
        <w:rPr>
          <w:i/>
          <w:iCs/>
        </w:rPr>
        <w:t>. Nat Rev Rheumatol 13</w:t>
      </w:r>
      <w:r w:rsidRPr="00193597">
        <w:t>(4): 217-233.</w:t>
      </w:r>
    </w:p>
    <w:p w14:paraId="6C24E8E8" w14:textId="0FBC8DDC" w:rsidR="005B283C" w:rsidRPr="00193597" w:rsidRDefault="005B283C" w:rsidP="000F5CFF">
      <w:pPr>
        <w:pStyle w:val="BibliographyEntry"/>
      </w:pPr>
      <w:r w:rsidRPr="00E80628">
        <w:t xml:space="preserve">Demirci, F. Y., </w:t>
      </w:r>
      <w:r w:rsidR="005A12AF" w:rsidRPr="00E80628">
        <w:t>et al.</w:t>
      </w:r>
      <w:r w:rsidR="00C56AD7" w:rsidRPr="00E80628">
        <w:t xml:space="preserve"> </w:t>
      </w:r>
      <w:r w:rsidRPr="00E80628">
        <w:t xml:space="preserve">(2011). </w:t>
      </w:r>
      <w:r w:rsidRPr="00193597">
        <w:t xml:space="preserve">Functional polymorphisms of the coagulation factor II gene (F2) and susceptibility to systemic lupus erythematosus. </w:t>
      </w:r>
      <w:r w:rsidRPr="00193597">
        <w:rPr>
          <w:i/>
          <w:iCs/>
        </w:rPr>
        <w:t>J Rheumatol, 38</w:t>
      </w:r>
      <w:r w:rsidRPr="00193597">
        <w:t>(4), 652-657.</w:t>
      </w:r>
    </w:p>
    <w:p w14:paraId="1CAA4068" w14:textId="4F9AE2C0" w:rsidR="005B283C" w:rsidRPr="00193597" w:rsidRDefault="005B283C" w:rsidP="000F5CFF">
      <w:pPr>
        <w:pStyle w:val="BibliographyEntry"/>
      </w:pPr>
      <w:r w:rsidRPr="00193597">
        <w:t>Demirci, F. Y.</w:t>
      </w:r>
      <w:r w:rsidR="00A443EA" w:rsidRPr="00193597">
        <w:t>, et al</w:t>
      </w:r>
      <w:r w:rsidRPr="00193597">
        <w:t xml:space="preserve">. (2016). Identification of a New Susceptibility Locus for Systemic Lupus Erythematosus on Chromosome 12 in Individuals of European Ancestry. </w:t>
      </w:r>
      <w:r w:rsidRPr="00193597">
        <w:rPr>
          <w:i/>
          <w:iCs/>
        </w:rPr>
        <w:t>Arthritis Rheumatol, 68</w:t>
      </w:r>
      <w:r w:rsidRPr="00193597">
        <w:t>(1), 174-183.</w:t>
      </w:r>
    </w:p>
    <w:p w14:paraId="32A8BA33" w14:textId="26A12B32" w:rsidR="000F5CFF" w:rsidRPr="00193597" w:rsidRDefault="000F5CFF" w:rsidP="000F5CFF">
      <w:pPr>
        <w:pStyle w:val="BibliographyEntry"/>
      </w:pPr>
      <w:r w:rsidRPr="00193597">
        <w:t xml:space="preserve">Gommerman, J. L., et al. (2014). The Lymphotoxin Network: orchestrating a type I interferon response to optimize adaptive immunity. </w:t>
      </w:r>
      <w:r w:rsidRPr="00193597">
        <w:rPr>
          <w:i/>
          <w:iCs/>
        </w:rPr>
        <w:t>Cytokine Growth Factor Rev 25</w:t>
      </w:r>
      <w:r w:rsidRPr="00193597">
        <w:t>(2): 139-145.</w:t>
      </w:r>
    </w:p>
    <w:p w14:paraId="0DFC02CF" w14:textId="36E1E11C" w:rsidR="000F5CFF" w:rsidRPr="00193597" w:rsidRDefault="000F5CFF" w:rsidP="000F5CFF">
      <w:pPr>
        <w:pStyle w:val="BibliographyEntry"/>
      </w:pPr>
      <w:r w:rsidRPr="00193597">
        <w:t>Gonzalez, L. A., et al. (2013). Ethnicity in systemic lupus erythematosus (SLE): its influence on susceptibility and outcomes</w:t>
      </w:r>
      <w:r w:rsidRPr="00193597">
        <w:rPr>
          <w:i/>
          <w:iCs/>
        </w:rPr>
        <w:t>.</w:t>
      </w:r>
      <w:r w:rsidR="00A94953" w:rsidRPr="00193597">
        <w:rPr>
          <w:i/>
          <w:iCs/>
        </w:rPr>
        <w:t xml:space="preserve"> </w:t>
      </w:r>
      <w:r w:rsidRPr="00193597">
        <w:rPr>
          <w:i/>
          <w:iCs/>
        </w:rPr>
        <w:t>Lupus 22</w:t>
      </w:r>
      <w:r w:rsidRPr="00193597">
        <w:t>(12): 1214-1224.</w:t>
      </w:r>
    </w:p>
    <w:p w14:paraId="2FF26AC9" w14:textId="506A7FAB" w:rsidR="00967A68" w:rsidRDefault="00967A68" w:rsidP="000F5CFF">
      <w:pPr>
        <w:pStyle w:val="BibliographyEntry"/>
        <w:rPr>
          <w:rFonts w:ascii="Courier" w:hAnsi="Courier" w:cs="Courier"/>
        </w:rPr>
      </w:pPr>
      <w:bookmarkStart w:id="68" w:name="_Hlk40465975"/>
      <w:r w:rsidRPr="00D95566">
        <w:t>Gubernatorova</w:t>
      </w:r>
      <w:r w:rsidRPr="00E80628">
        <w:t>,</w:t>
      </w:r>
      <w:r w:rsidRPr="00D95566">
        <w:t xml:space="preserve"> E</w:t>
      </w:r>
      <w:r w:rsidRPr="002C512D">
        <w:t xml:space="preserve">. </w:t>
      </w:r>
      <w:r w:rsidRPr="00FC35C5">
        <w:t>O</w:t>
      </w:r>
      <w:r w:rsidRPr="00E80628">
        <w:t>.</w:t>
      </w:r>
      <w:r w:rsidRPr="00D95566">
        <w:t xml:space="preserve">, </w:t>
      </w:r>
      <w:r w:rsidRPr="00E80628">
        <w:t xml:space="preserve">&amp; </w:t>
      </w:r>
      <w:r w:rsidRPr="00D95566">
        <w:t>Tumanov</w:t>
      </w:r>
      <w:r w:rsidRPr="00E80628">
        <w:t>,</w:t>
      </w:r>
      <w:r w:rsidRPr="00D95566">
        <w:t xml:space="preserve"> A</w:t>
      </w:r>
      <w:r w:rsidRPr="00E80628">
        <w:t xml:space="preserve">. </w:t>
      </w:r>
      <w:r w:rsidRPr="00D95566">
        <w:t xml:space="preserve">V. </w:t>
      </w:r>
      <w:r w:rsidRPr="002C512D">
        <w:t>(2016)</w:t>
      </w:r>
      <w:r w:rsidR="004F6FB6" w:rsidRPr="00FC35C5">
        <w:t>.</w:t>
      </w:r>
      <w:r w:rsidRPr="00A153C9">
        <w:t xml:space="preserve"> </w:t>
      </w:r>
      <w:r w:rsidRPr="004A7B7F">
        <w:t>Tumor Necrosis Factor and Lymphotoxin in</w:t>
      </w:r>
      <w:r>
        <w:t xml:space="preserve"> </w:t>
      </w:r>
      <w:r w:rsidRPr="004A7B7F">
        <w:t xml:space="preserve">Regulation of Intestinal Inflammation. </w:t>
      </w:r>
      <w:r w:rsidRPr="00E80628">
        <w:rPr>
          <w:i/>
          <w:iCs/>
        </w:rPr>
        <w:t>Biochemistry (Mosc)</w:t>
      </w:r>
      <w:r w:rsidRPr="004A7B7F">
        <w:t xml:space="preserve"> </w:t>
      </w:r>
      <w:r w:rsidRPr="00E80628">
        <w:rPr>
          <w:i/>
          <w:iCs/>
        </w:rPr>
        <w:t>81</w:t>
      </w:r>
      <w:r w:rsidRPr="004A7B7F">
        <w:t>(11):1309-1325.</w:t>
      </w:r>
      <w:bookmarkEnd w:id="68"/>
      <w:r>
        <w:rPr>
          <w:rFonts w:ascii="Courier" w:hAnsi="Courier" w:cs="Courier"/>
        </w:rPr>
        <w:t xml:space="preserve"> </w:t>
      </w:r>
    </w:p>
    <w:p w14:paraId="18046F3B" w14:textId="4D96DEE9" w:rsidR="000F5CFF" w:rsidRPr="00193597" w:rsidRDefault="000F5CFF" w:rsidP="000F5CFF">
      <w:pPr>
        <w:pStyle w:val="BibliographyEntry"/>
      </w:pPr>
      <w:r w:rsidRPr="00193597">
        <w:t xml:space="preserve">Hochberg, M. C. (1997). Updating the American College of Rheumatology revised criteria for the classification of systemic lupus erythematosus. </w:t>
      </w:r>
      <w:r w:rsidRPr="00193597">
        <w:rPr>
          <w:i/>
          <w:iCs/>
        </w:rPr>
        <w:t>Arthritis Rheum 40</w:t>
      </w:r>
      <w:r w:rsidRPr="00193597">
        <w:t>(9): 1725.</w:t>
      </w:r>
    </w:p>
    <w:p w14:paraId="7D2BEE77" w14:textId="7F93C8B6" w:rsidR="000F5CFF" w:rsidRPr="00193597" w:rsidRDefault="000F5CFF" w:rsidP="000F5CFF">
      <w:pPr>
        <w:pStyle w:val="BibliographyEntry"/>
      </w:pPr>
      <w:r w:rsidRPr="00193597">
        <w:t xml:space="preserve">Horton, R., et al. (2004). Gene map of the extended human MHC. </w:t>
      </w:r>
      <w:r w:rsidRPr="00193597">
        <w:rPr>
          <w:i/>
          <w:iCs/>
        </w:rPr>
        <w:t>Nat Rev Genet 5</w:t>
      </w:r>
      <w:r w:rsidRPr="00193597">
        <w:t>(12): 889-899.</w:t>
      </w:r>
    </w:p>
    <w:p w14:paraId="20A8E876" w14:textId="43C78777" w:rsidR="00F12624" w:rsidRPr="00193597" w:rsidRDefault="00F12624" w:rsidP="00F12624">
      <w:pPr>
        <w:pStyle w:val="EndNoteBibliography"/>
        <w:ind w:left="720" w:hanging="720"/>
      </w:pPr>
      <w:r w:rsidRPr="00193597">
        <w:t xml:space="preserve">Janssens, A. (2019). Validity of polygenic risk scores: are we measuring what we think we are? </w:t>
      </w:r>
      <w:r w:rsidRPr="00193597">
        <w:rPr>
          <w:i/>
        </w:rPr>
        <w:t>Hum Mol Genet, 28</w:t>
      </w:r>
      <w:r w:rsidRPr="00193597">
        <w:t>(R2), R143-r150.</w:t>
      </w:r>
    </w:p>
    <w:p w14:paraId="764968FA" w14:textId="77777777" w:rsidR="00F12624" w:rsidRPr="00193597" w:rsidRDefault="00F12624" w:rsidP="00F12624">
      <w:pPr>
        <w:pStyle w:val="EndNoteBibliography"/>
        <w:ind w:left="720" w:hanging="720"/>
      </w:pPr>
    </w:p>
    <w:p w14:paraId="196848BD" w14:textId="3DEE59BB" w:rsidR="000F5CFF" w:rsidRPr="00193597" w:rsidRDefault="000F5CFF" w:rsidP="000F5CFF">
      <w:pPr>
        <w:pStyle w:val="BibliographyEntry"/>
      </w:pPr>
      <w:r w:rsidRPr="00193597">
        <w:t>Kaul, A., et al. (2016). Systemic lupus erythematosus</w:t>
      </w:r>
      <w:r w:rsidR="00A94953" w:rsidRPr="00193597">
        <w:t>.</w:t>
      </w:r>
      <w:r w:rsidRPr="00193597">
        <w:t xml:space="preserve"> </w:t>
      </w:r>
      <w:r w:rsidRPr="00193597">
        <w:rPr>
          <w:i/>
          <w:iCs/>
        </w:rPr>
        <w:t>Nat Rev Dis Primers</w:t>
      </w:r>
      <w:r w:rsidRPr="00193597">
        <w:t xml:space="preserve"> 2: 16039.</w:t>
      </w:r>
    </w:p>
    <w:p w14:paraId="3955B5D5" w14:textId="77777777" w:rsidR="000F5CFF" w:rsidRPr="00193597" w:rsidRDefault="000F5CFF" w:rsidP="000F5CFF">
      <w:pPr>
        <w:pStyle w:val="BibliographyEntry"/>
      </w:pPr>
      <w:r w:rsidRPr="00193597">
        <w:t xml:space="preserve">Lupus Foundation of America. (2019). Dos and dont's for living well with lupus. Retrieved from </w:t>
      </w:r>
      <w:hyperlink r:id="rId17" w:history="1">
        <w:r w:rsidRPr="00193597">
          <w:rPr>
            <w:rStyle w:val="Hyperlink"/>
          </w:rPr>
          <w:t>https://www.lupus.org/resources/dos-and-donts-for-living-well-with-lupus</w:t>
        </w:r>
      </w:hyperlink>
      <w:r w:rsidRPr="00193597">
        <w:t xml:space="preserve">. </w:t>
      </w:r>
    </w:p>
    <w:p w14:paraId="76E1943C" w14:textId="08C02759" w:rsidR="000F5CFF" w:rsidRPr="00E80628" w:rsidRDefault="000F5CFF" w:rsidP="000F5CFF">
      <w:pPr>
        <w:pStyle w:val="BibliographyEntry"/>
      </w:pPr>
      <w:r w:rsidRPr="00E80628">
        <w:t xml:space="preserve">Macejova, Z., et al. (2013). Systemic lupus erythematosus--disease impact on patients. </w:t>
      </w:r>
      <w:r w:rsidRPr="00E80628">
        <w:rPr>
          <w:i/>
          <w:iCs/>
        </w:rPr>
        <w:t>Cent Eur J Public Health 21</w:t>
      </w:r>
      <w:r w:rsidRPr="00E80628">
        <w:t xml:space="preserve">(3): 171-173. </w:t>
      </w:r>
    </w:p>
    <w:p w14:paraId="4700BD81" w14:textId="266FB190" w:rsidR="000F5CFF" w:rsidRPr="00D16308" w:rsidRDefault="000F5CFF" w:rsidP="000F5CFF">
      <w:pPr>
        <w:pStyle w:val="BibliographyEntry"/>
      </w:pPr>
      <w:r w:rsidRPr="00E80628">
        <w:t xml:space="preserve">Marson, A., et al. </w:t>
      </w:r>
      <w:r w:rsidRPr="00193597">
        <w:t xml:space="preserve">(2015). Genetic basis of autoimmunity. </w:t>
      </w:r>
      <w:r w:rsidRPr="00D16308">
        <w:rPr>
          <w:i/>
          <w:iCs/>
        </w:rPr>
        <w:t>J Clin Invest 125</w:t>
      </w:r>
      <w:r w:rsidRPr="00D16308">
        <w:t>(6): 2234-2241.</w:t>
      </w:r>
    </w:p>
    <w:p w14:paraId="1210197E" w14:textId="63E99C37" w:rsidR="003A4EB2" w:rsidRDefault="003A4EB2" w:rsidP="00071D39">
      <w:pPr>
        <w:pStyle w:val="BibliographyEntry"/>
      </w:pPr>
      <w:r w:rsidRPr="003A4EB2">
        <w:t>Matzaraki</w:t>
      </w:r>
      <w:r>
        <w:t>,</w:t>
      </w:r>
      <w:r w:rsidRPr="003A4EB2">
        <w:t xml:space="preserve"> V</w:t>
      </w:r>
      <w:r>
        <w:t>.</w:t>
      </w:r>
      <w:r w:rsidRPr="003A4EB2">
        <w:t>, Kumar</w:t>
      </w:r>
      <w:r>
        <w:t>,</w:t>
      </w:r>
      <w:r w:rsidRPr="003A4EB2">
        <w:t xml:space="preserve"> V</w:t>
      </w:r>
      <w:r>
        <w:t>.</w:t>
      </w:r>
      <w:r w:rsidRPr="003A4EB2">
        <w:t>, Wijmenga</w:t>
      </w:r>
      <w:r>
        <w:t>,</w:t>
      </w:r>
      <w:r w:rsidRPr="003A4EB2">
        <w:t xml:space="preserve"> C</w:t>
      </w:r>
      <w:r>
        <w:t>.</w:t>
      </w:r>
      <w:r w:rsidRPr="003A4EB2">
        <w:t xml:space="preserve">, </w:t>
      </w:r>
      <w:r>
        <w:t xml:space="preserve">&amp; </w:t>
      </w:r>
      <w:r w:rsidRPr="003A4EB2">
        <w:t>Zhernakova</w:t>
      </w:r>
      <w:r>
        <w:t>,</w:t>
      </w:r>
      <w:r w:rsidRPr="003A4EB2">
        <w:t xml:space="preserve"> A.</w:t>
      </w:r>
      <w:r>
        <w:t xml:space="preserve"> (2017)</w:t>
      </w:r>
      <w:r w:rsidR="00504983">
        <w:t>.</w:t>
      </w:r>
      <w:r w:rsidRPr="003A4EB2">
        <w:t xml:space="preserve"> The MHC locus and genetic susceptibility to autoimmune and infectious diseases. </w:t>
      </w:r>
      <w:r w:rsidRPr="00E80628">
        <w:rPr>
          <w:i/>
          <w:iCs/>
        </w:rPr>
        <w:t>Genome Biol.</w:t>
      </w:r>
      <w:r w:rsidRPr="003A4EB2">
        <w:t xml:space="preserve"> </w:t>
      </w:r>
      <w:r w:rsidRPr="00E80628">
        <w:rPr>
          <w:i/>
          <w:iCs/>
        </w:rPr>
        <w:t>18</w:t>
      </w:r>
      <w:r w:rsidRPr="003A4EB2">
        <w:t xml:space="preserve">(1):76. </w:t>
      </w:r>
    </w:p>
    <w:p w14:paraId="193CAA2A" w14:textId="1739737C" w:rsidR="00071D39" w:rsidRPr="00193597" w:rsidRDefault="00071D39" w:rsidP="00071D39">
      <w:pPr>
        <w:pStyle w:val="BibliographyEntry"/>
        <w:rPr>
          <w:lang w:val="fr-FR"/>
        </w:rPr>
      </w:pPr>
      <w:r w:rsidRPr="00E80628">
        <w:t xml:space="preserve">Mehta, A. K., et al. </w:t>
      </w:r>
      <w:r w:rsidRPr="00193597">
        <w:t xml:space="preserve">(2018). TNF activity and T cells. </w:t>
      </w:r>
      <w:r w:rsidRPr="00193597">
        <w:rPr>
          <w:i/>
          <w:iCs/>
          <w:lang w:val="fr-FR"/>
        </w:rPr>
        <w:t>Cytokine</w:t>
      </w:r>
      <w:r w:rsidRPr="00193597">
        <w:rPr>
          <w:lang w:val="fr-FR"/>
        </w:rPr>
        <w:t xml:space="preserve"> </w:t>
      </w:r>
      <w:r w:rsidRPr="002B4275">
        <w:rPr>
          <w:i/>
          <w:iCs/>
          <w:lang w:val="fr-FR"/>
        </w:rPr>
        <w:t>101</w:t>
      </w:r>
      <w:r w:rsidRPr="00193597">
        <w:rPr>
          <w:lang w:val="fr-FR"/>
        </w:rPr>
        <w:t>: 14-18.</w:t>
      </w:r>
    </w:p>
    <w:p w14:paraId="0272D383" w14:textId="40FD8A3E" w:rsidR="000F5CFF" w:rsidRPr="00193597" w:rsidRDefault="000F5CFF" w:rsidP="000F5CFF">
      <w:pPr>
        <w:pStyle w:val="BibliographyEntry"/>
      </w:pPr>
      <w:r w:rsidRPr="00193597">
        <w:rPr>
          <w:lang w:val="fr-FR"/>
        </w:rPr>
        <w:t xml:space="preserve">Morris, D. L., et al. </w:t>
      </w:r>
      <w:r w:rsidRPr="00193597">
        <w:t xml:space="preserve">(2012). Unraveling multiple MHC gene associations with systemic lupus erythematosus: model choice indicates a role for HLA alleles and non-HLA genes in Europeans. </w:t>
      </w:r>
      <w:r w:rsidRPr="00193597">
        <w:rPr>
          <w:i/>
          <w:iCs/>
        </w:rPr>
        <w:t>Am J Hum Genet 91</w:t>
      </w:r>
      <w:r w:rsidRPr="00193597">
        <w:t>(5): 778-793.</w:t>
      </w:r>
    </w:p>
    <w:p w14:paraId="0A28ED4F" w14:textId="46C6378A" w:rsidR="000F5CFF" w:rsidRPr="00193597" w:rsidRDefault="000F5CFF" w:rsidP="000F5CFF">
      <w:pPr>
        <w:pStyle w:val="BibliographyEntry"/>
      </w:pPr>
      <w:r w:rsidRPr="00193597">
        <w:t xml:space="preserve">Namjou, B., et al. (2007). Genetics of clinical expression in SLE. </w:t>
      </w:r>
      <w:r w:rsidRPr="00193597">
        <w:rPr>
          <w:i/>
          <w:iCs/>
        </w:rPr>
        <w:t>Autoimmunity 40</w:t>
      </w:r>
      <w:r w:rsidRPr="00193597">
        <w:t>(8): 602-612.</w:t>
      </w:r>
    </w:p>
    <w:p w14:paraId="6F16B5DC" w14:textId="49E6D242" w:rsidR="00494724" w:rsidRPr="00193597" w:rsidRDefault="00A57C41" w:rsidP="000F5CFF">
      <w:pPr>
        <w:pStyle w:val="BibliographyEntry"/>
      </w:pPr>
      <w:r w:rsidRPr="00193597">
        <w:t xml:space="preserve">Pan, L., Lu, M. P., Wang, J. H., Xu, M., &amp; Yang, S. R. (2019). Immunological pathogenesis and treatment of systemic lupus erythematosus. </w:t>
      </w:r>
      <w:r w:rsidRPr="00193597">
        <w:rPr>
          <w:i/>
          <w:iCs/>
        </w:rPr>
        <w:t>World J Pediatr</w:t>
      </w:r>
      <w:r w:rsidRPr="00193597">
        <w:t>.</w:t>
      </w:r>
    </w:p>
    <w:p w14:paraId="5B232125" w14:textId="77777777" w:rsidR="00040665" w:rsidRPr="00193597" w:rsidRDefault="00040665" w:rsidP="00040665">
      <w:pPr>
        <w:pStyle w:val="BibliographyEntry"/>
      </w:pPr>
      <w:r w:rsidRPr="00193597">
        <w:t xml:space="preserve">Petri, M., et al. (2012). Derivation and validation of the Systemic Lupus International Collaborating Clinics classification criteria for systemic lupus erythematosus. </w:t>
      </w:r>
      <w:r w:rsidRPr="00193597">
        <w:rPr>
          <w:i/>
          <w:iCs/>
        </w:rPr>
        <w:t>Arthritis Rheum 64</w:t>
      </w:r>
      <w:r w:rsidRPr="00193597">
        <w:t>(8): 2677-2686.</w:t>
      </w:r>
    </w:p>
    <w:p w14:paraId="5D24444E" w14:textId="371D0771" w:rsidR="00E362EE" w:rsidRPr="00193597" w:rsidRDefault="00E362EE" w:rsidP="000F5CFF">
      <w:pPr>
        <w:pStyle w:val="BibliographyEntry"/>
      </w:pPr>
      <w:r w:rsidRPr="00193597">
        <w:t xml:space="preserve">Pineau, C. A., Bernatsky, S., Abrahamowicz, M., Neville, C., Karp, I., &amp; Clarke, A. E. (2006). A comparison of damage accrual across different calendar periods in systemic lupus erythematosus patients. </w:t>
      </w:r>
      <w:r w:rsidRPr="00193597">
        <w:rPr>
          <w:i/>
          <w:iCs/>
        </w:rPr>
        <w:t>Lupus, 15</w:t>
      </w:r>
      <w:r w:rsidRPr="00193597">
        <w:t>(9), 590-594.</w:t>
      </w:r>
    </w:p>
    <w:p w14:paraId="47B002A8" w14:textId="7B2B8A6D" w:rsidR="004E2E7D" w:rsidRPr="00E80628" w:rsidRDefault="004E2E7D" w:rsidP="000F5CFF">
      <w:pPr>
        <w:pStyle w:val="BibliographyEntry"/>
        <w:rPr>
          <w:rFonts w:ascii="Courier" w:hAnsi="Courier" w:cs="Courier"/>
        </w:rPr>
      </w:pPr>
      <w:r w:rsidRPr="0042435E">
        <w:t>Postal</w:t>
      </w:r>
      <w:r>
        <w:t>,</w:t>
      </w:r>
      <w:r w:rsidRPr="0042435E">
        <w:t xml:space="preserve"> M</w:t>
      </w:r>
      <w:r>
        <w:t>.</w:t>
      </w:r>
      <w:r w:rsidRPr="0042435E">
        <w:t xml:space="preserve">, </w:t>
      </w:r>
      <w:r>
        <w:t xml:space="preserve">&amp; </w:t>
      </w:r>
      <w:r w:rsidRPr="0042435E">
        <w:t>Appenzeller</w:t>
      </w:r>
      <w:r>
        <w:t>,</w:t>
      </w:r>
      <w:r w:rsidRPr="0042435E">
        <w:t xml:space="preserve"> S. </w:t>
      </w:r>
      <w:r>
        <w:t>(2011)</w:t>
      </w:r>
      <w:r w:rsidR="004F6FB6">
        <w:t>.</w:t>
      </w:r>
      <w:r>
        <w:t xml:space="preserve"> </w:t>
      </w:r>
      <w:r w:rsidRPr="0042435E">
        <w:t xml:space="preserve">The role of Tumor Necrosis Factor-alpha (TNF-α) in the pathogenesis of systemic lupus erythematosus. </w:t>
      </w:r>
      <w:r w:rsidRPr="00E80628">
        <w:rPr>
          <w:i/>
          <w:iCs/>
        </w:rPr>
        <w:t>Cytokine 56</w:t>
      </w:r>
      <w:r w:rsidRPr="00E80628">
        <w:t>(3):537-</w:t>
      </w:r>
      <w:r>
        <w:t>5</w:t>
      </w:r>
      <w:r w:rsidRPr="00E80628">
        <w:t>43.</w:t>
      </w:r>
      <w:r w:rsidRPr="00E80628">
        <w:rPr>
          <w:rFonts w:ascii="Courier" w:hAnsi="Courier" w:cs="Courier"/>
        </w:rPr>
        <w:t xml:space="preserve"> </w:t>
      </w:r>
    </w:p>
    <w:p w14:paraId="317B2881" w14:textId="0A97C349" w:rsidR="001D2C57" w:rsidRDefault="001D2C57" w:rsidP="000F5CFF">
      <w:pPr>
        <w:pStyle w:val="BibliographyEntry"/>
        <w:rPr>
          <w:rFonts w:ascii="Courier" w:hAnsi="Courier" w:cs="Courier"/>
        </w:rPr>
      </w:pPr>
      <w:r w:rsidRPr="00D95566">
        <w:t xml:space="preserve">Remouchamps, C., Boutaffala, L., Ganeff, C., </w:t>
      </w:r>
      <w:r w:rsidRPr="002C512D">
        <w:t>&amp; Dejardin</w:t>
      </w:r>
      <w:r w:rsidRPr="00A94EBB">
        <w:t>,</w:t>
      </w:r>
      <w:r w:rsidRPr="00564150">
        <w:t xml:space="preserve"> E. (2011)</w:t>
      </w:r>
      <w:r w:rsidR="004F6FB6" w:rsidRPr="00FC35C5">
        <w:t>.</w:t>
      </w:r>
      <w:r w:rsidRPr="00A153C9">
        <w:t xml:space="preserve"> </w:t>
      </w:r>
      <w:r w:rsidRPr="0006189C">
        <w:t>Biology and signal</w:t>
      </w:r>
      <w:r>
        <w:t xml:space="preserve"> </w:t>
      </w:r>
      <w:r w:rsidRPr="0006189C">
        <w:t xml:space="preserve">transduction pathways of the Lymphotoxin-αβ/LTβR system. </w:t>
      </w:r>
      <w:r w:rsidRPr="00E80628">
        <w:rPr>
          <w:i/>
          <w:iCs/>
        </w:rPr>
        <w:t>Cytokine Growth Factor Rev. 22</w:t>
      </w:r>
      <w:r w:rsidRPr="0006189C">
        <w:t>(5-6):301-</w:t>
      </w:r>
      <w:r>
        <w:t>3</w:t>
      </w:r>
      <w:r w:rsidRPr="0006189C">
        <w:t>10.</w:t>
      </w:r>
      <w:r>
        <w:rPr>
          <w:rFonts w:ascii="Courier" w:hAnsi="Courier" w:cs="Courier"/>
        </w:rPr>
        <w:t xml:space="preserve"> </w:t>
      </w:r>
    </w:p>
    <w:p w14:paraId="40B5446D" w14:textId="5C5F3F59" w:rsidR="000956D9" w:rsidRPr="00193597" w:rsidRDefault="000956D9" w:rsidP="000F5CFF">
      <w:pPr>
        <w:pStyle w:val="BibliographyEntry"/>
      </w:pPr>
      <w:r w:rsidRPr="00E80628">
        <w:t>Rhew, E. Y.</w:t>
      </w:r>
      <w:r w:rsidR="00A443EA" w:rsidRPr="00E80628">
        <w:t>, et al</w:t>
      </w:r>
      <w:r w:rsidRPr="00E80628">
        <w:t xml:space="preserve">. </w:t>
      </w:r>
      <w:r w:rsidRPr="00193597">
        <w:t>(2009). Differences in subclinical cardiovascu</w:t>
      </w:r>
      <w:r w:rsidRPr="00193597">
        <w:lastRenderedPageBreak/>
        <w:t xml:space="preserve">lar disease between African American and Caucasian women with systemic lupus erythematosus. </w:t>
      </w:r>
      <w:r w:rsidRPr="00193597">
        <w:rPr>
          <w:i/>
          <w:iCs/>
        </w:rPr>
        <w:t>Transl Res, 153</w:t>
      </w:r>
      <w:r w:rsidRPr="00193597">
        <w:t>(2), 51-59.</w:t>
      </w:r>
    </w:p>
    <w:p w14:paraId="5A9F2B19" w14:textId="455FE621" w:rsidR="000F5CFF" w:rsidRPr="00193597" w:rsidRDefault="000F5CFF" w:rsidP="000F5CFF">
      <w:pPr>
        <w:pStyle w:val="BibliographyEntry"/>
      </w:pPr>
      <w:r w:rsidRPr="00193597">
        <w:t>Sedy, J., et al. (2014). Tumor necrosis factor superfamily in innate immunity and inflammation.</w:t>
      </w:r>
      <w:r w:rsidR="00494724" w:rsidRPr="00193597">
        <w:t xml:space="preserve"> </w:t>
      </w:r>
      <w:r w:rsidRPr="00193597">
        <w:rPr>
          <w:i/>
          <w:iCs/>
        </w:rPr>
        <w:t>Cold Spring Harb Perspect Biol 7</w:t>
      </w:r>
      <w:r w:rsidRPr="00193597">
        <w:t>(4): a016279.</w:t>
      </w:r>
    </w:p>
    <w:p w14:paraId="27454B41" w14:textId="4E83C91D" w:rsidR="000F5CFF" w:rsidRPr="00193597" w:rsidRDefault="000F5CFF" w:rsidP="000F5CFF">
      <w:pPr>
        <w:pStyle w:val="BibliographyEntry"/>
      </w:pPr>
      <w:r w:rsidRPr="00193597">
        <w:t xml:space="preserve">Shovman, O., et al. (2018). Diverse patterns of anti-TNF-alpha-induced lupus: case series and review of the literature. </w:t>
      </w:r>
      <w:r w:rsidRPr="00193597">
        <w:rPr>
          <w:i/>
          <w:iCs/>
        </w:rPr>
        <w:t>Clin Rheumatol 37</w:t>
      </w:r>
      <w:r w:rsidRPr="00193597">
        <w:t>(2): 563-568.</w:t>
      </w:r>
    </w:p>
    <w:p w14:paraId="3D8168F6" w14:textId="33E9A055" w:rsidR="000F5CFF" w:rsidRPr="00193597" w:rsidRDefault="000F5CFF" w:rsidP="000F5CFF">
      <w:pPr>
        <w:pStyle w:val="BibliographyEntry"/>
      </w:pPr>
      <w:r w:rsidRPr="00193597">
        <w:t xml:space="preserve">Sonar, S. and G. Lal (2015). Role of Tumor Necrosis Factor Superfamily in Neuroinflammation and Autoimmunity. </w:t>
      </w:r>
      <w:r w:rsidRPr="00193597">
        <w:rPr>
          <w:i/>
          <w:iCs/>
        </w:rPr>
        <w:t xml:space="preserve">Front Immunol </w:t>
      </w:r>
      <w:r w:rsidRPr="00193597">
        <w:t>6: 364.</w:t>
      </w:r>
    </w:p>
    <w:p w14:paraId="28A48786" w14:textId="03321C8D" w:rsidR="000F5CFF" w:rsidRPr="00193597" w:rsidRDefault="000F5CFF" w:rsidP="000F5CFF">
      <w:pPr>
        <w:pStyle w:val="BibliographyEntry"/>
      </w:pPr>
      <w:r w:rsidRPr="00193597">
        <w:t>Stojan, G. and M. Petri (2018). Epidemiology of systemic lupus erythematosus: an update</w:t>
      </w:r>
      <w:r w:rsidRPr="00193597">
        <w:rPr>
          <w:i/>
          <w:iCs/>
        </w:rPr>
        <w:t>.</w:t>
      </w:r>
      <w:r w:rsidR="00FC457E" w:rsidRPr="00193597">
        <w:rPr>
          <w:i/>
          <w:iCs/>
        </w:rPr>
        <w:t xml:space="preserve"> </w:t>
      </w:r>
      <w:r w:rsidRPr="00193597">
        <w:rPr>
          <w:i/>
          <w:iCs/>
        </w:rPr>
        <w:t>Curr Opin Rheumatol 30</w:t>
      </w:r>
      <w:r w:rsidRPr="00193597">
        <w:t>(2): 144-150.</w:t>
      </w:r>
    </w:p>
    <w:p w14:paraId="4AEFF792" w14:textId="634C2969" w:rsidR="000F5CFF" w:rsidRPr="00193597" w:rsidRDefault="000F5CFF" w:rsidP="000F5CFF">
      <w:pPr>
        <w:pStyle w:val="BibliographyEntry"/>
      </w:pPr>
      <w:r w:rsidRPr="00193597">
        <w:t xml:space="preserve">Tan, E. M., et al. (1982). The 1982 revised criteria for the classification of systemic lupus erythematosus. </w:t>
      </w:r>
      <w:r w:rsidRPr="00193597">
        <w:rPr>
          <w:i/>
          <w:iCs/>
        </w:rPr>
        <w:t>Arthritis Rheum 25</w:t>
      </w:r>
      <w:r w:rsidRPr="00193597">
        <w:t>(11): 1271-1277.</w:t>
      </w:r>
    </w:p>
    <w:p w14:paraId="2A1D11A7" w14:textId="42B74641" w:rsidR="00437606" w:rsidRPr="00193597" w:rsidRDefault="00437606" w:rsidP="000F5CFF">
      <w:pPr>
        <w:pStyle w:val="BibliographyEntry"/>
      </w:pPr>
      <w:r w:rsidRPr="00193597">
        <w:t xml:space="preserve">Teruel, M. </w:t>
      </w:r>
      <w:r w:rsidR="00B270C2" w:rsidRPr="00193597">
        <w:t>and</w:t>
      </w:r>
      <w:r w:rsidRPr="00193597">
        <w:t xml:space="preserve"> Alarcon-Riquelme, M. E. (2016). Genetics of systemic lupus erythematosus and Sjogren's syndrome: an update. </w:t>
      </w:r>
      <w:r w:rsidRPr="00193597">
        <w:rPr>
          <w:i/>
          <w:iCs/>
        </w:rPr>
        <w:t>Curr Opin Rheumatol, 28</w:t>
      </w:r>
      <w:r w:rsidRPr="00193597">
        <w:t>(5), 506-514.</w:t>
      </w:r>
    </w:p>
    <w:p w14:paraId="678AE624" w14:textId="324D5E82" w:rsidR="000F5CFF" w:rsidRPr="00193597" w:rsidRDefault="000F5CFF" w:rsidP="000F5CFF">
      <w:pPr>
        <w:pStyle w:val="BibliographyEntry"/>
      </w:pPr>
      <w:r w:rsidRPr="00193597">
        <w:t xml:space="preserve">Teruel, M., et al. (2017). Omics studies: their use in diagnosis and reclassification of SLE and other systemic autoimmune diseases. </w:t>
      </w:r>
      <w:r w:rsidRPr="00193597">
        <w:rPr>
          <w:i/>
          <w:iCs/>
        </w:rPr>
        <w:t>Rheumatology (Oxford) 56</w:t>
      </w:r>
      <w:r w:rsidRPr="00193597">
        <w:t>(suppl_1): i78-i87.</w:t>
      </w:r>
    </w:p>
    <w:p w14:paraId="270EC3AB" w14:textId="384B1990" w:rsidR="00F12624" w:rsidRPr="00E80628" w:rsidRDefault="00F12624" w:rsidP="00F12624">
      <w:pPr>
        <w:pStyle w:val="BibliographyEntry"/>
      </w:pPr>
      <w:r w:rsidRPr="00193597">
        <w:t xml:space="preserve">Torkamani, A., Wineinger, N. E., &amp; Topol, E. J. (2018). The personal and clinical utility of polygenic risk scores. </w:t>
      </w:r>
      <w:r w:rsidRPr="00E80628">
        <w:rPr>
          <w:i/>
        </w:rPr>
        <w:t>Nat Rev Genet, 19</w:t>
      </w:r>
      <w:r w:rsidRPr="00E80628">
        <w:t>(9), 581-590.</w:t>
      </w:r>
    </w:p>
    <w:p w14:paraId="379DB771" w14:textId="4A2E303B" w:rsidR="00F12624" w:rsidRPr="00193597" w:rsidRDefault="00F12624" w:rsidP="00F12624">
      <w:pPr>
        <w:pStyle w:val="BibliographyEntry"/>
      </w:pPr>
      <w:r w:rsidRPr="00193597">
        <w:t xml:space="preserve">Ulff-Moller, C. J., Simonsen, J., Kyvik, K. O., Jacobsen, S., &amp; Frisch, M. (2017). Family history of systemic lupus erythematosus and risk of autoimmune disease: Nationwide Cohort Study in Denmark 1977-2013. </w:t>
      </w:r>
      <w:r w:rsidRPr="00193597">
        <w:rPr>
          <w:i/>
        </w:rPr>
        <w:t>Rheumatology (Oxford), 56</w:t>
      </w:r>
      <w:r w:rsidRPr="00193597">
        <w:t>(6), 957-964.</w:t>
      </w:r>
    </w:p>
    <w:p w14:paraId="21943223" w14:textId="535F5BAD" w:rsidR="00437606" w:rsidRPr="00193597" w:rsidRDefault="00437606" w:rsidP="000F5CFF">
      <w:pPr>
        <w:pStyle w:val="BibliographyEntry"/>
      </w:pPr>
      <w:r w:rsidRPr="00193597">
        <w:t xml:space="preserve">Umare, V. D., Pradhan, V. D., Rajadhyaksha, A. G., Patwardhan, M. M., Ghosh, K., &amp; Nadkarni, A. H. (2017). Impact of TNF-alpha and LTalpha gene polymorphisms on genetic susceptibility in Indian SLE patients. </w:t>
      </w:r>
      <w:r w:rsidRPr="00193597">
        <w:rPr>
          <w:i/>
          <w:iCs/>
        </w:rPr>
        <w:t>Hum Immunol, 78</w:t>
      </w:r>
      <w:r w:rsidRPr="00193597">
        <w:t>(2), 201-208.</w:t>
      </w:r>
    </w:p>
    <w:p w14:paraId="56ABDE00" w14:textId="2D5BD5E3" w:rsidR="000F5CFF" w:rsidRPr="00193597" w:rsidRDefault="000F5CFF" w:rsidP="000F5CFF">
      <w:pPr>
        <w:pStyle w:val="BibliographyEntry"/>
      </w:pPr>
      <w:r w:rsidRPr="00193597">
        <w:t xml:space="preserve">Upadhyay, V. and Y. X. Fu (2013). Lymphotoxin signalling in immune homeostasis and the control of microorganisms. </w:t>
      </w:r>
      <w:r w:rsidRPr="00193597">
        <w:rPr>
          <w:i/>
          <w:iCs/>
        </w:rPr>
        <w:t>Nat Rev Immunol 13</w:t>
      </w:r>
      <w:r w:rsidRPr="00193597">
        <w:t>(4): 270-279.</w:t>
      </w:r>
    </w:p>
    <w:p w14:paraId="1A70878F" w14:textId="4046D4DC" w:rsidR="000F5CFF" w:rsidRPr="00193597" w:rsidRDefault="000F5CFF" w:rsidP="000F5CFF">
      <w:pPr>
        <w:pStyle w:val="BibliographyEntry"/>
        <w:rPr>
          <w:lang w:val="fr-FR"/>
        </w:rPr>
      </w:pPr>
      <w:r w:rsidRPr="00193597">
        <w:t xml:space="preserve">Weckerle, C. E. and T. B. Niewold (2011). The unexplained female predominance of systemic lupus erythematosus: clues from genetic and cytokine studies. </w:t>
      </w:r>
      <w:r w:rsidRPr="00193597">
        <w:rPr>
          <w:i/>
          <w:iCs/>
          <w:lang w:val="fr-FR"/>
        </w:rPr>
        <w:t>Clin Rev Allergy Immunol 40</w:t>
      </w:r>
      <w:r w:rsidRPr="00193597">
        <w:rPr>
          <w:lang w:val="fr-FR"/>
        </w:rPr>
        <w:t>(1): 42-49.</w:t>
      </w:r>
    </w:p>
    <w:p w14:paraId="0FDE3E2B" w14:textId="0C4CE2F4" w:rsidR="00181511" w:rsidRPr="00193597" w:rsidRDefault="00181511" w:rsidP="000F5CFF">
      <w:pPr>
        <w:pStyle w:val="BibliographyEntry"/>
      </w:pPr>
      <w:r w:rsidRPr="00193597">
        <w:rPr>
          <w:lang w:val="fr-FR"/>
        </w:rPr>
        <w:t xml:space="preserve">Yang, Z. C., Xu, F., Tang, M., &amp; Xiong, X. (2017). </w:t>
      </w:r>
      <w:r w:rsidRPr="00193597">
        <w:t xml:space="preserve">Association </w:t>
      </w:r>
      <w:r w:rsidR="00783816" w:rsidRPr="00193597">
        <w:t>b</w:t>
      </w:r>
      <w:r w:rsidRPr="00193597">
        <w:t xml:space="preserve">etween TNF-alpha </w:t>
      </w:r>
      <w:r w:rsidR="00783816" w:rsidRPr="00193597">
        <w:t>p</w:t>
      </w:r>
      <w:r w:rsidRPr="00193597">
        <w:t xml:space="preserve">romoter -308 A/G </w:t>
      </w:r>
      <w:r w:rsidR="00783816" w:rsidRPr="00193597">
        <w:t>p</w:t>
      </w:r>
      <w:r w:rsidRPr="00193597">
        <w:t xml:space="preserve">olymorphism and </w:t>
      </w:r>
      <w:r w:rsidR="00783816" w:rsidRPr="00193597">
        <w:t>s</w:t>
      </w:r>
      <w:r w:rsidRPr="00193597">
        <w:t xml:space="preserve">ystemic </w:t>
      </w:r>
      <w:r w:rsidR="00783816" w:rsidRPr="00193597">
        <w:t>l</w:t>
      </w:r>
      <w:r w:rsidRPr="00193597">
        <w:t xml:space="preserve">upus </w:t>
      </w:r>
      <w:r w:rsidR="00783816" w:rsidRPr="00193597">
        <w:t>e</w:t>
      </w:r>
      <w:r w:rsidRPr="00193597">
        <w:t xml:space="preserve">rythematosus </w:t>
      </w:r>
      <w:r w:rsidR="00783816" w:rsidRPr="00193597">
        <w:t>s</w:t>
      </w:r>
      <w:r w:rsidRPr="00193597">
        <w:t xml:space="preserve">usceptibility: A </w:t>
      </w:r>
      <w:r w:rsidR="00783816" w:rsidRPr="00193597">
        <w:t>c</w:t>
      </w:r>
      <w:r w:rsidRPr="00193597">
        <w:t>ase-</w:t>
      </w:r>
      <w:r w:rsidR="00783816" w:rsidRPr="00193597">
        <w:t>c</w:t>
      </w:r>
      <w:r w:rsidRPr="00193597">
        <w:t xml:space="preserve">ontrol </w:t>
      </w:r>
      <w:r w:rsidR="00783816" w:rsidRPr="00193597">
        <w:t>s</w:t>
      </w:r>
      <w:r w:rsidRPr="00193597">
        <w:t xml:space="preserve">tudy and </w:t>
      </w:r>
      <w:r w:rsidR="00783816" w:rsidRPr="00193597">
        <w:t>m</w:t>
      </w:r>
      <w:r w:rsidRPr="00193597">
        <w:t>eta-</w:t>
      </w:r>
      <w:r w:rsidR="00783816" w:rsidRPr="00193597">
        <w:t>a</w:t>
      </w:r>
      <w:r w:rsidRPr="00193597">
        <w:t xml:space="preserve">nalysis. </w:t>
      </w:r>
      <w:r w:rsidRPr="00193597">
        <w:rPr>
          <w:i/>
          <w:iCs/>
        </w:rPr>
        <w:t>Scand J Immunol, 85</w:t>
      </w:r>
      <w:r w:rsidRPr="00193597">
        <w:t>(3), 197-210.</w:t>
      </w:r>
    </w:p>
    <w:p w14:paraId="6A0D3F74" w14:textId="20CBB612" w:rsidR="000F5CFF" w:rsidRPr="00193597" w:rsidRDefault="000F5CFF" w:rsidP="000F5CFF">
      <w:pPr>
        <w:pStyle w:val="BibliographyEntry"/>
      </w:pPr>
      <w:r w:rsidRPr="00193597">
        <w:t xml:space="preserve">Yildirim-Toruner, C. and B. Diamond (2011). Current and novel therapeutics in the treatment of systemic lupus erythematosus. </w:t>
      </w:r>
      <w:r w:rsidRPr="00193597">
        <w:rPr>
          <w:i/>
          <w:iCs/>
        </w:rPr>
        <w:t>J Allergy Clin Immunol 127</w:t>
      </w:r>
      <w:r w:rsidRPr="00193597">
        <w:t>(2): 303-312; quiz 313-304.</w:t>
      </w:r>
    </w:p>
    <w:p w14:paraId="1948426C" w14:textId="4A954E7F" w:rsidR="000F5CFF" w:rsidRDefault="000F5CFF" w:rsidP="000F5CFF">
      <w:pPr>
        <w:pStyle w:val="BibliographyEntry"/>
      </w:pPr>
      <w:r w:rsidRPr="00193597">
        <w:t>Zhang, C., et al. (2015). Association of lymphotoxin alpha polymorphism</w:t>
      </w:r>
      <w:r w:rsidRPr="00193597">
        <w:lastRenderedPageBreak/>
        <w:t xml:space="preserve"> with systemic lupus erythematosus and rheumatoid arthritis: a meta-analysis.</w:t>
      </w:r>
      <w:r w:rsidR="00783816" w:rsidRPr="00193597">
        <w:t xml:space="preserve"> </w:t>
      </w:r>
      <w:r w:rsidRPr="00193597">
        <w:rPr>
          <w:i/>
          <w:iCs/>
        </w:rPr>
        <w:t>Int J Rheum Dis 18</w:t>
      </w:r>
      <w:r w:rsidRPr="00193597">
        <w:t>(4): 398-407.</w:t>
      </w:r>
    </w:p>
    <w:p w14:paraId="5CF13919" w14:textId="45DEA605" w:rsidR="00155273" w:rsidRDefault="00155273" w:rsidP="000F5CFF">
      <w:pPr>
        <w:pStyle w:val="BibliographyEntry"/>
      </w:pPr>
      <w:r w:rsidRPr="0006189C">
        <w:t>Zhu</w:t>
      </w:r>
      <w:r>
        <w:t>,</w:t>
      </w:r>
      <w:r w:rsidRPr="0006189C">
        <w:t xml:space="preserve"> M</w:t>
      </w:r>
      <w:r>
        <w:t>.</w:t>
      </w:r>
      <w:r w:rsidRPr="0006189C">
        <w:t xml:space="preserve">, </w:t>
      </w:r>
      <w:r>
        <w:t xml:space="preserve">&amp; </w:t>
      </w:r>
      <w:r w:rsidRPr="0006189C">
        <w:t>Fu</w:t>
      </w:r>
      <w:r>
        <w:t>,</w:t>
      </w:r>
      <w:r w:rsidRPr="0006189C">
        <w:t xml:space="preserve"> Y</w:t>
      </w:r>
      <w:r>
        <w:t xml:space="preserve">. </w:t>
      </w:r>
      <w:r w:rsidRPr="0006189C">
        <w:t xml:space="preserve">X. </w:t>
      </w:r>
      <w:r>
        <w:t xml:space="preserve">(2011). </w:t>
      </w:r>
      <w:r w:rsidRPr="0006189C">
        <w:t>The role of core TNF/LIGHT family members in lymph node</w:t>
      </w:r>
      <w:r>
        <w:t xml:space="preserve"> </w:t>
      </w:r>
      <w:r w:rsidRPr="0006189C">
        <w:t xml:space="preserve">homeostasis and remodeling. </w:t>
      </w:r>
      <w:r w:rsidRPr="00E80628">
        <w:rPr>
          <w:i/>
          <w:iCs/>
        </w:rPr>
        <w:t>Immunol Rev. 244</w:t>
      </w:r>
      <w:r w:rsidRPr="0006189C">
        <w:t>(1):75-84</w:t>
      </w:r>
      <w:r>
        <w:rPr>
          <w:rFonts w:ascii="Courier" w:hAnsi="Courier" w:cs="Courier"/>
        </w:rPr>
        <w:t>.</w:t>
      </w:r>
    </w:p>
    <w:p w14:paraId="2EC13F9F" w14:textId="77777777" w:rsidR="00181511" w:rsidRPr="00207230" w:rsidRDefault="00181511" w:rsidP="000F5CFF">
      <w:pPr>
        <w:pStyle w:val="BibliographyEntry"/>
      </w:pPr>
    </w:p>
    <w:sectPr w:rsidR="00181511" w:rsidRPr="00207230" w:rsidSect="004F605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3250D7" w14:textId="77777777" w:rsidR="006D7796" w:rsidRDefault="006D7796">
      <w:r>
        <w:separator/>
      </w:r>
    </w:p>
  </w:endnote>
  <w:endnote w:type="continuationSeparator" w:id="0">
    <w:p w14:paraId="47235B11" w14:textId="77777777" w:rsidR="006D7796" w:rsidRDefault="006D7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Tahoma Bold"/>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2540790"/>
      <w:docPartObj>
        <w:docPartGallery w:val="Page Numbers (Bottom of Page)"/>
        <w:docPartUnique/>
      </w:docPartObj>
    </w:sdtPr>
    <w:sdtEndPr>
      <w:rPr>
        <w:noProof/>
      </w:rPr>
    </w:sdtEndPr>
    <w:sdtContent>
      <w:p w14:paraId="4668E130" w14:textId="7FE4840F" w:rsidR="00040665" w:rsidRDefault="00040665" w:rsidP="003A4609">
        <w:pPr>
          <w:pStyle w:val="Footer"/>
          <w:ind w:firstLine="0"/>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2D07A8" w14:textId="77777777" w:rsidR="006D7796" w:rsidRDefault="006D7796">
      <w:r>
        <w:separator/>
      </w:r>
    </w:p>
  </w:footnote>
  <w:footnote w:type="continuationSeparator" w:id="0">
    <w:p w14:paraId="049E04C6" w14:textId="77777777" w:rsidR="006D7796" w:rsidRDefault="006D77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7E800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7690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F20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F215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8226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4A40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4C1E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60C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443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E811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3560CE7"/>
    <w:multiLevelType w:val="hybridMultilevel"/>
    <w:tmpl w:val="49F0D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4610848"/>
    <w:multiLevelType w:val="multilevel"/>
    <w:tmpl w:val="F68ACB5A"/>
    <w:lvl w:ilvl="0">
      <w:start w:val="1"/>
      <w:numFmt w:val="decimal"/>
      <w:pStyle w:val="Heading1"/>
      <w:suff w:val="space"/>
      <w:lvlText w:val="%1.0"/>
      <w:lvlJc w:val="left"/>
      <w:pPr>
        <w:ind w:left="2232" w:hanging="432"/>
      </w:pPr>
      <w:rPr>
        <w:rFonts w:ascii="Times New Roman" w:hAnsi="Times New Roman"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47E44B9D"/>
    <w:multiLevelType w:val="hybridMultilevel"/>
    <w:tmpl w:val="3746C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8756846"/>
    <w:multiLevelType w:val="multilevel"/>
    <w:tmpl w:val="4A368C26"/>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space"/>
      <w:lvlText w:val="Appendix %5"/>
      <w:lvlJc w:val="left"/>
      <w:pPr>
        <w:ind w:left="0" w:firstLine="0"/>
      </w:pPr>
      <w:rPr>
        <w:rFonts w:hint="default"/>
        <w:b/>
        <w:i w:val="0"/>
        <w:caps w:val="0"/>
        <w:sz w:val="24"/>
        <w:szCs w:val="24"/>
      </w:rPr>
    </w:lvl>
    <w:lvl w:ilvl="5">
      <w:start w:val="1"/>
      <w:numFmt w:val="decimal"/>
      <w:pStyle w:val="AppSection"/>
      <w:suff w:val="space"/>
      <w:lvlText w:val="Appendix %5.%6"/>
      <w:lvlJc w:val="left"/>
      <w:pPr>
        <w:ind w:left="0" w:firstLine="0"/>
      </w:pPr>
      <w:rPr>
        <w:rFonts w:hint="default"/>
        <w:b/>
        <w:i w:val="0"/>
        <w:sz w:val="24"/>
        <w:szCs w:val="24"/>
      </w:rPr>
    </w:lvl>
    <w:lvl w:ilvl="6">
      <w:start w:val="1"/>
      <w:numFmt w:val="decimal"/>
      <w:pStyle w:val="AppSubsection"/>
      <w:suff w:val="space"/>
      <w:lvlText w:val="Appendix %5.%6.%7"/>
      <w:lvlJc w:val="left"/>
      <w:pPr>
        <w:ind w:left="0"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4" w15:restartNumberingAfterBreak="0">
    <w:nsid w:val="71411EFF"/>
    <w:multiLevelType w:val="hybridMultilevel"/>
    <w:tmpl w:val="ACFE4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58835C7"/>
    <w:multiLevelType w:val="hybridMultilevel"/>
    <w:tmpl w:val="C1F43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0"/>
  </w:num>
  <w:num w:numId="7">
    <w:abstractNumId w:val="1"/>
  </w:num>
  <w:num w:numId="8">
    <w:abstractNumId w:val="3"/>
  </w:num>
  <w:num w:numId="9">
    <w:abstractNumId w:val="2"/>
  </w:num>
  <w:num w:numId="10">
    <w:abstractNumId w:val="8"/>
  </w:num>
  <w:num w:numId="11">
    <w:abstractNumId w:val="13"/>
  </w:num>
  <w:num w:numId="12">
    <w:abstractNumId w:val="11"/>
  </w:num>
  <w:num w:numId="13">
    <w:abstractNumId w:val="10"/>
  </w:num>
  <w:num w:numId="14">
    <w:abstractNumId w:val="14"/>
  </w:num>
  <w:num w:numId="15">
    <w:abstractNumId w:val="12"/>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2272E5"/>
    <w:rsid w:val="000000E2"/>
    <w:rsid w:val="00000FEB"/>
    <w:rsid w:val="0000139C"/>
    <w:rsid w:val="00001A56"/>
    <w:rsid w:val="00001C37"/>
    <w:rsid w:val="00001D92"/>
    <w:rsid w:val="00007079"/>
    <w:rsid w:val="00007126"/>
    <w:rsid w:val="00010FEE"/>
    <w:rsid w:val="000119A4"/>
    <w:rsid w:val="0001455D"/>
    <w:rsid w:val="0001649C"/>
    <w:rsid w:val="00020691"/>
    <w:rsid w:val="000213BE"/>
    <w:rsid w:val="0002247B"/>
    <w:rsid w:val="00022C04"/>
    <w:rsid w:val="00026E3B"/>
    <w:rsid w:val="00033526"/>
    <w:rsid w:val="000338B5"/>
    <w:rsid w:val="00034F7E"/>
    <w:rsid w:val="0003591A"/>
    <w:rsid w:val="00035D1E"/>
    <w:rsid w:val="00037CEE"/>
    <w:rsid w:val="00037E0C"/>
    <w:rsid w:val="00040665"/>
    <w:rsid w:val="000428DC"/>
    <w:rsid w:val="0004304B"/>
    <w:rsid w:val="000439D6"/>
    <w:rsid w:val="00043B28"/>
    <w:rsid w:val="000454FF"/>
    <w:rsid w:val="0004550E"/>
    <w:rsid w:val="00047555"/>
    <w:rsid w:val="00057464"/>
    <w:rsid w:val="0006215C"/>
    <w:rsid w:val="00062341"/>
    <w:rsid w:val="000635D4"/>
    <w:rsid w:val="00064169"/>
    <w:rsid w:val="00065356"/>
    <w:rsid w:val="000657B5"/>
    <w:rsid w:val="00070610"/>
    <w:rsid w:val="00071D39"/>
    <w:rsid w:val="00073427"/>
    <w:rsid w:val="00076521"/>
    <w:rsid w:val="000826BC"/>
    <w:rsid w:val="00085EE3"/>
    <w:rsid w:val="00086364"/>
    <w:rsid w:val="0009034D"/>
    <w:rsid w:val="00091C8E"/>
    <w:rsid w:val="00093629"/>
    <w:rsid w:val="0009451E"/>
    <w:rsid w:val="000956D9"/>
    <w:rsid w:val="000A11AB"/>
    <w:rsid w:val="000A25A4"/>
    <w:rsid w:val="000A3154"/>
    <w:rsid w:val="000A76E1"/>
    <w:rsid w:val="000B0B34"/>
    <w:rsid w:val="000B0C6D"/>
    <w:rsid w:val="000B2A87"/>
    <w:rsid w:val="000B586A"/>
    <w:rsid w:val="000B5CBE"/>
    <w:rsid w:val="000B716F"/>
    <w:rsid w:val="000C0539"/>
    <w:rsid w:val="000C3DEA"/>
    <w:rsid w:val="000C4896"/>
    <w:rsid w:val="000C62B1"/>
    <w:rsid w:val="000C685E"/>
    <w:rsid w:val="000C68EF"/>
    <w:rsid w:val="000C6979"/>
    <w:rsid w:val="000C7ABE"/>
    <w:rsid w:val="000D57B2"/>
    <w:rsid w:val="000D6E4D"/>
    <w:rsid w:val="000D7BBF"/>
    <w:rsid w:val="000F0812"/>
    <w:rsid w:val="000F125D"/>
    <w:rsid w:val="000F36CF"/>
    <w:rsid w:val="000F3CBC"/>
    <w:rsid w:val="000F49FE"/>
    <w:rsid w:val="000F5439"/>
    <w:rsid w:val="000F5CFF"/>
    <w:rsid w:val="000F5DBB"/>
    <w:rsid w:val="000F6351"/>
    <w:rsid w:val="0010319C"/>
    <w:rsid w:val="00104695"/>
    <w:rsid w:val="001047DF"/>
    <w:rsid w:val="00106F3D"/>
    <w:rsid w:val="00107DBF"/>
    <w:rsid w:val="00110696"/>
    <w:rsid w:val="00110F19"/>
    <w:rsid w:val="00111068"/>
    <w:rsid w:val="00111A26"/>
    <w:rsid w:val="00113822"/>
    <w:rsid w:val="001150E9"/>
    <w:rsid w:val="00115EF3"/>
    <w:rsid w:val="0011612C"/>
    <w:rsid w:val="0011645E"/>
    <w:rsid w:val="00116F1F"/>
    <w:rsid w:val="00120872"/>
    <w:rsid w:val="0012127B"/>
    <w:rsid w:val="00121AD8"/>
    <w:rsid w:val="00127D8D"/>
    <w:rsid w:val="0013002B"/>
    <w:rsid w:val="00130B6B"/>
    <w:rsid w:val="00131BB5"/>
    <w:rsid w:val="001324BC"/>
    <w:rsid w:val="0013311A"/>
    <w:rsid w:val="00134F66"/>
    <w:rsid w:val="00135E42"/>
    <w:rsid w:val="001406A3"/>
    <w:rsid w:val="0014217D"/>
    <w:rsid w:val="00142372"/>
    <w:rsid w:val="00142FEE"/>
    <w:rsid w:val="001440FE"/>
    <w:rsid w:val="00145885"/>
    <w:rsid w:val="00145C22"/>
    <w:rsid w:val="00150680"/>
    <w:rsid w:val="00150EF7"/>
    <w:rsid w:val="0015202F"/>
    <w:rsid w:val="00152C21"/>
    <w:rsid w:val="0015318E"/>
    <w:rsid w:val="00155273"/>
    <w:rsid w:val="00156789"/>
    <w:rsid w:val="00161720"/>
    <w:rsid w:val="001625AC"/>
    <w:rsid w:val="00163AD6"/>
    <w:rsid w:val="00164BBD"/>
    <w:rsid w:val="0016572C"/>
    <w:rsid w:val="0016679E"/>
    <w:rsid w:val="0016738A"/>
    <w:rsid w:val="00167CD1"/>
    <w:rsid w:val="001715BA"/>
    <w:rsid w:val="0017388D"/>
    <w:rsid w:val="00174952"/>
    <w:rsid w:val="0017572D"/>
    <w:rsid w:val="00180A0C"/>
    <w:rsid w:val="00180E58"/>
    <w:rsid w:val="00181511"/>
    <w:rsid w:val="00181F4F"/>
    <w:rsid w:val="00182227"/>
    <w:rsid w:val="00182BB4"/>
    <w:rsid w:val="001855D2"/>
    <w:rsid w:val="001868DA"/>
    <w:rsid w:val="00186B52"/>
    <w:rsid w:val="001870CE"/>
    <w:rsid w:val="00192D29"/>
    <w:rsid w:val="00193597"/>
    <w:rsid w:val="001A3A07"/>
    <w:rsid w:val="001A5B53"/>
    <w:rsid w:val="001A688F"/>
    <w:rsid w:val="001A71C9"/>
    <w:rsid w:val="001B0BDE"/>
    <w:rsid w:val="001B20AE"/>
    <w:rsid w:val="001B7393"/>
    <w:rsid w:val="001C0801"/>
    <w:rsid w:val="001C1C2F"/>
    <w:rsid w:val="001C4C46"/>
    <w:rsid w:val="001C5B28"/>
    <w:rsid w:val="001C648B"/>
    <w:rsid w:val="001C7AFC"/>
    <w:rsid w:val="001C7B8E"/>
    <w:rsid w:val="001C7CDC"/>
    <w:rsid w:val="001C7CFC"/>
    <w:rsid w:val="001D2C57"/>
    <w:rsid w:val="001D3F1D"/>
    <w:rsid w:val="001D4F75"/>
    <w:rsid w:val="001D550C"/>
    <w:rsid w:val="001D5923"/>
    <w:rsid w:val="001D5C8B"/>
    <w:rsid w:val="001D5F54"/>
    <w:rsid w:val="001D6B07"/>
    <w:rsid w:val="001D7619"/>
    <w:rsid w:val="001E2005"/>
    <w:rsid w:val="001E2160"/>
    <w:rsid w:val="001E60AE"/>
    <w:rsid w:val="001E6E95"/>
    <w:rsid w:val="001F000F"/>
    <w:rsid w:val="001F0B27"/>
    <w:rsid w:val="001F3435"/>
    <w:rsid w:val="001F3C64"/>
    <w:rsid w:val="002004C1"/>
    <w:rsid w:val="002009AB"/>
    <w:rsid w:val="00200B2E"/>
    <w:rsid w:val="002028D9"/>
    <w:rsid w:val="00202D9B"/>
    <w:rsid w:val="002060D7"/>
    <w:rsid w:val="00207230"/>
    <w:rsid w:val="002100E7"/>
    <w:rsid w:val="00210CA5"/>
    <w:rsid w:val="00214BD6"/>
    <w:rsid w:val="00214C95"/>
    <w:rsid w:val="00215C3F"/>
    <w:rsid w:val="00216EFB"/>
    <w:rsid w:val="00216F45"/>
    <w:rsid w:val="0022236B"/>
    <w:rsid w:val="002272E5"/>
    <w:rsid w:val="002276A9"/>
    <w:rsid w:val="002312CC"/>
    <w:rsid w:val="00233649"/>
    <w:rsid w:val="0023686B"/>
    <w:rsid w:val="00236C9D"/>
    <w:rsid w:val="00236F2E"/>
    <w:rsid w:val="00242292"/>
    <w:rsid w:val="00243590"/>
    <w:rsid w:val="00244B54"/>
    <w:rsid w:val="00246312"/>
    <w:rsid w:val="002466E5"/>
    <w:rsid w:val="00246DB4"/>
    <w:rsid w:val="002477A0"/>
    <w:rsid w:val="0025093C"/>
    <w:rsid w:val="00251164"/>
    <w:rsid w:val="0025149F"/>
    <w:rsid w:val="00251E0D"/>
    <w:rsid w:val="00251E3B"/>
    <w:rsid w:val="00256936"/>
    <w:rsid w:val="00261153"/>
    <w:rsid w:val="00262F1E"/>
    <w:rsid w:val="002632C1"/>
    <w:rsid w:val="002633FF"/>
    <w:rsid w:val="002646BE"/>
    <w:rsid w:val="00267158"/>
    <w:rsid w:val="002702A3"/>
    <w:rsid w:val="002706BA"/>
    <w:rsid w:val="00271AF8"/>
    <w:rsid w:val="00271C20"/>
    <w:rsid w:val="00272076"/>
    <w:rsid w:val="00272A89"/>
    <w:rsid w:val="00275752"/>
    <w:rsid w:val="00276E7E"/>
    <w:rsid w:val="00277BE0"/>
    <w:rsid w:val="00281E1B"/>
    <w:rsid w:val="00282750"/>
    <w:rsid w:val="002827A5"/>
    <w:rsid w:val="00284461"/>
    <w:rsid w:val="00286DE4"/>
    <w:rsid w:val="0028782F"/>
    <w:rsid w:val="0029024C"/>
    <w:rsid w:val="0029281A"/>
    <w:rsid w:val="00295A1C"/>
    <w:rsid w:val="002A1C8D"/>
    <w:rsid w:val="002A2265"/>
    <w:rsid w:val="002A6834"/>
    <w:rsid w:val="002A79F7"/>
    <w:rsid w:val="002B277D"/>
    <w:rsid w:val="002B41A8"/>
    <w:rsid w:val="002B58C9"/>
    <w:rsid w:val="002B5915"/>
    <w:rsid w:val="002C09FD"/>
    <w:rsid w:val="002C1568"/>
    <w:rsid w:val="002C214E"/>
    <w:rsid w:val="002C23CD"/>
    <w:rsid w:val="002C512D"/>
    <w:rsid w:val="002D01B1"/>
    <w:rsid w:val="002D05D3"/>
    <w:rsid w:val="002D11E0"/>
    <w:rsid w:val="002D1E7D"/>
    <w:rsid w:val="002D469F"/>
    <w:rsid w:val="002D5FE7"/>
    <w:rsid w:val="002D7EE1"/>
    <w:rsid w:val="002E339E"/>
    <w:rsid w:val="002E37C3"/>
    <w:rsid w:val="002E3D19"/>
    <w:rsid w:val="002E4056"/>
    <w:rsid w:val="002F1CAE"/>
    <w:rsid w:val="002F5B4E"/>
    <w:rsid w:val="002F78ED"/>
    <w:rsid w:val="00302452"/>
    <w:rsid w:val="00302D24"/>
    <w:rsid w:val="00302F16"/>
    <w:rsid w:val="00303EB6"/>
    <w:rsid w:val="00304057"/>
    <w:rsid w:val="0030592B"/>
    <w:rsid w:val="003060D4"/>
    <w:rsid w:val="003062B1"/>
    <w:rsid w:val="00306CF8"/>
    <w:rsid w:val="00307615"/>
    <w:rsid w:val="00307A4C"/>
    <w:rsid w:val="00310723"/>
    <w:rsid w:val="003133D6"/>
    <w:rsid w:val="00317AA9"/>
    <w:rsid w:val="0032494A"/>
    <w:rsid w:val="00326712"/>
    <w:rsid w:val="00326C4F"/>
    <w:rsid w:val="00327C46"/>
    <w:rsid w:val="00330A38"/>
    <w:rsid w:val="00337CC7"/>
    <w:rsid w:val="003450F8"/>
    <w:rsid w:val="0034575F"/>
    <w:rsid w:val="00347638"/>
    <w:rsid w:val="003522E5"/>
    <w:rsid w:val="0035581F"/>
    <w:rsid w:val="00355B9C"/>
    <w:rsid w:val="00360698"/>
    <w:rsid w:val="003617F7"/>
    <w:rsid w:val="00361C81"/>
    <w:rsid w:val="0036439E"/>
    <w:rsid w:val="00366846"/>
    <w:rsid w:val="00367476"/>
    <w:rsid w:val="00372E29"/>
    <w:rsid w:val="00373CB6"/>
    <w:rsid w:val="0037435F"/>
    <w:rsid w:val="003823FC"/>
    <w:rsid w:val="0038510D"/>
    <w:rsid w:val="003852C9"/>
    <w:rsid w:val="003855A5"/>
    <w:rsid w:val="003902F6"/>
    <w:rsid w:val="003904E9"/>
    <w:rsid w:val="003916A3"/>
    <w:rsid w:val="0039270C"/>
    <w:rsid w:val="00396232"/>
    <w:rsid w:val="003A0345"/>
    <w:rsid w:val="003A1355"/>
    <w:rsid w:val="003A176C"/>
    <w:rsid w:val="003A25F2"/>
    <w:rsid w:val="003A2A6D"/>
    <w:rsid w:val="003A3241"/>
    <w:rsid w:val="003A34DE"/>
    <w:rsid w:val="003A3FB1"/>
    <w:rsid w:val="003A4609"/>
    <w:rsid w:val="003A4EB2"/>
    <w:rsid w:val="003A66A1"/>
    <w:rsid w:val="003B00C0"/>
    <w:rsid w:val="003B1894"/>
    <w:rsid w:val="003B7B2F"/>
    <w:rsid w:val="003B7DC9"/>
    <w:rsid w:val="003C0CC6"/>
    <w:rsid w:val="003C1953"/>
    <w:rsid w:val="003C327A"/>
    <w:rsid w:val="003C435E"/>
    <w:rsid w:val="003C7420"/>
    <w:rsid w:val="003C791E"/>
    <w:rsid w:val="003D1197"/>
    <w:rsid w:val="003D123C"/>
    <w:rsid w:val="003D12DC"/>
    <w:rsid w:val="003D1F85"/>
    <w:rsid w:val="003D244F"/>
    <w:rsid w:val="003D3208"/>
    <w:rsid w:val="003D5AC1"/>
    <w:rsid w:val="003E18BF"/>
    <w:rsid w:val="003E31E1"/>
    <w:rsid w:val="003E42DE"/>
    <w:rsid w:val="003E4976"/>
    <w:rsid w:val="003F081E"/>
    <w:rsid w:val="003F1C72"/>
    <w:rsid w:val="004002DA"/>
    <w:rsid w:val="00400D1E"/>
    <w:rsid w:val="00400ED3"/>
    <w:rsid w:val="004022A7"/>
    <w:rsid w:val="00404622"/>
    <w:rsid w:val="004063DF"/>
    <w:rsid w:val="004065EF"/>
    <w:rsid w:val="004128EE"/>
    <w:rsid w:val="00413789"/>
    <w:rsid w:val="00417E06"/>
    <w:rsid w:val="00420CB1"/>
    <w:rsid w:val="004210E9"/>
    <w:rsid w:val="0042110E"/>
    <w:rsid w:val="0042151D"/>
    <w:rsid w:val="00423595"/>
    <w:rsid w:val="00424215"/>
    <w:rsid w:val="004250A3"/>
    <w:rsid w:val="00427B50"/>
    <w:rsid w:val="00432460"/>
    <w:rsid w:val="004361AC"/>
    <w:rsid w:val="004367F6"/>
    <w:rsid w:val="00437606"/>
    <w:rsid w:val="004377DC"/>
    <w:rsid w:val="0044123C"/>
    <w:rsid w:val="004419FA"/>
    <w:rsid w:val="00441F63"/>
    <w:rsid w:val="00442C8D"/>
    <w:rsid w:val="004446EF"/>
    <w:rsid w:val="00446910"/>
    <w:rsid w:val="00450673"/>
    <w:rsid w:val="00451CB4"/>
    <w:rsid w:val="004521D5"/>
    <w:rsid w:val="00455653"/>
    <w:rsid w:val="00455D94"/>
    <w:rsid w:val="00456A2A"/>
    <w:rsid w:val="00464292"/>
    <w:rsid w:val="0046438E"/>
    <w:rsid w:val="004652CB"/>
    <w:rsid w:val="00467E21"/>
    <w:rsid w:val="00471594"/>
    <w:rsid w:val="00472DDC"/>
    <w:rsid w:val="004735B7"/>
    <w:rsid w:val="00474137"/>
    <w:rsid w:val="00477737"/>
    <w:rsid w:val="00480B7C"/>
    <w:rsid w:val="00486073"/>
    <w:rsid w:val="00486137"/>
    <w:rsid w:val="004878A2"/>
    <w:rsid w:val="004910E9"/>
    <w:rsid w:val="00492583"/>
    <w:rsid w:val="00492F5A"/>
    <w:rsid w:val="00493C23"/>
    <w:rsid w:val="00494724"/>
    <w:rsid w:val="00494812"/>
    <w:rsid w:val="00495597"/>
    <w:rsid w:val="0049590A"/>
    <w:rsid w:val="00495B23"/>
    <w:rsid w:val="004A1C68"/>
    <w:rsid w:val="004A1F00"/>
    <w:rsid w:val="004A2E59"/>
    <w:rsid w:val="004A38E0"/>
    <w:rsid w:val="004B080D"/>
    <w:rsid w:val="004B2551"/>
    <w:rsid w:val="004B3CF6"/>
    <w:rsid w:val="004B4A6D"/>
    <w:rsid w:val="004B570B"/>
    <w:rsid w:val="004B6233"/>
    <w:rsid w:val="004B7295"/>
    <w:rsid w:val="004B7B28"/>
    <w:rsid w:val="004C3E17"/>
    <w:rsid w:val="004C7157"/>
    <w:rsid w:val="004C7C28"/>
    <w:rsid w:val="004D35BE"/>
    <w:rsid w:val="004D4454"/>
    <w:rsid w:val="004D7AA4"/>
    <w:rsid w:val="004E097D"/>
    <w:rsid w:val="004E1983"/>
    <w:rsid w:val="004E1C05"/>
    <w:rsid w:val="004E2E7D"/>
    <w:rsid w:val="004E32F7"/>
    <w:rsid w:val="004E3B59"/>
    <w:rsid w:val="004E3D01"/>
    <w:rsid w:val="004E485F"/>
    <w:rsid w:val="004E5E20"/>
    <w:rsid w:val="004F00DB"/>
    <w:rsid w:val="004F0358"/>
    <w:rsid w:val="004F0846"/>
    <w:rsid w:val="004F10B0"/>
    <w:rsid w:val="004F223B"/>
    <w:rsid w:val="004F3188"/>
    <w:rsid w:val="004F5D61"/>
    <w:rsid w:val="004F605E"/>
    <w:rsid w:val="004F6FB6"/>
    <w:rsid w:val="004F7CAF"/>
    <w:rsid w:val="005021C0"/>
    <w:rsid w:val="00502828"/>
    <w:rsid w:val="00503817"/>
    <w:rsid w:val="005041DC"/>
    <w:rsid w:val="00504257"/>
    <w:rsid w:val="00504983"/>
    <w:rsid w:val="00505025"/>
    <w:rsid w:val="00507649"/>
    <w:rsid w:val="00512BBF"/>
    <w:rsid w:val="00514DEF"/>
    <w:rsid w:val="00515F76"/>
    <w:rsid w:val="005218B7"/>
    <w:rsid w:val="00522664"/>
    <w:rsid w:val="00524533"/>
    <w:rsid w:val="005252DE"/>
    <w:rsid w:val="00531E72"/>
    <w:rsid w:val="005320EC"/>
    <w:rsid w:val="00535F17"/>
    <w:rsid w:val="00536110"/>
    <w:rsid w:val="00537BA3"/>
    <w:rsid w:val="0054188D"/>
    <w:rsid w:val="00541CDB"/>
    <w:rsid w:val="00542B1D"/>
    <w:rsid w:val="0054348E"/>
    <w:rsid w:val="0054632C"/>
    <w:rsid w:val="005468AA"/>
    <w:rsid w:val="00546F59"/>
    <w:rsid w:val="005509A5"/>
    <w:rsid w:val="00550A54"/>
    <w:rsid w:val="005516A6"/>
    <w:rsid w:val="00551D11"/>
    <w:rsid w:val="00551E8A"/>
    <w:rsid w:val="00553E8B"/>
    <w:rsid w:val="0055458F"/>
    <w:rsid w:val="00556459"/>
    <w:rsid w:val="00557281"/>
    <w:rsid w:val="00562A6D"/>
    <w:rsid w:val="00563DAB"/>
    <w:rsid w:val="00564150"/>
    <w:rsid w:val="005641CB"/>
    <w:rsid w:val="0056532E"/>
    <w:rsid w:val="00566063"/>
    <w:rsid w:val="005726D4"/>
    <w:rsid w:val="0057324B"/>
    <w:rsid w:val="00577BFD"/>
    <w:rsid w:val="00583664"/>
    <w:rsid w:val="00584ADB"/>
    <w:rsid w:val="005867BD"/>
    <w:rsid w:val="00587A52"/>
    <w:rsid w:val="00595252"/>
    <w:rsid w:val="005A12AF"/>
    <w:rsid w:val="005A12ED"/>
    <w:rsid w:val="005A4585"/>
    <w:rsid w:val="005A4726"/>
    <w:rsid w:val="005A7D6B"/>
    <w:rsid w:val="005B283C"/>
    <w:rsid w:val="005B43A5"/>
    <w:rsid w:val="005C1247"/>
    <w:rsid w:val="005C15BB"/>
    <w:rsid w:val="005C345A"/>
    <w:rsid w:val="005C3F46"/>
    <w:rsid w:val="005C540E"/>
    <w:rsid w:val="005C61A7"/>
    <w:rsid w:val="005C7A08"/>
    <w:rsid w:val="005D014B"/>
    <w:rsid w:val="005D12FD"/>
    <w:rsid w:val="005D167C"/>
    <w:rsid w:val="005D34AE"/>
    <w:rsid w:val="005D40C2"/>
    <w:rsid w:val="005D4F9A"/>
    <w:rsid w:val="005E571B"/>
    <w:rsid w:val="005E74F2"/>
    <w:rsid w:val="005E7596"/>
    <w:rsid w:val="005E77AE"/>
    <w:rsid w:val="005E7DD1"/>
    <w:rsid w:val="005E7F07"/>
    <w:rsid w:val="005F190F"/>
    <w:rsid w:val="005F2379"/>
    <w:rsid w:val="005F4E0C"/>
    <w:rsid w:val="005F56E0"/>
    <w:rsid w:val="00601663"/>
    <w:rsid w:val="00602A4B"/>
    <w:rsid w:val="00603C47"/>
    <w:rsid w:val="006055BF"/>
    <w:rsid w:val="0060756C"/>
    <w:rsid w:val="00612E56"/>
    <w:rsid w:val="00614CF2"/>
    <w:rsid w:val="00615A54"/>
    <w:rsid w:val="00620D88"/>
    <w:rsid w:val="00621777"/>
    <w:rsid w:val="00622E7D"/>
    <w:rsid w:val="006233EC"/>
    <w:rsid w:val="00623C6D"/>
    <w:rsid w:val="006250C2"/>
    <w:rsid w:val="006278C4"/>
    <w:rsid w:val="00630705"/>
    <w:rsid w:val="00633C36"/>
    <w:rsid w:val="00635207"/>
    <w:rsid w:val="00636C11"/>
    <w:rsid w:val="006375B1"/>
    <w:rsid w:val="00641B52"/>
    <w:rsid w:val="0064223E"/>
    <w:rsid w:val="006425BF"/>
    <w:rsid w:val="00642C24"/>
    <w:rsid w:val="0065014E"/>
    <w:rsid w:val="00653A86"/>
    <w:rsid w:val="0065412F"/>
    <w:rsid w:val="00654726"/>
    <w:rsid w:val="006556C9"/>
    <w:rsid w:val="0065660F"/>
    <w:rsid w:val="00656EE6"/>
    <w:rsid w:val="00660300"/>
    <w:rsid w:val="00660D5A"/>
    <w:rsid w:val="00661729"/>
    <w:rsid w:val="00662856"/>
    <w:rsid w:val="006629C0"/>
    <w:rsid w:val="006634F0"/>
    <w:rsid w:val="0066373F"/>
    <w:rsid w:val="00664E59"/>
    <w:rsid w:val="0066514B"/>
    <w:rsid w:val="00666258"/>
    <w:rsid w:val="006713F1"/>
    <w:rsid w:val="0067141F"/>
    <w:rsid w:val="00671C98"/>
    <w:rsid w:val="00674FC4"/>
    <w:rsid w:val="00676758"/>
    <w:rsid w:val="00680E57"/>
    <w:rsid w:val="00682AA0"/>
    <w:rsid w:val="006845DF"/>
    <w:rsid w:val="00690E71"/>
    <w:rsid w:val="0069134F"/>
    <w:rsid w:val="00691955"/>
    <w:rsid w:val="00692089"/>
    <w:rsid w:val="006935F2"/>
    <w:rsid w:val="00694341"/>
    <w:rsid w:val="00694369"/>
    <w:rsid w:val="00694982"/>
    <w:rsid w:val="0069694E"/>
    <w:rsid w:val="006A0D89"/>
    <w:rsid w:val="006A293B"/>
    <w:rsid w:val="006A348D"/>
    <w:rsid w:val="006A5780"/>
    <w:rsid w:val="006A5B32"/>
    <w:rsid w:val="006B1124"/>
    <w:rsid w:val="006C03CC"/>
    <w:rsid w:val="006C1BDE"/>
    <w:rsid w:val="006C1BE5"/>
    <w:rsid w:val="006C22E4"/>
    <w:rsid w:val="006C234E"/>
    <w:rsid w:val="006C251E"/>
    <w:rsid w:val="006C3705"/>
    <w:rsid w:val="006C3E92"/>
    <w:rsid w:val="006C4BD4"/>
    <w:rsid w:val="006C7893"/>
    <w:rsid w:val="006C7B55"/>
    <w:rsid w:val="006D03F3"/>
    <w:rsid w:val="006D0D4F"/>
    <w:rsid w:val="006D3770"/>
    <w:rsid w:val="006D4F5B"/>
    <w:rsid w:val="006D6990"/>
    <w:rsid w:val="006D699E"/>
    <w:rsid w:val="006D7796"/>
    <w:rsid w:val="006E0C95"/>
    <w:rsid w:val="006E0F35"/>
    <w:rsid w:val="006E2BFC"/>
    <w:rsid w:val="006E7805"/>
    <w:rsid w:val="006F3636"/>
    <w:rsid w:val="006F669D"/>
    <w:rsid w:val="006F6B3A"/>
    <w:rsid w:val="006F73B0"/>
    <w:rsid w:val="00701306"/>
    <w:rsid w:val="007039DD"/>
    <w:rsid w:val="007066EA"/>
    <w:rsid w:val="00707A35"/>
    <w:rsid w:val="00713C42"/>
    <w:rsid w:val="00713E58"/>
    <w:rsid w:val="00715625"/>
    <w:rsid w:val="00715DD4"/>
    <w:rsid w:val="0071756A"/>
    <w:rsid w:val="00724EDF"/>
    <w:rsid w:val="00726CE1"/>
    <w:rsid w:val="007306B2"/>
    <w:rsid w:val="00731644"/>
    <w:rsid w:val="00731B77"/>
    <w:rsid w:val="00731D15"/>
    <w:rsid w:val="007328D8"/>
    <w:rsid w:val="007338E6"/>
    <w:rsid w:val="00735257"/>
    <w:rsid w:val="00735F45"/>
    <w:rsid w:val="00737E3D"/>
    <w:rsid w:val="00740D3E"/>
    <w:rsid w:val="00741604"/>
    <w:rsid w:val="00743FE3"/>
    <w:rsid w:val="00747DA3"/>
    <w:rsid w:val="00750806"/>
    <w:rsid w:val="00754485"/>
    <w:rsid w:val="00755A65"/>
    <w:rsid w:val="0075752F"/>
    <w:rsid w:val="0076378C"/>
    <w:rsid w:val="00765A16"/>
    <w:rsid w:val="00767093"/>
    <w:rsid w:val="0076768F"/>
    <w:rsid w:val="00767721"/>
    <w:rsid w:val="00771017"/>
    <w:rsid w:val="0077243E"/>
    <w:rsid w:val="00774025"/>
    <w:rsid w:val="00775294"/>
    <w:rsid w:val="00776EAF"/>
    <w:rsid w:val="00777FA1"/>
    <w:rsid w:val="0078184A"/>
    <w:rsid w:val="007828A9"/>
    <w:rsid w:val="00783816"/>
    <w:rsid w:val="00783860"/>
    <w:rsid w:val="00787D75"/>
    <w:rsid w:val="00797491"/>
    <w:rsid w:val="007A0B09"/>
    <w:rsid w:val="007A0F15"/>
    <w:rsid w:val="007A43BC"/>
    <w:rsid w:val="007A4A1F"/>
    <w:rsid w:val="007A65D4"/>
    <w:rsid w:val="007A74FD"/>
    <w:rsid w:val="007A7A43"/>
    <w:rsid w:val="007B0C85"/>
    <w:rsid w:val="007B2040"/>
    <w:rsid w:val="007B2D65"/>
    <w:rsid w:val="007B3646"/>
    <w:rsid w:val="007B3848"/>
    <w:rsid w:val="007B44E9"/>
    <w:rsid w:val="007B5DD8"/>
    <w:rsid w:val="007B7CE7"/>
    <w:rsid w:val="007C105B"/>
    <w:rsid w:val="007C4FA1"/>
    <w:rsid w:val="007D08E5"/>
    <w:rsid w:val="007D2176"/>
    <w:rsid w:val="007D6170"/>
    <w:rsid w:val="007D6823"/>
    <w:rsid w:val="007E07DF"/>
    <w:rsid w:val="007E2ADD"/>
    <w:rsid w:val="007E4268"/>
    <w:rsid w:val="007E5633"/>
    <w:rsid w:val="007E5680"/>
    <w:rsid w:val="007E61E0"/>
    <w:rsid w:val="007E75BC"/>
    <w:rsid w:val="0080364A"/>
    <w:rsid w:val="00803D3F"/>
    <w:rsid w:val="00804767"/>
    <w:rsid w:val="0080554C"/>
    <w:rsid w:val="0080567C"/>
    <w:rsid w:val="00807B76"/>
    <w:rsid w:val="008107B3"/>
    <w:rsid w:val="0081120E"/>
    <w:rsid w:val="00813336"/>
    <w:rsid w:val="00814390"/>
    <w:rsid w:val="00815B15"/>
    <w:rsid w:val="00815F35"/>
    <w:rsid w:val="00816DAD"/>
    <w:rsid w:val="008172C1"/>
    <w:rsid w:val="008207EC"/>
    <w:rsid w:val="00821214"/>
    <w:rsid w:val="00822639"/>
    <w:rsid w:val="00822EA4"/>
    <w:rsid w:val="00823944"/>
    <w:rsid w:val="008239DE"/>
    <w:rsid w:val="00824678"/>
    <w:rsid w:val="00824A40"/>
    <w:rsid w:val="00824B8C"/>
    <w:rsid w:val="00834193"/>
    <w:rsid w:val="00834B6E"/>
    <w:rsid w:val="00837B81"/>
    <w:rsid w:val="00842CE7"/>
    <w:rsid w:val="00845769"/>
    <w:rsid w:val="008526FB"/>
    <w:rsid w:val="00854005"/>
    <w:rsid w:val="00857D80"/>
    <w:rsid w:val="00860905"/>
    <w:rsid w:val="0086204E"/>
    <w:rsid w:val="00863CD1"/>
    <w:rsid w:val="00863D24"/>
    <w:rsid w:val="00863D37"/>
    <w:rsid w:val="008650E5"/>
    <w:rsid w:val="008650E7"/>
    <w:rsid w:val="008660B8"/>
    <w:rsid w:val="0086611B"/>
    <w:rsid w:val="00866313"/>
    <w:rsid w:val="00866498"/>
    <w:rsid w:val="0086654E"/>
    <w:rsid w:val="00870FF2"/>
    <w:rsid w:val="008720B5"/>
    <w:rsid w:val="008728C3"/>
    <w:rsid w:val="00872F59"/>
    <w:rsid w:val="00873AE4"/>
    <w:rsid w:val="008748F2"/>
    <w:rsid w:val="00874F6C"/>
    <w:rsid w:val="0087617B"/>
    <w:rsid w:val="00877A79"/>
    <w:rsid w:val="008803BA"/>
    <w:rsid w:val="00880BEC"/>
    <w:rsid w:val="00881F16"/>
    <w:rsid w:val="00885091"/>
    <w:rsid w:val="008854DA"/>
    <w:rsid w:val="0088646D"/>
    <w:rsid w:val="00886B6C"/>
    <w:rsid w:val="0089178B"/>
    <w:rsid w:val="00893E34"/>
    <w:rsid w:val="00893FF5"/>
    <w:rsid w:val="0089411D"/>
    <w:rsid w:val="00896178"/>
    <w:rsid w:val="00896D7D"/>
    <w:rsid w:val="008A110F"/>
    <w:rsid w:val="008A2010"/>
    <w:rsid w:val="008A29F3"/>
    <w:rsid w:val="008A4541"/>
    <w:rsid w:val="008A53EE"/>
    <w:rsid w:val="008A62D3"/>
    <w:rsid w:val="008A7AD6"/>
    <w:rsid w:val="008B208D"/>
    <w:rsid w:val="008C477A"/>
    <w:rsid w:val="008C6F51"/>
    <w:rsid w:val="008D2C16"/>
    <w:rsid w:val="008D45C3"/>
    <w:rsid w:val="008D723B"/>
    <w:rsid w:val="008D7D77"/>
    <w:rsid w:val="008E0EFA"/>
    <w:rsid w:val="008E12B2"/>
    <w:rsid w:val="008E192E"/>
    <w:rsid w:val="008E2986"/>
    <w:rsid w:val="008F031D"/>
    <w:rsid w:val="008F0888"/>
    <w:rsid w:val="008F10E7"/>
    <w:rsid w:val="008F60CE"/>
    <w:rsid w:val="008F6404"/>
    <w:rsid w:val="00900081"/>
    <w:rsid w:val="00900099"/>
    <w:rsid w:val="00900BBF"/>
    <w:rsid w:val="00901CC9"/>
    <w:rsid w:val="0090409E"/>
    <w:rsid w:val="00905846"/>
    <w:rsid w:val="00905848"/>
    <w:rsid w:val="00906E76"/>
    <w:rsid w:val="0091054F"/>
    <w:rsid w:val="00911EF3"/>
    <w:rsid w:val="0091263D"/>
    <w:rsid w:val="009170E3"/>
    <w:rsid w:val="009178A5"/>
    <w:rsid w:val="009219A7"/>
    <w:rsid w:val="00923301"/>
    <w:rsid w:val="00932701"/>
    <w:rsid w:val="00933068"/>
    <w:rsid w:val="009332D0"/>
    <w:rsid w:val="00935BF4"/>
    <w:rsid w:val="00936D40"/>
    <w:rsid w:val="00937FFE"/>
    <w:rsid w:val="00941A44"/>
    <w:rsid w:val="0094204B"/>
    <w:rsid w:val="00946F2B"/>
    <w:rsid w:val="0094766A"/>
    <w:rsid w:val="009503B5"/>
    <w:rsid w:val="00951335"/>
    <w:rsid w:val="009522A9"/>
    <w:rsid w:val="00953803"/>
    <w:rsid w:val="00953B27"/>
    <w:rsid w:val="00953CFC"/>
    <w:rsid w:val="009555C3"/>
    <w:rsid w:val="00957728"/>
    <w:rsid w:val="0096749B"/>
    <w:rsid w:val="00967A68"/>
    <w:rsid w:val="00967EE5"/>
    <w:rsid w:val="00972D3B"/>
    <w:rsid w:val="00977297"/>
    <w:rsid w:val="00977828"/>
    <w:rsid w:val="00977EA1"/>
    <w:rsid w:val="00986F52"/>
    <w:rsid w:val="00987A37"/>
    <w:rsid w:val="00987E3B"/>
    <w:rsid w:val="009909AD"/>
    <w:rsid w:val="00990AF7"/>
    <w:rsid w:val="00990C68"/>
    <w:rsid w:val="00990DE0"/>
    <w:rsid w:val="009924D9"/>
    <w:rsid w:val="009936FB"/>
    <w:rsid w:val="009937C9"/>
    <w:rsid w:val="009940B0"/>
    <w:rsid w:val="0099539E"/>
    <w:rsid w:val="009953FB"/>
    <w:rsid w:val="00995B69"/>
    <w:rsid w:val="00996636"/>
    <w:rsid w:val="00997F0C"/>
    <w:rsid w:val="009A7650"/>
    <w:rsid w:val="009A7862"/>
    <w:rsid w:val="009B0718"/>
    <w:rsid w:val="009B0804"/>
    <w:rsid w:val="009B3B5D"/>
    <w:rsid w:val="009B44B7"/>
    <w:rsid w:val="009B5021"/>
    <w:rsid w:val="009B6014"/>
    <w:rsid w:val="009C0F8B"/>
    <w:rsid w:val="009C1A7A"/>
    <w:rsid w:val="009C283C"/>
    <w:rsid w:val="009C29A8"/>
    <w:rsid w:val="009C5FDF"/>
    <w:rsid w:val="009C7170"/>
    <w:rsid w:val="009D430A"/>
    <w:rsid w:val="009D536F"/>
    <w:rsid w:val="009D6707"/>
    <w:rsid w:val="009E5F5A"/>
    <w:rsid w:val="009E73DE"/>
    <w:rsid w:val="009F3853"/>
    <w:rsid w:val="009F4173"/>
    <w:rsid w:val="009F4F4B"/>
    <w:rsid w:val="009F50B0"/>
    <w:rsid w:val="00A001C2"/>
    <w:rsid w:val="00A00472"/>
    <w:rsid w:val="00A01C0F"/>
    <w:rsid w:val="00A020C7"/>
    <w:rsid w:val="00A023B4"/>
    <w:rsid w:val="00A042C0"/>
    <w:rsid w:val="00A04503"/>
    <w:rsid w:val="00A10035"/>
    <w:rsid w:val="00A102DC"/>
    <w:rsid w:val="00A12E22"/>
    <w:rsid w:val="00A12E35"/>
    <w:rsid w:val="00A130C0"/>
    <w:rsid w:val="00A13F04"/>
    <w:rsid w:val="00A153C9"/>
    <w:rsid w:val="00A1660F"/>
    <w:rsid w:val="00A208D2"/>
    <w:rsid w:val="00A2138C"/>
    <w:rsid w:val="00A21542"/>
    <w:rsid w:val="00A23857"/>
    <w:rsid w:val="00A26E37"/>
    <w:rsid w:val="00A3010F"/>
    <w:rsid w:val="00A30BDF"/>
    <w:rsid w:val="00A3281F"/>
    <w:rsid w:val="00A329D1"/>
    <w:rsid w:val="00A33C01"/>
    <w:rsid w:val="00A342F8"/>
    <w:rsid w:val="00A35269"/>
    <w:rsid w:val="00A3646D"/>
    <w:rsid w:val="00A3757D"/>
    <w:rsid w:val="00A37D5F"/>
    <w:rsid w:val="00A408FF"/>
    <w:rsid w:val="00A41436"/>
    <w:rsid w:val="00A4149D"/>
    <w:rsid w:val="00A414CA"/>
    <w:rsid w:val="00A42E4A"/>
    <w:rsid w:val="00A4439F"/>
    <w:rsid w:val="00A443EA"/>
    <w:rsid w:val="00A443EC"/>
    <w:rsid w:val="00A4495A"/>
    <w:rsid w:val="00A45757"/>
    <w:rsid w:val="00A45F73"/>
    <w:rsid w:val="00A4699B"/>
    <w:rsid w:val="00A51C5A"/>
    <w:rsid w:val="00A52293"/>
    <w:rsid w:val="00A53744"/>
    <w:rsid w:val="00A55D18"/>
    <w:rsid w:val="00A565EC"/>
    <w:rsid w:val="00A56687"/>
    <w:rsid w:val="00A56D12"/>
    <w:rsid w:val="00A56EED"/>
    <w:rsid w:val="00A57C41"/>
    <w:rsid w:val="00A57FA3"/>
    <w:rsid w:val="00A632CA"/>
    <w:rsid w:val="00A65ABA"/>
    <w:rsid w:val="00A678F7"/>
    <w:rsid w:val="00A70232"/>
    <w:rsid w:val="00A70B4F"/>
    <w:rsid w:val="00A75099"/>
    <w:rsid w:val="00A76366"/>
    <w:rsid w:val="00A8146F"/>
    <w:rsid w:val="00A81FFB"/>
    <w:rsid w:val="00A8474E"/>
    <w:rsid w:val="00A85029"/>
    <w:rsid w:val="00A86301"/>
    <w:rsid w:val="00A87E78"/>
    <w:rsid w:val="00A9110C"/>
    <w:rsid w:val="00A92927"/>
    <w:rsid w:val="00A94953"/>
    <w:rsid w:val="00A94EBB"/>
    <w:rsid w:val="00A952CF"/>
    <w:rsid w:val="00A961C0"/>
    <w:rsid w:val="00A9688B"/>
    <w:rsid w:val="00A96B60"/>
    <w:rsid w:val="00A97770"/>
    <w:rsid w:val="00AA2C6A"/>
    <w:rsid w:val="00AA2FC4"/>
    <w:rsid w:val="00AA3E52"/>
    <w:rsid w:val="00AA4547"/>
    <w:rsid w:val="00AA57A8"/>
    <w:rsid w:val="00AA5EAE"/>
    <w:rsid w:val="00AA773F"/>
    <w:rsid w:val="00AA7BED"/>
    <w:rsid w:val="00AB06A7"/>
    <w:rsid w:val="00AB08F3"/>
    <w:rsid w:val="00AB2247"/>
    <w:rsid w:val="00AB2413"/>
    <w:rsid w:val="00AB2C4A"/>
    <w:rsid w:val="00AB58E1"/>
    <w:rsid w:val="00AC109C"/>
    <w:rsid w:val="00AC1C82"/>
    <w:rsid w:val="00AC258E"/>
    <w:rsid w:val="00AC4CF3"/>
    <w:rsid w:val="00AC5EB4"/>
    <w:rsid w:val="00AC7DB1"/>
    <w:rsid w:val="00AD04A2"/>
    <w:rsid w:val="00AD6B5B"/>
    <w:rsid w:val="00AD7690"/>
    <w:rsid w:val="00AE0299"/>
    <w:rsid w:val="00AE037D"/>
    <w:rsid w:val="00AE0D7C"/>
    <w:rsid w:val="00AE1B15"/>
    <w:rsid w:val="00AE23D5"/>
    <w:rsid w:val="00AE7FE7"/>
    <w:rsid w:val="00AF0220"/>
    <w:rsid w:val="00AF3154"/>
    <w:rsid w:val="00AF3CC7"/>
    <w:rsid w:val="00AF4E58"/>
    <w:rsid w:val="00AF5C59"/>
    <w:rsid w:val="00AF6784"/>
    <w:rsid w:val="00B00241"/>
    <w:rsid w:val="00B0177B"/>
    <w:rsid w:val="00B037B0"/>
    <w:rsid w:val="00B0474E"/>
    <w:rsid w:val="00B05BA5"/>
    <w:rsid w:val="00B07062"/>
    <w:rsid w:val="00B0718A"/>
    <w:rsid w:val="00B12302"/>
    <w:rsid w:val="00B1250E"/>
    <w:rsid w:val="00B14386"/>
    <w:rsid w:val="00B177A4"/>
    <w:rsid w:val="00B21363"/>
    <w:rsid w:val="00B21CA1"/>
    <w:rsid w:val="00B21DD8"/>
    <w:rsid w:val="00B232C2"/>
    <w:rsid w:val="00B23DEC"/>
    <w:rsid w:val="00B270C2"/>
    <w:rsid w:val="00B27900"/>
    <w:rsid w:val="00B27F95"/>
    <w:rsid w:val="00B3018C"/>
    <w:rsid w:val="00B32E29"/>
    <w:rsid w:val="00B33651"/>
    <w:rsid w:val="00B33801"/>
    <w:rsid w:val="00B35783"/>
    <w:rsid w:val="00B36725"/>
    <w:rsid w:val="00B36F38"/>
    <w:rsid w:val="00B37F90"/>
    <w:rsid w:val="00B407E2"/>
    <w:rsid w:val="00B407EB"/>
    <w:rsid w:val="00B40E08"/>
    <w:rsid w:val="00B4219F"/>
    <w:rsid w:val="00B42340"/>
    <w:rsid w:val="00B42441"/>
    <w:rsid w:val="00B424B6"/>
    <w:rsid w:val="00B446FE"/>
    <w:rsid w:val="00B449FE"/>
    <w:rsid w:val="00B45324"/>
    <w:rsid w:val="00B46138"/>
    <w:rsid w:val="00B50AC3"/>
    <w:rsid w:val="00B531E2"/>
    <w:rsid w:val="00B541ED"/>
    <w:rsid w:val="00B56F3C"/>
    <w:rsid w:val="00B57E9B"/>
    <w:rsid w:val="00B60A6A"/>
    <w:rsid w:val="00B614F2"/>
    <w:rsid w:val="00B61592"/>
    <w:rsid w:val="00B61A89"/>
    <w:rsid w:val="00B62156"/>
    <w:rsid w:val="00B62CD3"/>
    <w:rsid w:val="00B63540"/>
    <w:rsid w:val="00B63945"/>
    <w:rsid w:val="00B6555B"/>
    <w:rsid w:val="00B65586"/>
    <w:rsid w:val="00B658BB"/>
    <w:rsid w:val="00B71C0B"/>
    <w:rsid w:val="00B734DB"/>
    <w:rsid w:val="00B74B27"/>
    <w:rsid w:val="00B824D9"/>
    <w:rsid w:val="00B82F59"/>
    <w:rsid w:val="00B83C96"/>
    <w:rsid w:val="00B917F0"/>
    <w:rsid w:val="00B94C4C"/>
    <w:rsid w:val="00B94F1B"/>
    <w:rsid w:val="00B9592E"/>
    <w:rsid w:val="00B95CAC"/>
    <w:rsid w:val="00B96F03"/>
    <w:rsid w:val="00B972E3"/>
    <w:rsid w:val="00B97A17"/>
    <w:rsid w:val="00BA17A4"/>
    <w:rsid w:val="00BB14A7"/>
    <w:rsid w:val="00BB24B5"/>
    <w:rsid w:val="00BB2C82"/>
    <w:rsid w:val="00BB3CB3"/>
    <w:rsid w:val="00BB4AC2"/>
    <w:rsid w:val="00BB4FAE"/>
    <w:rsid w:val="00BB500A"/>
    <w:rsid w:val="00BB57F1"/>
    <w:rsid w:val="00BB64FD"/>
    <w:rsid w:val="00BB7438"/>
    <w:rsid w:val="00BB7CE5"/>
    <w:rsid w:val="00BC04A6"/>
    <w:rsid w:val="00BC7BA1"/>
    <w:rsid w:val="00BD52A7"/>
    <w:rsid w:val="00BD6DBD"/>
    <w:rsid w:val="00BE08C7"/>
    <w:rsid w:val="00BE0B65"/>
    <w:rsid w:val="00BE1BD6"/>
    <w:rsid w:val="00BE21C8"/>
    <w:rsid w:val="00BE2BFD"/>
    <w:rsid w:val="00BE2CF1"/>
    <w:rsid w:val="00BE35A4"/>
    <w:rsid w:val="00BE46E4"/>
    <w:rsid w:val="00BE490C"/>
    <w:rsid w:val="00BE5EFE"/>
    <w:rsid w:val="00BE610A"/>
    <w:rsid w:val="00BE7906"/>
    <w:rsid w:val="00BF6BF6"/>
    <w:rsid w:val="00BF71F0"/>
    <w:rsid w:val="00BF7D4D"/>
    <w:rsid w:val="00C02D94"/>
    <w:rsid w:val="00C06089"/>
    <w:rsid w:val="00C0636F"/>
    <w:rsid w:val="00C06415"/>
    <w:rsid w:val="00C06816"/>
    <w:rsid w:val="00C07EA3"/>
    <w:rsid w:val="00C07EA7"/>
    <w:rsid w:val="00C1295A"/>
    <w:rsid w:val="00C13539"/>
    <w:rsid w:val="00C15B58"/>
    <w:rsid w:val="00C15C32"/>
    <w:rsid w:val="00C17BCE"/>
    <w:rsid w:val="00C24296"/>
    <w:rsid w:val="00C25139"/>
    <w:rsid w:val="00C251FB"/>
    <w:rsid w:val="00C25D81"/>
    <w:rsid w:val="00C27330"/>
    <w:rsid w:val="00C31373"/>
    <w:rsid w:val="00C32674"/>
    <w:rsid w:val="00C328C1"/>
    <w:rsid w:val="00C32F0E"/>
    <w:rsid w:val="00C34419"/>
    <w:rsid w:val="00C35A51"/>
    <w:rsid w:val="00C362B0"/>
    <w:rsid w:val="00C36CB5"/>
    <w:rsid w:val="00C37FBC"/>
    <w:rsid w:val="00C422CB"/>
    <w:rsid w:val="00C43878"/>
    <w:rsid w:val="00C43A68"/>
    <w:rsid w:val="00C44779"/>
    <w:rsid w:val="00C45365"/>
    <w:rsid w:val="00C4735A"/>
    <w:rsid w:val="00C4772D"/>
    <w:rsid w:val="00C56AD7"/>
    <w:rsid w:val="00C56B5D"/>
    <w:rsid w:val="00C57208"/>
    <w:rsid w:val="00C63E11"/>
    <w:rsid w:val="00C646BC"/>
    <w:rsid w:val="00C67065"/>
    <w:rsid w:val="00C672EB"/>
    <w:rsid w:val="00C708C2"/>
    <w:rsid w:val="00C7095F"/>
    <w:rsid w:val="00C720F5"/>
    <w:rsid w:val="00C723E4"/>
    <w:rsid w:val="00C755C0"/>
    <w:rsid w:val="00C761CD"/>
    <w:rsid w:val="00C76DC8"/>
    <w:rsid w:val="00C81677"/>
    <w:rsid w:val="00C82186"/>
    <w:rsid w:val="00C82890"/>
    <w:rsid w:val="00C83310"/>
    <w:rsid w:val="00C87A0A"/>
    <w:rsid w:val="00C9228E"/>
    <w:rsid w:val="00C930ED"/>
    <w:rsid w:val="00C93482"/>
    <w:rsid w:val="00C94E47"/>
    <w:rsid w:val="00CA0083"/>
    <w:rsid w:val="00CA110D"/>
    <w:rsid w:val="00CA258F"/>
    <w:rsid w:val="00CA2BC8"/>
    <w:rsid w:val="00CA4246"/>
    <w:rsid w:val="00CA5D80"/>
    <w:rsid w:val="00CB011E"/>
    <w:rsid w:val="00CB03F9"/>
    <w:rsid w:val="00CB1961"/>
    <w:rsid w:val="00CB3C33"/>
    <w:rsid w:val="00CC0126"/>
    <w:rsid w:val="00CC1E06"/>
    <w:rsid w:val="00CC5E7C"/>
    <w:rsid w:val="00CD029A"/>
    <w:rsid w:val="00CD2B5F"/>
    <w:rsid w:val="00CD2D04"/>
    <w:rsid w:val="00CD4D4A"/>
    <w:rsid w:val="00CE2814"/>
    <w:rsid w:val="00CE2FA5"/>
    <w:rsid w:val="00CE3CDE"/>
    <w:rsid w:val="00CE4EFB"/>
    <w:rsid w:val="00CE5C81"/>
    <w:rsid w:val="00CE5CA7"/>
    <w:rsid w:val="00CF072A"/>
    <w:rsid w:val="00CF117E"/>
    <w:rsid w:val="00CF1B49"/>
    <w:rsid w:val="00CF562F"/>
    <w:rsid w:val="00CF6285"/>
    <w:rsid w:val="00CF738B"/>
    <w:rsid w:val="00D004F3"/>
    <w:rsid w:val="00D01B72"/>
    <w:rsid w:val="00D027A9"/>
    <w:rsid w:val="00D0421C"/>
    <w:rsid w:val="00D057FC"/>
    <w:rsid w:val="00D06184"/>
    <w:rsid w:val="00D06DD6"/>
    <w:rsid w:val="00D07708"/>
    <w:rsid w:val="00D13BB6"/>
    <w:rsid w:val="00D14015"/>
    <w:rsid w:val="00D16308"/>
    <w:rsid w:val="00D17833"/>
    <w:rsid w:val="00D211A9"/>
    <w:rsid w:val="00D21791"/>
    <w:rsid w:val="00D2182B"/>
    <w:rsid w:val="00D22C01"/>
    <w:rsid w:val="00D2675A"/>
    <w:rsid w:val="00D27FA2"/>
    <w:rsid w:val="00D310C4"/>
    <w:rsid w:val="00D33BFE"/>
    <w:rsid w:val="00D349CC"/>
    <w:rsid w:val="00D369C8"/>
    <w:rsid w:val="00D36A8D"/>
    <w:rsid w:val="00D400F5"/>
    <w:rsid w:val="00D425DA"/>
    <w:rsid w:val="00D443F7"/>
    <w:rsid w:val="00D4448F"/>
    <w:rsid w:val="00D44AAD"/>
    <w:rsid w:val="00D52D15"/>
    <w:rsid w:val="00D530BC"/>
    <w:rsid w:val="00D564D1"/>
    <w:rsid w:val="00D56E01"/>
    <w:rsid w:val="00D61176"/>
    <w:rsid w:val="00D61761"/>
    <w:rsid w:val="00D623A4"/>
    <w:rsid w:val="00D641ED"/>
    <w:rsid w:val="00D6540A"/>
    <w:rsid w:val="00D66ED5"/>
    <w:rsid w:val="00D70D99"/>
    <w:rsid w:val="00D74CB6"/>
    <w:rsid w:val="00D74EE0"/>
    <w:rsid w:val="00D75200"/>
    <w:rsid w:val="00D76142"/>
    <w:rsid w:val="00D76BFF"/>
    <w:rsid w:val="00D76FAC"/>
    <w:rsid w:val="00D777D5"/>
    <w:rsid w:val="00D81E6A"/>
    <w:rsid w:val="00D81ED0"/>
    <w:rsid w:val="00D8227F"/>
    <w:rsid w:val="00D854A7"/>
    <w:rsid w:val="00D85B93"/>
    <w:rsid w:val="00D8753B"/>
    <w:rsid w:val="00D87735"/>
    <w:rsid w:val="00D916E2"/>
    <w:rsid w:val="00D92EBA"/>
    <w:rsid w:val="00D92F9E"/>
    <w:rsid w:val="00D95566"/>
    <w:rsid w:val="00D96EA9"/>
    <w:rsid w:val="00D97469"/>
    <w:rsid w:val="00D976E0"/>
    <w:rsid w:val="00D97D87"/>
    <w:rsid w:val="00DA05BB"/>
    <w:rsid w:val="00DA2AA8"/>
    <w:rsid w:val="00DA5684"/>
    <w:rsid w:val="00DA5BA8"/>
    <w:rsid w:val="00DA7F20"/>
    <w:rsid w:val="00DB455E"/>
    <w:rsid w:val="00DB6083"/>
    <w:rsid w:val="00DB6A64"/>
    <w:rsid w:val="00DC0242"/>
    <w:rsid w:val="00DC0B7B"/>
    <w:rsid w:val="00DC0D0F"/>
    <w:rsid w:val="00DC19E6"/>
    <w:rsid w:val="00DC2BD5"/>
    <w:rsid w:val="00DC60EE"/>
    <w:rsid w:val="00DC75C0"/>
    <w:rsid w:val="00DC7BE8"/>
    <w:rsid w:val="00DC7E3F"/>
    <w:rsid w:val="00DD0317"/>
    <w:rsid w:val="00DD03C6"/>
    <w:rsid w:val="00DD1AE4"/>
    <w:rsid w:val="00DD1C99"/>
    <w:rsid w:val="00DD3C1C"/>
    <w:rsid w:val="00DD7894"/>
    <w:rsid w:val="00DE131C"/>
    <w:rsid w:val="00DE17E4"/>
    <w:rsid w:val="00DF0FB0"/>
    <w:rsid w:val="00DF1164"/>
    <w:rsid w:val="00DF1304"/>
    <w:rsid w:val="00DF2CED"/>
    <w:rsid w:val="00DF31DD"/>
    <w:rsid w:val="00DF38C4"/>
    <w:rsid w:val="00DF3BC0"/>
    <w:rsid w:val="00DF4722"/>
    <w:rsid w:val="00DF4D52"/>
    <w:rsid w:val="00DF66D2"/>
    <w:rsid w:val="00DF67D9"/>
    <w:rsid w:val="00E0048C"/>
    <w:rsid w:val="00E04974"/>
    <w:rsid w:val="00E04C85"/>
    <w:rsid w:val="00E06D1D"/>
    <w:rsid w:val="00E11377"/>
    <w:rsid w:val="00E137F3"/>
    <w:rsid w:val="00E14368"/>
    <w:rsid w:val="00E16221"/>
    <w:rsid w:val="00E22295"/>
    <w:rsid w:val="00E229FF"/>
    <w:rsid w:val="00E247B0"/>
    <w:rsid w:val="00E266D1"/>
    <w:rsid w:val="00E26CFF"/>
    <w:rsid w:val="00E275FE"/>
    <w:rsid w:val="00E30E30"/>
    <w:rsid w:val="00E30F8C"/>
    <w:rsid w:val="00E32414"/>
    <w:rsid w:val="00E32839"/>
    <w:rsid w:val="00E32878"/>
    <w:rsid w:val="00E32D09"/>
    <w:rsid w:val="00E34012"/>
    <w:rsid w:val="00E35361"/>
    <w:rsid w:val="00E362EE"/>
    <w:rsid w:val="00E36565"/>
    <w:rsid w:val="00E40561"/>
    <w:rsid w:val="00E4061B"/>
    <w:rsid w:val="00E40748"/>
    <w:rsid w:val="00E40A3A"/>
    <w:rsid w:val="00E41AA1"/>
    <w:rsid w:val="00E42623"/>
    <w:rsid w:val="00E4454D"/>
    <w:rsid w:val="00E44773"/>
    <w:rsid w:val="00E456F4"/>
    <w:rsid w:val="00E50E79"/>
    <w:rsid w:val="00E51150"/>
    <w:rsid w:val="00E5184C"/>
    <w:rsid w:val="00E5211F"/>
    <w:rsid w:val="00E55E5C"/>
    <w:rsid w:val="00E57C7E"/>
    <w:rsid w:val="00E6146F"/>
    <w:rsid w:val="00E6362D"/>
    <w:rsid w:val="00E65256"/>
    <w:rsid w:val="00E67BD7"/>
    <w:rsid w:val="00E70740"/>
    <w:rsid w:val="00E70D8F"/>
    <w:rsid w:val="00E72833"/>
    <w:rsid w:val="00E74CB5"/>
    <w:rsid w:val="00E77C0B"/>
    <w:rsid w:val="00E80628"/>
    <w:rsid w:val="00E80A3F"/>
    <w:rsid w:val="00E80F42"/>
    <w:rsid w:val="00E8642D"/>
    <w:rsid w:val="00E911AD"/>
    <w:rsid w:val="00E94612"/>
    <w:rsid w:val="00E96EF3"/>
    <w:rsid w:val="00E97E9B"/>
    <w:rsid w:val="00EA2796"/>
    <w:rsid w:val="00EA33B8"/>
    <w:rsid w:val="00EA3BCD"/>
    <w:rsid w:val="00EA44A7"/>
    <w:rsid w:val="00EA519C"/>
    <w:rsid w:val="00EA5A2A"/>
    <w:rsid w:val="00EA5E48"/>
    <w:rsid w:val="00EA5FF7"/>
    <w:rsid w:val="00EA6BD5"/>
    <w:rsid w:val="00EB04AC"/>
    <w:rsid w:val="00EB06D4"/>
    <w:rsid w:val="00EB0892"/>
    <w:rsid w:val="00EB3360"/>
    <w:rsid w:val="00EB74F2"/>
    <w:rsid w:val="00EC28D3"/>
    <w:rsid w:val="00EC598D"/>
    <w:rsid w:val="00EC59B9"/>
    <w:rsid w:val="00EC6F11"/>
    <w:rsid w:val="00ED0337"/>
    <w:rsid w:val="00ED04E5"/>
    <w:rsid w:val="00ED1571"/>
    <w:rsid w:val="00ED3678"/>
    <w:rsid w:val="00EE1957"/>
    <w:rsid w:val="00EE31E3"/>
    <w:rsid w:val="00EE335F"/>
    <w:rsid w:val="00EE4966"/>
    <w:rsid w:val="00EE5D54"/>
    <w:rsid w:val="00EE7817"/>
    <w:rsid w:val="00EF7D93"/>
    <w:rsid w:val="00F00C4A"/>
    <w:rsid w:val="00F01A00"/>
    <w:rsid w:val="00F01BCE"/>
    <w:rsid w:val="00F0330D"/>
    <w:rsid w:val="00F038AC"/>
    <w:rsid w:val="00F06AFF"/>
    <w:rsid w:val="00F102EE"/>
    <w:rsid w:val="00F114C4"/>
    <w:rsid w:val="00F124FC"/>
    <w:rsid w:val="00F12624"/>
    <w:rsid w:val="00F1339B"/>
    <w:rsid w:val="00F14966"/>
    <w:rsid w:val="00F15687"/>
    <w:rsid w:val="00F16B51"/>
    <w:rsid w:val="00F21BC5"/>
    <w:rsid w:val="00F221B7"/>
    <w:rsid w:val="00F22F97"/>
    <w:rsid w:val="00F23C06"/>
    <w:rsid w:val="00F24A51"/>
    <w:rsid w:val="00F27679"/>
    <w:rsid w:val="00F30413"/>
    <w:rsid w:val="00F3047B"/>
    <w:rsid w:val="00F3396F"/>
    <w:rsid w:val="00F34251"/>
    <w:rsid w:val="00F34A2A"/>
    <w:rsid w:val="00F44076"/>
    <w:rsid w:val="00F444A6"/>
    <w:rsid w:val="00F44A55"/>
    <w:rsid w:val="00F4637B"/>
    <w:rsid w:val="00F46A24"/>
    <w:rsid w:val="00F46DD1"/>
    <w:rsid w:val="00F4707E"/>
    <w:rsid w:val="00F477C4"/>
    <w:rsid w:val="00F53DF6"/>
    <w:rsid w:val="00F56B64"/>
    <w:rsid w:val="00F57327"/>
    <w:rsid w:val="00F57F18"/>
    <w:rsid w:val="00F60DEC"/>
    <w:rsid w:val="00F63492"/>
    <w:rsid w:val="00F63AB4"/>
    <w:rsid w:val="00F64C67"/>
    <w:rsid w:val="00F65B6B"/>
    <w:rsid w:val="00F663DD"/>
    <w:rsid w:val="00F6694D"/>
    <w:rsid w:val="00F736E8"/>
    <w:rsid w:val="00F80A22"/>
    <w:rsid w:val="00F80D09"/>
    <w:rsid w:val="00F80FD6"/>
    <w:rsid w:val="00F8291B"/>
    <w:rsid w:val="00F82DE2"/>
    <w:rsid w:val="00F858C2"/>
    <w:rsid w:val="00F87545"/>
    <w:rsid w:val="00F90FC8"/>
    <w:rsid w:val="00F91BDB"/>
    <w:rsid w:val="00F92D0C"/>
    <w:rsid w:val="00F93A35"/>
    <w:rsid w:val="00F95C38"/>
    <w:rsid w:val="00FA1D90"/>
    <w:rsid w:val="00FA4041"/>
    <w:rsid w:val="00FA597B"/>
    <w:rsid w:val="00FB0078"/>
    <w:rsid w:val="00FB1D00"/>
    <w:rsid w:val="00FB39F7"/>
    <w:rsid w:val="00FB402B"/>
    <w:rsid w:val="00FB6AA1"/>
    <w:rsid w:val="00FC2763"/>
    <w:rsid w:val="00FC35C5"/>
    <w:rsid w:val="00FC457E"/>
    <w:rsid w:val="00FC7EED"/>
    <w:rsid w:val="00FD0548"/>
    <w:rsid w:val="00FD14DB"/>
    <w:rsid w:val="00FD2499"/>
    <w:rsid w:val="00FD2F1B"/>
    <w:rsid w:val="00FD6E84"/>
    <w:rsid w:val="00FD7DE5"/>
    <w:rsid w:val="00FD7E9D"/>
    <w:rsid w:val="00FE5085"/>
    <w:rsid w:val="00FF0CA0"/>
    <w:rsid w:val="00FF106D"/>
    <w:rsid w:val="00FF3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BE8E49"/>
  <w14:defaultImageDpi w14:val="330"/>
  <w15:docId w15:val="{2830D373-7D4F-455B-BC98-E0020765B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7708"/>
    <w:pPr>
      <w:spacing w:line="480" w:lineRule="auto"/>
      <w:ind w:firstLine="720"/>
      <w:jc w:val="both"/>
    </w:pPr>
    <w:rPr>
      <w:sz w:val="24"/>
      <w:szCs w:val="24"/>
    </w:rPr>
  </w:style>
  <w:style w:type="paragraph" w:styleId="Heading1">
    <w:name w:val="heading 1"/>
    <w:basedOn w:val="Normal"/>
    <w:next w:val="Normal"/>
    <w:link w:val="Heading1Char"/>
    <w:qFormat/>
    <w:rsid w:val="00142372"/>
    <w:pPr>
      <w:keepNext/>
      <w:pageBreakBefore/>
      <w:numPr>
        <w:numId w:val="12"/>
      </w:numPr>
      <w:spacing w:after="960"/>
      <w:jc w:val="center"/>
      <w:outlineLvl w:val="0"/>
    </w:pPr>
    <w:rPr>
      <w:rFonts w:cs="Arial"/>
      <w:b/>
      <w:bCs/>
    </w:rPr>
  </w:style>
  <w:style w:type="paragraph" w:styleId="Heading2">
    <w:name w:val="heading 2"/>
    <w:basedOn w:val="Heading1"/>
    <w:next w:val="Normal"/>
    <w:qFormat/>
    <w:rsid w:val="00142372"/>
    <w:pPr>
      <w:pageBreakBefore w:val="0"/>
      <w:numPr>
        <w:ilvl w:val="1"/>
      </w:numPr>
      <w:spacing w:before="960" w:after="480"/>
      <w:contextualSpacing/>
      <w:outlineLvl w:val="1"/>
    </w:pPr>
    <w:rPr>
      <w:bCs w:val="0"/>
      <w:iCs/>
    </w:rPr>
  </w:style>
  <w:style w:type="paragraph" w:styleId="Heading3">
    <w:name w:val="heading 3"/>
    <w:basedOn w:val="Heading2"/>
    <w:next w:val="Normal"/>
    <w:qFormat/>
    <w:rsid w:val="00142372"/>
    <w:pPr>
      <w:numPr>
        <w:ilvl w:val="2"/>
      </w:numPr>
      <w:spacing w:before="480"/>
      <w:jc w:val="left"/>
      <w:outlineLvl w:val="2"/>
    </w:pPr>
    <w:rPr>
      <w:bCs/>
    </w:rPr>
  </w:style>
  <w:style w:type="paragraph" w:styleId="Heading4">
    <w:name w:val="heading 4"/>
    <w:basedOn w:val="Heading3"/>
    <w:next w:val="Normal"/>
    <w:qFormat/>
    <w:rsid w:val="00142372"/>
    <w:pPr>
      <w:numPr>
        <w:ilvl w:val="3"/>
      </w:numPr>
      <w:spacing w:after="0"/>
      <w:contextualSpacing w:val="0"/>
      <w:outlineLvl w:val="3"/>
    </w:pPr>
    <w:rPr>
      <w:bCs w:val="0"/>
    </w:rPr>
  </w:style>
  <w:style w:type="paragraph" w:styleId="Heading5">
    <w:name w:val="heading 5"/>
    <w:basedOn w:val="Heading4"/>
    <w:next w:val="Normal"/>
    <w:qFormat/>
    <w:rsid w:val="00142372"/>
    <w:pPr>
      <w:pageBreakBefore/>
      <w:numPr>
        <w:ilvl w:val="4"/>
      </w:numPr>
      <w:spacing w:after="720"/>
      <w:outlineLvl w:val="4"/>
    </w:pPr>
    <w:rPr>
      <w:b w:val="0"/>
      <w:bCs/>
      <w:iCs w:val="0"/>
      <w:szCs w:val="26"/>
    </w:rPr>
  </w:style>
  <w:style w:type="paragraph" w:styleId="Heading6">
    <w:name w:val="heading 6"/>
    <w:basedOn w:val="Heading5"/>
    <w:next w:val="Normal"/>
    <w:link w:val="Heading6Char"/>
    <w:unhideWhenUsed/>
    <w:qFormat/>
    <w:rsid w:val="005D40C2"/>
    <w:pPr>
      <w:numPr>
        <w:ilvl w:val="5"/>
      </w:numPr>
      <w:spacing w:before="960" w:after="480"/>
      <w:jc w:val="center"/>
      <w:outlineLvl w:val="5"/>
    </w:pPr>
    <w:rPr>
      <w:b/>
      <w:bCs w:val="0"/>
      <w:szCs w:val="22"/>
    </w:rPr>
  </w:style>
  <w:style w:type="paragraph" w:styleId="Heading7">
    <w:name w:val="heading 7"/>
    <w:basedOn w:val="Normal"/>
    <w:next w:val="Normal"/>
    <w:link w:val="Heading7Char"/>
    <w:unhideWhenUsed/>
    <w:qFormat/>
    <w:rsid w:val="005D40C2"/>
    <w:pPr>
      <w:keepNext/>
      <w:numPr>
        <w:ilvl w:val="6"/>
        <w:numId w:val="12"/>
      </w:numPr>
      <w:spacing w:before="480" w:after="480"/>
      <w:jc w:val="left"/>
      <w:outlineLvl w:val="6"/>
    </w:pPr>
    <w:rPr>
      <w:rFonts w:ascii="Times New Roman Bold" w:hAnsi="Times New Roman Bold"/>
      <w:b/>
    </w:rPr>
  </w:style>
  <w:style w:type="paragraph" w:styleId="Heading8">
    <w:name w:val="heading 8"/>
    <w:basedOn w:val="Normal"/>
    <w:next w:val="Normal"/>
    <w:link w:val="Heading8Char"/>
    <w:semiHidden/>
    <w:unhideWhenUsed/>
    <w:qFormat/>
    <w:rsid w:val="00D97469"/>
    <w:pPr>
      <w:numPr>
        <w:ilvl w:val="7"/>
        <w:numId w:val="12"/>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97469"/>
    <w:pPr>
      <w:numPr>
        <w:ilvl w:val="8"/>
        <w:numId w:val="12"/>
      </w:num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5D40C2"/>
    <w:pPr>
      <w:tabs>
        <w:tab w:val="right" w:leader="dot" w:pos="9350"/>
      </w:tabs>
      <w:ind w:left="240" w:right="720" w:hanging="240"/>
    </w:pPr>
    <w:rPr>
      <w:b/>
    </w:r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rmal"/>
    <w:rsid w:val="00130B6B"/>
  </w:style>
  <w:style w:type="paragraph" w:styleId="Header">
    <w:name w:val="header"/>
    <w:basedOn w:val="Normal"/>
    <w:semiHidden/>
    <w:rsid w:val="00367476"/>
    <w:pPr>
      <w:tabs>
        <w:tab w:val="center" w:pos="4320"/>
        <w:tab w:val="right" w:pos="8640"/>
      </w:tabs>
    </w:pPr>
  </w:style>
  <w:style w:type="paragraph" w:styleId="TOC2">
    <w:name w:val="toc 2"/>
    <w:basedOn w:val="Normal"/>
    <w:next w:val="Normal"/>
    <w:autoRedefine/>
    <w:uiPriority w:val="39"/>
    <w:rsid w:val="00584ADB"/>
    <w:pPr>
      <w:tabs>
        <w:tab w:val="left" w:pos="1170"/>
        <w:tab w:val="right" w:leader="dot" w:pos="9350"/>
      </w:tabs>
      <w:ind w:left="504" w:firstLine="0"/>
    </w:pPr>
    <w:rPr>
      <w:b/>
    </w:rPr>
  </w:style>
  <w:style w:type="paragraph" w:styleId="TOC3">
    <w:name w:val="toc 3"/>
    <w:basedOn w:val="Normal"/>
    <w:next w:val="Normal"/>
    <w:autoRedefine/>
    <w:uiPriority w:val="39"/>
    <w:rsid w:val="00E80F42"/>
    <w:pPr>
      <w:tabs>
        <w:tab w:val="left" w:pos="1920"/>
        <w:tab w:val="right" w:leader="dot" w:pos="9350"/>
      </w:tabs>
      <w:ind w:left="1008" w:firstLine="0"/>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NoIndent"/>
    <w:next w:val="Normal"/>
    <w:qFormat/>
    <w:rsid w:val="00584ADB"/>
    <w:pPr>
      <w:outlineLvl w:val="8"/>
    </w:pPr>
    <w:rPr>
      <w:b/>
      <w:bCs/>
      <w:sz w:val="20"/>
      <w:szCs w:val="20"/>
    </w:rPr>
  </w:style>
  <w:style w:type="paragraph" w:styleId="TOC4">
    <w:name w:val="toc 4"/>
    <w:basedOn w:val="Normal"/>
    <w:next w:val="Normal"/>
    <w:autoRedefine/>
    <w:uiPriority w:val="39"/>
    <w:rsid w:val="00DA5BA8"/>
    <w:pPr>
      <w:ind w:left="1512" w:firstLine="0"/>
    </w:pPr>
    <w:rPr>
      <w:b/>
    </w:rPr>
  </w:style>
  <w:style w:type="paragraph" w:customStyle="1" w:styleId="Preliminary">
    <w:name w:val="Preliminary"/>
    <w:basedOn w:val="Heading1"/>
    <w:next w:val="Normal"/>
    <w:rsid w:val="00D81ED0"/>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1D5C8B"/>
    <w:pPr>
      <w:ind w:left="240" w:hanging="240"/>
    </w:pPr>
    <w:rPr>
      <w:b/>
    </w:rPr>
  </w:style>
  <w:style w:type="paragraph" w:styleId="BalloonText">
    <w:name w:val="Balloon Text"/>
    <w:basedOn w:val="Normal"/>
    <w:link w:val="BalloonTextChar"/>
    <w:rsid w:val="00D97469"/>
    <w:pPr>
      <w:spacing w:line="240" w:lineRule="auto"/>
    </w:pPr>
    <w:rPr>
      <w:rFonts w:ascii="Segoe UI" w:hAnsi="Segoe UI" w:cs="Segoe UI"/>
      <w:sz w:val="18"/>
      <w:szCs w:val="18"/>
    </w:rPr>
  </w:style>
  <w:style w:type="character" w:customStyle="1" w:styleId="BalloonTextChar">
    <w:name w:val="Balloon Text Char"/>
    <w:link w:val="BalloonText"/>
    <w:rsid w:val="00D97469"/>
    <w:rPr>
      <w:rFonts w:ascii="Segoe UI" w:hAnsi="Segoe UI" w:cs="Segoe UI"/>
      <w:sz w:val="18"/>
      <w:szCs w:val="18"/>
    </w:rPr>
  </w:style>
  <w:style w:type="paragraph" w:styleId="Bibliography">
    <w:name w:val="Bibliography"/>
    <w:basedOn w:val="Normal"/>
    <w:next w:val="Normal"/>
    <w:uiPriority w:val="37"/>
    <w:semiHidden/>
    <w:unhideWhenUsed/>
    <w:rsid w:val="00D97469"/>
  </w:style>
  <w:style w:type="paragraph" w:styleId="BlockText">
    <w:name w:val="Block Text"/>
    <w:basedOn w:val="Normal"/>
    <w:rsid w:val="00D97469"/>
    <w:pPr>
      <w:spacing w:after="120"/>
      <w:ind w:left="1440" w:right="1440"/>
    </w:pPr>
  </w:style>
  <w:style w:type="paragraph" w:styleId="BodyText">
    <w:name w:val="Body Text"/>
    <w:basedOn w:val="Normal"/>
    <w:link w:val="BodyTextChar"/>
    <w:rsid w:val="00D97469"/>
    <w:pPr>
      <w:spacing w:after="120"/>
    </w:pPr>
  </w:style>
  <w:style w:type="character" w:customStyle="1" w:styleId="BodyTextChar">
    <w:name w:val="Body Text Char"/>
    <w:link w:val="BodyText"/>
    <w:rsid w:val="00D97469"/>
    <w:rPr>
      <w:sz w:val="24"/>
      <w:szCs w:val="24"/>
    </w:rPr>
  </w:style>
  <w:style w:type="paragraph" w:styleId="BodyText2">
    <w:name w:val="Body Text 2"/>
    <w:basedOn w:val="Normal"/>
    <w:link w:val="BodyText2Char"/>
    <w:rsid w:val="00D97469"/>
    <w:pPr>
      <w:spacing w:after="120"/>
    </w:pPr>
  </w:style>
  <w:style w:type="character" w:customStyle="1" w:styleId="BodyText2Char">
    <w:name w:val="Body Text 2 Char"/>
    <w:link w:val="BodyText2"/>
    <w:rsid w:val="00D97469"/>
    <w:rPr>
      <w:sz w:val="24"/>
      <w:szCs w:val="24"/>
    </w:rPr>
  </w:style>
  <w:style w:type="paragraph" w:styleId="BodyText3">
    <w:name w:val="Body Text 3"/>
    <w:basedOn w:val="Normal"/>
    <w:link w:val="BodyText3Char"/>
    <w:rsid w:val="00D97469"/>
    <w:pPr>
      <w:spacing w:after="120"/>
    </w:pPr>
    <w:rPr>
      <w:sz w:val="16"/>
      <w:szCs w:val="16"/>
    </w:rPr>
  </w:style>
  <w:style w:type="character" w:customStyle="1" w:styleId="BodyText3Char">
    <w:name w:val="Body Text 3 Char"/>
    <w:link w:val="BodyText3"/>
    <w:rsid w:val="00D97469"/>
    <w:rPr>
      <w:sz w:val="16"/>
      <w:szCs w:val="16"/>
    </w:rPr>
  </w:style>
  <w:style w:type="paragraph" w:styleId="BodyTextFirstIndent">
    <w:name w:val="Body Text First Indent"/>
    <w:basedOn w:val="BodyText"/>
    <w:link w:val="BodyTextFirstIndentChar"/>
    <w:rsid w:val="00D97469"/>
    <w:pPr>
      <w:ind w:firstLine="210"/>
    </w:pPr>
  </w:style>
  <w:style w:type="character" w:customStyle="1" w:styleId="BodyTextFirstIndentChar">
    <w:name w:val="Body Text First Indent Char"/>
    <w:basedOn w:val="BodyTextChar"/>
    <w:link w:val="BodyTextFirstIndent"/>
    <w:rsid w:val="00D97469"/>
    <w:rPr>
      <w:sz w:val="24"/>
      <w:szCs w:val="24"/>
    </w:rPr>
  </w:style>
  <w:style w:type="paragraph" w:styleId="BodyTextIndent">
    <w:name w:val="Body Text Indent"/>
    <w:basedOn w:val="Normal"/>
    <w:link w:val="BodyTextIndentChar"/>
    <w:rsid w:val="00D97469"/>
    <w:pPr>
      <w:spacing w:after="120"/>
      <w:ind w:left="360"/>
    </w:pPr>
  </w:style>
  <w:style w:type="character" w:customStyle="1" w:styleId="BodyTextIndentChar">
    <w:name w:val="Body Text Indent Char"/>
    <w:link w:val="BodyTextIndent"/>
    <w:rsid w:val="00D97469"/>
    <w:rPr>
      <w:sz w:val="24"/>
      <w:szCs w:val="24"/>
    </w:rPr>
  </w:style>
  <w:style w:type="paragraph" w:styleId="BodyTextFirstIndent2">
    <w:name w:val="Body Text First Indent 2"/>
    <w:basedOn w:val="BodyTextIndent"/>
    <w:link w:val="BodyTextFirstIndent2Char"/>
    <w:rsid w:val="00D97469"/>
    <w:pPr>
      <w:ind w:firstLine="210"/>
    </w:pPr>
  </w:style>
  <w:style w:type="character" w:customStyle="1" w:styleId="BodyTextFirstIndent2Char">
    <w:name w:val="Body Text First Indent 2 Char"/>
    <w:basedOn w:val="BodyTextIndentChar"/>
    <w:link w:val="BodyTextFirstIndent2"/>
    <w:rsid w:val="00D97469"/>
    <w:rPr>
      <w:sz w:val="24"/>
      <w:szCs w:val="24"/>
    </w:rPr>
  </w:style>
  <w:style w:type="paragraph" w:styleId="BodyTextIndent2">
    <w:name w:val="Body Text Indent 2"/>
    <w:basedOn w:val="Normal"/>
    <w:link w:val="BodyTextIndent2Char"/>
    <w:rsid w:val="00D97469"/>
    <w:pPr>
      <w:spacing w:after="120"/>
      <w:ind w:left="360"/>
    </w:pPr>
  </w:style>
  <w:style w:type="character" w:customStyle="1" w:styleId="BodyTextIndent2Char">
    <w:name w:val="Body Text Indent 2 Char"/>
    <w:link w:val="BodyTextIndent2"/>
    <w:rsid w:val="00D97469"/>
    <w:rPr>
      <w:sz w:val="24"/>
      <w:szCs w:val="24"/>
    </w:rPr>
  </w:style>
  <w:style w:type="paragraph" w:styleId="BodyTextIndent3">
    <w:name w:val="Body Text Indent 3"/>
    <w:basedOn w:val="Normal"/>
    <w:link w:val="BodyTextIndent3Char"/>
    <w:rsid w:val="00D97469"/>
    <w:pPr>
      <w:spacing w:after="120"/>
      <w:ind w:left="360"/>
    </w:pPr>
    <w:rPr>
      <w:sz w:val="16"/>
      <w:szCs w:val="16"/>
    </w:rPr>
  </w:style>
  <w:style w:type="character" w:customStyle="1" w:styleId="BodyTextIndent3Char">
    <w:name w:val="Body Text Indent 3 Char"/>
    <w:link w:val="BodyTextIndent3"/>
    <w:rsid w:val="00D97469"/>
    <w:rPr>
      <w:sz w:val="16"/>
      <w:szCs w:val="16"/>
    </w:rPr>
  </w:style>
  <w:style w:type="paragraph" w:styleId="Closing">
    <w:name w:val="Closing"/>
    <w:basedOn w:val="Normal"/>
    <w:link w:val="ClosingChar"/>
    <w:rsid w:val="00D97469"/>
    <w:pPr>
      <w:ind w:left="4320"/>
    </w:pPr>
  </w:style>
  <w:style w:type="character" w:customStyle="1" w:styleId="ClosingChar">
    <w:name w:val="Closing Char"/>
    <w:link w:val="Closing"/>
    <w:rsid w:val="00D97469"/>
    <w:rPr>
      <w:sz w:val="24"/>
      <w:szCs w:val="24"/>
    </w:rPr>
  </w:style>
  <w:style w:type="paragraph" w:styleId="CommentText">
    <w:name w:val="annotation text"/>
    <w:basedOn w:val="Normal"/>
    <w:link w:val="CommentTextChar"/>
    <w:rsid w:val="00D97469"/>
    <w:rPr>
      <w:sz w:val="20"/>
      <w:szCs w:val="20"/>
    </w:rPr>
  </w:style>
  <w:style w:type="character" w:customStyle="1" w:styleId="CommentTextChar">
    <w:name w:val="Comment Text Char"/>
    <w:basedOn w:val="DefaultParagraphFont"/>
    <w:link w:val="CommentText"/>
    <w:rsid w:val="00D97469"/>
  </w:style>
  <w:style w:type="paragraph" w:styleId="CommentSubject">
    <w:name w:val="annotation subject"/>
    <w:basedOn w:val="CommentText"/>
    <w:next w:val="CommentText"/>
    <w:link w:val="CommentSubjectChar"/>
    <w:rsid w:val="00D97469"/>
    <w:rPr>
      <w:b/>
      <w:bCs/>
    </w:rPr>
  </w:style>
  <w:style w:type="character" w:customStyle="1" w:styleId="CommentSubjectChar">
    <w:name w:val="Comment Subject Char"/>
    <w:link w:val="CommentSubject"/>
    <w:rsid w:val="00D97469"/>
    <w:rPr>
      <w:b/>
      <w:bCs/>
    </w:rPr>
  </w:style>
  <w:style w:type="paragraph" w:styleId="Date">
    <w:name w:val="Date"/>
    <w:basedOn w:val="Normal"/>
    <w:next w:val="Normal"/>
    <w:link w:val="DateChar"/>
    <w:rsid w:val="00D97469"/>
  </w:style>
  <w:style w:type="character" w:customStyle="1" w:styleId="DateChar">
    <w:name w:val="Date Char"/>
    <w:link w:val="Date"/>
    <w:rsid w:val="00D97469"/>
    <w:rPr>
      <w:sz w:val="24"/>
      <w:szCs w:val="24"/>
    </w:rPr>
  </w:style>
  <w:style w:type="paragraph" w:styleId="DocumentMap">
    <w:name w:val="Document Map"/>
    <w:basedOn w:val="Normal"/>
    <w:link w:val="DocumentMapChar"/>
    <w:rsid w:val="00D97469"/>
    <w:rPr>
      <w:rFonts w:ascii="Segoe UI" w:hAnsi="Segoe UI" w:cs="Segoe UI"/>
      <w:sz w:val="16"/>
      <w:szCs w:val="16"/>
    </w:rPr>
  </w:style>
  <w:style w:type="character" w:customStyle="1" w:styleId="DocumentMapChar">
    <w:name w:val="Document Map Char"/>
    <w:link w:val="DocumentMap"/>
    <w:rsid w:val="00D97469"/>
    <w:rPr>
      <w:rFonts w:ascii="Segoe UI" w:hAnsi="Segoe UI" w:cs="Segoe UI"/>
      <w:sz w:val="16"/>
      <w:szCs w:val="16"/>
    </w:rPr>
  </w:style>
  <w:style w:type="paragraph" w:styleId="E-mailSignature">
    <w:name w:val="E-mail Signature"/>
    <w:basedOn w:val="Normal"/>
    <w:link w:val="E-mailSignatureChar"/>
    <w:rsid w:val="00D97469"/>
  </w:style>
  <w:style w:type="character" w:customStyle="1" w:styleId="E-mailSignatureChar">
    <w:name w:val="E-mail Signature Char"/>
    <w:link w:val="E-mailSignature"/>
    <w:rsid w:val="00D97469"/>
    <w:rPr>
      <w:sz w:val="24"/>
      <w:szCs w:val="24"/>
    </w:rPr>
  </w:style>
  <w:style w:type="paragraph" w:styleId="EndnoteText">
    <w:name w:val="endnote text"/>
    <w:basedOn w:val="Normal"/>
    <w:link w:val="EndnoteTextChar"/>
    <w:rsid w:val="00D97469"/>
    <w:rPr>
      <w:sz w:val="20"/>
      <w:szCs w:val="20"/>
    </w:rPr>
  </w:style>
  <w:style w:type="character" w:customStyle="1" w:styleId="EndnoteTextChar">
    <w:name w:val="Endnote Text Char"/>
    <w:basedOn w:val="DefaultParagraphFont"/>
    <w:link w:val="EndnoteText"/>
    <w:rsid w:val="00D97469"/>
  </w:style>
  <w:style w:type="paragraph" w:styleId="EnvelopeAddress">
    <w:name w:val="envelope address"/>
    <w:basedOn w:val="Normal"/>
    <w:rsid w:val="00D97469"/>
    <w:pPr>
      <w:framePr w:w="7920" w:h="1980" w:hRule="exact" w:hSpace="180" w:wrap="auto" w:hAnchor="page" w:xAlign="center" w:yAlign="bottom"/>
      <w:ind w:left="2880"/>
    </w:pPr>
    <w:rPr>
      <w:rFonts w:ascii="Calibri Light" w:hAnsi="Calibri Light"/>
    </w:rPr>
  </w:style>
  <w:style w:type="paragraph" w:styleId="EnvelopeReturn">
    <w:name w:val="envelope return"/>
    <w:basedOn w:val="Normal"/>
    <w:rsid w:val="00D97469"/>
    <w:rPr>
      <w:rFonts w:ascii="Calibri Light" w:hAnsi="Calibri Light"/>
      <w:sz w:val="20"/>
      <w:szCs w:val="20"/>
    </w:rPr>
  </w:style>
  <w:style w:type="paragraph" w:styleId="FootnoteText">
    <w:name w:val="footnote text"/>
    <w:basedOn w:val="Normal"/>
    <w:link w:val="FootnoteTextChar"/>
    <w:rsid w:val="00D97469"/>
    <w:rPr>
      <w:sz w:val="20"/>
      <w:szCs w:val="20"/>
    </w:rPr>
  </w:style>
  <w:style w:type="character" w:customStyle="1" w:styleId="FootnoteTextChar">
    <w:name w:val="Footnote Text Char"/>
    <w:basedOn w:val="DefaultParagraphFont"/>
    <w:link w:val="FootnoteText"/>
    <w:rsid w:val="00D97469"/>
  </w:style>
  <w:style w:type="character" w:customStyle="1" w:styleId="Heading6Char">
    <w:name w:val="Heading 6 Char"/>
    <w:link w:val="Heading6"/>
    <w:rsid w:val="00142372"/>
    <w:rPr>
      <w:rFonts w:cs="Arial"/>
      <w:b/>
      <w:sz w:val="24"/>
      <w:szCs w:val="22"/>
    </w:rPr>
  </w:style>
  <w:style w:type="character" w:customStyle="1" w:styleId="Heading7Char">
    <w:name w:val="Heading 7 Char"/>
    <w:link w:val="Heading7"/>
    <w:rsid w:val="005D40C2"/>
    <w:rPr>
      <w:rFonts w:ascii="Times New Roman Bold" w:hAnsi="Times New Roman Bold"/>
      <w:b/>
      <w:sz w:val="24"/>
      <w:szCs w:val="24"/>
    </w:rPr>
  </w:style>
  <w:style w:type="character" w:customStyle="1" w:styleId="Heading8Char">
    <w:name w:val="Heading 8 Char"/>
    <w:link w:val="Heading8"/>
    <w:semiHidden/>
    <w:rsid w:val="00D97469"/>
    <w:rPr>
      <w:rFonts w:ascii="Calibri" w:hAnsi="Calibri"/>
      <w:i/>
      <w:iCs/>
      <w:sz w:val="24"/>
      <w:szCs w:val="24"/>
    </w:rPr>
  </w:style>
  <w:style w:type="character" w:customStyle="1" w:styleId="Heading9Char">
    <w:name w:val="Heading 9 Char"/>
    <w:link w:val="Heading9"/>
    <w:semiHidden/>
    <w:rsid w:val="00D97469"/>
    <w:rPr>
      <w:rFonts w:ascii="Calibri Light" w:hAnsi="Calibri Light"/>
      <w:sz w:val="22"/>
      <w:szCs w:val="22"/>
    </w:rPr>
  </w:style>
  <w:style w:type="paragraph" w:styleId="HTMLAddress">
    <w:name w:val="HTML Address"/>
    <w:basedOn w:val="Normal"/>
    <w:link w:val="HTMLAddressChar"/>
    <w:rsid w:val="00D97469"/>
    <w:rPr>
      <w:i/>
      <w:iCs/>
    </w:rPr>
  </w:style>
  <w:style w:type="character" w:customStyle="1" w:styleId="HTMLAddressChar">
    <w:name w:val="HTML Address Char"/>
    <w:link w:val="HTMLAddress"/>
    <w:rsid w:val="00D97469"/>
    <w:rPr>
      <w:i/>
      <w:iCs/>
      <w:sz w:val="24"/>
      <w:szCs w:val="24"/>
    </w:rPr>
  </w:style>
  <w:style w:type="paragraph" w:styleId="HTMLPreformatted">
    <w:name w:val="HTML Preformatted"/>
    <w:basedOn w:val="Normal"/>
    <w:link w:val="HTMLPreformattedChar"/>
    <w:rsid w:val="00D97469"/>
    <w:rPr>
      <w:rFonts w:ascii="Courier New" w:hAnsi="Courier New" w:cs="Courier New"/>
      <w:sz w:val="20"/>
      <w:szCs w:val="20"/>
    </w:rPr>
  </w:style>
  <w:style w:type="character" w:customStyle="1" w:styleId="HTMLPreformattedChar">
    <w:name w:val="HTML Preformatted Char"/>
    <w:link w:val="HTMLPreformatted"/>
    <w:rsid w:val="00D97469"/>
    <w:rPr>
      <w:rFonts w:ascii="Courier New" w:hAnsi="Courier New" w:cs="Courier New"/>
    </w:rPr>
  </w:style>
  <w:style w:type="paragraph" w:styleId="Index1">
    <w:name w:val="index 1"/>
    <w:basedOn w:val="Normal"/>
    <w:next w:val="Normal"/>
    <w:autoRedefine/>
    <w:rsid w:val="00D97469"/>
    <w:pPr>
      <w:ind w:left="240" w:hanging="240"/>
    </w:pPr>
  </w:style>
  <w:style w:type="paragraph" w:styleId="Index2">
    <w:name w:val="index 2"/>
    <w:basedOn w:val="Normal"/>
    <w:next w:val="Normal"/>
    <w:autoRedefine/>
    <w:rsid w:val="00D97469"/>
    <w:pPr>
      <w:ind w:left="480" w:hanging="240"/>
    </w:pPr>
  </w:style>
  <w:style w:type="paragraph" w:styleId="Index3">
    <w:name w:val="index 3"/>
    <w:basedOn w:val="Normal"/>
    <w:next w:val="Normal"/>
    <w:autoRedefine/>
    <w:rsid w:val="00D97469"/>
    <w:pPr>
      <w:ind w:left="720" w:hanging="240"/>
    </w:pPr>
  </w:style>
  <w:style w:type="paragraph" w:styleId="Index4">
    <w:name w:val="index 4"/>
    <w:basedOn w:val="Normal"/>
    <w:next w:val="Normal"/>
    <w:autoRedefine/>
    <w:rsid w:val="00D97469"/>
    <w:pPr>
      <w:ind w:left="960" w:hanging="240"/>
    </w:pPr>
  </w:style>
  <w:style w:type="paragraph" w:styleId="Index5">
    <w:name w:val="index 5"/>
    <w:basedOn w:val="Normal"/>
    <w:next w:val="Normal"/>
    <w:autoRedefine/>
    <w:rsid w:val="00D97469"/>
    <w:pPr>
      <w:ind w:left="1200" w:hanging="240"/>
    </w:pPr>
  </w:style>
  <w:style w:type="paragraph" w:styleId="Index6">
    <w:name w:val="index 6"/>
    <w:basedOn w:val="Normal"/>
    <w:next w:val="Normal"/>
    <w:autoRedefine/>
    <w:rsid w:val="00D97469"/>
    <w:pPr>
      <w:ind w:left="1440" w:hanging="240"/>
    </w:pPr>
  </w:style>
  <w:style w:type="paragraph" w:styleId="Index7">
    <w:name w:val="index 7"/>
    <w:basedOn w:val="Normal"/>
    <w:next w:val="Normal"/>
    <w:autoRedefine/>
    <w:rsid w:val="00D97469"/>
    <w:pPr>
      <w:ind w:left="1680" w:hanging="240"/>
    </w:pPr>
  </w:style>
  <w:style w:type="paragraph" w:styleId="Index8">
    <w:name w:val="index 8"/>
    <w:basedOn w:val="Normal"/>
    <w:next w:val="Normal"/>
    <w:autoRedefine/>
    <w:rsid w:val="00D97469"/>
    <w:pPr>
      <w:ind w:left="1920" w:hanging="240"/>
    </w:pPr>
  </w:style>
  <w:style w:type="paragraph" w:styleId="Index9">
    <w:name w:val="index 9"/>
    <w:basedOn w:val="Normal"/>
    <w:next w:val="Normal"/>
    <w:autoRedefine/>
    <w:rsid w:val="00D97469"/>
    <w:pPr>
      <w:ind w:left="2160" w:hanging="240"/>
    </w:pPr>
  </w:style>
  <w:style w:type="paragraph" w:styleId="IndexHeading">
    <w:name w:val="index heading"/>
    <w:basedOn w:val="Normal"/>
    <w:next w:val="Index1"/>
    <w:rsid w:val="00D97469"/>
    <w:rPr>
      <w:rFonts w:ascii="Calibri Light" w:hAnsi="Calibri Light"/>
      <w:b/>
      <w:bCs/>
    </w:rPr>
  </w:style>
  <w:style w:type="paragraph" w:styleId="IntenseQuote">
    <w:name w:val="Intense Quote"/>
    <w:basedOn w:val="Normal"/>
    <w:next w:val="Normal"/>
    <w:link w:val="IntenseQuoteChar"/>
    <w:uiPriority w:val="30"/>
    <w:qFormat/>
    <w:rsid w:val="00D9746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D97469"/>
    <w:rPr>
      <w:i/>
      <w:iCs/>
      <w:color w:val="5B9BD5"/>
      <w:sz w:val="24"/>
      <w:szCs w:val="24"/>
    </w:rPr>
  </w:style>
  <w:style w:type="paragraph" w:styleId="List">
    <w:name w:val="List"/>
    <w:basedOn w:val="Normal"/>
    <w:rsid w:val="00D97469"/>
    <w:pPr>
      <w:ind w:left="360" w:hanging="360"/>
      <w:contextualSpacing/>
    </w:pPr>
  </w:style>
  <w:style w:type="paragraph" w:styleId="List2">
    <w:name w:val="List 2"/>
    <w:basedOn w:val="Normal"/>
    <w:rsid w:val="00D97469"/>
    <w:pPr>
      <w:ind w:left="720" w:hanging="360"/>
      <w:contextualSpacing/>
    </w:pPr>
  </w:style>
  <w:style w:type="paragraph" w:styleId="List3">
    <w:name w:val="List 3"/>
    <w:basedOn w:val="Normal"/>
    <w:rsid w:val="00D97469"/>
    <w:pPr>
      <w:ind w:left="1080" w:hanging="360"/>
      <w:contextualSpacing/>
    </w:pPr>
  </w:style>
  <w:style w:type="paragraph" w:styleId="List4">
    <w:name w:val="List 4"/>
    <w:basedOn w:val="Normal"/>
    <w:rsid w:val="00D97469"/>
    <w:pPr>
      <w:ind w:left="1440" w:hanging="360"/>
      <w:contextualSpacing/>
    </w:pPr>
  </w:style>
  <w:style w:type="paragraph" w:styleId="List5">
    <w:name w:val="List 5"/>
    <w:basedOn w:val="Normal"/>
    <w:rsid w:val="00D97469"/>
    <w:pPr>
      <w:ind w:left="1800" w:hanging="360"/>
      <w:contextualSpacing/>
    </w:pPr>
  </w:style>
  <w:style w:type="paragraph" w:styleId="ListBullet">
    <w:name w:val="List Bullet"/>
    <w:basedOn w:val="Normal"/>
    <w:rsid w:val="00D97469"/>
    <w:pPr>
      <w:numPr>
        <w:numId w:val="1"/>
      </w:numPr>
      <w:contextualSpacing/>
    </w:pPr>
  </w:style>
  <w:style w:type="paragraph" w:styleId="ListBullet2">
    <w:name w:val="List Bullet 2"/>
    <w:basedOn w:val="Normal"/>
    <w:rsid w:val="00D97469"/>
    <w:pPr>
      <w:numPr>
        <w:numId w:val="2"/>
      </w:numPr>
      <w:contextualSpacing/>
    </w:pPr>
  </w:style>
  <w:style w:type="paragraph" w:styleId="ListBullet3">
    <w:name w:val="List Bullet 3"/>
    <w:basedOn w:val="Normal"/>
    <w:rsid w:val="00D97469"/>
    <w:pPr>
      <w:numPr>
        <w:numId w:val="3"/>
      </w:numPr>
      <w:contextualSpacing/>
    </w:pPr>
  </w:style>
  <w:style w:type="paragraph" w:styleId="ListBullet4">
    <w:name w:val="List Bullet 4"/>
    <w:basedOn w:val="Normal"/>
    <w:rsid w:val="00D97469"/>
    <w:pPr>
      <w:numPr>
        <w:numId w:val="4"/>
      </w:numPr>
      <w:contextualSpacing/>
    </w:pPr>
  </w:style>
  <w:style w:type="paragraph" w:styleId="ListBullet5">
    <w:name w:val="List Bullet 5"/>
    <w:basedOn w:val="Normal"/>
    <w:rsid w:val="00D97469"/>
    <w:pPr>
      <w:numPr>
        <w:numId w:val="5"/>
      </w:numPr>
      <w:contextualSpacing/>
    </w:pPr>
  </w:style>
  <w:style w:type="paragraph" w:styleId="ListContinue">
    <w:name w:val="List Continue"/>
    <w:basedOn w:val="Normal"/>
    <w:rsid w:val="00D97469"/>
    <w:pPr>
      <w:spacing w:after="120"/>
      <w:ind w:left="360"/>
      <w:contextualSpacing/>
    </w:pPr>
  </w:style>
  <w:style w:type="paragraph" w:styleId="ListContinue2">
    <w:name w:val="List Continue 2"/>
    <w:basedOn w:val="Normal"/>
    <w:rsid w:val="00D97469"/>
    <w:pPr>
      <w:spacing w:after="120"/>
      <w:ind w:left="720"/>
      <w:contextualSpacing/>
    </w:pPr>
  </w:style>
  <w:style w:type="paragraph" w:styleId="ListContinue3">
    <w:name w:val="List Continue 3"/>
    <w:basedOn w:val="Normal"/>
    <w:rsid w:val="00D97469"/>
    <w:pPr>
      <w:spacing w:after="120"/>
      <w:ind w:left="1080"/>
      <w:contextualSpacing/>
    </w:pPr>
  </w:style>
  <w:style w:type="paragraph" w:styleId="ListContinue4">
    <w:name w:val="List Continue 4"/>
    <w:basedOn w:val="Normal"/>
    <w:rsid w:val="00D97469"/>
    <w:pPr>
      <w:spacing w:after="120"/>
      <w:ind w:left="1440"/>
      <w:contextualSpacing/>
    </w:pPr>
  </w:style>
  <w:style w:type="paragraph" w:styleId="ListContinue5">
    <w:name w:val="List Continue 5"/>
    <w:basedOn w:val="Normal"/>
    <w:rsid w:val="00D97469"/>
    <w:pPr>
      <w:spacing w:after="120"/>
      <w:ind w:left="1800"/>
      <w:contextualSpacing/>
    </w:pPr>
  </w:style>
  <w:style w:type="paragraph" w:styleId="ListNumber">
    <w:name w:val="List Number"/>
    <w:basedOn w:val="Normal"/>
    <w:rsid w:val="00D97469"/>
    <w:pPr>
      <w:numPr>
        <w:numId w:val="10"/>
      </w:numPr>
      <w:contextualSpacing/>
    </w:pPr>
  </w:style>
  <w:style w:type="paragraph" w:styleId="ListNumber2">
    <w:name w:val="List Number 2"/>
    <w:basedOn w:val="Normal"/>
    <w:rsid w:val="00D97469"/>
    <w:pPr>
      <w:numPr>
        <w:numId w:val="8"/>
      </w:numPr>
      <w:contextualSpacing/>
    </w:pPr>
  </w:style>
  <w:style w:type="paragraph" w:styleId="ListNumber3">
    <w:name w:val="List Number 3"/>
    <w:basedOn w:val="Normal"/>
    <w:rsid w:val="00D97469"/>
    <w:pPr>
      <w:numPr>
        <w:numId w:val="9"/>
      </w:numPr>
      <w:contextualSpacing/>
    </w:pPr>
  </w:style>
  <w:style w:type="paragraph" w:styleId="ListNumber4">
    <w:name w:val="List Number 4"/>
    <w:basedOn w:val="Normal"/>
    <w:rsid w:val="00D97469"/>
    <w:pPr>
      <w:numPr>
        <w:numId w:val="7"/>
      </w:numPr>
      <w:contextualSpacing/>
    </w:pPr>
  </w:style>
  <w:style w:type="paragraph" w:styleId="ListNumber5">
    <w:name w:val="List Number 5"/>
    <w:basedOn w:val="Normal"/>
    <w:rsid w:val="00D97469"/>
    <w:pPr>
      <w:numPr>
        <w:numId w:val="6"/>
      </w:numPr>
      <w:contextualSpacing/>
    </w:pPr>
  </w:style>
  <w:style w:type="paragraph" w:styleId="ListParagraph">
    <w:name w:val="List Paragraph"/>
    <w:basedOn w:val="Normal"/>
    <w:uiPriority w:val="34"/>
    <w:qFormat/>
    <w:rsid w:val="00D97469"/>
    <w:pPr>
      <w:ind w:left="720"/>
    </w:pPr>
  </w:style>
  <w:style w:type="paragraph" w:styleId="MacroText">
    <w:name w:val="macro"/>
    <w:link w:val="MacroTextChar"/>
    <w:rsid w:val="00D97469"/>
    <w:pPr>
      <w:tabs>
        <w:tab w:val="left" w:pos="480"/>
        <w:tab w:val="left" w:pos="960"/>
        <w:tab w:val="left" w:pos="1440"/>
        <w:tab w:val="left" w:pos="1920"/>
        <w:tab w:val="left" w:pos="2400"/>
        <w:tab w:val="left" w:pos="2880"/>
        <w:tab w:val="left" w:pos="3360"/>
        <w:tab w:val="left" w:pos="3840"/>
        <w:tab w:val="left" w:pos="4320"/>
      </w:tabs>
      <w:spacing w:line="480" w:lineRule="auto"/>
      <w:ind w:firstLine="720"/>
      <w:jc w:val="both"/>
    </w:pPr>
    <w:rPr>
      <w:rFonts w:ascii="Courier New" w:hAnsi="Courier New" w:cs="Courier New"/>
    </w:rPr>
  </w:style>
  <w:style w:type="character" w:customStyle="1" w:styleId="MacroTextChar">
    <w:name w:val="Macro Text Char"/>
    <w:link w:val="MacroText"/>
    <w:rsid w:val="00D97469"/>
    <w:rPr>
      <w:rFonts w:ascii="Courier New" w:hAnsi="Courier New" w:cs="Courier New"/>
    </w:rPr>
  </w:style>
  <w:style w:type="paragraph" w:styleId="MessageHeader">
    <w:name w:val="Message Header"/>
    <w:basedOn w:val="Normal"/>
    <w:link w:val="MessageHeaderChar"/>
    <w:rsid w:val="00D97469"/>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rPr>
  </w:style>
  <w:style w:type="character" w:customStyle="1" w:styleId="MessageHeaderChar">
    <w:name w:val="Message Header Char"/>
    <w:link w:val="MessageHeader"/>
    <w:rsid w:val="00D97469"/>
    <w:rPr>
      <w:rFonts w:ascii="Calibri Light" w:eastAsia="Times New Roman" w:hAnsi="Calibri Light" w:cs="Times New Roman"/>
      <w:sz w:val="24"/>
      <w:szCs w:val="24"/>
      <w:shd w:val="pct20" w:color="auto" w:fill="auto"/>
    </w:rPr>
  </w:style>
  <w:style w:type="paragraph" w:styleId="NoSpacing">
    <w:name w:val="No Spacing"/>
    <w:uiPriority w:val="1"/>
    <w:qFormat/>
    <w:rsid w:val="00D97469"/>
    <w:pPr>
      <w:ind w:firstLine="720"/>
      <w:jc w:val="both"/>
    </w:pPr>
    <w:rPr>
      <w:sz w:val="24"/>
      <w:szCs w:val="24"/>
    </w:rPr>
  </w:style>
  <w:style w:type="paragraph" w:styleId="NormalWeb">
    <w:name w:val="Normal (Web)"/>
    <w:basedOn w:val="Normal"/>
    <w:uiPriority w:val="99"/>
    <w:rsid w:val="00D97469"/>
  </w:style>
  <w:style w:type="paragraph" w:styleId="NormalIndent">
    <w:name w:val="Normal Indent"/>
    <w:basedOn w:val="Normal"/>
    <w:rsid w:val="00D97469"/>
    <w:pPr>
      <w:ind w:left="720"/>
    </w:pPr>
  </w:style>
  <w:style w:type="paragraph" w:styleId="NoteHeading">
    <w:name w:val="Note Heading"/>
    <w:basedOn w:val="Normal"/>
    <w:next w:val="Normal"/>
    <w:link w:val="NoteHeadingChar"/>
    <w:rsid w:val="00D97469"/>
  </w:style>
  <w:style w:type="character" w:customStyle="1" w:styleId="NoteHeadingChar">
    <w:name w:val="Note Heading Char"/>
    <w:link w:val="NoteHeading"/>
    <w:rsid w:val="00D97469"/>
    <w:rPr>
      <w:sz w:val="24"/>
      <w:szCs w:val="24"/>
    </w:rPr>
  </w:style>
  <w:style w:type="paragraph" w:styleId="PlainText">
    <w:name w:val="Plain Text"/>
    <w:basedOn w:val="Normal"/>
    <w:link w:val="PlainTextChar"/>
    <w:rsid w:val="00D97469"/>
    <w:rPr>
      <w:rFonts w:ascii="Courier New" w:hAnsi="Courier New" w:cs="Courier New"/>
      <w:sz w:val="20"/>
      <w:szCs w:val="20"/>
    </w:rPr>
  </w:style>
  <w:style w:type="character" w:customStyle="1" w:styleId="PlainTextChar">
    <w:name w:val="Plain Text Char"/>
    <w:link w:val="PlainText"/>
    <w:rsid w:val="00D97469"/>
    <w:rPr>
      <w:rFonts w:ascii="Courier New" w:hAnsi="Courier New" w:cs="Courier New"/>
    </w:rPr>
  </w:style>
  <w:style w:type="paragraph" w:styleId="Quote">
    <w:name w:val="Quote"/>
    <w:basedOn w:val="Normal"/>
    <w:next w:val="Normal"/>
    <w:link w:val="QuoteChar"/>
    <w:uiPriority w:val="29"/>
    <w:qFormat/>
    <w:rsid w:val="00D97469"/>
    <w:pPr>
      <w:spacing w:before="200" w:after="160"/>
      <w:ind w:left="864" w:right="864"/>
      <w:jc w:val="center"/>
    </w:pPr>
    <w:rPr>
      <w:i/>
      <w:iCs/>
      <w:color w:val="404040"/>
    </w:rPr>
  </w:style>
  <w:style w:type="character" w:customStyle="1" w:styleId="QuoteChar">
    <w:name w:val="Quote Char"/>
    <w:link w:val="Quote"/>
    <w:uiPriority w:val="29"/>
    <w:rsid w:val="00D97469"/>
    <w:rPr>
      <w:i/>
      <w:iCs/>
      <w:color w:val="404040"/>
      <w:sz w:val="24"/>
      <w:szCs w:val="24"/>
    </w:rPr>
  </w:style>
  <w:style w:type="paragraph" w:styleId="Salutation">
    <w:name w:val="Salutation"/>
    <w:basedOn w:val="Normal"/>
    <w:next w:val="Normal"/>
    <w:link w:val="SalutationChar"/>
    <w:rsid w:val="00D97469"/>
  </w:style>
  <w:style w:type="character" w:customStyle="1" w:styleId="SalutationChar">
    <w:name w:val="Salutation Char"/>
    <w:link w:val="Salutation"/>
    <w:rsid w:val="00D97469"/>
    <w:rPr>
      <w:sz w:val="24"/>
      <w:szCs w:val="24"/>
    </w:rPr>
  </w:style>
  <w:style w:type="paragraph" w:styleId="Signature">
    <w:name w:val="Signature"/>
    <w:basedOn w:val="Normal"/>
    <w:link w:val="SignatureChar"/>
    <w:rsid w:val="00D97469"/>
    <w:pPr>
      <w:ind w:left="4320"/>
    </w:pPr>
  </w:style>
  <w:style w:type="character" w:customStyle="1" w:styleId="SignatureChar">
    <w:name w:val="Signature Char"/>
    <w:link w:val="Signature"/>
    <w:rsid w:val="00D97469"/>
    <w:rPr>
      <w:sz w:val="24"/>
      <w:szCs w:val="24"/>
    </w:rPr>
  </w:style>
  <w:style w:type="paragraph" w:styleId="Subtitle">
    <w:name w:val="Subtitle"/>
    <w:basedOn w:val="Normal"/>
    <w:next w:val="Normal"/>
    <w:link w:val="SubtitleChar"/>
    <w:qFormat/>
    <w:rsid w:val="00D97469"/>
    <w:pPr>
      <w:spacing w:after="60"/>
      <w:jc w:val="center"/>
      <w:outlineLvl w:val="1"/>
    </w:pPr>
    <w:rPr>
      <w:rFonts w:ascii="Calibri Light" w:hAnsi="Calibri Light"/>
    </w:rPr>
  </w:style>
  <w:style w:type="character" w:customStyle="1" w:styleId="SubtitleChar">
    <w:name w:val="Subtitle Char"/>
    <w:link w:val="Subtitle"/>
    <w:rsid w:val="00D97469"/>
    <w:rPr>
      <w:rFonts w:ascii="Calibri Light" w:eastAsia="Times New Roman" w:hAnsi="Calibri Light" w:cs="Times New Roman"/>
      <w:sz w:val="24"/>
      <w:szCs w:val="24"/>
    </w:rPr>
  </w:style>
  <w:style w:type="paragraph" w:styleId="TableofAuthorities">
    <w:name w:val="table of authorities"/>
    <w:basedOn w:val="Normal"/>
    <w:next w:val="Normal"/>
    <w:rsid w:val="00D97469"/>
    <w:pPr>
      <w:ind w:left="240" w:hanging="240"/>
    </w:pPr>
  </w:style>
  <w:style w:type="paragraph" w:styleId="Title">
    <w:name w:val="Title"/>
    <w:basedOn w:val="Normal"/>
    <w:next w:val="Normal"/>
    <w:link w:val="TitleChar"/>
    <w:rsid w:val="00D97469"/>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D97469"/>
    <w:rPr>
      <w:rFonts w:ascii="Calibri Light" w:eastAsia="Times New Roman" w:hAnsi="Calibri Light" w:cs="Times New Roman"/>
      <w:b/>
      <w:bCs/>
      <w:kern w:val="28"/>
      <w:sz w:val="32"/>
      <w:szCs w:val="32"/>
    </w:rPr>
  </w:style>
  <w:style w:type="paragraph" w:styleId="TOAHeading">
    <w:name w:val="toa heading"/>
    <w:basedOn w:val="Normal"/>
    <w:next w:val="Normal"/>
    <w:rsid w:val="00D97469"/>
    <w:pPr>
      <w:spacing w:before="120"/>
    </w:pPr>
    <w:rPr>
      <w:rFonts w:ascii="Calibri Light" w:hAnsi="Calibri Light"/>
      <w:b/>
      <w:bCs/>
    </w:rPr>
  </w:style>
  <w:style w:type="paragraph" w:styleId="TOC5">
    <w:name w:val="toc 5"/>
    <w:basedOn w:val="Normal"/>
    <w:next w:val="Normal"/>
    <w:autoRedefine/>
    <w:uiPriority w:val="39"/>
    <w:rsid w:val="00C672EB"/>
    <w:pPr>
      <w:ind w:left="720" w:right="600" w:hanging="720"/>
      <w:jc w:val="left"/>
    </w:pPr>
    <w:rPr>
      <w:b/>
    </w:rPr>
  </w:style>
  <w:style w:type="paragraph" w:styleId="TOC6">
    <w:name w:val="toc 6"/>
    <w:basedOn w:val="Normal"/>
    <w:next w:val="Normal"/>
    <w:autoRedefine/>
    <w:uiPriority w:val="39"/>
    <w:rsid w:val="00E80F42"/>
    <w:pPr>
      <w:ind w:left="1224" w:hanging="720"/>
    </w:pPr>
    <w:rPr>
      <w:b/>
    </w:rPr>
  </w:style>
  <w:style w:type="paragraph" w:styleId="TOC7">
    <w:name w:val="toc 7"/>
    <w:basedOn w:val="Normal"/>
    <w:next w:val="Normal"/>
    <w:autoRedefine/>
    <w:uiPriority w:val="39"/>
    <w:rsid w:val="00E80F42"/>
    <w:pPr>
      <w:ind w:left="1728" w:hanging="720"/>
    </w:pPr>
    <w:rPr>
      <w:b/>
    </w:rPr>
  </w:style>
  <w:style w:type="paragraph" w:styleId="TOC8">
    <w:name w:val="toc 8"/>
    <w:basedOn w:val="Normal"/>
    <w:next w:val="Normal"/>
    <w:autoRedefine/>
    <w:rsid w:val="00D97469"/>
    <w:pPr>
      <w:ind w:left="1680"/>
    </w:pPr>
  </w:style>
  <w:style w:type="paragraph" w:styleId="TOC9">
    <w:name w:val="toc 9"/>
    <w:basedOn w:val="Normal"/>
    <w:next w:val="Normal"/>
    <w:autoRedefine/>
    <w:uiPriority w:val="39"/>
    <w:rsid w:val="00D97469"/>
    <w:pPr>
      <w:ind w:left="1920"/>
    </w:pPr>
  </w:style>
  <w:style w:type="paragraph" w:styleId="TOCHeading">
    <w:name w:val="TOC Heading"/>
    <w:basedOn w:val="Heading1"/>
    <w:next w:val="Normal"/>
    <w:uiPriority w:val="39"/>
    <w:semiHidden/>
    <w:unhideWhenUsed/>
    <w:qFormat/>
    <w:rsid w:val="00D97469"/>
    <w:pPr>
      <w:pageBreakBefore w:val="0"/>
      <w:numPr>
        <w:numId w:val="0"/>
      </w:numPr>
      <w:spacing w:before="240" w:after="60"/>
      <w:ind w:firstLine="720"/>
      <w:jc w:val="both"/>
      <w:outlineLvl w:val="9"/>
    </w:pPr>
    <w:rPr>
      <w:rFonts w:ascii="Calibri Light" w:hAnsi="Calibri Light" w:cs="Times New Roman"/>
      <w:caps/>
      <w:kern w:val="32"/>
      <w:sz w:val="32"/>
      <w:szCs w:val="32"/>
    </w:rPr>
  </w:style>
  <w:style w:type="paragraph" w:customStyle="1" w:styleId="TitlePage">
    <w:name w:val="Title Page"/>
    <w:basedOn w:val="Heading"/>
    <w:next w:val="Normal"/>
    <w:qFormat/>
    <w:rsid w:val="00D06DD6"/>
    <w:pPr>
      <w:keepNext w:val="0"/>
      <w:pageBreakBefore w:val="0"/>
      <w:spacing w:after="0" w:line="240" w:lineRule="auto"/>
    </w:pPr>
    <w:rPr>
      <w:color w:val="FFFFFF" w:themeColor="background1"/>
      <w:sz w:val="2"/>
    </w:rPr>
  </w:style>
  <w:style w:type="paragraph" w:customStyle="1" w:styleId="CommitteePage">
    <w:name w:val="Committee Page"/>
    <w:basedOn w:val="Heading"/>
    <w:next w:val="Normal"/>
    <w:qFormat/>
    <w:rsid w:val="00D06DD6"/>
    <w:pPr>
      <w:spacing w:after="0"/>
    </w:pPr>
    <w:rPr>
      <w:color w:val="FFFFFF" w:themeColor="background1"/>
      <w:sz w:val="2"/>
    </w:rPr>
  </w:style>
  <w:style w:type="paragraph" w:customStyle="1" w:styleId="AbstractHeading">
    <w:name w:val="Abstract Heading"/>
    <w:basedOn w:val="TitlePage"/>
    <w:qFormat/>
    <w:rsid w:val="001C7AFC"/>
    <w:pPr>
      <w:pageBreakBefore/>
    </w:pPr>
  </w:style>
  <w:style w:type="character" w:customStyle="1" w:styleId="FooterChar">
    <w:name w:val="Footer Char"/>
    <w:basedOn w:val="DefaultParagraphFont"/>
    <w:link w:val="Footer"/>
    <w:uiPriority w:val="99"/>
    <w:rsid w:val="00AF3154"/>
    <w:rPr>
      <w:sz w:val="24"/>
      <w:szCs w:val="24"/>
    </w:rPr>
  </w:style>
  <w:style w:type="paragraph" w:customStyle="1" w:styleId="NoIndent">
    <w:name w:val="No Indent"/>
    <w:basedOn w:val="Normal"/>
    <w:qFormat/>
    <w:rsid w:val="00905846"/>
    <w:pPr>
      <w:ind w:firstLine="0"/>
      <w:jc w:val="center"/>
    </w:pPr>
    <w:rPr>
      <w:noProof/>
    </w:rPr>
  </w:style>
  <w:style w:type="character" w:styleId="PlaceholderText">
    <w:name w:val="Placeholder Text"/>
    <w:basedOn w:val="DefaultParagraphFont"/>
    <w:uiPriority w:val="99"/>
    <w:semiHidden/>
    <w:rsid w:val="00BE1BD6"/>
    <w:rPr>
      <w:color w:val="808080"/>
    </w:rPr>
  </w:style>
  <w:style w:type="character" w:customStyle="1" w:styleId="TitleHeading">
    <w:name w:val="Title Heading"/>
    <w:basedOn w:val="BodyTextChar"/>
    <w:uiPriority w:val="1"/>
    <w:rsid w:val="00A1660F"/>
    <w:rPr>
      <w:rFonts w:ascii="Times New Roman" w:hAnsi="Times New Roman"/>
      <w:b w:val="0"/>
      <w:caps/>
      <w:smallCaps w:val="0"/>
      <w:sz w:val="24"/>
      <w:szCs w:val="24"/>
    </w:rPr>
  </w:style>
  <w:style w:type="paragraph" w:customStyle="1" w:styleId="TableofContentsHeading">
    <w:name w:val="Table of Contents Heading"/>
    <w:basedOn w:val="Preliminary"/>
    <w:qFormat/>
    <w:rsid w:val="004F0846"/>
  </w:style>
  <w:style w:type="paragraph" w:customStyle="1" w:styleId="HeadingNoTab">
    <w:name w:val="Heading No Tab"/>
    <w:basedOn w:val="Heading"/>
    <w:qFormat/>
    <w:rsid w:val="00064169"/>
  </w:style>
  <w:style w:type="paragraph" w:customStyle="1" w:styleId="CaptionDescription">
    <w:name w:val="Caption Description"/>
    <w:basedOn w:val="NoIndent"/>
    <w:next w:val="Normal"/>
    <w:qFormat/>
    <w:rsid w:val="00CE2814"/>
    <w:rPr>
      <w:b/>
      <w:sz w:val="20"/>
    </w:rPr>
  </w:style>
  <w:style w:type="paragraph" w:customStyle="1" w:styleId="EndNoteBibliographyTitle">
    <w:name w:val="EndNote Bibliography Title"/>
    <w:basedOn w:val="Normal"/>
    <w:link w:val="EndNoteBibliographyTitleChar"/>
    <w:rsid w:val="00010FEE"/>
    <w:pPr>
      <w:jc w:val="center"/>
    </w:pPr>
    <w:rPr>
      <w:noProof/>
    </w:rPr>
  </w:style>
  <w:style w:type="character" w:customStyle="1" w:styleId="EndNoteBibliographyTitleChar">
    <w:name w:val="EndNote Bibliography Title Char"/>
    <w:basedOn w:val="DefaultParagraphFont"/>
    <w:link w:val="EndNoteBibliographyTitle"/>
    <w:rsid w:val="00010FEE"/>
    <w:rPr>
      <w:noProof/>
      <w:sz w:val="24"/>
      <w:szCs w:val="24"/>
    </w:rPr>
  </w:style>
  <w:style w:type="paragraph" w:customStyle="1" w:styleId="EndNoteBibliography">
    <w:name w:val="EndNote Bibliography"/>
    <w:basedOn w:val="Normal"/>
    <w:link w:val="EndNoteBibliographyChar"/>
    <w:rsid w:val="00010FEE"/>
    <w:pPr>
      <w:spacing w:line="240" w:lineRule="auto"/>
    </w:pPr>
    <w:rPr>
      <w:noProof/>
    </w:rPr>
  </w:style>
  <w:style w:type="character" w:customStyle="1" w:styleId="EndNoteBibliographyChar">
    <w:name w:val="EndNote Bibliography Char"/>
    <w:basedOn w:val="DefaultParagraphFont"/>
    <w:link w:val="EndNoteBibliography"/>
    <w:rsid w:val="00010FEE"/>
    <w:rPr>
      <w:noProof/>
      <w:sz w:val="24"/>
      <w:szCs w:val="24"/>
    </w:rPr>
  </w:style>
  <w:style w:type="paragraph" w:customStyle="1" w:styleId="AppSection">
    <w:name w:val="App Section"/>
    <w:basedOn w:val="Normal"/>
    <w:next w:val="Normal"/>
    <w:rsid w:val="00DD1AE4"/>
    <w:pPr>
      <w:keepNext/>
      <w:numPr>
        <w:ilvl w:val="5"/>
        <w:numId w:val="11"/>
      </w:numPr>
      <w:spacing w:before="960" w:after="480"/>
      <w:jc w:val="center"/>
      <w:outlineLvl w:val="1"/>
    </w:pPr>
    <w:rPr>
      <w:b/>
    </w:rPr>
  </w:style>
  <w:style w:type="paragraph" w:customStyle="1" w:styleId="AppSubsection">
    <w:name w:val="App Subsection"/>
    <w:basedOn w:val="AppSection"/>
    <w:next w:val="Normal"/>
    <w:rsid w:val="00DD1AE4"/>
    <w:pPr>
      <w:numPr>
        <w:ilvl w:val="6"/>
      </w:numPr>
      <w:spacing w:before="480"/>
      <w:jc w:val="left"/>
      <w:outlineLvl w:val="2"/>
    </w:pPr>
  </w:style>
  <w:style w:type="paragraph" w:customStyle="1" w:styleId="Appendix">
    <w:name w:val="Appendix"/>
    <w:basedOn w:val="Normal"/>
    <w:next w:val="Normal"/>
    <w:qFormat/>
    <w:rsid w:val="00DD1AE4"/>
    <w:pPr>
      <w:keepNext/>
      <w:pageBreakBefore/>
      <w:numPr>
        <w:ilvl w:val="4"/>
        <w:numId w:val="11"/>
      </w:numPr>
      <w:spacing w:before="960" w:after="960"/>
      <w:jc w:val="center"/>
      <w:outlineLvl w:val="0"/>
    </w:pPr>
    <w:rPr>
      <w:b/>
    </w:rPr>
  </w:style>
  <w:style w:type="paragraph" w:customStyle="1" w:styleId="PreliminaryBookmarks">
    <w:name w:val="Preliminary Bookmarks"/>
    <w:basedOn w:val="Heading1"/>
    <w:qFormat/>
    <w:rsid w:val="00D07708"/>
    <w:pPr>
      <w:numPr>
        <w:numId w:val="0"/>
      </w:numPr>
      <w:spacing w:after="0" w:line="240" w:lineRule="auto"/>
    </w:pPr>
    <w:rPr>
      <w:b w:val="0"/>
      <w:color w:val="FFFFFF" w:themeColor="background1"/>
      <w:sz w:val="2"/>
    </w:rPr>
  </w:style>
  <w:style w:type="character" w:customStyle="1" w:styleId="Heading1Char">
    <w:name w:val="Heading 1 Char"/>
    <w:basedOn w:val="DefaultParagraphFont"/>
    <w:link w:val="Heading1"/>
    <w:rsid w:val="00D01B72"/>
    <w:rPr>
      <w:rFonts w:cs="Arial"/>
      <w:b/>
      <w:bCs/>
      <w:sz w:val="24"/>
      <w:szCs w:val="24"/>
    </w:rPr>
  </w:style>
  <w:style w:type="table" w:customStyle="1" w:styleId="GridTable1Light1">
    <w:name w:val="Grid Table 1 Light1"/>
    <w:basedOn w:val="TableNormal"/>
    <w:uiPriority w:val="46"/>
    <w:rsid w:val="00AA2FC4"/>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EF7D93"/>
    <w:rPr>
      <w:color w:val="605E5C"/>
      <w:shd w:val="clear" w:color="auto" w:fill="E1DFDD"/>
    </w:rPr>
  </w:style>
  <w:style w:type="character" w:styleId="EndnoteReference">
    <w:name w:val="endnote reference"/>
    <w:basedOn w:val="DefaultParagraphFont"/>
    <w:rsid w:val="000F5439"/>
    <w:rPr>
      <w:vertAlign w:val="superscript"/>
    </w:rPr>
  </w:style>
  <w:style w:type="character" w:styleId="CommentReference">
    <w:name w:val="annotation reference"/>
    <w:basedOn w:val="DefaultParagraphFont"/>
    <w:rsid w:val="00601663"/>
    <w:rPr>
      <w:sz w:val="18"/>
      <w:szCs w:val="18"/>
    </w:rPr>
  </w:style>
  <w:style w:type="paragraph" w:styleId="Revision">
    <w:name w:val="Revision"/>
    <w:hidden/>
    <w:uiPriority w:val="99"/>
    <w:semiHidden/>
    <w:rsid w:val="00601663"/>
    <w:rPr>
      <w:sz w:val="24"/>
      <w:szCs w:val="24"/>
    </w:rPr>
  </w:style>
  <w:style w:type="character" w:customStyle="1" w:styleId="UnresolvedMention2">
    <w:name w:val="Unresolved Mention2"/>
    <w:basedOn w:val="DefaultParagraphFont"/>
    <w:uiPriority w:val="99"/>
    <w:semiHidden/>
    <w:unhideWhenUsed/>
    <w:rsid w:val="00207230"/>
    <w:rPr>
      <w:color w:val="605E5C"/>
      <w:shd w:val="clear" w:color="auto" w:fill="E1DFDD"/>
    </w:rPr>
  </w:style>
  <w:style w:type="table" w:customStyle="1" w:styleId="PlainTable41">
    <w:name w:val="Plain Table 41"/>
    <w:basedOn w:val="TableNormal"/>
    <w:rsid w:val="007A7A4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rsid w:val="008660B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rsid w:val="0023364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rsid w:val="0023364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rsid w:val="0023364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rsid w:val="005509A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735F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10227">
      <w:bodyDiv w:val="1"/>
      <w:marLeft w:val="0"/>
      <w:marRight w:val="0"/>
      <w:marTop w:val="0"/>
      <w:marBottom w:val="0"/>
      <w:divBdr>
        <w:top w:val="none" w:sz="0" w:space="0" w:color="auto"/>
        <w:left w:val="none" w:sz="0" w:space="0" w:color="auto"/>
        <w:bottom w:val="none" w:sz="0" w:space="0" w:color="auto"/>
        <w:right w:val="none" w:sz="0" w:space="0" w:color="auto"/>
      </w:divBdr>
    </w:div>
    <w:div w:id="60834170">
      <w:bodyDiv w:val="1"/>
      <w:marLeft w:val="0"/>
      <w:marRight w:val="0"/>
      <w:marTop w:val="0"/>
      <w:marBottom w:val="0"/>
      <w:divBdr>
        <w:top w:val="none" w:sz="0" w:space="0" w:color="auto"/>
        <w:left w:val="none" w:sz="0" w:space="0" w:color="auto"/>
        <w:bottom w:val="none" w:sz="0" w:space="0" w:color="auto"/>
        <w:right w:val="none" w:sz="0" w:space="0" w:color="auto"/>
      </w:divBdr>
    </w:div>
    <w:div w:id="82727837">
      <w:bodyDiv w:val="1"/>
      <w:marLeft w:val="0"/>
      <w:marRight w:val="0"/>
      <w:marTop w:val="0"/>
      <w:marBottom w:val="0"/>
      <w:divBdr>
        <w:top w:val="none" w:sz="0" w:space="0" w:color="auto"/>
        <w:left w:val="none" w:sz="0" w:space="0" w:color="auto"/>
        <w:bottom w:val="none" w:sz="0" w:space="0" w:color="auto"/>
        <w:right w:val="none" w:sz="0" w:space="0" w:color="auto"/>
      </w:divBdr>
    </w:div>
    <w:div w:id="90899198">
      <w:bodyDiv w:val="1"/>
      <w:marLeft w:val="0"/>
      <w:marRight w:val="0"/>
      <w:marTop w:val="0"/>
      <w:marBottom w:val="0"/>
      <w:divBdr>
        <w:top w:val="none" w:sz="0" w:space="0" w:color="auto"/>
        <w:left w:val="none" w:sz="0" w:space="0" w:color="auto"/>
        <w:bottom w:val="none" w:sz="0" w:space="0" w:color="auto"/>
        <w:right w:val="none" w:sz="0" w:space="0" w:color="auto"/>
      </w:divBdr>
    </w:div>
    <w:div w:id="164170380">
      <w:bodyDiv w:val="1"/>
      <w:marLeft w:val="0"/>
      <w:marRight w:val="0"/>
      <w:marTop w:val="0"/>
      <w:marBottom w:val="0"/>
      <w:divBdr>
        <w:top w:val="none" w:sz="0" w:space="0" w:color="auto"/>
        <w:left w:val="none" w:sz="0" w:space="0" w:color="auto"/>
        <w:bottom w:val="none" w:sz="0" w:space="0" w:color="auto"/>
        <w:right w:val="none" w:sz="0" w:space="0" w:color="auto"/>
      </w:divBdr>
    </w:div>
    <w:div w:id="182599693">
      <w:bodyDiv w:val="1"/>
      <w:marLeft w:val="0"/>
      <w:marRight w:val="0"/>
      <w:marTop w:val="0"/>
      <w:marBottom w:val="0"/>
      <w:divBdr>
        <w:top w:val="none" w:sz="0" w:space="0" w:color="auto"/>
        <w:left w:val="none" w:sz="0" w:space="0" w:color="auto"/>
        <w:bottom w:val="none" w:sz="0" w:space="0" w:color="auto"/>
        <w:right w:val="none" w:sz="0" w:space="0" w:color="auto"/>
      </w:divBdr>
    </w:div>
    <w:div w:id="216012837">
      <w:bodyDiv w:val="1"/>
      <w:marLeft w:val="0"/>
      <w:marRight w:val="0"/>
      <w:marTop w:val="0"/>
      <w:marBottom w:val="0"/>
      <w:divBdr>
        <w:top w:val="none" w:sz="0" w:space="0" w:color="auto"/>
        <w:left w:val="none" w:sz="0" w:space="0" w:color="auto"/>
        <w:bottom w:val="none" w:sz="0" w:space="0" w:color="auto"/>
        <w:right w:val="none" w:sz="0" w:space="0" w:color="auto"/>
      </w:divBdr>
    </w:div>
    <w:div w:id="300229487">
      <w:bodyDiv w:val="1"/>
      <w:marLeft w:val="0"/>
      <w:marRight w:val="0"/>
      <w:marTop w:val="0"/>
      <w:marBottom w:val="0"/>
      <w:divBdr>
        <w:top w:val="none" w:sz="0" w:space="0" w:color="auto"/>
        <w:left w:val="none" w:sz="0" w:space="0" w:color="auto"/>
        <w:bottom w:val="none" w:sz="0" w:space="0" w:color="auto"/>
        <w:right w:val="none" w:sz="0" w:space="0" w:color="auto"/>
      </w:divBdr>
    </w:div>
    <w:div w:id="337737258">
      <w:bodyDiv w:val="1"/>
      <w:marLeft w:val="0"/>
      <w:marRight w:val="0"/>
      <w:marTop w:val="0"/>
      <w:marBottom w:val="0"/>
      <w:divBdr>
        <w:top w:val="none" w:sz="0" w:space="0" w:color="auto"/>
        <w:left w:val="none" w:sz="0" w:space="0" w:color="auto"/>
        <w:bottom w:val="none" w:sz="0" w:space="0" w:color="auto"/>
        <w:right w:val="none" w:sz="0" w:space="0" w:color="auto"/>
      </w:divBdr>
    </w:div>
    <w:div w:id="344940843">
      <w:bodyDiv w:val="1"/>
      <w:marLeft w:val="0"/>
      <w:marRight w:val="0"/>
      <w:marTop w:val="0"/>
      <w:marBottom w:val="0"/>
      <w:divBdr>
        <w:top w:val="none" w:sz="0" w:space="0" w:color="auto"/>
        <w:left w:val="none" w:sz="0" w:space="0" w:color="auto"/>
        <w:bottom w:val="none" w:sz="0" w:space="0" w:color="auto"/>
        <w:right w:val="none" w:sz="0" w:space="0" w:color="auto"/>
      </w:divBdr>
    </w:div>
    <w:div w:id="411775715">
      <w:bodyDiv w:val="1"/>
      <w:marLeft w:val="0"/>
      <w:marRight w:val="0"/>
      <w:marTop w:val="0"/>
      <w:marBottom w:val="0"/>
      <w:divBdr>
        <w:top w:val="none" w:sz="0" w:space="0" w:color="auto"/>
        <w:left w:val="none" w:sz="0" w:space="0" w:color="auto"/>
        <w:bottom w:val="none" w:sz="0" w:space="0" w:color="auto"/>
        <w:right w:val="none" w:sz="0" w:space="0" w:color="auto"/>
      </w:divBdr>
    </w:div>
    <w:div w:id="453865558">
      <w:bodyDiv w:val="1"/>
      <w:marLeft w:val="0"/>
      <w:marRight w:val="0"/>
      <w:marTop w:val="0"/>
      <w:marBottom w:val="0"/>
      <w:divBdr>
        <w:top w:val="none" w:sz="0" w:space="0" w:color="auto"/>
        <w:left w:val="none" w:sz="0" w:space="0" w:color="auto"/>
        <w:bottom w:val="none" w:sz="0" w:space="0" w:color="auto"/>
        <w:right w:val="none" w:sz="0" w:space="0" w:color="auto"/>
      </w:divBdr>
    </w:div>
    <w:div w:id="511917235">
      <w:bodyDiv w:val="1"/>
      <w:marLeft w:val="0"/>
      <w:marRight w:val="0"/>
      <w:marTop w:val="0"/>
      <w:marBottom w:val="0"/>
      <w:divBdr>
        <w:top w:val="none" w:sz="0" w:space="0" w:color="auto"/>
        <w:left w:val="none" w:sz="0" w:space="0" w:color="auto"/>
        <w:bottom w:val="none" w:sz="0" w:space="0" w:color="auto"/>
        <w:right w:val="none" w:sz="0" w:space="0" w:color="auto"/>
      </w:divBdr>
    </w:div>
    <w:div w:id="541790851">
      <w:bodyDiv w:val="1"/>
      <w:marLeft w:val="0"/>
      <w:marRight w:val="0"/>
      <w:marTop w:val="0"/>
      <w:marBottom w:val="0"/>
      <w:divBdr>
        <w:top w:val="none" w:sz="0" w:space="0" w:color="auto"/>
        <w:left w:val="none" w:sz="0" w:space="0" w:color="auto"/>
        <w:bottom w:val="none" w:sz="0" w:space="0" w:color="auto"/>
        <w:right w:val="none" w:sz="0" w:space="0" w:color="auto"/>
      </w:divBdr>
    </w:div>
    <w:div w:id="543560576">
      <w:bodyDiv w:val="1"/>
      <w:marLeft w:val="0"/>
      <w:marRight w:val="0"/>
      <w:marTop w:val="0"/>
      <w:marBottom w:val="0"/>
      <w:divBdr>
        <w:top w:val="none" w:sz="0" w:space="0" w:color="auto"/>
        <w:left w:val="none" w:sz="0" w:space="0" w:color="auto"/>
        <w:bottom w:val="none" w:sz="0" w:space="0" w:color="auto"/>
        <w:right w:val="none" w:sz="0" w:space="0" w:color="auto"/>
      </w:divBdr>
    </w:div>
    <w:div w:id="592014020">
      <w:bodyDiv w:val="1"/>
      <w:marLeft w:val="0"/>
      <w:marRight w:val="0"/>
      <w:marTop w:val="0"/>
      <w:marBottom w:val="0"/>
      <w:divBdr>
        <w:top w:val="none" w:sz="0" w:space="0" w:color="auto"/>
        <w:left w:val="none" w:sz="0" w:space="0" w:color="auto"/>
        <w:bottom w:val="none" w:sz="0" w:space="0" w:color="auto"/>
        <w:right w:val="none" w:sz="0" w:space="0" w:color="auto"/>
      </w:divBdr>
    </w:div>
    <w:div w:id="682903093">
      <w:bodyDiv w:val="1"/>
      <w:marLeft w:val="0"/>
      <w:marRight w:val="0"/>
      <w:marTop w:val="0"/>
      <w:marBottom w:val="0"/>
      <w:divBdr>
        <w:top w:val="none" w:sz="0" w:space="0" w:color="auto"/>
        <w:left w:val="none" w:sz="0" w:space="0" w:color="auto"/>
        <w:bottom w:val="none" w:sz="0" w:space="0" w:color="auto"/>
        <w:right w:val="none" w:sz="0" w:space="0" w:color="auto"/>
      </w:divBdr>
    </w:div>
    <w:div w:id="721712427">
      <w:bodyDiv w:val="1"/>
      <w:marLeft w:val="0"/>
      <w:marRight w:val="0"/>
      <w:marTop w:val="0"/>
      <w:marBottom w:val="0"/>
      <w:divBdr>
        <w:top w:val="none" w:sz="0" w:space="0" w:color="auto"/>
        <w:left w:val="none" w:sz="0" w:space="0" w:color="auto"/>
        <w:bottom w:val="none" w:sz="0" w:space="0" w:color="auto"/>
        <w:right w:val="none" w:sz="0" w:space="0" w:color="auto"/>
      </w:divBdr>
    </w:div>
    <w:div w:id="736054387">
      <w:bodyDiv w:val="1"/>
      <w:marLeft w:val="0"/>
      <w:marRight w:val="0"/>
      <w:marTop w:val="0"/>
      <w:marBottom w:val="0"/>
      <w:divBdr>
        <w:top w:val="none" w:sz="0" w:space="0" w:color="auto"/>
        <w:left w:val="none" w:sz="0" w:space="0" w:color="auto"/>
        <w:bottom w:val="none" w:sz="0" w:space="0" w:color="auto"/>
        <w:right w:val="none" w:sz="0" w:space="0" w:color="auto"/>
      </w:divBdr>
    </w:div>
    <w:div w:id="796222890">
      <w:bodyDiv w:val="1"/>
      <w:marLeft w:val="0"/>
      <w:marRight w:val="0"/>
      <w:marTop w:val="0"/>
      <w:marBottom w:val="0"/>
      <w:divBdr>
        <w:top w:val="none" w:sz="0" w:space="0" w:color="auto"/>
        <w:left w:val="none" w:sz="0" w:space="0" w:color="auto"/>
        <w:bottom w:val="none" w:sz="0" w:space="0" w:color="auto"/>
        <w:right w:val="none" w:sz="0" w:space="0" w:color="auto"/>
      </w:divBdr>
    </w:div>
    <w:div w:id="797338478">
      <w:bodyDiv w:val="1"/>
      <w:marLeft w:val="0"/>
      <w:marRight w:val="0"/>
      <w:marTop w:val="0"/>
      <w:marBottom w:val="0"/>
      <w:divBdr>
        <w:top w:val="none" w:sz="0" w:space="0" w:color="auto"/>
        <w:left w:val="none" w:sz="0" w:space="0" w:color="auto"/>
        <w:bottom w:val="none" w:sz="0" w:space="0" w:color="auto"/>
        <w:right w:val="none" w:sz="0" w:space="0" w:color="auto"/>
      </w:divBdr>
    </w:div>
    <w:div w:id="898782154">
      <w:bodyDiv w:val="1"/>
      <w:marLeft w:val="0"/>
      <w:marRight w:val="0"/>
      <w:marTop w:val="0"/>
      <w:marBottom w:val="0"/>
      <w:divBdr>
        <w:top w:val="none" w:sz="0" w:space="0" w:color="auto"/>
        <w:left w:val="none" w:sz="0" w:space="0" w:color="auto"/>
        <w:bottom w:val="none" w:sz="0" w:space="0" w:color="auto"/>
        <w:right w:val="none" w:sz="0" w:space="0" w:color="auto"/>
      </w:divBdr>
    </w:div>
    <w:div w:id="900214833">
      <w:bodyDiv w:val="1"/>
      <w:marLeft w:val="0"/>
      <w:marRight w:val="0"/>
      <w:marTop w:val="0"/>
      <w:marBottom w:val="0"/>
      <w:divBdr>
        <w:top w:val="none" w:sz="0" w:space="0" w:color="auto"/>
        <w:left w:val="none" w:sz="0" w:space="0" w:color="auto"/>
        <w:bottom w:val="none" w:sz="0" w:space="0" w:color="auto"/>
        <w:right w:val="none" w:sz="0" w:space="0" w:color="auto"/>
      </w:divBdr>
    </w:div>
    <w:div w:id="900942818">
      <w:bodyDiv w:val="1"/>
      <w:marLeft w:val="0"/>
      <w:marRight w:val="0"/>
      <w:marTop w:val="0"/>
      <w:marBottom w:val="0"/>
      <w:divBdr>
        <w:top w:val="none" w:sz="0" w:space="0" w:color="auto"/>
        <w:left w:val="none" w:sz="0" w:space="0" w:color="auto"/>
        <w:bottom w:val="none" w:sz="0" w:space="0" w:color="auto"/>
        <w:right w:val="none" w:sz="0" w:space="0" w:color="auto"/>
      </w:divBdr>
    </w:div>
    <w:div w:id="970331125">
      <w:bodyDiv w:val="1"/>
      <w:marLeft w:val="0"/>
      <w:marRight w:val="0"/>
      <w:marTop w:val="0"/>
      <w:marBottom w:val="0"/>
      <w:divBdr>
        <w:top w:val="none" w:sz="0" w:space="0" w:color="auto"/>
        <w:left w:val="none" w:sz="0" w:space="0" w:color="auto"/>
        <w:bottom w:val="none" w:sz="0" w:space="0" w:color="auto"/>
        <w:right w:val="none" w:sz="0" w:space="0" w:color="auto"/>
      </w:divBdr>
    </w:div>
    <w:div w:id="971793397">
      <w:bodyDiv w:val="1"/>
      <w:marLeft w:val="0"/>
      <w:marRight w:val="0"/>
      <w:marTop w:val="0"/>
      <w:marBottom w:val="0"/>
      <w:divBdr>
        <w:top w:val="none" w:sz="0" w:space="0" w:color="auto"/>
        <w:left w:val="none" w:sz="0" w:space="0" w:color="auto"/>
        <w:bottom w:val="none" w:sz="0" w:space="0" w:color="auto"/>
        <w:right w:val="none" w:sz="0" w:space="0" w:color="auto"/>
      </w:divBdr>
    </w:div>
    <w:div w:id="990522723">
      <w:bodyDiv w:val="1"/>
      <w:marLeft w:val="0"/>
      <w:marRight w:val="0"/>
      <w:marTop w:val="0"/>
      <w:marBottom w:val="0"/>
      <w:divBdr>
        <w:top w:val="none" w:sz="0" w:space="0" w:color="auto"/>
        <w:left w:val="none" w:sz="0" w:space="0" w:color="auto"/>
        <w:bottom w:val="none" w:sz="0" w:space="0" w:color="auto"/>
        <w:right w:val="none" w:sz="0" w:space="0" w:color="auto"/>
      </w:divBdr>
    </w:div>
    <w:div w:id="1016734872">
      <w:bodyDiv w:val="1"/>
      <w:marLeft w:val="0"/>
      <w:marRight w:val="0"/>
      <w:marTop w:val="0"/>
      <w:marBottom w:val="0"/>
      <w:divBdr>
        <w:top w:val="none" w:sz="0" w:space="0" w:color="auto"/>
        <w:left w:val="none" w:sz="0" w:space="0" w:color="auto"/>
        <w:bottom w:val="none" w:sz="0" w:space="0" w:color="auto"/>
        <w:right w:val="none" w:sz="0" w:space="0" w:color="auto"/>
      </w:divBdr>
    </w:div>
    <w:div w:id="1040515224">
      <w:bodyDiv w:val="1"/>
      <w:marLeft w:val="0"/>
      <w:marRight w:val="0"/>
      <w:marTop w:val="0"/>
      <w:marBottom w:val="0"/>
      <w:divBdr>
        <w:top w:val="none" w:sz="0" w:space="0" w:color="auto"/>
        <w:left w:val="none" w:sz="0" w:space="0" w:color="auto"/>
        <w:bottom w:val="none" w:sz="0" w:space="0" w:color="auto"/>
        <w:right w:val="none" w:sz="0" w:space="0" w:color="auto"/>
      </w:divBdr>
    </w:div>
    <w:div w:id="1114714760">
      <w:bodyDiv w:val="1"/>
      <w:marLeft w:val="0"/>
      <w:marRight w:val="0"/>
      <w:marTop w:val="0"/>
      <w:marBottom w:val="0"/>
      <w:divBdr>
        <w:top w:val="none" w:sz="0" w:space="0" w:color="auto"/>
        <w:left w:val="none" w:sz="0" w:space="0" w:color="auto"/>
        <w:bottom w:val="none" w:sz="0" w:space="0" w:color="auto"/>
        <w:right w:val="none" w:sz="0" w:space="0" w:color="auto"/>
      </w:divBdr>
    </w:div>
    <w:div w:id="1120609839">
      <w:bodyDiv w:val="1"/>
      <w:marLeft w:val="0"/>
      <w:marRight w:val="0"/>
      <w:marTop w:val="0"/>
      <w:marBottom w:val="0"/>
      <w:divBdr>
        <w:top w:val="none" w:sz="0" w:space="0" w:color="auto"/>
        <w:left w:val="none" w:sz="0" w:space="0" w:color="auto"/>
        <w:bottom w:val="none" w:sz="0" w:space="0" w:color="auto"/>
        <w:right w:val="none" w:sz="0" w:space="0" w:color="auto"/>
      </w:divBdr>
    </w:div>
    <w:div w:id="1168521045">
      <w:bodyDiv w:val="1"/>
      <w:marLeft w:val="0"/>
      <w:marRight w:val="0"/>
      <w:marTop w:val="0"/>
      <w:marBottom w:val="0"/>
      <w:divBdr>
        <w:top w:val="none" w:sz="0" w:space="0" w:color="auto"/>
        <w:left w:val="none" w:sz="0" w:space="0" w:color="auto"/>
        <w:bottom w:val="none" w:sz="0" w:space="0" w:color="auto"/>
        <w:right w:val="none" w:sz="0" w:space="0" w:color="auto"/>
      </w:divBdr>
    </w:div>
    <w:div w:id="1268350144">
      <w:bodyDiv w:val="1"/>
      <w:marLeft w:val="0"/>
      <w:marRight w:val="0"/>
      <w:marTop w:val="0"/>
      <w:marBottom w:val="0"/>
      <w:divBdr>
        <w:top w:val="none" w:sz="0" w:space="0" w:color="auto"/>
        <w:left w:val="none" w:sz="0" w:space="0" w:color="auto"/>
        <w:bottom w:val="none" w:sz="0" w:space="0" w:color="auto"/>
        <w:right w:val="none" w:sz="0" w:space="0" w:color="auto"/>
      </w:divBdr>
    </w:div>
    <w:div w:id="1334526223">
      <w:bodyDiv w:val="1"/>
      <w:marLeft w:val="0"/>
      <w:marRight w:val="0"/>
      <w:marTop w:val="0"/>
      <w:marBottom w:val="0"/>
      <w:divBdr>
        <w:top w:val="none" w:sz="0" w:space="0" w:color="auto"/>
        <w:left w:val="none" w:sz="0" w:space="0" w:color="auto"/>
        <w:bottom w:val="none" w:sz="0" w:space="0" w:color="auto"/>
        <w:right w:val="none" w:sz="0" w:space="0" w:color="auto"/>
      </w:divBdr>
    </w:div>
    <w:div w:id="1378503594">
      <w:bodyDiv w:val="1"/>
      <w:marLeft w:val="0"/>
      <w:marRight w:val="0"/>
      <w:marTop w:val="0"/>
      <w:marBottom w:val="0"/>
      <w:divBdr>
        <w:top w:val="none" w:sz="0" w:space="0" w:color="auto"/>
        <w:left w:val="none" w:sz="0" w:space="0" w:color="auto"/>
        <w:bottom w:val="none" w:sz="0" w:space="0" w:color="auto"/>
        <w:right w:val="none" w:sz="0" w:space="0" w:color="auto"/>
      </w:divBdr>
    </w:div>
    <w:div w:id="1483543238">
      <w:bodyDiv w:val="1"/>
      <w:marLeft w:val="0"/>
      <w:marRight w:val="0"/>
      <w:marTop w:val="0"/>
      <w:marBottom w:val="0"/>
      <w:divBdr>
        <w:top w:val="none" w:sz="0" w:space="0" w:color="auto"/>
        <w:left w:val="none" w:sz="0" w:space="0" w:color="auto"/>
        <w:bottom w:val="none" w:sz="0" w:space="0" w:color="auto"/>
        <w:right w:val="none" w:sz="0" w:space="0" w:color="auto"/>
      </w:divBdr>
    </w:div>
    <w:div w:id="1490708116">
      <w:bodyDiv w:val="1"/>
      <w:marLeft w:val="0"/>
      <w:marRight w:val="0"/>
      <w:marTop w:val="0"/>
      <w:marBottom w:val="0"/>
      <w:divBdr>
        <w:top w:val="none" w:sz="0" w:space="0" w:color="auto"/>
        <w:left w:val="none" w:sz="0" w:space="0" w:color="auto"/>
        <w:bottom w:val="none" w:sz="0" w:space="0" w:color="auto"/>
        <w:right w:val="none" w:sz="0" w:space="0" w:color="auto"/>
      </w:divBdr>
    </w:div>
    <w:div w:id="1585532076">
      <w:bodyDiv w:val="1"/>
      <w:marLeft w:val="0"/>
      <w:marRight w:val="0"/>
      <w:marTop w:val="0"/>
      <w:marBottom w:val="0"/>
      <w:divBdr>
        <w:top w:val="none" w:sz="0" w:space="0" w:color="auto"/>
        <w:left w:val="none" w:sz="0" w:space="0" w:color="auto"/>
        <w:bottom w:val="none" w:sz="0" w:space="0" w:color="auto"/>
        <w:right w:val="none" w:sz="0" w:space="0" w:color="auto"/>
      </w:divBdr>
    </w:div>
    <w:div w:id="1602880694">
      <w:bodyDiv w:val="1"/>
      <w:marLeft w:val="0"/>
      <w:marRight w:val="0"/>
      <w:marTop w:val="0"/>
      <w:marBottom w:val="0"/>
      <w:divBdr>
        <w:top w:val="none" w:sz="0" w:space="0" w:color="auto"/>
        <w:left w:val="none" w:sz="0" w:space="0" w:color="auto"/>
        <w:bottom w:val="none" w:sz="0" w:space="0" w:color="auto"/>
        <w:right w:val="none" w:sz="0" w:space="0" w:color="auto"/>
      </w:divBdr>
    </w:div>
    <w:div w:id="1603495613">
      <w:bodyDiv w:val="1"/>
      <w:marLeft w:val="0"/>
      <w:marRight w:val="0"/>
      <w:marTop w:val="0"/>
      <w:marBottom w:val="0"/>
      <w:divBdr>
        <w:top w:val="none" w:sz="0" w:space="0" w:color="auto"/>
        <w:left w:val="none" w:sz="0" w:space="0" w:color="auto"/>
        <w:bottom w:val="none" w:sz="0" w:space="0" w:color="auto"/>
        <w:right w:val="none" w:sz="0" w:space="0" w:color="auto"/>
      </w:divBdr>
    </w:div>
    <w:div w:id="1840728780">
      <w:bodyDiv w:val="1"/>
      <w:marLeft w:val="0"/>
      <w:marRight w:val="0"/>
      <w:marTop w:val="0"/>
      <w:marBottom w:val="0"/>
      <w:divBdr>
        <w:top w:val="none" w:sz="0" w:space="0" w:color="auto"/>
        <w:left w:val="none" w:sz="0" w:space="0" w:color="auto"/>
        <w:bottom w:val="none" w:sz="0" w:space="0" w:color="auto"/>
        <w:right w:val="none" w:sz="0" w:space="0" w:color="auto"/>
      </w:divBdr>
    </w:div>
    <w:div w:id="1845587795">
      <w:bodyDiv w:val="1"/>
      <w:marLeft w:val="0"/>
      <w:marRight w:val="0"/>
      <w:marTop w:val="0"/>
      <w:marBottom w:val="0"/>
      <w:divBdr>
        <w:top w:val="none" w:sz="0" w:space="0" w:color="auto"/>
        <w:left w:val="none" w:sz="0" w:space="0" w:color="auto"/>
        <w:bottom w:val="none" w:sz="0" w:space="0" w:color="auto"/>
        <w:right w:val="none" w:sz="0" w:space="0" w:color="auto"/>
      </w:divBdr>
    </w:div>
    <w:div w:id="1910842116">
      <w:bodyDiv w:val="1"/>
      <w:marLeft w:val="0"/>
      <w:marRight w:val="0"/>
      <w:marTop w:val="0"/>
      <w:marBottom w:val="0"/>
      <w:divBdr>
        <w:top w:val="none" w:sz="0" w:space="0" w:color="auto"/>
        <w:left w:val="none" w:sz="0" w:space="0" w:color="auto"/>
        <w:bottom w:val="none" w:sz="0" w:space="0" w:color="auto"/>
        <w:right w:val="none" w:sz="0" w:space="0" w:color="auto"/>
      </w:divBdr>
    </w:div>
    <w:div w:id="1919971932">
      <w:bodyDiv w:val="1"/>
      <w:marLeft w:val="0"/>
      <w:marRight w:val="0"/>
      <w:marTop w:val="0"/>
      <w:marBottom w:val="0"/>
      <w:divBdr>
        <w:top w:val="none" w:sz="0" w:space="0" w:color="auto"/>
        <w:left w:val="none" w:sz="0" w:space="0" w:color="auto"/>
        <w:bottom w:val="none" w:sz="0" w:space="0" w:color="auto"/>
        <w:right w:val="none" w:sz="0" w:space="0" w:color="auto"/>
      </w:divBdr>
    </w:div>
    <w:div w:id="1941793310">
      <w:bodyDiv w:val="1"/>
      <w:marLeft w:val="0"/>
      <w:marRight w:val="0"/>
      <w:marTop w:val="0"/>
      <w:marBottom w:val="0"/>
      <w:divBdr>
        <w:top w:val="none" w:sz="0" w:space="0" w:color="auto"/>
        <w:left w:val="none" w:sz="0" w:space="0" w:color="auto"/>
        <w:bottom w:val="none" w:sz="0" w:space="0" w:color="auto"/>
        <w:right w:val="none" w:sz="0" w:space="0" w:color="auto"/>
      </w:divBdr>
    </w:div>
    <w:div w:id="1943760367">
      <w:bodyDiv w:val="1"/>
      <w:marLeft w:val="0"/>
      <w:marRight w:val="0"/>
      <w:marTop w:val="0"/>
      <w:marBottom w:val="0"/>
      <w:divBdr>
        <w:top w:val="none" w:sz="0" w:space="0" w:color="auto"/>
        <w:left w:val="none" w:sz="0" w:space="0" w:color="auto"/>
        <w:bottom w:val="none" w:sz="0" w:space="0" w:color="auto"/>
        <w:right w:val="none" w:sz="0" w:space="0" w:color="auto"/>
      </w:divBdr>
    </w:div>
    <w:div w:id="1965113730">
      <w:bodyDiv w:val="1"/>
      <w:marLeft w:val="0"/>
      <w:marRight w:val="0"/>
      <w:marTop w:val="0"/>
      <w:marBottom w:val="0"/>
      <w:divBdr>
        <w:top w:val="none" w:sz="0" w:space="0" w:color="auto"/>
        <w:left w:val="none" w:sz="0" w:space="0" w:color="auto"/>
        <w:bottom w:val="none" w:sz="0" w:space="0" w:color="auto"/>
        <w:right w:val="none" w:sz="0" w:space="0" w:color="auto"/>
      </w:divBdr>
    </w:div>
    <w:div w:id="1985116312">
      <w:bodyDiv w:val="1"/>
      <w:marLeft w:val="0"/>
      <w:marRight w:val="0"/>
      <w:marTop w:val="0"/>
      <w:marBottom w:val="0"/>
      <w:divBdr>
        <w:top w:val="none" w:sz="0" w:space="0" w:color="auto"/>
        <w:left w:val="none" w:sz="0" w:space="0" w:color="auto"/>
        <w:bottom w:val="none" w:sz="0" w:space="0" w:color="auto"/>
        <w:right w:val="none" w:sz="0" w:space="0" w:color="auto"/>
      </w:divBdr>
    </w:div>
    <w:div w:id="2049453268">
      <w:bodyDiv w:val="1"/>
      <w:marLeft w:val="0"/>
      <w:marRight w:val="0"/>
      <w:marTop w:val="0"/>
      <w:marBottom w:val="0"/>
      <w:divBdr>
        <w:top w:val="none" w:sz="0" w:space="0" w:color="auto"/>
        <w:left w:val="none" w:sz="0" w:space="0" w:color="auto"/>
        <w:bottom w:val="none" w:sz="0" w:space="0" w:color="auto"/>
        <w:right w:val="none" w:sz="0" w:space="0" w:color="auto"/>
      </w:divBdr>
    </w:div>
    <w:div w:id="2057393794">
      <w:bodyDiv w:val="1"/>
      <w:marLeft w:val="0"/>
      <w:marRight w:val="0"/>
      <w:marTop w:val="0"/>
      <w:marBottom w:val="0"/>
      <w:divBdr>
        <w:top w:val="none" w:sz="0" w:space="0" w:color="auto"/>
        <w:left w:val="none" w:sz="0" w:space="0" w:color="auto"/>
        <w:bottom w:val="none" w:sz="0" w:space="0" w:color="auto"/>
        <w:right w:val="none" w:sz="0" w:space="0" w:color="auto"/>
      </w:divBdr>
    </w:div>
    <w:div w:id="2129158608">
      <w:bodyDiv w:val="1"/>
      <w:marLeft w:val="0"/>
      <w:marRight w:val="0"/>
      <w:marTop w:val="0"/>
      <w:marBottom w:val="0"/>
      <w:divBdr>
        <w:top w:val="none" w:sz="0" w:space="0" w:color="auto"/>
        <w:left w:val="none" w:sz="0" w:space="0" w:color="auto"/>
        <w:bottom w:val="none" w:sz="0" w:space="0" w:color="auto"/>
        <w:right w:val="none" w:sz="0" w:space="0" w:color="auto"/>
      </w:divBdr>
    </w:div>
    <w:div w:id="21467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lupus.org/resources/dos-and-donts-for-living-well-with-lupus" TargetMode="External"/><Relationship Id="rId2" Type="http://schemas.openxmlformats.org/officeDocument/2006/relationships/numbering" Target="numbering.xml"/><Relationship Id="rId16" Type="http://schemas.openxmlformats.org/officeDocument/2006/relationships/hyperlink" Target="https://www.rheumatology.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oadinstitute.org/haploview/haploview" TargetMode="External"/><Relationship Id="rId5" Type="http://schemas.openxmlformats.org/officeDocument/2006/relationships/webSettings" Target="webSettings.xml"/><Relationship Id="rId15" Type="http://schemas.openxmlformats.org/officeDocument/2006/relationships/hyperlink" Target="https://www.lupus.org/" TargetMode="Externa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FU\Downloads\ETD_Template_Pitt_v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3DDE6749573425CBF5F28385007007F"/>
        <w:category>
          <w:name w:val="General"/>
          <w:gallery w:val="placeholder"/>
        </w:category>
        <w:types>
          <w:type w:val="bbPlcHdr"/>
        </w:types>
        <w:behaviors>
          <w:behavior w:val="content"/>
        </w:behaviors>
        <w:guid w:val="{2D74FEBA-11E7-46A4-B9B1-772421D7D15A}"/>
      </w:docPartPr>
      <w:docPartBody>
        <w:p w:rsidR="00210549" w:rsidRDefault="00CE3EFA">
          <w:pPr>
            <w:pStyle w:val="43DDE6749573425CBF5F28385007007F"/>
          </w:pPr>
          <w:r>
            <w:rPr>
              <w:rStyle w:val="PlaceholderText"/>
            </w:rPr>
            <w:t>Click to choose your school</w:t>
          </w:r>
        </w:p>
      </w:docPartBody>
    </w:docPart>
    <w:docPart>
      <w:docPartPr>
        <w:name w:val="8A406ED28CFA4A9EB0EC377896759C92"/>
        <w:category>
          <w:name w:val="General"/>
          <w:gallery w:val="placeholder"/>
        </w:category>
        <w:types>
          <w:type w:val="bbPlcHdr"/>
        </w:types>
        <w:behaviors>
          <w:behavior w:val="content"/>
        </w:behaviors>
        <w:guid w:val="{8ADEEA5E-E2F6-4CB9-93FA-3D1D76D12AE8}"/>
      </w:docPartPr>
      <w:docPartBody>
        <w:p w:rsidR="00210549" w:rsidRDefault="00CE3EFA">
          <w:pPr>
            <w:pStyle w:val="8A406ED28CFA4A9EB0EC377896759C92"/>
          </w:pPr>
          <w:r w:rsidRPr="00174952">
            <w:rPr>
              <w:color w:val="A6A6A6" w:themeColor="background1" w:themeShade="A6"/>
            </w:rPr>
            <w:t>Click to choose your degree</w:t>
          </w:r>
        </w:p>
      </w:docPartBody>
    </w:docPart>
    <w:docPart>
      <w:docPartPr>
        <w:name w:val="A9F5D3623B45422FB313866A6DA1118E"/>
        <w:category>
          <w:name w:val="General"/>
          <w:gallery w:val="placeholder"/>
        </w:category>
        <w:types>
          <w:type w:val="bbPlcHdr"/>
        </w:types>
        <w:behaviors>
          <w:behavior w:val="content"/>
        </w:behaviors>
        <w:guid w:val="{5C830B39-1C76-4ACC-93DA-8AA72261B7DB}"/>
      </w:docPartPr>
      <w:docPartBody>
        <w:p w:rsidR="00210549" w:rsidRDefault="00CE3EFA">
          <w:pPr>
            <w:pStyle w:val="A9F5D3623B45422FB313866A6DA1118E"/>
          </w:pPr>
          <w:r>
            <w:rPr>
              <w:rStyle w:val="PlaceholderText"/>
            </w:rPr>
            <w:t>Click to choose your school</w:t>
          </w:r>
        </w:p>
      </w:docPartBody>
    </w:docPart>
    <w:docPart>
      <w:docPartPr>
        <w:name w:val="93235CC6DC384510A39C580EA00C8261"/>
        <w:category>
          <w:name w:val="General"/>
          <w:gallery w:val="placeholder"/>
        </w:category>
        <w:types>
          <w:type w:val="bbPlcHdr"/>
        </w:types>
        <w:behaviors>
          <w:behavior w:val="content"/>
        </w:behaviors>
        <w:guid w:val="{88E48880-E979-4368-8461-2B0306250333}"/>
      </w:docPartPr>
      <w:docPartBody>
        <w:p w:rsidR="00210549" w:rsidRDefault="00CE3EFA">
          <w:pPr>
            <w:pStyle w:val="93235CC6DC384510A39C580EA00C8261"/>
          </w:pPr>
          <w:r w:rsidRPr="000402E5">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Tahoma Bold"/>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markup="0"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3EFA"/>
    <w:rsid w:val="00057432"/>
    <w:rsid w:val="001F3AB4"/>
    <w:rsid w:val="00210549"/>
    <w:rsid w:val="0025114E"/>
    <w:rsid w:val="002C5542"/>
    <w:rsid w:val="002E7154"/>
    <w:rsid w:val="00327251"/>
    <w:rsid w:val="003347B4"/>
    <w:rsid w:val="00380677"/>
    <w:rsid w:val="003E63CE"/>
    <w:rsid w:val="00435D72"/>
    <w:rsid w:val="005957F6"/>
    <w:rsid w:val="005C021E"/>
    <w:rsid w:val="0067509A"/>
    <w:rsid w:val="00697E9F"/>
    <w:rsid w:val="00771933"/>
    <w:rsid w:val="007C2379"/>
    <w:rsid w:val="007E6F44"/>
    <w:rsid w:val="008E0FA0"/>
    <w:rsid w:val="008E1C40"/>
    <w:rsid w:val="00A95C00"/>
    <w:rsid w:val="00AD740E"/>
    <w:rsid w:val="00CE3EFA"/>
    <w:rsid w:val="00CF0267"/>
    <w:rsid w:val="00D84E76"/>
    <w:rsid w:val="00F25127"/>
    <w:rsid w:val="00FD6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3DDE6749573425CBF5F28385007007F">
    <w:name w:val="43DDE6749573425CBF5F28385007007F"/>
  </w:style>
  <w:style w:type="paragraph" w:customStyle="1" w:styleId="8A406ED28CFA4A9EB0EC377896759C92">
    <w:name w:val="8A406ED28CFA4A9EB0EC377896759C92"/>
  </w:style>
  <w:style w:type="paragraph" w:customStyle="1" w:styleId="A9F5D3623B45422FB313866A6DA1118E">
    <w:name w:val="A9F5D3623B45422FB313866A6DA1118E"/>
  </w:style>
  <w:style w:type="paragraph" w:customStyle="1" w:styleId="93235CC6DC384510A39C580EA00C8261">
    <w:name w:val="93235CC6DC384510A39C580EA00C82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9050C-B205-40B9-A9A8-AC7ABF365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ETD_Template_Pitt_v1.9</Template>
  <TotalTime>169</TotalTime>
  <Pages>37</Pages>
  <Words>7344</Words>
  <Characters>41867</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49113</CharactersWithSpaces>
  <SharedDoc>false</SharedDoc>
  <HLinks>
    <vt:vector size="120" baseType="variant">
      <vt:variant>
        <vt:i4>1638463</vt:i4>
      </vt:variant>
      <vt:variant>
        <vt:i4>131</vt:i4>
      </vt:variant>
      <vt:variant>
        <vt:i4>0</vt:i4>
      </vt:variant>
      <vt:variant>
        <vt:i4>5</vt:i4>
      </vt:variant>
      <vt:variant>
        <vt:lpwstr/>
      </vt:variant>
      <vt:variant>
        <vt:lpwstr>_Toc520984215</vt:lpwstr>
      </vt:variant>
      <vt:variant>
        <vt:i4>1638463</vt:i4>
      </vt:variant>
      <vt:variant>
        <vt:i4>125</vt:i4>
      </vt:variant>
      <vt:variant>
        <vt:i4>0</vt:i4>
      </vt:variant>
      <vt:variant>
        <vt:i4>5</vt:i4>
      </vt:variant>
      <vt:variant>
        <vt:lpwstr/>
      </vt:variant>
      <vt:variant>
        <vt:lpwstr>_Toc520984214</vt:lpwstr>
      </vt:variant>
      <vt:variant>
        <vt:i4>1638463</vt:i4>
      </vt:variant>
      <vt:variant>
        <vt:i4>119</vt:i4>
      </vt:variant>
      <vt:variant>
        <vt:i4>0</vt:i4>
      </vt:variant>
      <vt:variant>
        <vt:i4>5</vt:i4>
      </vt:variant>
      <vt:variant>
        <vt:lpwstr/>
      </vt:variant>
      <vt:variant>
        <vt:lpwstr>_Toc520984213</vt:lpwstr>
      </vt:variant>
      <vt:variant>
        <vt:i4>1441850</vt:i4>
      </vt:variant>
      <vt:variant>
        <vt:i4>110</vt:i4>
      </vt:variant>
      <vt:variant>
        <vt:i4>0</vt:i4>
      </vt:variant>
      <vt:variant>
        <vt:i4>5</vt:i4>
      </vt:variant>
      <vt:variant>
        <vt:lpwstr/>
      </vt:variant>
      <vt:variant>
        <vt:lpwstr>_Toc114179887</vt:lpwstr>
      </vt:variant>
      <vt:variant>
        <vt:i4>1245240</vt:i4>
      </vt:variant>
      <vt:variant>
        <vt:i4>101</vt:i4>
      </vt:variant>
      <vt:variant>
        <vt:i4>0</vt:i4>
      </vt:variant>
      <vt:variant>
        <vt:i4>5</vt:i4>
      </vt:variant>
      <vt:variant>
        <vt:lpwstr/>
      </vt:variant>
      <vt:variant>
        <vt:lpwstr>_Toc519260274</vt:lpwstr>
      </vt:variant>
      <vt:variant>
        <vt:i4>1245240</vt:i4>
      </vt:variant>
      <vt:variant>
        <vt:i4>95</vt:i4>
      </vt:variant>
      <vt:variant>
        <vt:i4>0</vt:i4>
      </vt:variant>
      <vt:variant>
        <vt:i4>5</vt:i4>
      </vt:variant>
      <vt:variant>
        <vt:lpwstr/>
      </vt:variant>
      <vt:variant>
        <vt:lpwstr>_Toc519260273</vt:lpwstr>
      </vt:variant>
      <vt:variant>
        <vt:i4>1245240</vt:i4>
      </vt:variant>
      <vt:variant>
        <vt:i4>89</vt:i4>
      </vt:variant>
      <vt:variant>
        <vt:i4>0</vt:i4>
      </vt:variant>
      <vt:variant>
        <vt:i4>5</vt:i4>
      </vt:variant>
      <vt:variant>
        <vt:lpwstr/>
      </vt:variant>
      <vt:variant>
        <vt:lpwstr>_Toc519260272</vt:lpwstr>
      </vt:variant>
      <vt:variant>
        <vt:i4>1245240</vt:i4>
      </vt:variant>
      <vt:variant>
        <vt:i4>83</vt:i4>
      </vt:variant>
      <vt:variant>
        <vt:i4>0</vt:i4>
      </vt:variant>
      <vt:variant>
        <vt:i4>5</vt:i4>
      </vt:variant>
      <vt:variant>
        <vt:lpwstr/>
      </vt:variant>
      <vt:variant>
        <vt:lpwstr>_Toc519260271</vt:lpwstr>
      </vt:variant>
      <vt:variant>
        <vt:i4>1245240</vt:i4>
      </vt:variant>
      <vt:variant>
        <vt:i4>77</vt:i4>
      </vt:variant>
      <vt:variant>
        <vt:i4>0</vt:i4>
      </vt:variant>
      <vt:variant>
        <vt:i4>5</vt:i4>
      </vt:variant>
      <vt:variant>
        <vt:lpwstr/>
      </vt:variant>
      <vt:variant>
        <vt:lpwstr>_Toc519260270</vt:lpwstr>
      </vt:variant>
      <vt:variant>
        <vt:i4>1179704</vt:i4>
      </vt:variant>
      <vt:variant>
        <vt:i4>71</vt:i4>
      </vt:variant>
      <vt:variant>
        <vt:i4>0</vt:i4>
      </vt:variant>
      <vt:variant>
        <vt:i4>5</vt:i4>
      </vt:variant>
      <vt:variant>
        <vt:lpwstr/>
      </vt:variant>
      <vt:variant>
        <vt:lpwstr>_Toc519260269</vt:lpwstr>
      </vt:variant>
      <vt:variant>
        <vt:i4>1179704</vt:i4>
      </vt:variant>
      <vt:variant>
        <vt:i4>65</vt:i4>
      </vt:variant>
      <vt:variant>
        <vt:i4>0</vt:i4>
      </vt:variant>
      <vt:variant>
        <vt:i4>5</vt:i4>
      </vt:variant>
      <vt:variant>
        <vt:lpwstr/>
      </vt:variant>
      <vt:variant>
        <vt:lpwstr>_Toc519260268</vt:lpwstr>
      </vt:variant>
      <vt:variant>
        <vt:i4>1179704</vt:i4>
      </vt:variant>
      <vt:variant>
        <vt:i4>59</vt:i4>
      </vt:variant>
      <vt:variant>
        <vt:i4>0</vt:i4>
      </vt:variant>
      <vt:variant>
        <vt:i4>5</vt:i4>
      </vt:variant>
      <vt:variant>
        <vt:lpwstr/>
      </vt:variant>
      <vt:variant>
        <vt:lpwstr>_Toc519260267</vt:lpwstr>
      </vt:variant>
      <vt:variant>
        <vt:i4>1179704</vt:i4>
      </vt:variant>
      <vt:variant>
        <vt:i4>53</vt:i4>
      </vt:variant>
      <vt:variant>
        <vt:i4>0</vt:i4>
      </vt:variant>
      <vt:variant>
        <vt:i4>5</vt:i4>
      </vt:variant>
      <vt:variant>
        <vt:lpwstr/>
      </vt:variant>
      <vt:variant>
        <vt:lpwstr>_Toc519260266</vt:lpwstr>
      </vt:variant>
      <vt:variant>
        <vt:i4>1179704</vt:i4>
      </vt:variant>
      <vt:variant>
        <vt:i4>47</vt:i4>
      </vt:variant>
      <vt:variant>
        <vt:i4>0</vt:i4>
      </vt:variant>
      <vt:variant>
        <vt:i4>5</vt:i4>
      </vt:variant>
      <vt:variant>
        <vt:lpwstr/>
      </vt:variant>
      <vt:variant>
        <vt:lpwstr>_Toc519260265</vt:lpwstr>
      </vt:variant>
      <vt:variant>
        <vt:i4>1179704</vt:i4>
      </vt:variant>
      <vt:variant>
        <vt:i4>41</vt:i4>
      </vt:variant>
      <vt:variant>
        <vt:i4>0</vt:i4>
      </vt:variant>
      <vt:variant>
        <vt:i4>5</vt:i4>
      </vt:variant>
      <vt:variant>
        <vt:lpwstr/>
      </vt:variant>
      <vt:variant>
        <vt:lpwstr>_Toc519260264</vt:lpwstr>
      </vt:variant>
      <vt:variant>
        <vt:i4>1179704</vt:i4>
      </vt:variant>
      <vt:variant>
        <vt:i4>35</vt:i4>
      </vt:variant>
      <vt:variant>
        <vt:i4>0</vt:i4>
      </vt:variant>
      <vt:variant>
        <vt:i4>5</vt:i4>
      </vt:variant>
      <vt:variant>
        <vt:lpwstr/>
      </vt:variant>
      <vt:variant>
        <vt:lpwstr>_Toc519260263</vt:lpwstr>
      </vt:variant>
      <vt:variant>
        <vt:i4>1179704</vt:i4>
      </vt:variant>
      <vt:variant>
        <vt:i4>29</vt:i4>
      </vt:variant>
      <vt:variant>
        <vt:i4>0</vt:i4>
      </vt:variant>
      <vt:variant>
        <vt:i4>5</vt:i4>
      </vt:variant>
      <vt:variant>
        <vt:lpwstr/>
      </vt:variant>
      <vt:variant>
        <vt:lpwstr>_Toc519260262</vt:lpwstr>
      </vt:variant>
      <vt:variant>
        <vt:i4>1179704</vt:i4>
      </vt:variant>
      <vt:variant>
        <vt:i4>23</vt:i4>
      </vt:variant>
      <vt:variant>
        <vt:i4>0</vt:i4>
      </vt:variant>
      <vt:variant>
        <vt:i4>5</vt:i4>
      </vt:variant>
      <vt:variant>
        <vt:lpwstr/>
      </vt:variant>
      <vt:variant>
        <vt:lpwstr>_Toc519260261</vt:lpwstr>
      </vt:variant>
      <vt:variant>
        <vt:i4>1179704</vt:i4>
      </vt:variant>
      <vt:variant>
        <vt:i4>17</vt:i4>
      </vt:variant>
      <vt:variant>
        <vt:i4>0</vt:i4>
      </vt:variant>
      <vt:variant>
        <vt:i4>5</vt:i4>
      </vt:variant>
      <vt:variant>
        <vt:lpwstr/>
      </vt:variant>
      <vt:variant>
        <vt:lpwstr>_Toc519260260</vt:lpwstr>
      </vt:variant>
      <vt:variant>
        <vt:i4>1114168</vt:i4>
      </vt:variant>
      <vt:variant>
        <vt:i4>11</vt:i4>
      </vt:variant>
      <vt:variant>
        <vt:i4>0</vt:i4>
      </vt:variant>
      <vt:variant>
        <vt:i4>5</vt:i4>
      </vt:variant>
      <vt:variant>
        <vt:lpwstr/>
      </vt:variant>
      <vt:variant>
        <vt:lpwstr>_Toc519260259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SFU</dc:creator>
  <cp:keywords/>
  <dc:description/>
  <cp:lastModifiedBy>Demirci, F. Yesim</cp:lastModifiedBy>
  <cp:revision>72</cp:revision>
  <cp:lastPrinted>2005-09-30T13:41:00Z</cp:lastPrinted>
  <dcterms:created xsi:type="dcterms:W3CDTF">2020-05-15T15:14:00Z</dcterms:created>
  <dcterms:modified xsi:type="dcterms:W3CDTF">2020-05-16T03:01:00Z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51d1ffc7-6bb3-3765-94c3-88607a6e8ddc</vt:lpwstr>
  </property>
  <property fmtid="{D5CDD505-2E9C-101B-9397-08002B2CF9AE}" pid="24" name="Mendeley Citation Style_1">
    <vt:lpwstr>http://www.zotero.org/styles/apa</vt:lpwstr>
  </property>
</Properties>
</file>