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6D289" w14:textId="2E694293" w:rsidR="003C791E" w:rsidRPr="00BB500A" w:rsidRDefault="003C23AF" w:rsidP="00486073">
      <w:pPr>
        <w:spacing w:line="240" w:lineRule="auto"/>
        <w:ind w:firstLine="0"/>
        <w:jc w:val="center"/>
        <w:rPr>
          <w:b/>
        </w:rPr>
      </w:pPr>
      <w:r>
        <w:rPr>
          <w:b/>
        </w:rPr>
        <w:t>Investigating Known Pathogenic Variants for Familial Hypercholesterolemia in a Samoan Population</w:t>
      </w:r>
    </w:p>
    <w:p w14:paraId="2EC7BF2B" w14:textId="77777777" w:rsidR="000635D4" w:rsidRDefault="000635D4" w:rsidP="00486073">
      <w:pPr>
        <w:spacing w:line="240" w:lineRule="auto"/>
        <w:ind w:firstLine="0"/>
        <w:jc w:val="center"/>
      </w:pPr>
    </w:p>
    <w:p w14:paraId="3FFD8F97" w14:textId="77777777" w:rsidR="00932701" w:rsidRDefault="00932701" w:rsidP="00486073">
      <w:pPr>
        <w:spacing w:line="240" w:lineRule="auto"/>
        <w:ind w:firstLine="0"/>
        <w:jc w:val="center"/>
      </w:pPr>
    </w:p>
    <w:p w14:paraId="7D7A6BD1" w14:textId="77777777" w:rsidR="007A43BC" w:rsidRDefault="007A43BC" w:rsidP="00486073">
      <w:pPr>
        <w:spacing w:line="240" w:lineRule="auto"/>
        <w:ind w:firstLine="0"/>
        <w:jc w:val="center"/>
      </w:pPr>
    </w:p>
    <w:p w14:paraId="5C873A91" w14:textId="77777777" w:rsidR="007A43BC" w:rsidRDefault="007A43BC" w:rsidP="00486073">
      <w:pPr>
        <w:spacing w:line="240" w:lineRule="auto"/>
        <w:ind w:firstLine="0"/>
        <w:jc w:val="center"/>
      </w:pPr>
    </w:p>
    <w:p w14:paraId="4ADEC071" w14:textId="77777777" w:rsidR="00486073" w:rsidRDefault="00486073" w:rsidP="00486073">
      <w:pPr>
        <w:spacing w:line="240" w:lineRule="auto"/>
        <w:ind w:firstLine="0"/>
        <w:jc w:val="center"/>
      </w:pPr>
    </w:p>
    <w:p w14:paraId="5E897AE0" w14:textId="77777777" w:rsidR="00486073" w:rsidRDefault="00486073" w:rsidP="00486073">
      <w:pPr>
        <w:spacing w:line="240" w:lineRule="auto"/>
        <w:ind w:firstLine="0"/>
        <w:jc w:val="center"/>
      </w:pPr>
    </w:p>
    <w:p w14:paraId="5B3BDCAF" w14:textId="77777777" w:rsidR="00486073" w:rsidRDefault="00486073" w:rsidP="00486073">
      <w:pPr>
        <w:spacing w:line="240" w:lineRule="auto"/>
        <w:ind w:firstLine="0"/>
        <w:jc w:val="center"/>
      </w:pPr>
    </w:p>
    <w:p w14:paraId="228E0256" w14:textId="77777777" w:rsidR="00486073" w:rsidRDefault="00486073" w:rsidP="00486073">
      <w:pPr>
        <w:spacing w:line="240" w:lineRule="auto"/>
        <w:ind w:firstLine="0"/>
        <w:jc w:val="center"/>
      </w:pPr>
    </w:p>
    <w:p w14:paraId="3CFC7223" w14:textId="77777777" w:rsidR="003C791E" w:rsidRDefault="00486073" w:rsidP="00486073">
      <w:pPr>
        <w:spacing w:line="240" w:lineRule="auto"/>
        <w:ind w:firstLine="0"/>
        <w:jc w:val="center"/>
      </w:pPr>
      <w:r>
        <w:t>b</w:t>
      </w:r>
      <w:r w:rsidR="003C791E">
        <w:t>y</w:t>
      </w:r>
    </w:p>
    <w:p w14:paraId="3BB37AD6" w14:textId="77777777" w:rsidR="00486073" w:rsidRDefault="00486073" w:rsidP="00486073">
      <w:pPr>
        <w:spacing w:line="240" w:lineRule="auto"/>
        <w:ind w:firstLine="0"/>
        <w:jc w:val="center"/>
      </w:pPr>
    </w:p>
    <w:p w14:paraId="6F7C4093" w14:textId="77777777" w:rsidR="003C791E" w:rsidRDefault="007F131E" w:rsidP="00486073">
      <w:pPr>
        <w:spacing w:line="240" w:lineRule="auto"/>
        <w:ind w:firstLine="0"/>
        <w:jc w:val="center"/>
        <w:rPr>
          <w:b/>
        </w:rPr>
      </w:pPr>
      <w:r>
        <w:rPr>
          <w:b/>
        </w:rPr>
        <w:t>Marilyn Ngo</w:t>
      </w:r>
    </w:p>
    <w:p w14:paraId="0CC649A2" w14:textId="77777777" w:rsidR="00486073" w:rsidRDefault="00486073" w:rsidP="00486073">
      <w:pPr>
        <w:spacing w:line="240" w:lineRule="auto"/>
        <w:ind w:firstLine="0"/>
        <w:jc w:val="center"/>
        <w:rPr>
          <w:b/>
        </w:rPr>
      </w:pPr>
    </w:p>
    <w:p w14:paraId="2E0373A4" w14:textId="0E98642C" w:rsidR="000635D4" w:rsidRDefault="007F131E" w:rsidP="00486073">
      <w:pPr>
        <w:spacing w:line="240" w:lineRule="auto"/>
        <w:ind w:firstLine="0"/>
        <w:jc w:val="center"/>
      </w:pPr>
      <w:r>
        <w:t>B</w:t>
      </w:r>
      <w:r w:rsidR="00CA386F">
        <w:t>S</w:t>
      </w:r>
      <w:bookmarkStart w:id="0" w:name="_GoBack"/>
      <w:bookmarkEnd w:id="0"/>
      <w:r w:rsidR="000635D4">
        <w:t xml:space="preserve">, </w:t>
      </w:r>
      <w:r>
        <w:t>University of Pittsburgh</w:t>
      </w:r>
      <w:r w:rsidR="000635D4">
        <w:t xml:space="preserve">, </w:t>
      </w:r>
      <w:r>
        <w:t>2016</w:t>
      </w:r>
    </w:p>
    <w:p w14:paraId="55781F5C" w14:textId="77777777" w:rsidR="00486073" w:rsidRDefault="00486073" w:rsidP="00486073">
      <w:pPr>
        <w:spacing w:line="240" w:lineRule="auto"/>
        <w:ind w:firstLine="0"/>
        <w:jc w:val="center"/>
      </w:pPr>
    </w:p>
    <w:p w14:paraId="7C5802E1" w14:textId="77777777" w:rsidR="000635D4" w:rsidRDefault="000635D4" w:rsidP="00486073">
      <w:pPr>
        <w:spacing w:line="240" w:lineRule="auto"/>
        <w:ind w:firstLine="0"/>
        <w:jc w:val="center"/>
        <w:rPr>
          <w:b/>
        </w:rPr>
      </w:pPr>
    </w:p>
    <w:p w14:paraId="5773789C" w14:textId="77777777" w:rsidR="000635D4" w:rsidRDefault="000635D4" w:rsidP="00486073">
      <w:pPr>
        <w:spacing w:line="240" w:lineRule="auto"/>
        <w:ind w:firstLine="0"/>
        <w:jc w:val="center"/>
        <w:rPr>
          <w:b/>
        </w:rPr>
      </w:pPr>
    </w:p>
    <w:p w14:paraId="03E6D0B7" w14:textId="77777777" w:rsidR="000635D4" w:rsidRDefault="000635D4" w:rsidP="00486073">
      <w:pPr>
        <w:spacing w:line="240" w:lineRule="auto"/>
        <w:ind w:firstLine="0"/>
        <w:jc w:val="center"/>
        <w:rPr>
          <w:b/>
        </w:rPr>
      </w:pPr>
    </w:p>
    <w:p w14:paraId="48E1C05E" w14:textId="77777777" w:rsidR="00486073" w:rsidRDefault="00486073" w:rsidP="00486073">
      <w:pPr>
        <w:spacing w:line="240" w:lineRule="auto"/>
        <w:ind w:firstLine="0"/>
        <w:jc w:val="center"/>
        <w:rPr>
          <w:b/>
        </w:rPr>
      </w:pPr>
    </w:p>
    <w:p w14:paraId="179D9F5B" w14:textId="77777777" w:rsidR="00486073" w:rsidRDefault="00486073" w:rsidP="00486073">
      <w:pPr>
        <w:spacing w:line="240" w:lineRule="auto"/>
        <w:ind w:firstLine="0"/>
        <w:jc w:val="center"/>
        <w:rPr>
          <w:b/>
        </w:rPr>
      </w:pPr>
    </w:p>
    <w:p w14:paraId="14F72B4C" w14:textId="77777777" w:rsidR="00486073" w:rsidRDefault="00486073" w:rsidP="00486073">
      <w:pPr>
        <w:spacing w:line="240" w:lineRule="auto"/>
        <w:ind w:firstLine="0"/>
        <w:jc w:val="center"/>
        <w:rPr>
          <w:b/>
        </w:rPr>
      </w:pPr>
    </w:p>
    <w:p w14:paraId="6944AFCA" w14:textId="77777777" w:rsidR="00486073" w:rsidRDefault="00486073" w:rsidP="00486073">
      <w:pPr>
        <w:spacing w:line="240" w:lineRule="auto"/>
        <w:ind w:firstLine="0"/>
        <w:jc w:val="center"/>
        <w:rPr>
          <w:b/>
        </w:rPr>
      </w:pPr>
    </w:p>
    <w:p w14:paraId="0B18C688" w14:textId="77777777" w:rsidR="00486073" w:rsidRDefault="00486073" w:rsidP="00486073">
      <w:pPr>
        <w:spacing w:line="240" w:lineRule="auto"/>
        <w:ind w:firstLine="0"/>
        <w:jc w:val="center"/>
        <w:rPr>
          <w:b/>
        </w:rPr>
      </w:pPr>
    </w:p>
    <w:p w14:paraId="50850355" w14:textId="77777777" w:rsidR="00486073" w:rsidRDefault="00486073" w:rsidP="00486073">
      <w:pPr>
        <w:spacing w:line="240" w:lineRule="auto"/>
        <w:ind w:firstLine="0"/>
        <w:jc w:val="center"/>
        <w:rPr>
          <w:b/>
        </w:rPr>
      </w:pPr>
    </w:p>
    <w:p w14:paraId="19DDA900" w14:textId="77777777" w:rsidR="000635D4" w:rsidRDefault="000635D4" w:rsidP="00486073">
      <w:pPr>
        <w:spacing w:line="240" w:lineRule="auto"/>
        <w:ind w:firstLine="0"/>
        <w:jc w:val="center"/>
      </w:pPr>
      <w:r>
        <w:t>Submitted to the Graduate Faculty of</w:t>
      </w:r>
      <w:r w:rsidR="00BD6DBD">
        <w:t xml:space="preserve"> the</w:t>
      </w:r>
    </w:p>
    <w:p w14:paraId="67A925A9" w14:textId="77777777" w:rsidR="00486073" w:rsidRDefault="00486073" w:rsidP="00486073">
      <w:pPr>
        <w:spacing w:line="240" w:lineRule="auto"/>
        <w:ind w:firstLine="0"/>
        <w:jc w:val="center"/>
      </w:pPr>
    </w:p>
    <w:p w14:paraId="5F16BB3B" w14:textId="77777777" w:rsidR="00486073" w:rsidRPr="006C1BDE" w:rsidRDefault="00CA386F" w:rsidP="006C1BDE">
      <w:pPr>
        <w:spacing w:line="240" w:lineRule="auto"/>
        <w:ind w:firstLine="0"/>
        <w:jc w:val="center"/>
        <w:rPr>
          <w:caps/>
        </w:rPr>
      </w:pPr>
      <w:sdt>
        <w:sdtPr>
          <w:alias w:val="Name of School"/>
          <w:tag w:val="Name of School"/>
          <w:id w:val="-416254076"/>
          <w:placeholder>
            <w:docPart w:val="F70C24D0DEDF49FABBF0FB4374A8272D"/>
          </w:placeholder>
          <w:dropDownList>
            <w:listItem w:displayText="College of Business Administration" w:value="College of Business Administration"/>
            <w:listItem w:displayText="Dietrich School of Arts and Sciences" w:value="Dietrich School of Arts and Sciences"/>
            <w:listItem w:displayText="Graduate School of Public Health" w:value="Graduate School of Public Health"/>
            <w:listItem w:displayText="Graduate School of Public and International Affairs" w:value="Graduate School of Public and International Affairs"/>
            <w:listItem w:displayText="Joseph M. Katz Graduate School of Business" w:value="Joseph M. Katz Graduate School of Business"/>
            <w:listItem w:displayText="School of Computing and Information" w:value="School of Computing and Information"/>
            <w:listItem w:displayText="School of Dental Medicine" w:value="School of Dental Medicine"/>
            <w:listItem w:displayText="School of Education" w:value="School of Education"/>
            <w:listItem w:displayText="School of Health and Rehabilitation Sciences" w:value="School of Health and Rehabilitation Sciences"/>
            <w:listItem w:displayText="School of Law" w:value="School of Law"/>
            <w:listItem w:displayText="School of Medicine" w:value="School of Medicine"/>
            <w:listItem w:displayText="School of Nursing" w:value="School of Nursing"/>
            <w:listItem w:displayText="School of Pharmacy" w:value="School of Pharmacy"/>
            <w:listItem w:displayText="School of Social Work" w:value="School of Social Work"/>
            <w:listItem w:displayText="Swanson School of Engineering" w:value="Swanson School of Engineering"/>
            <w:listItem w:displayText="University Honors College" w:value="University Honors College"/>
          </w:dropDownList>
        </w:sdtPr>
        <w:sdtEndPr/>
        <w:sdtContent>
          <w:r w:rsidR="007F131E">
            <w:t>Graduate School of Public Health</w:t>
          </w:r>
        </w:sdtContent>
      </w:sdt>
      <w:r w:rsidR="006C1BDE">
        <w:t xml:space="preserve"> i</w:t>
      </w:r>
      <w:r w:rsidR="000635D4">
        <w:t>n partial fulfillment</w:t>
      </w:r>
    </w:p>
    <w:p w14:paraId="0619A36C" w14:textId="77777777" w:rsidR="000635D4" w:rsidRDefault="000635D4" w:rsidP="00486073">
      <w:pPr>
        <w:spacing w:line="240" w:lineRule="auto"/>
        <w:ind w:firstLine="0"/>
        <w:jc w:val="center"/>
      </w:pPr>
      <w:r>
        <w:t xml:space="preserve"> </w:t>
      </w:r>
    </w:p>
    <w:p w14:paraId="209F29AC" w14:textId="77777777" w:rsidR="000635D4" w:rsidRDefault="000635D4" w:rsidP="00486073">
      <w:pPr>
        <w:spacing w:line="240" w:lineRule="auto"/>
        <w:ind w:firstLine="0"/>
        <w:jc w:val="center"/>
      </w:pPr>
      <w:r>
        <w:t>of the requirements for the degree of</w:t>
      </w:r>
    </w:p>
    <w:p w14:paraId="150E713F" w14:textId="77777777" w:rsidR="00486073" w:rsidRDefault="00486073" w:rsidP="00486073">
      <w:pPr>
        <w:spacing w:line="240" w:lineRule="auto"/>
        <w:ind w:firstLine="0"/>
        <w:jc w:val="center"/>
      </w:pPr>
    </w:p>
    <w:sdt>
      <w:sdtPr>
        <w:alias w:val="Degree"/>
        <w:tag w:val="Degree"/>
        <w:id w:val="1063456363"/>
        <w:placeholder>
          <w:docPart w:val="AF80E58B8201445A957486ED2A5E93D6"/>
        </w:placeholder>
        <w:dropDownList>
          <w:listItem w:displayText="Doctor of Dental Medicine" w:value="Doctor of Dental Medicine"/>
          <w:listItem w:displayText="Doctor of Education" w:value="Doctor of Education"/>
          <w:listItem w:displayText="Doctor of Juridical Science" w:value="Doctor of Juridical Science"/>
          <w:listItem w:displayText="Doctor of Medicine" w:value="Doctor of Medicine"/>
          <w:listItem w:displayText="Doctor of Pharmacy" w:value="Doctor of Pharmacy"/>
          <w:listItem w:displayText="Doctor of Philosophy" w:value="Doctor of Philosophy"/>
          <w:listItem w:displayText="Doctor of Psychology" w:value="Doctor of Psychology"/>
          <w:listItem w:displayText="Doctor of Public Health" w:value="Doctor of Public Health"/>
          <w:listItem w:displayText="Master of Arts" w:value="Master of Arts"/>
          <w:listItem w:displayText="Master of Arts in Teaching" w:value="Master of Arts in Teaching"/>
          <w:listItem w:displayText="Master of Business Administration" w:value="Master of Business Administration"/>
          <w:listItem w:displayText="Master of Dental Science" w:value="Master of Dental Science"/>
          <w:listItem w:displayText="Master of Education" w:value="Master of Education"/>
          <w:listItem w:displayText="Master of Fine Arts" w:value="Master of Fine Arts"/>
          <w:listItem w:displayText="Master of Health Administration" w:value="Master of Health Administration"/>
          <w:listItem w:displayText="Master of Health Promotion and Education" w:value="Master of Health Promotion and Education"/>
          <w:listItem w:displayText="Master of International Business" w:value="Master of International Business"/>
          <w:listItem w:displayText="Master of International Development" w:value="Master of International Development"/>
          <w:listItem w:displayText="Master of Library and Information Science" w:value="Master of Library and Information Science"/>
          <w:listItem w:displayText="Master of Occupational Therapy" w:value="Master of Occupational Therapy"/>
          <w:listItem w:displayText="Master of Physical Therapy" w:value="Master of Physical Therapy"/>
          <w:listItem w:displayText="Master of Public Administration" w:value="Master of Public Administration"/>
          <w:listItem w:displayText="Master of Public Health" w:value="Master of Public Health"/>
          <w:listItem w:displayText="Master of Public and International Affairs" w:value="Master of Public and International Affairs"/>
          <w:listItem w:displayText="Master of Public Policy and Management" w:value="Master of Public Policy and Management"/>
          <w:listItem w:displayText="Master of Science" w:value="Master of Science"/>
          <w:listItem w:displayText="Master of Science in Bioengineering" w:value="Master of Science in Bioengineering"/>
          <w:listItem w:displayText="Master of Science in Civil Engeineering" w:value="Master of Science in Civil Engeineering"/>
          <w:listItem w:displayText="Master of Science in Chemical Engineering" w:value="Master of Science in Chemical Engineering"/>
          <w:listItem w:displayText="Master of Science in Computer Engineering" w:value="Master of Science in Computer Engineering"/>
          <w:listItem w:displayText="Master of Science in Electrical Engineering" w:value="Master of Science in Electrical Engineering"/>
          <w:listItem w:displayText="Master of Science in Industrial Engeineering" w:value="Master of Science in Industrial Engeineering"/>
          <w:listItem w:displayText="Master of Science in Information Science" w:value="Master of Science in Information Science"/>
          <w:listItem w:displayText="Master of Studies in Law" w:value="Master of Studies in Law"/>
          <w:listItem w:displayText="Master of Science in Mechanical Engineering" w:value="Master of Science in Mechanical Engineering"/>
          <w:listItem w:displayText="Master of Science in Metallurgical Engineering" w:value="Master of Science in Metallurgical Engineering"/>
          <w:listItem w:displayText="Master of Science in Manufacturing Systems Engineering" w:value="Master of Science in Manufacturing Systems Engineering"/>
          <w:listItem w:displayText="Master of Science in Materials Science and Engineering" w:value="Master of Science in Materials Science and Engineering"/>
          <w:listItem w:displayText="Master of Science in Nursing" w:value="Master of Science in Nursing"/>
          <w:listItem w:displayText="Master of Science in Petroleum Engineering" w:value="Master of Science in Petroleum Engineering"/>
          <w:listItem w:displayText="Master of Science in Telecommunications" w:value="Master of Science in Telecommunications"/>
          <w:listItem w:displayText="Master of Social Work" w:value="Master of Social Work"/>
          <w:listItem w:displayText="Bachelor of Philosophy" w:value="Bachelor of Philosophy"/>
          <w:listItem w:displayText="Bachelor of Arts" w:value="Bachelor of Arts"/>
          <w:listItem w:displayText="Bachelor of Science" w:value="Bachelor of Science"/>
          <w:listItem w:displayText="Bachelor of Science in Business Administration" w:value="Bachelor of Science in Business Administration"/>
          <w:listItem w:displayText="Bachelor of Science in Engineering" w:value="Bachelor of Science in Engineering"/>
          <w:listItem w:displayText="Bachelor of Science in Nursing" w:value="Bachelor of Science in Nursing"/>
        </w:dropDownList>
      </w:sdtPr>
      <w:sdtEndPr>
        <w:rPr>
          <w:color w:val="A6A6A6" w:themeColor="background1" w:themeShade="A6"/>
        </w:rPr>
      </w:sdtEndPr>
      <w:sdtContent>
        <w:p w14:paraId="661B357B" w14:textId="77777777" w:rsidR="000635D4" w:rsidRPr="00174952" w:rsidRDefault="007F131E" w:rsidP="00486073">
          <w:pPr>
            <w:spacing w:line="240" w:lineRule="auto"/>
            <w:ind w:firstLine="0"/>
            <w:jc w:val="center"/>
            <w:rPr>
              <w:color w:val="A6A6A6" w:themeColor="background1" w:themeShade="A6"/>
            </w:rPr>
          </w:pPr>
          <w:r>
            <w:t>Master of Public Health</w:t>
          </w:r>
        </w:p>
      </w:sdtContent>
    </w:sdt>
    <w:p w14:paraId="3CDFA758" w14:textId="77777777" w:rsidR="000635D4" w:rsidRDefault="000635D4" w:rsidP="00486073">
      <w:pPr>
        <w:tabs>
          <w:tab w:val="left" w:pos="3600"/>
        </w:tabs>
        <w:spacing w:line="240" w:lineRule="auto"/>
        <w:ind w:firstLine="0"/>
        <w:jc w:val="center"/>
      </w:pPr>
    </w:p>
    <w:p w14:paraId="6B23B7E1" w14:textId="77777777" w:rsidR="00486073" w:rsidRDefault="00486073" w:rsidP="00486073">
      <w:pPr>
        <w:tabs>
          <w:tab w:val="left" w:pos="3600"/>
        </w:tabs>
        <w:spacing w:line="240" w:lineRule="auto"/>
        <w:ind w:firstLine="0"/>
        <w:jc w:val="center"/>
      </w:pPr>
    </w:p>
    <w:p w14:paraId="54521591" w14:textId="77777777" w:rsidR="00486073" w:rsidRDefault="00486073" w:rsidP="00486073">
      <w:pPr>
        <w:tabs>
          <w:tab w:val="left" w:pos="3600"/>
        </w:tabs>
        <w:spacing w:line="240" w:lineRule="auto"/>
        <w:ind w:firstLine="0"/>
        <w:jc w:val="center"/>
      </w:pPr>
    </w:p>
    <w:p w14:paraId="6C124BFE" w14:textId="77777777" w:rsidR="00486073" w:rsidRDefault="00486073" w:rsidP="00486073">
      <w:pPr>
        <w:tabs>
          <w:tab w:val="left" w:pos="3600"/>
        </w:tabs>
        <w:spacing w:line="240" w:lineRule="auto"/>
        <w:ind w:firstLine="0"/>
        <w:jc w:val="center"/>
      </w:pPr>
    </w:p>
    <w:p w14:paraId="14FA33D5" w14:textId="77777777" w:rsidR="00486073" w:rsidRDefault="00486073" w:rsidP="00486073">
      <w:pPr>
        <w:tabs>
          <w:tab w:val="left" w:pos="3600"/>
        </w:tabs>
        <w:spacing w:line="240" w:lineRule="auto"/>
        <w:ind w:firstLine="0"/>
        <w:jc w:val="center"/>
      </w:pPr>
    </w:p>
    <w:p w14:paraId="5DA31CDD" w14:textId="77777777" w:rsidR="00486073" w:rsidRDefault="00486073" w:rsidP="00486073">
      <w:pPr>
        <w:tabs>
          <w:tab w:val="left" w:pos="3600"/>
        </w:tabs>
        <w:spacing w:line="240" w:lineRule="auto"/>
        <w:ind w:firstLine="0"/>
        <w:jc w:val="center"/>
      </w:pPr>
    </w:p>
    <w:p w14:paraId="559723C0" w14:textId="77777777" w:rsidR="00486073" w:rsidRDefault="00486073" w:rsidP="00486073">
      <w:pPr>
        <w:tabs>
          <w:tab w:val="left" w:pos="3600"/>
        </w:tabs>
        <w:spacing w:line="240" w:lineRule="auto"/>
        <w:ind w:firstLine="0"/>
        <w:jc w:val="center"/>
      </w:pPr>
    </w:p>
    <w:p w14:paraId="224351F2" w14:textId="77777777" w:rsidR="00486073" w:rsidRDefault="00486073" w:rsidP="00486073">
      <w:pPr>
        <w:tabs>
          <w:tab w:val="left" w:pos="3600"/>
        </w:tabs>
        <w:spacing w:line="240" w:lineRule="auto"/>
        <w:ind w:firstLine="0"/>
        <w:jc w:val="center"/>
      </w:pPr>
    </w:p>
    <w:p w14:paraId="0BAB788D" w14:textId="77777777" w:rsidR="00486073" w:rsidRDefault="00486073" w:rsidP="00486073">
      <w:pPr>
        <w:tabs>
          <w:tab w:val="left" w:pos="3600"/>
        </w:tabs>
        <w:spacing w:line="240" w:lineRule="auto"/>
        <w:ind w:firstLine="0"/>
        <w:jc w:val="center"/>
      </w:pPr>
    </w:p>
    <w:p w14:paraId="4C3C5F36" w14:textId="77777777" w:rsidR="00BB500A" w:rsidRDefault="000635D4" w:rsidP="00486073">
      <w:pPr>
        <w:spacing w:line="240" w:lineRule="auto"/>
        <w:ind w:firstLine="0"/>
        <w:jc w:val="center"/>
      </w:pPr>
      <w:r w:rsidRPr="00AB08F3">
        <w:t>University of Pittsburg</w:t>
      </w:r>
      <w:r>
        <w:t>h</w:t>
      </w:r>
    </w:p>
    <w:p w14:paraId="431D77FA" w14:textId="77777777" w:rsidR="00486073" w:rsidRDefault="00486073" w:rsidP="00486073">
      <w:pPr>
        <w:spacing w:line="240" w:lineRule="auto"/>
        <w:ind w:firstLine="0"/>
        <w:jc w:val="center"/>
      </w:pPr>
    </w:p>
    <w:p w14:paraId="5C909819" w14:textId="77777777" w:rsidR="00BB500A" w:rsidRDefault="007F131E" w:rsidP="00A21542">
      <w:pPr>
        <w:ind w:firstLine="0"/>
        <w:jc w:val="center"/>
        <w:sectPr w:rsidR="00BB500A" w:rsidSect="00367476">
          <w:footerReference w:type="default" r:id="rId8"/>
          <w:headerReference w:type="first" r:id="rId9"/>
          <w:footerReference w:type="first" r:id="rId10"/>
          <w:pgSz w:w="12240" w:h="15840"/>
          <w:pgMar w:top="1440" w:right="1440" w:bottom="1440" w:left="1440" w:header="720" w:footer="720" w:gutter="0"/>
          <w:pgNumType w:fmt="lowerRoman" w:start="1"/>
          <w:cols w:space="720"/>
          <w:titlePg/>
          <w:docGrid w:linePitch="360"/>
        </w:sectPr>
      </w:pPr>
      <w:r>
        <w:t>2020</w:t>
      </w:r>
    </w:p>
    <w:p w14:paraId="3227CE99" w14:textId="77777777" w:rsidR="000635D4" w:rsidRDefault="00D07708" w:rsidP="00302452">
      <w:pPr>
        <w:pStyle w:val="PreliminaryBookmarks"/>
      </w:pPr>
      <w:r w:rsidRPr="00302452">
        <w:lastRenderedPageBreak/>
        <w:t>Committee Page</w:t>
      </w:r>
    </w:p>
    <w:p w14:paraId="3C2DA36A" w14:textId="77777777" w:rsidR="00302452" w:rsidRPr="00584ADB" w:rsidRDefault="00302452" w:rsidP="00302452">
      <w:pPr>
        <w:ind w:firstLine="0"/>
        <w:jc w:val="center"/>
      </w:pPr>
      <w:r>
        <w:t>UNIVERSITY OF PITTSBURGH</w:t>
      </w:r>
    </w:p>
    <w:p w14:paraId="3DE2FF90" w14:textId="77777777" w:rsidR="007A43BC" w:rsidRDefault="007A43BC" w:rsidP="00486073">
      <w:pPr>
        <w:spacing w:line="240" w:lineRule="auto"/>
        <w:ind w:firstLine="0"/>
        <w:jc w:val="center"/>
      </w:pPr>
    </w:p>
    <w:bookmarkStart w:id="1" w:name="_Hlk20985054" w:displacedByCustomXml="next"/>
    <w:sdt>
      <w:sdtPr>
        <w:rPr>
          <w:rStyle w:val="TitleHeading"/>
        </w:rPr>
        <w:alias w:val="Name of School"/>
        <w:tag w:val="Name of School"/>
        <w:id w:val="833486643"/>
        <w:placeholder>
          <w:docPart w:val="889139C130C54879A723BFAC08EEBB52"/>
        </w:placeholder>
        <w:dropDownList>
          <w:listItem w:displayText="College of Business Administration" w:value="College of Business Administration"/>
          <w:listItem w:displayText="Dietrich School of Arts and Sciences" w:value="Dietrich School of Arts and Sciences"/>
          <w:listItem w:displayText="Graduate School of Public Health" w:value="Graduate School of Public Health"/>
          <w:listItem w:displayText="Graduate School of Public and International Affairs" w:value="Graduate School of Public and International Affairs"/>
          <w:listItem w:displayText="Joseph M. Katz Graduate School of Business" w:value="Joseph M. Katz Graduate School of Business"/>
          <w:listItem w:displayText="School of Computing and Information" w:value="School of Computing and Information"/>
          <w:listItem w:displayText="School of Dental Medicine" w:value="School of Dental Medicine"/>
          <w:listItem w:displayText="School of Education" w:value="School of Education"/>
          <w:listItem w:displayText="School of Health and Rehabilitation Sciences" w:value="School of Health and Rehabilitation Sciences"/>
          <w:listItem w:displayText="School of Law" w:value="School of Law"/>
          <w:listItem w:displayText="School of Medicine" w:value="School of Medicine"/>
          <w:listItem w:displayText="School of Nursing" w:value="School of Nursing"/>
          <w:listItem w:displayText="School of Pharmacy" w:value="School of Pharmacy"/>
          <w:listItem w:displayText="School of Social Work" w:value="School of Social Work"/>
          <w:listItem w:displayText="Swanson School of Engineering" w:value="Swanson School of Engineering"/>
          <w:listItem w:displayText="University Honors College" w:value="University Honors College"/>
        </w:dropDownList>
      </w:sdtPr>
      <w:sdtEndPr>
        <w:rPr>
          <w:rStyle w:val="DefaultParagraphFont"/>
          <w:caps w:val="0"/>
        </w:rPr>
      </w:sdtEndPr>
      <w:sdtContent>
        <w:p w14:paraId="4872F9EC" w14:textId="77777777" w:rsidR="008F60CE" w:rsidRDefault="007F131E" w:rsidP="00486073">
          <w:pPr>
            <w:spacing w:line="240" w:lineRule="auto"/>
            <w:ind w:firstLine="0"/>
            <w:jc w:val="center"/>
          </w:pPr>
          <w:r>
            <w:rPr>
              <w:rStyle w:val="TitleHeading"/>
            </w:rPr>
            <w:t>Graduate School of Public Health</w:t>
          </w:r>
        </w:p>
      </w:sdtContent>
    </w:sdt>
    <w:bookmarkEnd w:id="1" w:displacedByCustomXml="prev"/>
    <w:p w14:paraId="7DEABEED" w14:textId="77777777" w:rsidR="008F60CE" w:rsidRDefault="008F60CE" w:rsidP="00486073">
      <w:pPr>
        <w:spacing w:line="240" w:lineRule="auto"/>
        <w:ind w:firstLine="0"/>
        <w:jc w:val="center"/>
      </w:pPr>
    </w:p>
    <w:p w14:paraId="31AB9564" w14:textId="77777777" w:rsidR="008F60CE" w:rsidRDefault="008F60CE" w:rsidP="00486073">
      <w:pPr>
        <w:spacing w:line="240" w:lineRule="auto"/>
        <w:ind w:firstLine="0"/>
        <w:jc w:val="center"/>
      </w:pPr>
    </w:p>
    <w:p w14:paraId="1E8EEA95" w14:textId="77777777" w:rsidR="00486073" w:rsidRDefault="00486073" w:rsidP="00486073">
      <w:pPr>
        <w:spacing w:line="240" w:lineRule="auto"/>
        <w:ind w:firstLine="0"/>
        <w:jc w:val="center"/>
      </w:pPr>
    </w:p>
    <w:p w14:paraId="6BCA1404" w14:textId="77777777" w:rsidR="0046438E" w:rsidRDefault="0046438E" w:rsidP="00486073">
      <w:pPr>
        <w:spacing w:line="240" w:lineRule="auto"/>
        <w:ind w:firstLine="0"/>
        <w:jc w:val="center"/>
      </w:pPr>
    </w:p>
    <w:p w14:paraId="426EDF01" w14:textId="77777777" w:rsidR="0046438E" w:rsidRDefault="0046438E" w:rsidP="00486073">
      <w:pPr>
        <w:spacing w:line="240" w:lineRule="auto"/>
        <w:ind w:firstLine="0"/>
        <w:jc w:val="center"/>
      </w:pPr>
    </w:p>
    <w:p w14:paraId="326E0574" w14:textId="77777777" w:rsidR="00486073" w:rsidRDefault="00486073" w:rsidP="00486073">
      <w:pPr>
        <w:spacing w:line="240" w:lineRule="auto"/>
        <w:ind w:firstLine="0"/>
        <w:jc w:val="center"/>
      </w:pPr>
    </w:p>
    <w:p w14:paraId="41D3EFAF" w14:textId="77777777" w:rsidR="00486073" w:rsidRDefault="00486073" w:rsidP="00486073">
      <w:pPr>
        <w:spacing w:line="240" w:lineRule="auto"/>
        <w:ind w:firstLine="0"/>
        <w:jc w:val="center"/>
      </w:pPr>
    </w:p>
    <w:p w14:paraId="7A9EDD6B" w14:textId="77777777" w:rsidR="00486073" w:rsidRDefault="00486073" w:rsidP="00486073">
      <w:pPr>
        <w:spacing w:line="240" w:lineRule="auto"/>
        <w:ind w:firstLine="0"/>
        <w:jc w:val="center"/>
      </w:pPr>
    </w:p>
    <w:p w14:paraId="3BA151B3" w14:textId="77777777" w:rsidR="00486073" w:rsidRDefault="00486073" w:rsidP="00486073">
      <w:pPr>
        <w:spacing w:line="240" w:lineRule="auto"/>
        <w:ind w:firstLine="0"/>
        <w:jc w:val="center"/>
      </w:pPr>
    </w:p>
    <w:p w14:paraId="36C8155F" w14:textId="63A013D7" w:rsidR="008F60CE" w:rsidRDefault="008F60CE" w:rsidP="00486073">
      <w:pPr>
        <w:spacing w:line="240" w:lineRule="auto"/>
        <w:ind w:firstLine="0"/>
        <w:jc w:val="center"/>
      </w:pPr>
      <w:r>
        <w:t xml:space="preserve">This </w:t>
      </w:r>
      <w:r w:rsidR="007F131E">
        <w:t>essay</w:t>
      </w:r>
      <w:r>
        <w:t xml:space="preserve"> </w:t>
      </w:r>
      <w:r w:rsidR="000667BF">
        <w:t>is submitted</w:t>
      </w:r>
    </w:p>
    <w:p w14:paraId="34E8B315" w14:textId="77777777" w:rsidR="00486073" w:rsidRDefault="00486073" w:rsidP="00486073">
      <w:pPr>
        <w:spacing w:line="240" w:lineRule="auto"/>
        <w:ind w:firstLine="0"/>
        <w:jc w:val="center"/>
      </w:pPr>
    </w:p>
    <w:p w14:paraId="5E2AF0BD" w14:textId="77777777" w:rsidR="008F60CE" w:rsidRDefault="00486073" w:rsidP="00486073">
      <w:pPr>
        <w:spacing w:line="240" w:lineRule="auto"/>
        <w:ind w:firstLine="0"/>
        <w:jc w:val="center"/>
      </w:pPr>
      <w:r>
        <w:t>b</w:t>
      </w:r>
      <w:r w:rsidR="00086364">
        <w:t>y</w:t>
      </w:r>
    </w:p>
    <w:p w14:paraId="306260C5" w14:textId="77777777" w:rsidR="00086364" w:rsidRDefault="00086364" w:rsidP="00486073">
      <w:pPr>
        <w:spacing w:line="240" w:lineRule="auto"/>
        <w:ind w:firstLine="0"/>
        <w:jc w:val="center"/>
      </w:pPr>
    </w:p>
    <w:p w14:paraId="492744CD" w14:textId="77777777" w:rsidR="00486073" w:rsidRDefault="00486073" w:rsidP="00486073">
      <w:pPr>
        <w:spacing w:line="240" w:lineRule="auto"/>
        <w:ind w:firstLine="0"/>
        <w:jc w:val="center"/>
      </w:pPr>
    </w:p>
    <w:p w14:paraId="02874125" w14:textId="7C823919" w:rsidR="00F24A51" w:rsidRDefault="007F131E" w:rsidP="00486073">
      <w:pPr>
        <w:spacing w:line="240" w:lineRule="auto"/>
        <w:ind w:firstLine="0"/>
        <w:jc w:val="center"/>
        <w:rPr>
          <w:b/>
        </w:rPr>
      </w:pPr>
      <w:r>
        <w:rPr>
          <w:b/>
        </w:rPr>
        <w:t>Marilyn Ngo</w:t>
      </w:r>
    </w:p>
    <w:p w14:paraId="2AD58179" w14:textId="5BD4CF81" w:rsidR="000667BF" w:rsidRDefault="000667BF" w:rsidP="00486073">
      <w:pPr>
        <w:spacing w:line="240" w:lineRule="auto"/>
        <w:ind w:firstLine="0"/>
        <w:jc w:val="center"/>
        <w:rPr>
          <w:b/>
        </w:rPr>
      </w:pPr>
    </w:p>
    <w:p w14:paraId="0E296BD2" w14:textId="55A1B4D4" w:rsidR="000667BF" w:rsidRDefault="000667BF" w:rsidP="00486073">
      <w:pPr>
        <w:spacing w:line="240" w:lineRule="auto"/>
        <w:ind w:firstLine="0"/>
        <w:jc w:val="center"/>
        <w:rPr>
          <w:bCs/>
        </w:rPr>
      </w:pPr>
      <w:r>
        <w:rPr>
          <w:bCs/>
        </w:rPr>
        <w:t>on</w:t>
      </w:r>
    </w:p>
    <w:p w14:paraId="37A31E81" w14:textId="07D60D83" w:rsidR="000667BF" w:rsidRDefault="000667BF" w:rsidP="00486073">
      <w:pPr>
        <w:spacing w:line="240" w:lineRule="auto"/>
        <w:ind w:firstLine="0"/>
        <w:jc w:val="center"/>
        <w:rPr>
          <w:bCs/>
        </w:rPr>
      </w:pPr>
    </w:p>
    <w:p w14:paraId="39D11B7A" w14:textId="323B44F3" w:rsidR="000667BF" w:rsidRDefault="000667BF" w:rsidP="00486073">
      <w:pPr>
        <w:spacing w:line="240" w:lineRule="auto"/>
        <w:ind w:firstLine="0"/>
        <w:jc w:val="center"/>
        <w:rPr>
          <w:bCs/>
        </w:rPr>
      </w:pPr>
      <w:r>
        <w:rPr>
          <w:bCs/>
        </w:rPr>
        <w:t xml:space="preserve">April </w:t>
      </w:r>
      <w:r w:rsidR="00E56C86">
        <w:rPr>
          <w:bCs/>
        </w:rPr>
        <w:t>28</w:t>
      </w:r>
      <w:r>
        <w:rPr>
          <w:bCs/>
        </w:rPr>
        <w:t>, 2020</w:t>
      </w:r>
    </w:p>
    <w:p w14:paraId="1480B290" w14:textId="284F00A0" w:rsidR="000667BF" w:rsidRDefault="000667BF" w:rsidP="00486073">
      <w:pPr>
        <w:spacing w:line="240" w:lineRule="auto"/>
        <w:ind w:firstLine="0"/>
        <w:jc w:val="center"/>
        <w:rPr>
          <w:bCs/>
        </w:rPr>
      </w:pPr>
    </w:p>
    <w:p w14:paraId="79D7CA72" w14:textId="2955D3E7" w:rsidR="000667BF" w:rsidRDefault="000667BF" w:rsidP="00486073">
      <w:pPr>
        <w:spacing w:line="240" w:lineRule="auto"/>
        <w:ind w:firstLine="0"/>
        <w:jc w:val="center"/>
        <w:rPr>
          <w:bCs/>
        </w:rPr>
      </w:pPr>
      <w:r>
        <w:rPr>
          <w:bCs/>
        </w:rPr>
        <w:t>and approved by</w:t>
      </w:r>
    </w:p>
    <w:p w14:paraId="5CAF09C7" w14:textId="4216EE5C" w:rsidR="000667BF" w:rsidRDefault="000667BF" w:rsidP="00486073">
      <w:pPr>
        <w:spacing w:line="240" w:lineRule="auto"/>
        <w:ind w:firstLine="0"/>
        <w:jc w:val="center"/>
        <w:rPr>
          <w:bCs/>
        </w:rPr>
      </w:pPr>
    </w:p>
    <w:p w14:paraId="04C31BD0" w14:textId="77777777" w:rsidR="000667BF" w:rsidRPr="000667BF" w:rsidRDefault="000667BF" w:rsidP="00486073">
      <w:pPr>
        <w:spacing w:line="240" w:lineRule="auto"/>
        <w:ind w:firstLine="0"/>
        <w:jc w:val="center"/>
        <w:rPr>
          <w:bCs/>
        </w:rPr>
      </w:pPr>
    </w:p>
    <w:p w14:paraId="19DAE5A9" w14:textId="77777777" w:rsidR="00F24A51" w:rsidRDefault="00F24A51" w:rsidP="00486073">
      <w:pPr>
        <w:spacing w:line="240" w:lineRule="auto"/>
        <w:ind w:firstLine="0"/>
        <w:jc w:val="center"/>
      </w:pPr>
    </w:p>
    <w:p w14:paraId="7DA9473B" w14:textId="77777777" w:rsidR="00486073" w:rsidRDefault="00486073" w:rsidP="00486073">
      <w:pPr>
        <w:spacing w:line="240" w:lineRule="auto"/>
        <w:ind w:firstLine="0"/>
        <w:jc w:val="center"/>
      </w:pPr>
    </w:p>
    <w:p w14:paraId="2FA5A561" w14:textId="3C478E83" w:rsidR="004F0846" w:rsidRDefault="000667BF" w:rsidP="00486073">
      <w:pPr>
        <w:spacing w:line="240" w:lineRule="auto"/>
        <w:ind w:firstLine="0"/>
        <w:jc w:val="center"/>
      </w:pPr>
      <w:r>
        <w:rPr>
          <w:b/>
          <w:bCs/>
        </w:rPr>
        <w:t>Essay Advisor</w:t>
      </w:r>
    </w:p>
    <w:p w14:paraId="7A2D0E9C" w14:textId="2C87BD2C" w:rsidR="000667BF" w:rsidRDefault="000667BF" w:rsidP="00486073">
      <w:pPr>
        <w:spacing w:line="240" w:lineRule="auto"/>
        <w:ind w:firstLine="0"/>
        <w:jc w:val="center"/>
      </w:pPr>
      <w:r>
        <w:t>Candace Kammerer, PhD</w:t>
      </w:r>
    </w:p>
    <w:p w14:paraId="6E70FEB9" w14:textId="6EC39D7D" w:rsidR="000667BF" w:rsidRDefault="000667BF" w:rsidP="00486073">
      <w:pPr>
        <w:spacing w:line="240" w:lineRule="auto"/>
        <w:ind w:firstLine="0"/>
        <w:jc w:val="center"/>
      </w:pPr>
      <w:r>
        <w:t>Associate Professor</w:t>
      </w:r>
    </w:p>
    <w:p w14:paraId="617DBB8B" w14:textId="53FCE26C" w:rsidR="000667BF" w:rsidRDefault="000667BF" w:rsidP="00486073">
      <w:pPr>
        <w:spacing w:line="240" w:lineRule="auto"/>
        <w:ind w:firstLine="0"/>
        <w:jc w:val="center"/>
      </w:pPr>
      <w:r>
        <w:t>Department of Human Genetics</w:t>
      </w:r>
    </w:p>
    <w:p w14:paraId="27873A4E" w14:textId="334B6C39" w:rsidR="000667BF" w:rsidRDefault="000667BF" w:rsidP="00486073">
      <w:pPr>
        <w:spacing w:line="240" w:lineRule="auto"/>
        <w:ind w:firstLine="0"/>
        <w:jc w:val="center"/>
      </w:pPr>
      <w:r>
        <w:t>Graduate School of Public Health</w:t>
      </w:r>
    </w:p>
    <w:p w14:paraId="6F839E12" w14:textId="25F22AC9" w:rsidR="000667BF" w:rsidRDefault="000667BF" w:rsidP="00486073">
      <w:pPr>
        <w:spacing w:line="240" w:lineRule="auto"/>
        <w:ind w:firstLine="0"/>
        <w:jc w:val="center"/>
      </w:pPr>
      <w:r>
        <w:t>University of Pittsburgh</w:t>
      </w:r>
    </w:p>
    <w:p w14:paraId="56601B50" w14:textId="4004B20A" w:rsidR="000667BF" w:rsidRDefault="000667BF" w:rsidP="00486073">
      <w:pPr>
        <w:spacing w:line="240" w:lineRule="auto"/>
        <w:ind w:firstLine="0"/>
        <w:jc w:val="center"/>
      </w:pPr>
    </w:p>
    <w:p w14:paraId="0F2F0BA4" w14:textId="3A5DA0BB" w:rsidR="000667BF" w:rsidRDefault="000667BF" w:rsidP="00486073">
      <w:pPr>
        <w:spacing w:line="240" w:lineRule="auto"/>
        <w:ind w:firstLine="0"/>
        <w:jc w:val="center"/>
      </w:pPr>
      <w:r>
        <w:t>Essay Reader</w:t>
      </w:r>
    </w:p>
    <w:p w14:paraId="34EC09BD" w14:textId="5CCD3CBC" w:rsidR="000667BF" w:rsidRDefault="000667BF" w:rsidP="00486073">
      <w:pPr>
        <w:spacing w:line="240" w:lineRule="auto"/>
        <w:ind w:firstLine="0"/>
        <w:jc w:val="center"/>
      </w:pPr>
      <w:r>
        <w:t>Allison Kuipers, PhD</w:t>
      </w:r>
    </w:p>
    <w:p w14:paraId="489FE4A5" w14:textId="3BE2BD79" w:rsidR="000667BF" w:rsidRDefault="000667BF" w:rsidP="00486073">
      <w:pPr>
        <w:spacing w:line="240" w:lineRule="auto"/>
        <w:ind w:firstLine="0"/>
        <w:jc w:val="center"/>
      </w:pPr>
      <w:r>
        <w:t>Assistant Professor</w:t>
      </w:r>
    </w:p>
    <w:p w14:paraId="048BAEC4" w14:textId="4A9BE93E" w:rsidR="000667BF" w:rsidRDefault="000667BF" w:rsidP="00486073">
      <w:pPr>
        <w:spacing w:line="240" w:lineRule="auto"/>
        <w:ind w:firstLine="0"/>
        <w:jc w:val="center"/>
      </w:pPr>
      <w:r>
        <w:t>Department of Epidemiology</w:t>
      </w:r>
    </w:p>
    <w:p w14:paraId="5A4FD174" w14:textId="20A0CCF9" w:rsidR="000667BF" w:rsidRDefault="000667BF" w:rsidP="00486073">
      <w:pPr>
        <w:spacing w:line="240" w:lineRule="auto"/>
        <w:ind w:firstLine="0"/>
        <w:jc w:val="center"/>
      </w:pPr>
      <w:r>
        <w:t>Graduate School of Public Health</w:t>
      </w:r>
    </w:p>
    <w:p w14:paraId="53E440C0" w14:textId="7D1773FF" w:rsidR="000667BF" w:rsidRDefault="000667BF" w:rsidP="00486073">
      <w:pPr>
        <w:spacing w:line="240" w:lineRule="auto"/>
        <w:ind w:firstLine="0"/>
        <w:jc w:val="center"/>
      </w:pPr>
      <w:r>
        <w:t>University of Pittsburgh</w:t>
      </w:r>
    </w:p>
    <w:p w14:paraId="2745E212" w14:textId="77777777" w:rsidR="000667BF" w:rsidRDefault="000667BF" w:rsidP="00486073">
      <w:pPr>
        <w:spacing w:line="240" w:lineRule="auto"/>
        <w:ind w:firstLine="0"/>
        <w:jc w:val="center"/>
      </w:pPr>
    </w:p>
    <w:p w14:paraId="42D2E2BC" w14:textId="77777777" w:rsidR="000667BF" w:rsidRPr="000667BF" w:rsidRDefault="000667BF" w:rsidP="00486073">
      <w:pPr>
        <w:spacing w:line="240" w:lineRule="auto"/>
        <w:ind w:firstLine="0"/>
        <w:jc w:val="center"/>
      </w:pPr>
    </w:p>
    <w:p w14:paraId="00C65A00" w14:textId="77777777" w:rsidR="004F0846" w:rsidRDefault="004F0846" w:rsidP="00486073">
      <w:pPr>
        <w:spacing w:line="240" w:lineRule="auto"/>
        <w:ind w:firstLine="0"/>
        <w:jc w:val="center"/>
      </w:pPr>
    </w:p>
    <w:p w14:paraId="54776AB8" w14:textId="77777777" w:rsidR="004F0846" w:rsidRDefault="004F0846" w:rsidP="00486073">
      <w:pPr>
        <w:spacing w:line="240" w:lineRule="auto"/>
        <w:ind w:firstLine="0"/>
        <w:jc w:val="center"/>
      </w:pPr>
    </w:p>
    <w:p w14:paraId="044601F2" w14:textId="77777777" w:rsidR="004F0846" w:rsidRDefault="004F0846" w:rsidP="00486073">
      <w:pPr>
        <w:spacing w:line="240" w:lineRule="auto"/>
        <w:ind w:firstLine="0"/>
        <w:jc w:val="center"/>
      </w:pPr>
    </w:p>
    <w:p w14:paraId="0CC54B7A" w14:textId="77777777" w:rsidR="004F0846" w:rsidRDefault="004F0846" w:rsidP="00486073">
      <w:pPr>
        <w:spacing w:line="240" w:lineRule="auto"/>
        <w:ind w:firstLine="0"/>
        <w:jc w:val="center"/>
      </w:pPr>
    </w:p>
    <w:p w14:paraId="07ED4165" w14:textId="77777777" w:rsidR="004F0846" w:rsidRDefault="004F0846" w:rsidP="00486073">
      <w:pPr>
        <w:spacing w:line="240" w:lineRule="auto"/>
        <w:ind w:firstLine="0"/>
        <w:jc w:val="center"/>
      </w:pPr>
    </w:p>
    <w:p w14:paraId="33F26A67" w14:textId="77777777" w:rsidR="00486073" w:rsidRDefault="00486073" w:rsidP="00486073">
      <w:pPr>
        <w:spacing w:line="240" w:lineRule="auto"/>
        <w:ind w:firstLine="0"/>
        <w:jc w:val="center"/>
      </w:pPr>
    </w:p>
    <w:p w14:paraId="75E8B96C" w14:textId="77777777" w:rsidR="00486073" w:rsidRDefault="00486073" w:rsidP="00486073">
      <w:pPr>
        <w:spacing w:line="240" w:lineRule="auto"/>
        <w:ind w:firstLine="0"/>
        <w:jc w:val="center"/>
      </w:pPr>
    </w:p>
    <w:p w14:paraId="7C1E536D" w14:textId="77777777" w:rsidR="00486073" w:rsidRDefault="00486073" w:rsidP="00486073">
      <w:pPr>
        <w:spacing w:line="240" w:lineRule="auto"/>
        <w:ind w:firstLine="0"/>
        <w:jc w:val="center"/>
      </w:pPr>
    </w:p>
    <w:p w14:paraId="32736BB8" w14:textId="77777777" w:rsidR="00486073" w:rsidRDefault="00486073" w:rsidP="00486073">
      <w:pPr>
        <w:spacing w:line="240" w:lineRule="auto"/>
        <w:ind w:firstLine="0"/>
        <w:jc w:val="center"/>
      </w:pPr>
    </w:p>
    <w:p w14:paraId="10F833B5" w14:textId="77777777" w:rsidR="00486073" w:rsidRDefault="00486073" w:rsidP="00486073">
      <w:pPr>
        <w:spacing w:line="240" w:lineRule="auto"/>
        <w:ind w:firstLine="0"/>
        <w:jc w:val="center"/>
      </w:pPr>
    </w:p>
    <w:p w14:paraId="1CE473A2" w14:textId="77777777" w:rsidR="00486073" w:rsidRDefault="00486073" w:rsidP="00486073">
      <w:pPr>
        <w:spacing w:line="240" w:lineRule="auto"/>
        <w:ind w:firstLine="0"/>
        <w:jc w:val="center"/>
      </w:pPr>
    </w:p>
    <w:p w14:paraId="0334CF45" w14:textId="77777777" w:rsidR="00486073" w:rsidRDefault="00486073" w:rsidP="00486073">
      <w:pPr>
        <w:spacing w:line="240" w:lineRule="auto"/>
        <w:ind w:firstLine="0"/>
        <w:jc w:val="center"/>
      </w:pPr>
    </w:p>
    <w:p w14:paraId="1C002D23" w14:textId="77777777" w:rsidR="00486073" w:rsidRDefault="00486073" w:rsidP="00486073">
      <w:pPr>
        <w:spacing w:line="240" w:lineRule="auto"/>
        <w:ind w:firstLine="0"/>
        <w:jc w:val="center"/>
      </w:pPr>
    </w:p>
    <w:p w14:paraId="4DD04B7E" w14:textId="77777777" w:rsidR="00486073" w:rsidRDefault="00486073" w:rsidP="00486073">
      <w:pPr>
        <w:spacing w:line="240" w:lineRule="auto"/>
        <w:ind w:firstLine="0"/>
        <w:jc w:val="center"/>
      </w:pPr>
    </w:p>
    <w:p w14:paraId="4AECFEF5" w14:textId="77777777" w:rsidR="00486073" w:rsidRDefault="00486073" w:rsidP="00486073">
      <w:pPr>
        <w:spacing w:line="240" w:lineRule="auto"/>
        <w:ind w:firstLine="0"/>
        <w:jc w:val="center"/>
      </w:pPr>
    </w:p>
    <w:p w14:paraId="00FDE336" w14:textId="77777777" w:rsidR="00486073" w:rsidRDefault="00486073" w:rsidP="00486073">
      <w:pPr>
        <w:spacing w:line="240" w:lineRule="auto"/>
        <w:ind w:firstLine="0"/>
        <w:jc w:val="center"/>
      </w:pPr>
    </w:p>
    <w:p w14:paraId="270238CE" w14:textId="77777777" w:rsidR="004F0846" w:rsidRDefault="004F0846" w:rsidP="00486073">
      <w:pPr>
        <w:spacing w:line="240" w:lineRule="auto"/>
        <w:ind w:firstLine="0"/>
        <w:jc w:val="center"/>
      </w:pPr>
    </w:p>
    <w:p w14:paraId="1B49F46E" w14:textId="77777777" w:rsidR="004F0846" w:rsidRDefault="004F0846" w:rsidP="00486073">
      <w:pPr>
        <w:spacing w:line="240" w:lineRule="auto"/>
        <w:ind w:firstLine="0"/>
        <w:jc w:val="center"/>
      </w:pPr>
    </w:p>
    <w:p w14:paraId="7F32EAC6" w14:textId="77777777" w:rsidR="004F0846" w:rsidRDefault="004F0846" w:rsidP="00486073">
      <w:pPr>
        <w:spacing w:line="240" w:lineRule="auto"/>
        <w:ind w:firstLine="0"/>
        <w:jc w:val="center"/>
      </w:pPr>
    </w:p>
    <w:p w14:paraId="5F65A913" w14:textId="77777777" w:rsidR="004F0846" w:rsidRDefault="004F0846" w:rsidP="00486073">
      <w:pPr>
        <w:spacing w:line="240" w:lineRule="auto"/>
        <w:ind w:firstLine="0"/>
        <w:jc w:val="center"/>
      </w:pPr>
    </w:p>
    <w:p w14:paraId="5A1418CA" w14:textId="77777777" w:rsidR="004F0846" w:rsidRDefault="004F0846" w:rsidP="00486073">
      <w:pPr>
        <w:spacing w:line="240" w:lineRule="auto"/>
        <w:ind w:firstLine="0"/>
        <w:jc w:val="center"/>
      </w:pPr>
    </w:p>
    <w:p w14:paraId="5007E3E2" w14:textId="77777777" w:rsidR="004F0846" w:rsidRDefault="004F0846" w:rsidP="00486073">
      <w:pPr>
        <w:spacing w:line="240" w:lineRule="auto"/>
        <w:ind w:firstLine="0"/>
        <w:jc w:val="center"/>
      </w:pPr>
      <w:r>
        <w:t xml:space="preserve">Copyright © by </w:t>
      </w:r>
      <w:r w:rsidR="007F131E">
        <w:t>Marilyn Ngo</w:t>
      </w:r>
    </w:p>
    <w:p w14:paraId="59BE4186" w14:textId="77777777" w:rsidR="00486073" w:rsidRDefault="00486073" w:rsidP="00486073">
      <w:pPr>
        <w:spacing w:line="240" w:lineRule="auto"/>
        <w:ind w:firstLine="0"/>
        <w:jc w:val="center"/>
      </w:pPr>
    </w:p>
    <w:p w14:paraId="72E48526" w14:textId="77777777" w:rsidR="004F0846" w:rsidRDefault="007F131E" w:rsidP="00486073">
      <w:pPr>
        <w:spacing w:line="240" w:lineRule="auto"/>
        <w:ind w:firstLine="0"/>
        <w:jc w:val="center"/>
      </w:pPr>
      <w:r>
        <w:t>2020</w:t>
      </w:r>
    </w:p>
    <w:p w14:paraId="43D4E9FB" w14:textId="77777777" w:rsidR="004F0846" w:rsidRDefault="004F0846" w:rsidP="00486073">
      <w:pPr>
        <w:spacing w:line="240" w:lineRule="auto"/>
        <w:ind w:left="720" w:hanging="720"/>
      </w:pPr>
    </w:p>
    <w:p w14:paraId="5A2120AB" w14:textId="77777777" w:rsidR="004F0846" w:rsidRDefault="004F0846" w:rsidP="00486073">
      <w:pPr>
        <w:spacing w:line="240" w:lineRule="auto"/>
        <w:ind w:left="720" w:hanging="720"/>
      </w:pPr>
    </w:p>
    <w:p w14:paraId="43EF1BD5" w14:textId="77777777" w:rsidR="004F0846" w:rsidRDefault="004F0846" w:rsidP="00130B6B">
      <w:pPr>
        <w:ind w:left="720" w:hanging="720"/>
      </w:pPr>
    </w:p>
    <w:p w14:paraId="470BA0CE" w14:textId="77777777" w:rsidR="004F0846" w:rsidRDefault="004F0846" w:rsidP="00130B6B">
      <w:pPr>
        <w:ind w:left="720" w:hanging="720"/>
      </w:pPr>
    </w:p>
    <w:p w14:paraId="2424E44A" w14:textId="77777777" w:rsidR="001C7AFC" w:rsidRDefault="001C7AFC" w:rsidP="00130B6B">
      <w:pPr>
        <w:ind w:left="720" w:hanging="720"/>
        <w:sectPr w:rsidR="001C7AFC" w:rsidSect="00BB4FAE">
          <w:footerReference w:type="default" r:id="rId11"/>
          <w:pgSz w:w="12240" w:h="15840"/>
          <w:pgMar w:top="1440" w:right="1440" w:bottom="1440" w:left="1440" w:header="720" w:footer="720" w:gutter="0"/>
          <w:pgNumType w:fmt="lowerRoman" w:start="2"/>
          <w:cols w:space="720"/>
          <w:docGrid w:linePitch="360"/>
        </w:sectPr>
      </w:pPr>
    </w:p>
    <w:p w14:paraId="3656C27A" w14:textId="77777777" w:rsidR="001C7AFC" w:rsidRDefault="001C7AFC" w:rsidP="0000139C">
      <w:pPr>
        <w:pStyle w:val="PreliminaryBookmarks"/>
      </w:pPr>
      <w:r>
        <w:lastRenderedPageBreak/>
        <w:t>Abstract</w:t>
      </w:r>
    </w:p>
    <w:p w14:paraId="58225887" w14:textId="77777777" w:rsidR="00FC2353" w:rsidRDefault="00FC2353" w:rsidP="00FC2353">
      <w:pPr>
        <w:spacing w:line="240" w:lineRule="auto"/>
        <w:ind w:firstLine="0"/>
        <w:jc w:val="right"/>
      </w:pPr>
      <w:r>
        <w:t>Candace Kammerer, PhD</w:t>
      </w:r>
    </w:p>
    <w:p w14:paraId="2A05733A" w14:textId="77777777" w:rsidR="00FC2353" w:rsidRDefault="00FC2353" w:rsidP="00FC2353">
      <w:pPr>
        <w:spacing w:line="240" w:lineRule="auto"/>
        <w:ind w:firstLine="0"/>
        <w:rPr>
          <w:b/>
        </w:rPr>
      </w:pPr>
    </w:p>
    <w:p w14:paraId="749375FD" w14:textId="77777777" w:rsidR="00FC2353" w:rsidRDefault="00FC2353" w:rsidP="003C23AF">
      <w:pPr>
        <w:spacing w:line="240" w:lineRule="auto"/>
        <w:ind w:firstLine="0"/>
        <w:jc w:val="center"/>
        <w:rPr>
          <w:b/>
        </w:rPr>
      </w:pPr>
    </w:p>
    <w:p w14:paraId="32DAE52D" w14:textId="2E224A91" w:rsidR="003C23AF" w:rsidRPr="00BB500A" w:rsidRDefault="003C23AF" w:rsidP="003C23AF">
      <w:pPr>
        <w:spacing w:line="240" w:lineRule="auto"/>
        <w:ind w:firstLine="0"/>
        <w:jc w:val="center"/>
        <w:rPr>
          <w:b/>
        </w:rPr>
      </w:pPr>
      <w:r>
        <w:rPr>
          <w:b/>
        </w:rPr>
        <w:t>Investigating Known Pathogenic Variants for Familial Hypercholesterolemia in a Samoan Population</w:t>
      </w:r>
    </w:p>
    <w:p w14:paraId="05F82E69" w14:textId="77777777" w:rsidR="00486073" w:rsidRPr="002B41A8" w:rsidRDefault="00486073" w:rsidP="00486073">
      <w:pPr>
        <w:spacing w:line="240" w:lineRule="auto"/>
        <w:ind w:firstLine="0"/>
        <w:jc w:val="center"/>
        <w:rPr>
          <w:b/>
        </w:rPr>
      </w:pPr>
    </w:p>
    <w:p w14:paraId="1D193522" w14:textId="77777777" w:rsidR="002B41A8" w:rsidRDefault="007F131E" w:rsidP="00486073">
      <w:pPr>
        <w:spacing w:line="240" w:lineRule="auto"/>
        <w:ind w:firstLine="0"/>
        <w:jc w:val="center"/>
      </w:pPr>
      <w:r>
        <w:t>Marilyn Ngo, MPH</w:t>
      </w:r>
    </w:p>
    <w:p w14:paraId="6B181BA9" w14:textId="77777777" w:rsidR="00486073" w:rsidRDefault="00486073" w:rsidP="00486073">
      <w:pPr>
        <w:spacing w:line="240" w:lineRule="auto"/>
        <w:ind w:firstLine="0"/>
        <w:jc w:val="center"/>
      </w:pPr>
    </w:p>
    <w:p w14:paraId="16EA1915" w14:textId="77777777" w:rsidR="002B41A8" w:rsidRDefault="002B41A8" w:rsidP="00486073">
      <w:pPr>
        <w:spacing w:line="240" w:lineRule="auto"/>
        <w:ind w:firstLine="0"/>
        <w:jc w:val="center"/>
      </w:pPr>
      <w:r>
        <w:t xml:space="preserve">University of Pittsburgh, </w:t>
      </w:r>
      <w:r w:rsidR="007F131E">
        <w:t>2020</w:t>
      </w:r>
    </w:p>
    <w:p w14:paraId="2DD109AE" w14:textId="77777777" w:rsidR="002B41A8" w:rsidRDefault="002B41A8" w:rsidP="00486073">
      <w:pPr>
        <w:spacing w:line="240" w:lineRule="auto"/>
        <w:ind w:firstLine="0"/>
        <w:jc w:val="center"/>
      </w:pPr>
    </w:p>
    <w:p w14:paraId="4106A6D6" w14:textId="102E0476" w:rsidR="00486073" w:rsidRDefault="0069547D" w:rsidP="0069547D">
      <w:pPr>
        <w:spacing w:line="240" w:lineRule="auto"/>
        <w:ind w:firstLine="0"/>
        <w:jc w:val="left"/>
      </w:pPr>
      <w:r>
        <w:rPr>
          <w:b/>
          <w:bCs/>
        </w:rPr>
        <w:t>Abstract</w:t>
      </w:r>
    </w:p>
    <w:p w14:paraId="373B44BF" w14:textId="77777777" w:rsidR="00486073" w:rsidRDefault="00486073" w:rsidP="00486073">
      <w:pPr>
        <w:spacing w:line="240" w:lineRule="auto"/>
        <w:ind w:firstLine="0"/>
        <w:jc w:val="center"/>
      </w:pPr>
    </w:p>
    <w:p w14:paraId="46744BB4" w14:textId="36E98FCB" w:rsidR="0069547D" w:rsidRDefault="0069547D" w:rsidP="0069547D">
      <w:r>
        <w:t xml:space="preserve">Familial Hypercholesterolemia (FH) is a genetic condition that makes it difficult for an individual to remove excess cholesterol from their blood. As a result, </w:t>
      </w:r>
      <w:r w:rsidR="0055630C">
        <w:t>these individuals have elevated LDL-cholesterol levels and their</w:t>
      </w:r>
      <w:r>
        <w:t xml:space="preserve"> risk of developing premature cardiovascular disease increases 20-fold. FH affects 1 in 250 people</w:t>
      </w:r>
      <w:r w:rsidR="0055630C">
        <w:t xml:space="preserve"> globally</w:t>
      </w:r>
      <w:r>
        <w:t xml:space="preserve">; however, 90% of cases remain undiagnosed. Although the prevalence of cardiovascular disease in Samoa is relatively high, the prevalence of FH and previously identified risk alleles for FH in Samoa are unknown. FH is treatable and, in other countries, implementation of screening programs has identified at-risk individuals and enabled them to receive lipid-lowering medications. </w:t>
      </w:r>
      <w:r w:rsidR="0055630C">
        <w:t>N</w:t>
      </w:r>
      <w:r>
        <w:t xml:space="preserve">o studies </w:t>
      </w:r>
      <w:r w:rsidR="0055630C">
        <w:t>have been done to estimate</w:t>
      </w:r>
      <w:r>
        <w:t xml:space="preserve"> the prevalence of FH risk alleles and subsequently, the usefulness of a screening program. </w:t>
      </w:r>
    </w:p>
    <w:p w14:paraId="768905F0" w14:textId="4EA6D04B" w:rsidR="0069547D" w:rsidRDefault="0055630C" w:rsidP="0069547D">
      <w:r>
        <w:t>In t</w:t>
      </w:r>
      <w:r w:rsidR="0069547D">
        <w:t>his study</w:t>
      </w:r>
      <w:r>
        <w:t>, I</w:t>
      </w:r>
      <w:r w:rsidR="0069547D">
        <w:t xml:space="preserve"> </w:t>
      </w:r>
      <w:r>
        <w:t>estimated</w:t>
      </w:r>
      <w:r w:rsidR="0069547D">
        <w:t xml:space="preserve"> the frequency of known FH pathogenic variants in</w:t>
      </w:r>
      <w:r>
        <w:t xml:space="preserve"> three genes for FH</w:t>
      </w:r>
      <w:r w:rsidR="0069547D">
        <w:t xml:space="preserve"> </w:t>
      </w:r>
      <w:r>
        <w:t>(</w:t>
      </w:r>
      <w:r w:rsidR="0069547D">
        <w:rPr>
          <w:i/>
          <w:iCs/>
        </w:rPr>
        <w:t>LDLR</w:t>
      </w:r>
      <w:r w:rsidR="0069547D">
        <w:t xml:space="preserve">, </w:t>
      </w:r>
      <w:r w:rsidR="0069547D">
        <w:rPr>
          <w:i/>
          <w:iCs/>
        </w:rPr>
        <w:t>APOB</w:t>
      </w:r>
      <w:r w:rsidR="0069547D">
        <w:t xml:space="preserve">, and </w:t>
      </w:r>
      <w:r w:rsidR="0069547D">
        <w:rPr>
          <w:i/>
          <w:iCs/>
        </w:rPr>
        <w:t>PCSK9</w:t>
      </w:r>
      <w:r>
        <w:rPr>
          <w:i/>
          <w:iCs/>
        </w:rPr>
        <w:t>)</w:t>
      </w:r>
      <w:r w:rsidR="0069547D">
        <w:t xml:space="preserve"> in </w:t>
      </w:r>
      <w:r w:rsidR="00FA229B">
        <w:t>3475 Samoan adults, aged 24.5 – 65, from a population-based research study,</w:t>
      </w:r>
      <w:r w:rsidR="0069547D">
        <w:t xml:space="preserve"> and</w:t>
      </w:r>
      <w:r>
        <w:t xml:space="preserve"> assessed</w:t>
      </w:r>
      <w:r w:rsidR="0069547D">
        <w:t xml:space="preserve"> whether </w:t>
      </w:r>
      <w:r>
        <w:t>these</w:t>
      </w:r>
      <w:r w:rsidR="0069547D">
        <w:t xml:space="preserve"> FH risk allele</w:t>
      </w:r>
      <w:r>
        <w:t>s were associated with</w:t>
      </w:r>
      <w:r w:rsidR="0069547D">
        <w:t xml:space="preserve"> LDL-cholesterol levels over 190 mg/dL</w:t>
      </w:r>
      <w:r>
        <w:t>—a hallmark of FH</w:t>
      </w:r>
      <w:r w:rsidR="0069547D">
        <w:t xml:space="preserve">. In addition, </w:t>
      </w:r>
      <w:r>
        <w:t>I assessed the proportion of individuals with elevated LDL-cholesterol levels, as well as the effects of comorbidities, such as obesity, on LDL- and total cholesterol levels.</w:t>
      </w:r>
      <w:r w:rsidR="0069547D">
        <w:t xml:space="preserve"> </w:t>
      </w:r>
    </w:p>
    <w:p w14:paraId="01B5C852" w14:textId="0B4EC42F" w:rsidR="0069547D" w:rsidRDefault="0055630C" w:rsidP="0069547D">
      <w:r>
        <w:t>S</w:t>
      </w:r>
      <w:r w:rsidR="0069547D">
        <w:t>ix known pathogenic FH variants</w:t>
      </w:r>
      <w:r>
        <w:t xml:space="preserve"> were</w:t>
      </w:r>
      <w:r w:rsidR="0069547D">
        <w:t xml:space="preserve"> present among the 3475 individuals in this study. However,</w:t>
      </w:r>
      <w:r w:rsidR="002E5877">
        <w:t xml:space="preserve"> </w:t>
      </w:r>
      <w:r w:rsidR="0069547D">
        <w:t>individuals with</w:t>
      </w:r>
      <w:r>
        <w:t xml:space="preserve"> four of</w:t>
      </w:r>
      <w:r w:rsidR="0069547D">
        <w:t xml:space="preserve"> these variants d</w:t>
      </w:r>
      <w:r>
        <w:t>id</w:t>
      </w:r>
      <w:r w:rsidR="0069547D">
        <w:t xml:space="preserve"> not have </w:t>
      </w:r>
      <w:r>
        <w:t>elevated</w:t>
      </w:r>
      <w:r w:rsidR="0069547D">
        <w:t xml:space="preserve"> LDL-cholesterol levels of </w:t>
      </w:r>
      <w:r>
        <w:lastRenderedPageBreak/>
        <w:t>&gt;</w:t>
      </w:r>
      <w:r w:rsidR="0069547D">
        <w:t>190 mg/dL</w:t>
      </w:r>
      <w:r>
        <w:t xml:space="preserve">, although individuals who were heterozygous for variants </w:t>
      </w:r>
      <w:r>
        <w:rPr>
          <w:i/>
          <w:iCs/>
        </w:rPr>
        <w:t>APOB</w:t>
      </w:r>
      <w:r>
        <w:t xml:space="preserve"> rs760832994 or </w:t>
      </w:r>
      <w:r>
        <w:rPr>
          <w:i/>
          <w:iCs/>
        </w:rPr>
        <w:t>PCSK9</w:t>
      </w:r>
      <w:r>
        <w:t xml:space="preserve"> rs371488778 had LDL-cholesterol levels greater than 170 mg/dL. However, the mean </w:t>
      </w:r>
      <w:r w:rsidR="0069547D">
        <w:t>of LDL-cholesterol levels</w:t>
      </w:r>
      <w:r>
        <w:t xml:space="preserve"> among all participants was </w:t>
      </w:r>
      <w:r w:rsidR="0069547D">
        <w:t xml:space="preserve">130 mg/dL, which is above the recommended </w:t>
      </w:r>
      <w:r w:rsidR="00FA229B">
        <w:t>maximum of</w:t>
      </w:r>
      <w:r w:rsidR="0069547D">
        <w:t xml:space="preserve"> 100 mg/dL.</w:t>
      </w:r>
    </w:p>
    <w:p w14:paraId="35D29648" w14:textId="1AE7B419" w:rsidR="0069547D" w:rsidRDefault="0069547D" w:rsidP="0069547D">
      <w:r>
        <w:t>Finally, 135 individuals</w:t>
      </w:r>
      <w:r w:rsidR="0055630C">
        <w:t xml:space="preserve"> (3.9% of the participants)</w:t>
      </w:r>
      <w:r>
        <w:t xml:space="preserve"> ha</w:t>
      </w:r>
      <w:r w:rsidR="0055630C">
        <w:t>d</w:t>
      </w:r>
      <w:r>
        <w:t xml:space="preserve"> LDL-cholesterol levels </w:t>
      </w:r>
      <w:r w:rsidR="0055630C">
        <w:t>&gt;</w:t>
      </w:r>
      <w:r>
        <w:t>190 mg/d</w:t>
      </w:r>
      <w:r w:rsidR="0055630C">
        <w:t>L</w:t>
      </w:r>
      <w:r>
        <w:t>. Although other factors that contribute to high LDL-cholesterol levels must be taken into account, such as diet, exercise, and comorbidities like diabetes, this</w:t>
      </w:r>
      <w:r w:rsidR="0055630C">
        <w:t xml:space="preserve"> result</w:t>
      </w:r>
      <w:r>
        <w:t xml:space="preserve"> is a good indication that at least one individual in this sample may have a previously unknown or novel pathogenic variant for FH</w:t>
      </w:r>
      <w:r w:rsidR="00874B66">
        <w:t xml:space="preserve"> based on the global prevalence of FH of 1 in 250 people</w:t>
      </w:r>
      <w:r>
        <w:t>.</w:t>
      </w:r>
      <w:r w:rsidR="009F548C">
        <w:t xml:space="preserve"> The public health significance of this study is that, b</w:t>
      </w:r>
      <w:r>
        <w:t>ased o</w:t>
      </w:r>
      <w:r w:rsidR="009F548C">
        <w:t xml:space="preserve">n </w:t>
      </w:r>
      <w:r>
        <w:t xml:space="preserve">these </w:t>
      </w:r>
      <w:r w:rsidR="009F548C">
        <w:t>results</w:t>
      </w:r>
      <w:r>
        <w:t xml:space="preserve">, </w:t>
      </w:r>
      <w:r w:rsidR="009F548C">
        <w:t>implementing</w:t>
      </w:r>
      <w:r>
        <w:t xml:space="preserve"> a genetic screening program</w:t>
      </w:r>
      <w:r w:rsidR="009F548C">
        <w:t xml:space="preserve"> in Samoa</w:t>
      </w:r>
      <w:r>
        <w:t xml:space="preserve"> for FH is not advisable</w:t>
      </w:r>
      <w:r w:rsidR="009F548C">
        <w:t xml:space="preserve"> at this time</w:t>
      </w:r>
      <w:r>
        <w:t>; however,</w:t>
      </w:r>
      <w:r w:rsidR="009F548C">
        <w:t xml:space="preserve"> because almost 4% of the population has elevated LDL-cholesterol levels,</w:t>
      </w:r>
      <w:r>
        <w:t xml:space="preserve"> a screening program based off of cholesterol testing may be </w:t>
      </w:r>
      <w:r w:rsidR="009F548C">
        <w:t>beneficial</w:t>
      </w:r>
      <w:r>
        <w:t>.</w:t>
      </w:r>
    </w:p>
    <w:p w14:paraId="7AFE6591" w14:textId="77777777" w:rsidR="001C7AFC" w:rsidRDefault="001C7AFC" w:rsidP="00486073">
      <w:pPr>
        <w:spacing w:line="240" w:lineRule="auto"/>
      </w:pPr>
      <w:r>
        <w:br w:type="page"/>
      </w:r>
    </w:p>
    <w:p w14:paraId="0C8B71E0" w14:textId="77777777" w:rsidR="008A110F" w:rsidRDefault="00130B6B" w:rsidP="001C7AFC">
      <w:pPr>
        <w:pStyle w:val="TableofContentsHeading"/>
      </w:pPr>
      <w:r>
        <w:lastRenderedPageBreak/>
        <w:t>Table of Contents</w:t>
      </w:r>
    </w:p>
    <w:p w14:paraId="1B781E36" w14:textId="624AE79D" w:rsidR="00BF465B" w:rsidRDefault="00A8146F">
      <w:pPr>
        <w:pStyle w:val="TOC1"/>
        <w:rPr>
          <w:rFonts w:asciiTheme="minorHAnsi" w:eastAsiaTheme="minorEastAsia" w:hAnsiTheme="minorHAnsi" w:cstheme="minorBidi"/>
          <w:b w:val="0"/>
          <w:noProof/>
          <w:sz w:val="22"/>
          <w:szCs w:val="22"/>
        </w:rPr>
      </w:pPr>
      <w:r>
        <w:fldChar w:fldCharType="begin"/>
      </w:r>
      <w:r>
        <w:instrText xml:space="preserve"> TOC \o "3-4" \h \z \t "Heading 1,1,Heading 2,2,Heading,1,App Section,2,Appendix,1" </w:instrText>
      </w:r>
      <w:r>
        <w:fldChar w:fldCharType="separate"/>
      </w:r>
      <w:hyperlink w:anchor="_Toc39065916" w:history="1">
        <w:r w:rsidR="00BF465B" w:rsidRPr="00CC05E8">
          <w:rPr>
            <w:rStyle w:val="Hyperlink"/>
            <w:noProof/>
          </w:rPr>
          <w:t>Preface</w:t>
        </w:r>
        <w:r w:rsidR="00BF465B">
          <w:rPr>
            <w:noProof/>
            <w:webHidden/>
          </w:rPr>
          <w:tab/>
        </w:r>
        <w:r w:rsidR="00BF465B">
          <w:rPr>
            <w:noProof/>
            <w:webHidden/>
          </w:rPr>
          <w:fldChar w:fldCharType="begin"/>
        </w:r>
        <w:r w:rsidR="00BF465B">
          <w:rPr>
            <w:noProof/>
            <w:webHidden/>
          </w:rPr>
          <w:instrText xml:space="preserve"> PAGEREF _Toc39065916 \h </w:instrText>
        </w:r>
        <w:r w:rsidR="00BF465B">
          <w:rPr>
            <w:noProof/>
            <w:webHidden/>
          </w:rPr>
        </w:r>
        <w:r w:rsidR="00BF465B">
          <w:rPr>
            <w:noProof/>
            <w:webHidden/>
          </w:rPr>
          <w:fldChar w:fldCharType="separate"/>
        </w:r>
        <w:r w:rsidR="002A71A2">
          <w:rPr>
            <w:noProof/>
            <w:webHidden/>
          </w:rPr>
          <w:t>x</w:t>
        </w:r>
        <w:r w:rsidR="00BF465B">
          <w:rPr>
            <w:noProof/>
            <w:webHidden/>
          </w:rPr>
          <w:fldChar w:fldCharType="end"/>
        </w:r>
      </w:hyperlink>
    </w:p>
    <w:p w14:paraId="6A2BCE50" w14:textId="35F8AC49" w:rsidR="00BF465B" w:rsidRDefault="00CA386F">
      <w:pPr>
        <w:pStyle w:val="TOC1"/>
        <w:rPr>
          <w:rFonts w:asciiTheme="minorHAnsi" w:eastAsiaTheme="minorEastAsia" w:hAnsiTheme="minorHAnsi" w:cstheme="minorBidi"/>
          <w:b w:val="0"/>
          <w:noProof/>
          <w:sz w:val="22"/>
          <w:szCs w:val="22"/>
        </w:rPr>
      </w:pPr>
      <w:hyperlink w:anchor="_Toc39065917" w:history="1">
        <w:r w:rsidR="00BF465B" w:rsidRPr="00CC05E8">
          <w:rPr>
            <w:rStyle w:val="Hyperlink"/>
            <w:noProof/>
          </w:rPr>
          <w:t>1.0 Cardiovascular Disease</w:t>
        </w:r>
        <w:r w:rsidR="00BF465B">
          <w:rPr>
            <w:noProof/>
            <w:webHidden/>
          </w:rPr>
          <w:tab/>
        </w:r>
        <w:r w:rsidR="00BF465B">
          <w:rPr>
            <w:noProof/>
            <w:webHidden/>
          </w:rPr>
          <w:fldChar w:fldCharType="begin"/>
        </w:r>
        <w:r w:rsidR="00BF465B">
          <w:rPr>
            <w:noProof/>
            <w:webHidden/>
          </w:rPr>
          <w:instrText xml:space="preserve"> PAGEREF _Toc39065917 \h </w:instrText>
        </w:r>
        <w:r w:rsidR="00BF465B">
          <w:rPr>
            <w:noProof/>
            <w:webHidden/>
          </w:rPr>
        </w:r>
        <w:r w:rsidR="00BF465B">
          <w:rPr>
            <w:noProof/>
            <w:webHidden/>
          </w:rPr>
          <w:fldChar w:fldCharType="separate"/>
        </w:r>
        <w:r w:rsidR="002A71A2">
          <w:rPr>
            <w:noProof/>
            <w:webHidden/>
          </w:rPr>
          <w:t>1</w:t>
        </w:r>
        <w:r w:rsidR="00BF465B">
          <w:rPr>
            <w:noProof/>
            <w:webHidden/>
          </w:rPr>
          <w:fldChar w:fldCharType="end"/>
        </w:r>
      </w:hyperlink>
    </w:p>
    <w:p w14:paraId="2D96C4F4" w14:textId="44581BB7" w:rsidR="00BF465B" w:rsidRDefault="00CA386F">
      <w:pPr>
        <w:pStyle w:val="TOC2"/>
        <w:rPr>
          <w:rFonts w:asciiTheme="minorHAnsi" w:eastAsiaTheme="minorEastAsia" w:hAnsiTheme="minorHAnsi" w:cstheme="minorBidi"/>
          <w:b w:val="0"/>
          <w:noProof/>
          <w:sz w:val="22"/>
          <w:szCs w:val="22"/>
        </w:rPr>
      </w:pPr>
      <w:hyperlink w:anchor="_Toc39065918" w:history="1">
        <w:r w:rsidR="00BF465B" w:rsidRPr="00CC05E8">
          <w:rPr>
            <w:rStyle w:val="Hyperlink"/>
            <w:noProof/>
          </w:rPr>
          <w:t>1.1 The Pathology of Coronary Artery Disease</w:t>
        </w:r>
        <w:r w:rsidR="00BF465B">
          <w:rPr>
            <w:noProof/>
            <w:webHidden/>
          </w:rPr>
          <w:tab/>
        </w:r>
        <w:r w:rsidR="00BF465B">
          <w:rPr>
            <w:noProof/>
            <w:webHidden/>
          </w:rPr>
          <w:fldChar w:fldCharType="begin"/>
        </w:r>
        <w:r w:rsidR="00BF465B">
          <w:rPr>
            <w:noProof/>
            <w:webHidden/>
          </w:rPr>
          <w:instrText xml:space="preserve"> PAGEREF _Toc39065918 \h </w:instrText>
        </w:r>
        <w:r w:rsidR="00BF465B">
          <w:rPr>
            <w:noProof/>
            <w:webHidden/>
          </w:rPr>
        </w:r>
        <w:r w:rsidR="00BF465B">
          <w:rPr>
            <w:noProof/>
            <w:webHidden/>
          </w:rPr>
          <w:fldChar w:fldCharType="separate"/>
        </w:r>
        <w:r w:rsidR="002A71A2">
          <w:rPr>
            <w:noProof/>
            <w:webHidden/>
          </w:rPr>
          <w:t>2</w:t>
        </w:r>
        <w:r w:rsidR="00BF465B">
          <w:rPr>
            <w:noProof/>
            <w:webHidden/>
          </w:rPr>
          <w:fldChar w:fldCharType="end"/>
        </w:r>
      </w:hyperlink>
    </w:p>
    <w:p w14:paraId="0C0EA214" w14:textId="4FDB5E33" w:rsidR="00BF465B" w:rsidRDefault="00CA386F">
      <w:pPr>
        <w:pStyle w:val="TOC1"/>
        <w:rPr>
          <w:rFonts w:asciiTheme="minorHAnsi" w:eastAsiaTheme="minorEastAsia" w:hAnsiTheme="minorHAnsi" w:cstheme="minorBidi"/>
          <w:b w:val="0"/>
          <w:noProof/>
          <w:sz w:val="22"/>
          <w:szCs w:val="22"/>
        </w:rPr>
      </w:pPr>
      <w:hyperlink w:anchor="_Toc39065919" w:history="1">
        <w:r w:rsidR="00BF465B" w:rsidRPr="00CC05E8">
          <w:rPr>
            <w:rStyle w:val="Hyperlink"/>
            <w:noProof/>
          </w:rPr>
          <w:t>2.0 Familial Hypercholesterolemia and CAD</w:t>
        </w:r>
        <w:r w:rsidR="00BF465B">
          <w:rPr>
            <w:noProof/>
            <w:webHidden/>
          </w:rPr>
          <w:tab/>
        </w:r>
        <w:r w:rsidR="00BF465B">
          <w:rPr>
            <w:noProof/>
            <w:webHidden/>
          </w:rPr>
          <w:fldChar w:fldCharType="begin"/>
        </w:r>
        <w:r w:rsidR="00BF465B">
          <w:rPr>
            <w:noProof/>
            <w:webHidden/>
          </w:rPr>
          <w:instrText xml:space="preserve"> PAGEREF _Toc39065919 \h </w:instrText>
        </w:r>
        <w:r w:rsidR="00BF465B">
          <w:rPr>
            <w:noProof/>
            <w:webHidden/>
          </w:rPr>
        </w:r>
        <w:r w:rsidR="00BF465B">
          <w:rPr>
            <w:noProof/>
            <w:webHidden/>
          </w:rPr>
          <w:fldChar w:fldCharType="separate"/>
        </w:r>
        <w:r w:rsidR="002A71A2">
          <w:rPr>
            <w:noProof/>
            <w:webHidden/>
          </w:rPr>
          <w:t>4</w:t>
        </w:r>
        <w:r w:rsidR="00BF465B">
          <w:rPr>
            <w:noProof/>
            <w:webHidden/>
          </w:rPr>
          <w:fldChar w:fldCharType="end"/>
        </w:r>
      </w:hyperlink>
    </w:p>
    <w:p w14:paraId="286CA026" w14:textId="45091CA7" w:rsidR="00BF465B" w:rsidRDefault="00CA386F">
      <w:pPr>
        <w:pStyle w:val="TOC2"/>
        <w:rPr>
          <w:rFonts w:asciiTheme="minorHAnsi" w:eastAsiaTheme="minorEastAsia" w:hAnsiTheme="minorHAnsi" w:cstheme="minorBidi"/>
          <w:b w:val="0"/>
          <w:noProof/>
          <w:sz w:val="22"/>
          <w:szCs w:val="22"/>
        </w:rPr>
      </w:pPr>
      <w:hyperlink w:anchor="_Toc39065920" w:history="1">
        <w:r w:rsidR="00BF465B" w:rsidRPr="00CC05E8">
          <w:rPr>
            <w:rStyle w:val="Hyperlink"/>
            <w:noProof/>
          </w:rPr>
          <w:t>2.1 Incidence and Prevalence of FH</w:t>
        </w:r>
        <w:r w:rsidR="00BF465B">
          <w:rPr>
            <w:noProof/>
            <w:webHidden/>
          </w:rPr>
          <w:tab/>
        </w:r>
        <w:r w:rsidR="00BF465B">
          <w:rPr>
            <w:noProof/>
            <w:webHidden/>
          </w:rPr>
          <w:fldChar w:fldCharType="begin"/>
        </w:r>
        <w:r w:rsidR="00BF465B">
          <w:rPr>
            <w:noProof/>
            <w:webHidden/>
          </w:rPr>
          <w:instrText xml:space="preserve"> PAGEREF _Toc39065920 \h </w:instrText>
        </w:r>
        <w:r w:rsidR="00BF465B">
          <w:rPr>
            <w:noProof/>
            <w:webHidden/>
          </w:rPr>
        </w:r>
        <w:r w:rsidR="00BF465B">
          <w:rPr>
            <w:noProof/>
            <w:webHidden/>
          </w:rPr>
          <w:fldChar w:fldCharType="separate"/>
        </w:r>
        <w:r w:rsidR="002A71A2">
          <w:rPr>
            <w:noProof/>
            <w:webHidden/>
          </w:rPr>
          <w:t>5</w:t>
        </w:r>
        <w:r w:rsidR="00BF465B">
          <w:rPr>
            <w:noProof/>
            <w:webHidden/>
          </w:rPr>
          <w:fldChar w:fldCharType="end"/>
        </w:r>
      </w:hyperlink>
    </w:p>
    <w:p w14:paraId="6A48A533" w14:textId="687A0E75" w:rsidR="00BF465B" w:rsidRDefault="00CA386F">
      <w:pPr>
        <w:pStyle w:val="TOC2"/>
        <w:rPr>
          <w:rFonts w:asciiTheme="minorHAnsi" w:eastAsiaTheme="minorEastAsia" w:hAnsiTheme="minorHAnsi" w:cstheme="minorBidi"/>
          <w:b w:val="0"/>
          <w:noProof/>
          <w:sz w:val="22"/>
          <w:szCs w:val="22"/>
        </w:rPr>
      </w:pPr>
      <w:hyperlink w:anchor="_Toc39065921" w:history="1">
        <w:r w:rsidR="00BF465B" w:rsidRPr="00CC05E8">
          <w:rPr>
            <w:rStyle w:val="Hyperlink"/>
            <w:noProof/>
          </w:rPr>
          <w:t>2.2 Lipid Metabolism and Genes Associated with FH</w:t>
        </w:r>
        <w:r w:rsidR="00BF465B">
          <w:rPr>
            <w:noProof/>
            <w:webHidden/>
          </w:rPr>
          <w:tab/>
        </w:r>
        <w:r w:rsidR="00BF465B">
          <w:rPr>
            <w:noProof/>
            <w:webHidden/>
          </w:rPr>
          <w:fldChar w:fldCharType="begin"/>
        </w:r>
        <w:r w:rsidR="00BF465B">
          <w:rPr>
            <w:noProof/>
            <w:webHidden/>
          </w:rPr>
          <w:instrText xml:space="preserve"> PAGEREF _Toc39065921 \h </w:instrText>
        </w:r>
        <w:r w:rsidR="00BF465B">
          <w:rPr>
            <w:noProof/>
            <w:webHidden/>
          </w:rPr>
        </w:r>
        <w:r w:rsidR="00BF465B">
          <w:rPr>
            <w:noProof/>
            <w:webHidden/>
          </w:rPr>
          <w:fldChar w:fldCharType="separate"/>
        </w:r>
        <w:r w:rsidR="002A71A2">
          <w:rPr>
            <w:noProof/>
            <w:webHidden/>
          </w:rPr>
          <w:t>6</w:t>
        </w:r>
        <w:r w:rsidR="00BF465B">
          <w:rPr>
            <w:noProof/>
            <w:webHidden/>
          </w:rPr>
          <w:fldChar w:fldCharType="end"/>
        </w:r>
      </w:hyperlink>
    </w:p>
    <w:p w14:paraId="7FF675BB" w14:textId="1158916C" w:rsidR="00BF465B" w:rsidRDefault="00CA386F">
      <w:pPr>
        <w:pStyle w:val="TOC3"/>
        <w:rPr>
          <w:rFonts w:asciiTheme="minorHAnsi" w:eastAsiaTheme="minorEastAsia" w:hAnsiTheme="minorHAnsi" w:cstheme="minorBidi"/>
          <w:b w:val="0"/>
          <w:noProof/>
          <w:sz w:val="22"/>
          <w:szCs w:val="22"/>
        </w:rPr>
      </w:pPr>
      <w:hyperlink w:anchor="_Toc39065922" w:history="1">
        <w:r w:rsidR="00BF465B" w:rsidRPr="00CC05E8">
          <w:rPr>
            <w:rStyle w:val="Hyperlink"/>
            <w:noProof/>
          </w:rPr>
          <w:t>2.2.1 Low-Density Lipoprotein Receptor (</w:t>
        </w:r>
        <w:r w:rsidR="00BF465B" w:rsidRPr="00CC05E8">
          <w:rPr>
            <w:rStyle w:val="Hyperlink"/>
            <w:i/>
            <w:noProof/>
          </w:rPr>
          <w:t>LDLR</w:t>
        </w:r>
        <w:r w:rsidR="00BF465B" w:rsidRPr="00CC05E8">
          <w:rPr>
            <w:rStyle w:val="Hyperlink"/>
            <w:noProof/>
          </w:rPr>
          <w:t>)</w:t>
        </w:r>
        <w:r w:rsidR="00BF465B">
          <w:rPr>
            <w:noProof/>
            <w:webHidden/>
          </w:rPr>
          <w:tab/>
        </w:r>
        <w:r w:rsidR="00BF465B">
          <w:rPr>
            <w:noProof/>
            <w:webHidden/>
          </w:rPr>
          <w:fldChar w:fldCharType="begin"/>
        </w:r>
        <w:r w:rsidR="00BF465B">
          <w:rPr>
            <w:noProof/>
            <w:webHidden/>
          </w:rPr>
          <w:instrText xml:space="preserve"> PAGEREF _Toc39065922 \h </w:instrText>
        </w:r>
        <w:r w:rsidR="00BF465B">
          <w:rPr>
            <w:noProof/>
            <w:webHidden/>
          </w:rPr>
        </w:r>
        <w:r w:rsidR="00BF465B">
          <w:rPr>
            <w:noProof/>
            <w:webHidden/>
          </w:rPr>
          <w:fldChar w:fldCharType="separate"/>
        </w:r>
        <w:r w:rsidR="002A71A2">
          <w:rPr>
            <w:noProof/>
            <w:webHidden/>
          </w:rPr>
          <w:t>7</w:t>
        </w:r>
        <w:r w:rsidR="00BF465B">
          <w:rPr>
            <w:noProof/>
            <w:webHidden/>
          </w:rPr>
          <w:fldChar w:fldCharType="end"/>
        </w:r>
      </w:hyperlink>
    </w:p>
    <w:p w14:paraId="2D0F8FD4" w14:textId="721EC460" w:rsidR="00BF465B" w:rsidRDefault="00CA386F">
      <w:pPr>
        <w:pStyle w:val="TOC3"/>
        <w:rPr>
          <w:rFonts w:asciiTheme="minorHAnsi" w:eastAsiaTheme="minorEastAsia" w:hAnsiTheme="minorHAnsi" w:cstheme="minorBidi"/>
          <w:b w:val="0"/>
          <w:noProof/>
          <w:sz w:val="22"/>
          <w:szCs w:val="22"/>
        </w:rPr>
      </w:pPr>
      <w:hyperlink w:anchor="_Toc39065923" w:history="1">
        <w:r w:rsidR="00BF465B" w:rsidRPr="00CC05E8">
          <w:rPr>
            <w:rStyle w:val="Hyperlink"/>
            <w:noProof/>
          </w:rPr>
          <w:t>2.2.2 Apolipoprotein B (</w:t>
        </w:r>
        <w:r w:rsidR="00BF465B" w:rsidRPr="00CC05E8">
          <w:rPr>
            <w:rStyle w:val="Hyperlink"/>
            <w:i/>
            <w:noProof/>
          </w:rPr>
          <w:t>APOB</w:t>
        </w:r>
        <w:r w:rsidR="00BF465B" w:rsidRPr="00CC05E8">
          <w:rPr>
            <w:rStyle w:val="Hyperlink"/>
            <w:noProof/>
          </w:rPr>
          <w:t>)</w:t>
        </w:r>
        <w:r w:rsidR="00BF465B">
          <w:rPr>
            <w:noProof/>
            <w:webHidden/>
          </w:rPr>
          <w:tab/>
        </w:r>
        <w:r w:rsidR="00BF465B">
          <w:rPr>
            <w:noProof/>
            <w:webHidden/>
          </w:rPr>
          <w:fldChar w:fldCharType="begin"/>
        </w:r>
        <w:r w:rsidR="00BF465B">
          <w:rPr>
            <w:noProof/>
            <w:webHidden/>
          </w:rPr>
          <w:instrText xml:space="preserve"> PAGEREF _Toc39065923 \h </w:instrText>
        </w:r>
        <w:r w:rsidR="00BF465B">
          <w:rPr>
            <w:noProof/>
            <w:webHidden/>
          </w:rPr>
        </w:r>
        <w:r w:rsidR="00BF465B">
          <w:rPr>
            <w:noProof/>
            <w:webHidden/>
          </w:rPr>
          <w:fldChar w:fldCharType="separate"/>
        </w:r>
        <w:r w:rsidR="002A71A2">
          <w:rPr>
            <w:noProof/>
            <w:webHidden/>
          </w:rPr>
          <w:t>8</w:t>
        </w:r>
        <w:r w:rsidR="00BF465B">
          <w:rPr>
            <w:noProof/>
            <w:webHidden/>
          </w:rPr>
          <w:fldChar w:fldCharType="end"/>
        </w:r>
      </w:hyperlink>
    </w:p>
    <w:p w14:paraId="490D8C76" w14:textId="120C4688" w:rsidR="00BF465B" w:rsidRDefault="00CA386F">
      <w:pPr>
        <w:pStyle w:val="TOC3"/>
        <w:rPr>
          <w:rFonts w:asciiTheme="minorHAnsi" w:eastAsiaTheme="minorEastAsia" w:hAnsiTheme="minorHAnsi" w:cstheme="minorBidi"/>
          <w:b w:val="0"/>
          <w:noProof/>
          <w:sz w:val="22"/>
          <w:szCs w:val="22"/>
        </w:rPr>
      </w:pPr>
      <w:hyperlink w:anchor="_Toc39065924" w:history="1">
        <w:r w:rsidR="00BF465B" w:rsidRPr="00CC05E8">
          <w:rPr>
            <w:rStyle w:val="Hyperlink"/>
            <w:noProof/>
          </w:rPr>
          <w:t>2.2.3 Proprotein Convertase Subtilisin/Kexin Type 9 (</w:t>
        </w:r>
        <w:r w:rsidR="00BF465B" w:rsidRPr="00CC05E8">
          <w:rPr>
            <w:rStyle w:val="Hyperlink"/>
            <w:i/>
            <w:noProof/>
          </w:rPr>
          <w:t>PCSK9</w:t>
        </w:r>
        <w:r w:rsidR="00BF465B" w:rsidRPr="00CC05E8">
          <w:rPr>
            <w:rStyle w:val="Hyperlink"/>
            <w:noProof/>
          </w:rPr>
          <w:t>)</w:t>
        </w:r>
        <w:r w:rsidR="00BF465B">
          <w:rPr>
            <w:noProof/>
            <w:webHidden/>
          </w:rPr>
          <w:tab/>
        </w:r>
        <w:r w:rsidR="00BF465B">
          <w:rPr>
            <w:noProof/>
            <w:webHidden/>
          </w:rPr>
          <w:fldChar w:fldCharType="begin"/>
        </w:r>
        <w:r w:rsidR="00BF465B">
          <w:rPr>
            <w:noProof/>
            <w:webHidden/>
          </w:rPr>
          <w:instrText xml:space="preserve"> PAGEREF _Toc39065924 \h </w:instrText>
        </w:r>
        <w:r w:rsidR="00BF465B">
          <w:rPr>
            <w:noProof/>
            <w:webHidden/>
          </w:rPr>
        </w:r>
        <w:r w:rsidR="00BF465B">
          <w:rPr>
            <w:noProof/>
            <w:webHidden/>
          </w:rPr>
          <w:fldChar w:fldCharType="separate"/>
        </w:r>
        <w:r w:rsidR="002A71A2">
          <w:rPr>
            <w:noProof/>
            <w:webHidden/>
          </w:rPr>
          <w:t>9</w:t>
        </w:r>
        <w:r w:rsidR="00BF465B">
          <w:rPr>
            <w:noProof/>
            <w:webHidden/>
          </w:rPr>
          <w:fldChar w:fldCharType="end"/>
        </w:r>
      </w:hyperlink>
    </w:p>
    <w:p w14:paraId="27D2598B" w14:textId="52F21B7D" w:rsidR="00BF465B" w:rsidRDefault="00CA386F">
      <w:pPr>
        <w:pStyle w:val="TOC3"/>
        <w:rPr>
          <w:rFonts w:asciiTheme="minorHAnsi" w:eastAsiaTheme="minorEastAsia" w:hAnsiTheme="minorHAnsi" w:cstheme="minorBidi"/>
          <w:b w:val="0"/>
          <w:noProof/>
          <w:sz w:val="22"/>
          <w:szCs w:val="22"/>
        </w:rPr>
      </w:pPr>
      <w:hyperlink w:anchor="_Toc39065925" w:history="1">
        <w:r w:rsidR="00BF465B" w:rsidRPr="00CC05E8">
          <w:rPr>
            <w:rStyle w:val="Hyperlink"/>
            <w:noProof/>
          </w:rPr>
          <w:t>2.2.4 Monogenic and Polygenic FH</w:t>
        </w:r>
        <w:r w:rsidR="00BF465B">
          <w:rPr>
            <w:noProof/>
            <w:webHidden/>
          </w:rPr>
          <w:tab/>
        </w:r>
        <w:r w:rsidR="00BF465B">
          <w:rPr>
            <w:noProof/>
            <w:webHidden/>
          </w:rPr>
          <w:fldChar w:fldCharType="begin"/>
        </w:r>
        <w:r w:rsidR="00BF465B">
          <w:rPr>
            <w:noProof/>
            <w:webHidden/>
          </w:rPr>
          <w:instrText xml:space="preserve"> PAGEREF _Toc39065925 \h </w:instrText>
        </w:r>
        <w:r w:rsidR="00BF465B">
          <w:rPr>
            <w:noProof/>
            <w:webHidden/>
          </w:rPr>
        </w:r>
        <w:r w:rsidR="00BF465B">
          <w:rPr>
            <w:noProof/>
            <w:webHidden/>
          </w:rPr>
          <w:fldChar w:fldCharType="separate"/>
        </w:r>
        <w:r w:rsidR="002A71A2">
          <w:rPr>
            <w:noProof/>
            <w:webHidden/>
          </w:rPr>
          <w:t>9</w:t>
        </w:r>
        <w:r w:rsidR="00BF465B">
          <w:rPr>
            <w:noProof/>
            <w:webHidden/>
          </w:rPr>
          <w:fldChar w:fldCharType="end"/>
        </w:r>
      </w:hyperlink>
    </w:p>
    <w:p w14:paraId="4BC1F8B2" w14:textId="2CC44E1B" w:rsidR="00BF465B" w:rsidRDefault="00CA386F">
      <w:pPr>
        <w:pStyle w:val="TOC2"/>
        <w:rPr>
          <w:rFonts w:asciiTheme="minorHAnsi" w:eastAsiaTheme="minorEastAsia" w:hAnsiTheme="minorHAnsi" w:cstheme="minorBidi"/>
          <w:b w:val="0"/>
          <w:noProof/>
          <w:sz w:val="22"/>
          <w:szCs w:val="22"/>
        </w:rPr>
      </w:pPr>
      <w:hyperlink w:anchor="_Toc39065926" w:history="1">
        <w:r w:rsidR="00BF465B" w:rsidRPr="00CC05E8">
          <w:rPr>
            <w:rStyle w:val="Hyperlink"/>
            <w:noProof/>
          </w:rPr>
          <w:t>2.3 Treatment for FH</w:t>
        </w:r>
        <w:r w:rsidR="00BF465B">
          <w:rPr>
            <w:noProof/>
            <w:webHidden/>
          </w:rPr>
          <w:tab/>
        </w:r>
        <w:r w:rsidR="00BF465B">
          <w:rPr>
            <w:noProof/>
            <w:webHidden/>
          </w:rPr>
          <w:fldChar w:fldCharType="begin"/>
        </w:r>
        <w:r w:rsidR="00BF465B">
          <w:rPr>
            <w:noProof/>
            <w:webHidden/>
          </w:rPr>
          <w:instrText xml:space="preserve"> PAGEREF _Toc39065926 \h </w:instrText>
        </w:r>
        <w:r w:rsidR="00BF465B">
          <w:rPr>
            <w:noProof/>
            <w:webHidden/>
          </w:rPr>
        </w:r>
        <w:r w:rsidR="00BF465B">
          <w:rPr>
            <w:noProof/>
            <w:webHidden/>
          </w:rPr>
          <w:fldChar w:fldCharType="separate"/>
        </w:r>
        <w:r w:rsidR="002A71A2">
          <w:rPr>
            <w:noProof/>
            <w:webHidden/>
          </w:rPr>
          <w:t>10</w:t>
        </w:r>
        <w:r w:rsidR="00BF465B">
          <w:rPr>
            <w:noProof/>
            <w:webHidden/>
          </w:rPr>
          <w:fldChar w:fldCharType="end"/>
        </w:r>
      </w:hyperlink>
    </w:p>
    <w:p w14:paraId="6B6E9E47" w14:textId="38939A41" w:rsidR="00BF465B" w:rsidRDefault="00CA386F">
      <w:pPr>
        <w:pStyle w:val="TOC1"/>
        <w:rPr>
          <w:rFonts w:asciiTheme="minorHAnsi" w:eastAsiaTheme="minorEastAsia" w:hAnsiTheme="minorHAnsi" w:cstheme="minorBidi"/>
          <w:b w:val="0"/>
          <w:noProof/>
          <w:sz w:val="22"/>
          <w:szCs w:val="22"/>
        </w:rPr>
      </w:pPr>
      <w:hyperlink w:anchor="_Toc39065927" w:history="1">
        <w:r w:rsidR="00BF465B" w:rsidRPr="00CC05E8">
          <w:rPr>
            <w:rStyle w:val="Hyperlink"/>
            <w:noProof/>
          </w:rPr>
          <w:t>3.0 Screening Methods for FH</w:t>
        </w:r>
        <w:r w:rsidR="00BF465B">
          <w:rPr>
            <w:noProof/>
            <w:webHidden/>
          </w:rPr>
          <w:tab/>
        </w:r>
        <w:r w:rsidR="00BF465B">
          <w:rPr>
            <w:noProof/>
            <w:webHidden/>
          </w:rPr>
          <w:fldChar w:fldCharType="begin"/>
        </w:r>
        <w:r w:rsidR="00BF465B">
          <w:rPr>
            <w:noProof/>
            <w:webHidden/>
          </w:rPr>
          <w:instrText xml:space="preserve"> PAGEREF _Toc39065927 \h </w:instrText>
        </w:r>
        <w:r w:rsidR="00BF465B">
          <w:rPr>
            <w:noProof/>
            <w:webHidden/>
          </w:rPr>
        </w:r>
        <w:r w:rsidR="00BF465B">
          <w:rPr>
            <w:noProof/>
            <w:webHidden/>
          </w:rPr>
          <w:fldChar w:fldCharType="separate"/>
        </w:r>
        <w:r w:rsidR="002A71A2">
          <w:rPr>
            <w:noProof/>
            <w:webHidden/>
          </w:rPr>
          <w:t>12</w:t>
        </w:r>
        <w:r w:rsidR="00BF465B">
          <w:rPr>
            <w:noProof/>
            <w:webHidden/>
          </w:rPr>
          <w:fldChar w:fldCharType="end"/>
        </w:r>
      </w:hyperlink>
    </w:p>
    <w:p w14:paraId="0DBAECED" w14:textId="13E37764" w:rsidR="00BF465B" w:rsidRDefault="00CA386F">
      <w:pPr>
        <w:pStyle w:val="TOC2"/>
        <w:rPr>
          <w:rFonts w:asciiTheme="minorHAnsi" w:eastAsiaTheme="minorEastAsia" w:hAnsiTheme="minorHAnsi" w:cstheme="minorBidi"/>
          <w:b w:val="0"/>
          <w:noProof/>
          <w:sz w:val="22"/>
          <w:szCs w:val="22"/>
        </w:rPr>
      </w:pPr>
      <w:hyperlink w:anchor="_Toc39065928" w:history="1">
        <w:r w:rsidR="00BF465B" w:rsidRPr="00CC05E8">
          <w:rPr>
            <w:rStyle w:val="Hyperlink"/>
            <w:noProof/>
          </w:rPr>
          <w:t>3.1 Utility of Screening Studies</w:t>
        </w:r>
        <w:r w:rsidR="00BF465B">
          <w:rPr>
            <w:noProof/>
            <w:webHidden/>
          </w:rPr>
          <w:tab/>
        </w:r>
        <w:r w:rsidR="00BF465B">
          <w:rPr>
            <w:noProof/>
            <w:webHidden/>
          </w:rPr>
          <w:fldChar w:fldCharType="begin"/>
        </w:r>
        <w:r w:rsidR="00BF465B">
          <w:rPr>
            <w:noProof/>
            <w:webHidden/>
          </w:rPr>
          <w:instrText xml:space="preserve"> PAGEREF _Toc39065928 \h </w:instrText>
        </w:r>
        <w:r w:rsidR="00BF465B">
          <w:rPr>
            <w:noProof/>
            <w:webHidden/>
          </w:rPr>
        </w:r>
        <w:r w:rsidR="00BF465B">
          <w:rPr>
            <w:noProof/>
            <w:webHidden/>
          </w:rPr>
          <w:fldChar w:fldCharType="separate"/>
        </w:r>
        <w:r w:rsidR="002A71A2">
          <w:rPr>
            <w:noProof/>
            <w:webHidden/>
          </w:rPr>
          <w:t>13</w:t>
        </w:r>
        <w:r w:rsidR="00BF465B">
          <w:rPr>
            <w:noProof/>
            <w:webHidden/>
          </w:rPr>
          <w:fldChar w:fldCharType="end"/>
        </w:r>
      </w:hyperlink>
    </w:p>
    <w:p w14:paraId="571FFF90" w14:textId="693CA940" w:rsidR="00BF465B" w:rsidRDefault="00CA386F">
      <w:pPr>
        <w:pStyle w:val="TOC2"/>
        <w:rPr>
          <w:rFonts w:asciiTheme="minorHAnsi" w:eastAsiaTheme="minorEastAsia" w:hAnsiTheme="minorHAnsi" w:cstheme="minorBidi"/>
          <w:b w:val="0"/>
          <w:noProof/>
          <w:sz w:val="22"/>
          <w:szCs w:val="22"/>
        </w:rPr>
      </w:pPr>
      <w:hyperlink w:anchor="_Toc39065929" w:history="1">
        <w:r w:rsidR="00BF465B" w:rsidRPr="00CC05E8">
          <w:rPr>
            <w:rStyle w:val="Hyperlink"/>
            <w:noProof/>
          </w:rPr>
          <w:t>3.2 Health Disparities in FH Diagnoses</w:t>
        </w:r>
        <w:r w:rsidR="00BF465B">
          <w:rPr>
            <w:noProof/>
            <w:webHidden/>
          </w:rPr>
          <w:tab/>
        </w:r>
        <w:r w:rsidR="00BF465B">
          <w:rPr>
            <w:noProof/>
            <w:webHidden/>
          </w:rPr>
          <w:fldChar w:fldCharType="begin"/>
        </w:r>
        <w:r w:rsidR="00BF465B">
          <w:rPr>
            <w:noProof/>
            <w:webHidden/>
          </w:rPr>
          <w:instrText xml:space="preserve"> PAGEREF _Toc39065929 \h </w:instrText>
        </w:r>
        <w:r w:rsidR="00BF465B">
          <w:rPr>
            <w:noProof/>
            <w:webHidden/>
          </w:rPr>
        </w:r>
        <w:r w:rsidR="00BF465B">
          <w:rPr>
            <w:noProof/>
            <w:webHidden/>
          </w:rPr>
          <w:fldChar w:fldCharType="separate"/>
        </w:r>
        <w:r w:rsidR="002A71A2">
          <w:rPr>
            <w:noProof/>
            <w:webHidden/>
          </w:rPr>
          <w:t>14</w:t>
        </w:r>
        <w:r w:rsidR="00BF465B">
          <w:rPr>
            <w:noProof/>
            <w:webHidden/>
          </w:rPr>
          <w:fldChar w:fldCharType="end"/>
        </w:r>
      </w:hyperlink>
    </w:p>
    <w:p w14:paraId="019C0B63" w14:textId="4B87B24E" w:rsidR="00BF465B" w:rsidRDefault="00CA386F">
      <w:pPr>
        <w:pStyle w:val="TOC1"/>
        <w:rPr>
          <w:rFonts w:asciiTheme="minorHAnsi" w:eastAsiaTheme="minorEastAsia" w:hAnsiTheme="minorHAnsi" w:cstheme="minorBidi"/>
          <w:b w:val="0"/>
          <w:noProof/>
          <w:sz w:val="22"/>
          <w:szCs w:val="22"/>
        </w:rPr>
      </w:pPr>
      <w:hyperlink w:anchor="_Toc39065930" w:history="1">
        <w:r w:rsidR="00BF465B" w:rsidRPr="00CC05E8">
          <w:rPr>
            <w:rStyle w:val="Hyperlink"/>
            <w:noProof/>
          </w:rPr>
          <w:t>4.0 Background on American Samoa and the Independent Nation of Samoa</w:t>
        </w:r>
        <w:r w:rsidR="00BF465B">
          <w:rPr>
            <w:noProof/>
            <w:webHidden/>
          </w:rPr>
          <w:tab/>
        </w:r>
        <w:r w:rsidR="00BF465B">
          <w:rPr>
            <w:noProof/>
            <w:webHidden/>
          </w:rPr>
          <w:fldChar w:fldCharType="begin"/>
        </w:r>
        <w:r w:rsidR="00BF465B">
          <w:rPr>
            <w:noProof/>
            <w:webHidden/>
          </w:rPr>
          <w:instrText xml:space="preserve"> PAGEREF _Toc39065930 \h </w:instrText>
        </w:r>
        <w:r w:rsidR="00BF465B">
          <w:rPr>
            <w:noProof/>
            <w:webHidden/>
          </w:rPr>
        </w:r>
        <w:r w:rsidR="00BF465B">
          <w:rPr>
            <w:noProof/>
            <w:webHidden/>
          </w:rPr>
          <w:fldChar w:fldCharType="separate"/>
        </w:r>
        <w:r w:rsidR="002A71A2">
          <w:rPr>
            <w:noProof/>
            <w:webHidden/>
          </w:rPr>
          <w:t>15</w:t>
        </w:r>
        <w:r w:rsidR="00BF465B">
          <w:rPr>
            <w:noProof/>
            <w:webHidden/>
          </w:rPr>
          <w:fldChar w:fldCharType="end"/>
        </w:r>
      </w:hyperlink>
    </w:p>
    <w:p w14:paraId="5A6D80CC" w14:textId="6370FCDE" w:rsidR="00BF465B" w:rsidRDefault="00CA386F">
      <w:pPr>
        <w:pStyle w:val="TOC2"/>
        <w:rPr>
          <w:rFonts w:asciiTheme="minorHAnsi" w:eastAsiaTheme="minorEastAsia" w:hAnsiTheme="minorHAnsi" w:cstheme="minorBidi"/>
          <w:b w:val="0"/>
          <w:noProof/>
          <w:sz w:val="22"/>
          <w:szCs w:val="22"/>
        </w:rPr>
      </w:pPr>
      <w:hyperlink w:anchor="_Toc39065931" w:history="1">
        <w:r w:rsidR="00BF465B" w:rsidRPr="00CC05E8">
          <w:rPr>
            <w:rStyle w:val="Hyperlink"/>
            <w:noProof/>
          </w:rPr>
          <w:t>4.1 Health Disparities in Samoan Populations</w:t>
        </w:r>
        <w:r w:rsidR="00BF465B">
          <w:rPr>
            <w:noProof/>
            <w:webHidden/>
          </w:rPr>
          <w:tab/>
        </w:r>
        <w:r w:rsidR="00BF465B">
          <w:rPr>
            <w:noProof/>
            <w:webHidden/>
          </w:rPr>
          <w:fldChar w:fldCharType="begin"/>
        </w:r>
        <w:r w:rsidR="00BF465B">
          <w:rPr>
            <w:noProof/>
            <w:webHidden/>
          </w:rPr>
          <w:instrText xml:space="preserve"> PAGEREF _Toc39065931 \h </w:instrText>
        </w:r>
        <w:r w:rsidR="00BF465B">
          <w:rPr>
            <w:noProof/>
            <w:webHidden/>
          </w:rPr>
        </w:r>
        <w:r w:rsidR="00BF465B">
          <w:rPr>
            <w:noProof/>
            <w:webHidden/>
          </w:rPr>
          <w:fldChar w:fldCharType="separate"/>
        </w:r>
        <w:r w:rsidR="002A71A2">
          <w:rPr>
            <w:noProof/>
            <w:webHidden/>
          </w:rPr>
          <w:t>16</w:t>
        </w:r>
        <w:r w:rsidR="00BF465B">
          <w:rPr>
            <w:noProof/>
            <w:webHidden/>
          </w:rPr>
          <w:fldChar w:fldCharType="end"/>
        </w:r>
      </w:hyperlink>
    </w:p>
    <w:p w14:paraId="35F2F5EA" w14:textId="59747CC6" w:rsidR="00BF465B" w:rsidRDefault="00CA386F">
      <w:pPr>
        <w:pStyle w:val="TOC2"/>
        <w:rPr>
          <w:rFonts w:asciiTheme="minorHAnsi" w:eastAsiaTheme="minorEastAsia" w:hAnsiTheme="minorHAnsi" w:cstheme="minorBidi"/>
          <w:b w:val="0"/>
          <w:noProof/>
          <w:sz w:val="22"/>
          <w:szCs w:val="22"/>
        </w:rPr>
      </w:pPr>
      <w:hyperlink w:anchor="_Toc39065932" w:history="1">
        <w:r w:rsidR="00BF465B" w:rsidRPr="00CC05E8">
          <w:rPr>
            <w:rStyle w:val="Hyperlink"/>
            <w:noProof/>
          </w:rPr>
          <w:t>4.2 Prevention and Treatment for Heart Disease in Samoa</w:t>
        </w:r>
        <w:r w:rsidR="00BF465B">
          <w:rPr>
            <w:noProof/>
            <w:webHidden/>
          </w:rPr>
          <w:tab/>
        </w:r>
        <w:r w:rsidR="00BF465B">
          <w:rPr>
            <w:noProof/>
            <w:webHidden/>
          </w:rPr>
          <w:fldChar w:fldCharType="begin"/>
        </w:r>
        <w:r w:rsidR="00BF465B">
          <w:rPr>
            <w:noProof/>
            <w:webHidden/>
          </w:rPr>
          <w:instrText xml:space="preserve"> PAGEREF _Toc39065932 \h </w:instrText>
        </w:r>
        <w:r w:rsidR="00BF465B">
          <w:rPr>
            <w:noProof/>
            <w:webHidden/>
          </w:rPr>
        </w:r>
        <w:r w:rsidR="00BF465B">
          <w:rPr>
            <w:noProof/>
            <w:webHidden/>
          </w:rPr>
          <w:fldChar w:fldCharType="separate"/>
        </w:r>
        <w:r w:rsidR="002A71A2">
          <w:rPr>
            <w:noProof/>
            <w:webHidden/>
          </w:rPr>
          <w:t>18</w:t>
        </w:r>
        <w:r w:rsidR="00BF465B">
          <w:rPr>
            <w:noProof/>
            <w:webHidden/>
          </w:rPr>
          <w:fldChar w:fldCharType="end"/>
        </w:r>
      </w:hyperlink>
    </w:p>
    <w:p w14:paraId="44D0F537" w14:textId="0A842263" w:rsidR="00BF465B" w:rsidRDefault="00CA386F">
      <w:pPr>
        <w:pStyle w:val="TOC1"/>
        <w:rPr>
          <w:rFonts w:asciiTheme="minorHAnsi" w:eastAsiaTheme="minorEastAsia" w:hAnsiTheme="minorHAnsi" w:cstheme="minorBidi"/>
          <w:b w:val="0"/>
          <w:noProof/>
          <w:sz w:val="22"/>
          <w:szCs w:val="22"/>
        </w:rPr>
      </w:pPr>
      <w:hyperlink w:anchor="_Toc39065933" w:history="1">
        <w:r w:rsidR="00BF465B" w:rsidRPr="00CC05E8">
          <w:rPr>
            <w:rStyle w:val="Hyperlink"/>
            <w:noProof/>
          </w:rPr>
          <w:t>5.0 Hypotheses and Aims</w:t>
        </w:r>
        <w:r w:rsidR="00BF465B">
          <w:rPr>
            <w:noProof/>
            <w:webHidden/>
          </w:rPr>
          <w:tab/>
        </w:r>
        <w:r w:rsidR="00BF465B">
          <w:rPr>
            <w:noProof/>
            <w:webHidden/>
          </w:rPr>
          <w:fldChar w:fldCharType="begin"/>
        </w:r>
        <w:r w:rsidR="00BF465B">
          <w:rPr>
            <w:noProof/>
            <w:webHidden/>
          </w:rPr>
          <w:instrText xml:space="preserve"> PAGEREF _Toc39065933 \h </w:instrText>
        </w:r>
        <w:r w:rsidR="00BF465B">
          <w:rPr>
            <w:noProof/>
            <w:webHidden/>
          </w:rPr>
        </w:r>
        <w:r w:rsidR="00BF465B">
          <w:rPr>
            <w:noProof/>
            <w:webHidden/>
          </w:rPr>
          <w:fldChar w:fldCharType="separate"/>
        </w:r>
        <w:r w:rsidR="002A71A2">
          <w:rPr>
            <w:noProof/>
            <w:webHidden/>
          </w:rPr>
          <w:t>20</w:t>
        </w:r>
        <w:r w:rsidR="00BF465B">
          <w:rPr>
            <w:noProof/>
            <w:webHidden/>
          </w:rPr>
          <w:fldChar w:fldCharType="end"/>
        </w:r>
      </w:hyperlink>
    </w:p>
    <w:p w14:paraId="1F5C0557" w14:textId="35A98A9B" w:rsidR="00BF465B" w:rsidRDefault="00CA386F">
      <w:pPr>
        <w:pStyle w:val="TOC1"/>
        <w:rPr>
          <w:rFonts w:asciiTheme="minorHAnsi" w:eastAsiaTheme="minorEastAsia" w:hAnsiTheme="minorHAnsi" w:cstheme="minorBidi"/>
          <w:b w:val="0"/>
          <w:noProof/>
          <w:sz w:val="22"/>
          <w:szCs w:val="22"/>
        </w:rPr>
      </w:pPr>
      <w:hyperlink w:anchor="_Toc39065934" w:history="1">
        <w:r w:rsidR="00BF465B" w:rsidRPr="00CC05E8">
          <w:rPr>
            <w:rStyle w:val="Hyperlink"/>
            <w:noProof/>
          </w:rPr>
          <w:t>6.0 Data Sources</w:t>
        </w:r>
        <w:r w:rsidR="00BF465B">
          <w:rPr>
            <w:noProof/>
            <w:webHidden/>
          </w:rPr>
          <w:tab/>
        </w:r>
        <w:r w:rsidR="00BF465B">
          <w:rPr>
            <w:noProof/>
            <w:webHidden/>
          </w:rPr>
          <w:fldChar w:fldCharType="begin"/>
        </w:r>
        <w:r w:rsidR="00BF465B">
          <w:rPr>
            <w:noProof/>
            <w:webHidden/>
          </w:rPr>
          <w:instrText xml:space="preserve"> PAGEREF _Toc39065934 \h </w:instrText>
        </w:r>
        <w:r w:rsidR="00BF465B">
          <w:rPr>
            <w:noProof/>
            <w:webHidden/>
          </w:rPr>
        </w:r>
        <w:r w:rsidR="00BF465B">
          <w:rPr>
            <w:noProof/>
            <w:webHidden/>
          </w:rPr>
          <w:fldChar w:fldCharType="separate"/>
        </w:r>
        <w:r w:rsidR="002A71A2">
          <w:rPr>
            <w:noProof/>
            <w:webHidden/>
          </w:rPr>
          <w:t>22</w:t>
        </w:r>
        <w:r w:rsidR="00BF465B">
          <w:rPr>
            <w:noProof/>
            <w:webHidden/>
          </w:rPr>
          <w:fldChar w:fldCharType="end"/>
        </w:r>
      </w:hyperlink>
    </w:p>
    <w:p w14:paraId="2845A396" w14:textId="13423735" w:rsidR="00BF465B" w:rsidRDefault="00CA386F">
      <w:pPr>
        <w:pStyle w:val="TOC1"/>
        <w:rPr>
          <w:rFonts w:asciiTheme="minorHAnsi" w:eastAsiaTheme="minorEastAsia" w:hAnsiTheme="minorHAnsi" w:cstheme="minorBidi"/>
          <w:b w:val="0"/>
          <w:noProof/>
          <w:sz w:val="22"/>
          <w:szCs w:val="22"/>
        </w:rPr>
      </w:pPr>
      <w:hyperlink w:anchor="_Toc39065935" w:history="1">
        <w:r w:rsidR="00BF465B" w:rsidRPr="00CC05E8">
          <w:rPr>
            <w:rStyle w:val="Hyperlink"/>
            <w:noProof/>
          </w:rPr>
          <w:t>7.0 Methods</w:t>
        </w:r>
        <w:r w:rsidR="00BF465B">
          <w:rPr>
            <w:noProof/>
            <w:webHidden/>
          </w:rPr>
          <w:tab/>
        </w:r>
        <w:r w:rsidR="00BF465B">
          <w:rPr>
            <w:noProof/>
            <w:webHidden/>
          </w:rPr>
          <w:fldChar w:fldCharType="begin"/>
        </w:r>
        <w:r w:rsidR="00BF465B">
          <w:rPr>
            <w:noProof/>
            <w:webHidden/>
          </w:rPr>
          <w:instrText xml:space="preserve"> PAGEREF _Toc39065935 \h </w:instrText>
        </w:r>
        <w:r w:rsidR="00BF465B">
          <w:rPr>
            <w:noProof/>
            <w:webHidden/>
          </w:rPr>
        </w:r>
        <w:r w:rsidR="00BF465B">
          <w:rPr>
            <w:noProof/>
            <w:webHidden/>
          </w:rPr>
          <w:fldChar w:fldCharType="separate"/>
        </w:r>
        <w:r w:rsidR="002A71A2">
          <w:rPr>
            <w:noProof/>
            <w:webHidden/>
          </w:rPr>
          <w:t>25</w:t>
        </w:r>
        <w:r w:rsidR="00BF465B">
          <w:rPr>
            <w:noProof/>
            <w:webHidden/>
          </w:rPr>
          <w:fldChar w:fldCharType="end"/>
        </w:r>
      </w:hyperlink>
    </w:p>
    <w:p w14:paraId="12A18830" w14:textId="0CCC5848" w:rsidR="00BF465B" w:rsidRDefault="00CA386F">
      <w:pPr>
        <w:pStyle w:val="TOC2"/>
        <w:rPr>
          <w:rFonts w:asciiTheme="minorHAnsi" w:eastAsiaTheme="minorEastAsia" w:hAnsiTheme="minorHAnsi" w:cstheme="minorBidi"/>
          <w:b w:val="0"/>
          <w:noProof/>
          <w:sz w:val="22"/>
          <w:szCs w:val="22"/>
        </w:rPr>
      </w:pPr>
      <w:hyperlink w:anchor="_Toc39065936" w:history="1">
        <w:r w:rsidR="00BF465B" w:rsidRPr="00CC05E8">
          <w:rPr>
            <w:rStyle w:val="Hyperlink"/>
            <w:noProof/>
          </w:rPr>
          <w:t>7.1 FH Pathogenic Risk Variants</w:t>
        </w:r>
        <w:r w:rsidR="00BF465B">
          <w:rPr>
            <w:noProof/>
            <w:webHidden/>
          </w:rPr>
          <w:tab/>
        </w:r>
        <w:r w:rsidR="00BF465B">
          <w:rPr>
            <w:noProof/>
            <w:webHidden/>
          </w:rPr>
          <w:fldChar w:fldCharType="begin"/>
        </w:r>
        <w:r w:rsidR="00BF465B">
          <w:rPr>
            <w:noProof/>
            <w:webHidden/>
          </w:rPr>
          <w:instrText xml:space="preserve"> PAGEREF _Toc39065936 \h </w:instrText>
        </w:r>
        <w:r w:rsidR="00BF465B">
          <w:rPr>
            <w:noProof/>
            <w:webHidden/>
          </w:rPr>
        </w:r>
        <w:r w:rsidR="00BF465B">
          <w:rPr>
            <w:noProof/>
            <w:webHidden/>
          </w:rPr>
          <w:fldChar w:fldCharType="separate"/>
        </w:r>
        <w:r w:rsidR="002A71A2">
          <w:rPr>
            <w:noProof/>
            <w:webHidden/>
          </w:rPr>
          <w:t>25</w:t>
        </w:r>
        <w:r w:rsidR="00BF465B">
          <w:rPr>
            <w:noProof/>
            <w:webHidden/>
          </w:rPr>
          <w:fldChar w:fldCharType="end"/>
        </w:r>
      </w:hyperlink>
    </w:p>
    <w:p w14:paraId="59F252FB" w14:textId="00F515E8" w:rsidR="00BF465B" w:rsidRDefault="00CA386F">
      <w:pPr>
        <w:pStyle w:val="TOC3"/>
        <w:rPr>
          <w:rFonts w:asciiTheme="minorHAnsi" w:eastAsiaTheme="minorEastAsia" w:hAnsiTheme="minorHAnsi" w:cstheme="minorBidi"/>
          <w:b w:val="0"/>
          <w:noProof/>
          <w:sz w:val="22"/>
          <w:szCs w:val="22"/>
        </w:rPr>
      </w:pPr>
      <w:hyperlink w:anchor="_Toc39065937" w:history="1">
        <w:r w:rsidR="00BF465B" w:rsidRPr="00CC05E8">
          <w:rPr>
            <w:rStyle w:val="Hyperlink"/>
            <w:noProof/>
          </w:rPr>
          <w:t>7.1.1 Gene Analysis</w:t>
        </w:r>
        <w:r w:rsidR="00BF465B">
          <w:rPr>
            <w:noProof/>
            <w:webHidden/>
          </w:rPr>
          <w:tab/>
        </w:r>
        <w:r w:rsidR="00BF465B">
          <w:rPr>
            <w:noProof/>
            <w:webHidden/>
          </w:rPr>
          <w:fldChar w:fldCharType="begin"/>
        </w:r>
        <w:r w:rsidR="00BF465B">
          <w:rPr>
            <w:noProof/>
            <w:webHidden/>
          </w:rPr>
          <w:instrText xml:space="preserve"> PAGEREF _Toc39065937 \h </w:instrText>
        </w:r>
        <w:r w:rsidR="00BF465B">
          <w:rPr>
            <w:noProof/>
            <w:webHidden/>
          </w:rPr>
        </w:r>
        <w:r w:rsidR="00BF465B">
          <w:rPr>
            <w:noProof/>
            <w:webHidden/>
          </w:rPr>
          <w:fldChar w:fldCharType="separate"/>
        </w:r>
        <w:r w:rsidR="002A71A2">
          <w:rPr>
            <w:noProof/>
            <w:webHidden/>
          </w:rPr>
          <w:t>26</w:t>
        </w:r>
        <w:r w:rsidR="00BF465B">
          <w:rPr>
            <w:noProof/>
            <w:webHidden/>
          </w:rPr>
          <w:fldChar w:fldCharType="end"/>
        </w:r>
      </w:hyperlink>
    </w:p>
    <w:p w14:paraId="40665434" w14:textId="62E3DD71" w:rsidR="00BF465B" w:rsidRDefault="00CA386F">
      <w:pPr>
        <w:pStyle w:val="TOC2"/>
        <w:rPr>
          <w:rFonts w:asciiTheme="minorHAnsi" w:eastAsiaTheme="minorEastAsia" w:hAnsiTheme="minorHAnsi" w:cstheme="minorBidi"/>
          <w:b w:val="0"/>
          <w:noProof/>
          <w:sz w:val="22"/>
          <w:szCs w:val="22"/>
        </w:rPr>
      </w:pPr>
      <w:hyperlink w:anchor="_Toc39065938" w:history="1">
        <w:r w:rsidR="00BF465B" w:rsidRPr="00CC05E8">
          <w:rPr>
            <w:rStyle w:val="Hyperlink"/>
            <w:noProof/>
          </w:rPr>
          <w:t>7.2 LDL-Cholesterol Levels and Covariates</w:t>
        </w:r>
        <w:r w:rsidR="00BF465B">
          <w:rPr>
            <w:noProof/>
            <w:webHidden/>
          </w:rPr>
          <w:tab/>
        </w:r>
        <w:r w:rsidR="00BF465B">
          <w:rPr>
            <w:noProof/>
            <w:webHidden/>
          </w:rPr>
          <w:fldChar w:fldCharType="begin"/>
        </w:r>
        <w:r w:rsidR="00BF465B">
          <w:rPr>
            <w:noProof/>
            <w:webHidden/>
          </w:rPr>
          <w:instrText xml:space="preserve"> PAGEREF _Toc39065938 \h </w:instrText>
        </w:r>
        <w:r w:rsidR="00BF465B">
          <w:rPr>
            <w:noProof/>
            <w:webHidden/>
          </w:rPr>
        </w:r>
        <w:r w:rsidR="00BF465B">
          <w:rPr>
            <w:noProof/>
            <w:webHidden/>
          </w:rPr>
          <w:fldChar w:fldCharType="separate"/>
        </w:r>
        <w:r w:rsidR="002A71A2">
          <w:rPr>
            <w:noProof/>
            <w:webHidden/>
          </w:rPr>
          <w:t>28</w:t>
        </w:r>
        <w:r w:rsidR="00BF465B">
          <w:rPr>
            <w:noProof/>
            <w:webHidden/>
          </w:rPr>
          <w:fldChar w:fldCharType="end"/>
        </w:r>
      </w:hyperlink>
    </w:p>
    <w:p w14:paraId="30B933BF" w14:textId="24D5F194" w:rsidR="00BF465B" w:rsidRDefault="00CA386F">
      <w:pPr>
        <w:pStyle w:val="TOC1"/>
        <w:rPr>
          <w:rFonts w:asciiTheme="minorHAnsi" w:eastAsiaTheme="minorEastAsia" w:hAnsiTheme="minorHAnsi" w:cstheme="minorBidi"/>
          <w:b w:val="0"/>
          <w:noProof/>
          <w:sz w:val="22"/>
          <w:szCs w:val="22"/>
        </w:rPr>
      </w:pPr>
      <w:hyperlink w:anchor="_Toc39065939" w:history="1">
        <w:r w:rsidR="00BF465B" w:rsidRPr="00CC05E8">
          <w:rPr>
            <w:rStyle w:val="Hyperlink"/>
            <w:noProof/>
          </w:rPr>
          <w:t>8.0 Results</w:t>
        </w:r>
        <w:r w:rsidR="00BF465B">
          <w:rPr>
            <w:noProof/>
            <w:webHidden/>
          </w:rPr>
          <w:tab/>
        </w:r>
        <w:r w:rsidR="00BF465B">
          <w:rPr>
            <w:noProof/>
            <w:webHidden/>
          </w:rPr>
          <w:fldChar w:fldCharType="begin"/>
        </w:r>
        <w:r w:rsidR="00BF465B">
          <w:rPr>
            <w:noProof/>
            <w:webHidden/>
          </w:rPr>
          <w:instrText xml:space="preserve"> PAGEREF _Toc39065939 \h </w:instrText>
        </w:r>
        <w:r w:rsidR="00BF465B">
          <w:rPr>
            <w:noProof/>
            <w:webHidden/>
          </w:rPr>
        </w:r>
        <w:r w:rsidR="00BF465B">
          <w:rPr>
            <w:noProof/>
            <w:webHidden/>
          </w:rPr>
          <w:fldChar w:fldCharType="separate"/>
        </w:r>
        <w:r w:rsidR="002A71A2">
          <w:rPr>
            <w:noProof/>
            <w:webHidden/>
          </w:rPr>
          <w:t>30</w:t>
        </w:r>
        <w:r w:rsidR="00BF465B">
          <w:rPr>
            <w:noProof/>
            <w:webHidden/>
          </w:rPr>
          <w:fldChar w:fldCharType="end"/>
        </w:r>
      </w:hyperlink>
    </w:p>
    <w:p w14:paraId="4C02EC98" w14:textId="52B8AA90" w:rsidR="00BF465B" w:rsidRDefault="00CA386F">
      <w:pPr>
        <w:pStyle w:val="TOC2"/>
        <w:rPr>
          <w:rFonts w:asciiTheme="minorHAnsi" w:eastAsiaTheme="minorEastAsia" w:hAnsiTheme="minorHAnsi" w:cstheme="minorBidi"/>
          <w:b w:val="0"/>
          <w:noProof/>
          <w:sz w:val="22"/>
          <w:szCs w:val="22"/>
        </w:rPr>
      </w:pPr>
      <w:hyperlink w:anchor="_Toc39065940" w:history="1">
        <w:r w:rsidR="00BF465B" w:rsidRPr="00CC05E8">
          <w:rPr>
            <w:rStyle w:val="Hyperlink"/>
            <w:noProof/>
          </w:rPr>
          <w:t>8.1 LDL-Cholesterol Level Analysis</w:t>
        </w:r>
        <w:r w:rsidR="00BF465B">
          <w:rPr>
            <w:noProof/>
            <w:webHidden/>
          </w:rPr>
          <w:tab/>
        </w:r>
        <w:r w:rsidR="00BF465B">
          <w:rPr>
            <w:noProof/>
            <w:webHidden/>
          </w:rPr>
          <w:fldChar w:fldCharType="begin"/>
        </w:r>
        <w:r w:rsidR="00BF465B">
          <w:rPr>
            <w:noProof/>
            <w:webHidden/>
          </w:rPr>
          <w:instrText xml:space="preserve"> PAGEREF _Toc39065940 \h </w:instrText>
        </w:r>
        <w:r w:rsidR="00BF465B">
          <w:rPr>
            <w:noProof/>
            <w:webHidden/>
          </w:rPr>
        </w:r>
        <w:r w:rsidR="00BF465B">
          <w:rPr>
            <w:noProof/>
            <w:webHidden/>
          </w:rPr>
          <w:fldChar w:fldCharType="separate"/>
        </w:r>
        <w:r w:rsidR="002A71A2">
          <w:rPr>
            <w:noProof/>
            <w:webHidden/>
          </w:rPr>
          <w:t>30</w:t>
        </w:r>
        <w:r w:rsidR="00BF465B">
          <w:rPr>
            <w:noProof/>
            <w:webHidden/>
          </w:rPr>
          <w:fldChar w:fldCharType="end"/>
        </w:r>
      </w:hyperlink>
    </w:p>
    <w:p w14:paraId="273B64A1" w14:textId="35254EC6" w:rsidR="00BF465B" w:rsidRDefault="00CA386F">
      <w:pPr>
        <w:pStyle w:val="TOC2"/>
        <w:rPr>
          <w:rFonts w:asciiTheme="minorHAnsi" w:eastAsiaTheme="minorEastAsia" w:hAnsiTheme="minorHAnsi" w:cstheme="minorBidi"/>
          <w:b w:val="0"/>
          <w:noProof/>
          <w:sz w:val="22"/>
          <w:szCs w:val="22"/>
        </w:rPr>
      </w:pPr>
      <w:hyperlink w:anchor="_Toc39065941" w:history="1">
        <w:r w:rsidR="00BF465B" w:rsidRPr="00CC05E8">
          <w:rPr>
            <w:rStyle w:val="Hyperlink"/>
            <w:noProof/>
          </w:rPr>
          <w:t>8.2 Association Between LDL-Cholesterol and Covariates</w:t>
        </w:r>
        <w:r w:rsidR="00BF465B">
          <w:rPr>
            <w:noProof/>
            <w:webHidden/>
          </w:rPr>
          <w:tab/>
        </w:r>
        <w:r w:rsidR="00BF465B">
          <w:rPr>
            <w:noProof/>
            <w:webHidden/>
          </w:rPr>
          <w:fldChar w:fldCharType="begin"/>
        </w:r>
        <w:r w:rsidR="00BF465B">
          <w:rPr>
            <w:noProof/>
            <w:webHidden/>
          </w:rPr>
          <w:instrText xml:space="preserve"> PAGEREF _Toc39065941 \h </w:instrText>
        </w:r>
        <w:r w:rsidR="00BF465B">
          <w:rPr>
            <w:noProof/>
            <w:webHidden/>
          </w:rPr>
        </w:r>
        <w:r w:rsidR="00BF465B">
          <w:rPr>
            <w:noProof/>
            <w:webHidden/>
          </w:rPr>
          <w:fldChar w:fldCharType="separate"/>
        </w:r>
        <w:r w:rsidR="002A71A2">
          <w:rPr>
            <w:noProof/>
            <w:webHidden/>
          </w:rPr>
          <w:t>32</w:t>
        </w:r>
        <w:r w:rsidR="00BF465B">
          <w:rPr>
            <w:noProof/>
            <w:webHidden/>
          </w:rPr>
          <w:fldChar w:fldCharType="end"/>
        </w:r>
      </w:hyperlink>
    </w:p>
    <w:p w14:paraId="2C902D10" w14:textId="4179F7E2" w:rsidR="00BF465B" w:rsidRDefault="00CA386F">
      <w:pPr>
        <w:pStyle w:val="TOC2"/>
        <w:rPr>
          <w:rFonts w:asciiTheme="minorHAnsi" w:eastAsiaTheme="minorEastAsia" w:hAnsiTheme="minorHAnsi" w:cstheme="minorBidi"/>
          <w:b w:val="0"/>
          <w:noProof/>
          <w:sz w:val="22"/>
          <w:szCs w:val="22"/>
        </w:rPr>
      </w:pPr>
      <w:hyperlink w:anchor="_Toc39065942" w:history="1">
        <w:r w:rsidR="00BF465B" w:rsidRPr="00CC05E8">
          <w:rPr>
            <w:rStyle w:val="Hyperlink"/>
            <w:noProof/>
          </w:rPr>
          <w:t>8.3 LDLR, APOB, and PCSK9 Analysis</w:t>
        </w:r>
        <w:r w:rsidR="00BF465B">
          <w:rPr>
            <w:noProof/>
            <w:webHidden/>
          </w:rPr>
          <w:tab/>
        </w:r>
        <w:r w:rsidR="00BF465B">
          <w:rPr>
            <w:noProof/>
            <w:webHidden/>
          </w:rPr>
          <w:fldChar w:fldCharType="begin"/>
        </w:r>
        <w:r w:rsidR="00BF465B">
          <w:rPr>
            <w:noProof/>
            <w:webHidden/>
          </w:rPr>
          <w:instrText xml:space="preserve"> PAGEREF _Toc39065942 \h </w:instrText>
        </w:r>
        <w:r w:rsidR="00BF465B">
          <w:rPr>
            <w:noProof/>
            <w:webHidden/>
          </w:rPr>
        </w:r>
        <w:r w:rsidR="00BF465B">
          <w:rPr>
            <w:noProof/>
            <w:webHidden/>
          </w:rPr>
          <w:fldChar w:fldCharType="separate"/>
        </w:r>
        <w:r w:rsidR="002A71A2">
          <w:rPr>
            <w:noProof/>
            <w:webHidden/>
          </w:rPr>
          <w:t>33</w:t>
        </w:r>
        <w:r w:rsidR="00BF465B">
          <w:rPr>
            <w:noProof/>
            <w:webHidden/>
          </w:rPr>
          <w:fldChar w:fldCharType="end"/>
        </w:r>
      </w:hyperlink>
    </w:p>
    <w:p w14:paraId="321D779C" w14:textId="27D314D4" w:rsidR="00BF465B" w:rsidRDefault="00CA386F">
      <w:pPr>
        <w:pStyle w:val="TOC2"/>
        <w:rPr>
          <w:rFonts w:asciiTheme="minorHAnsi" w:eastAsiaTheme="minorEastAsia" w:hAnsiTheme="minorHAnsi" w:cstheme="minorBidi"/>
          <w:b w:val="0"/>
          <w:noProof/>
          <w:sz w:val="22"/>
          <w:szCs w:val="22"/>
        </w:rPr>
      </w:pPr>
      <w:hyperlink w:anchor="_Toc39065943" w:history="1">
        <w:r w:rsidR="00BF465B" w:rsidRPr="00CC05E8">
          <w:rPr>
            <w:rStyle w:val="Hyperlink"/>
            <w:noProof/>
          </w:rPr>
          <w:t>8.4 Matched Variants and LDL-Cholesterol Levels</w:t>
        </w:r>
        <w:r w:rsidR="00BF465B">
          <w:rPr>
            <w:noProof/>
            <w:webHidden/>
          </w:rPr>
          <w:tab/>
        </w:r>
        <w:r w:rsidR="00BF465B">
          <w:rPr>
            <w:noProof/>
            <w:webHidden/>
          </w:rPr>
          <w:fldChar w:fldCharType="begin"/>
        </w:r>
        <w:r w:rsidR="00BF465B">
          <w:rPr>
            <w:noProof/>
            <w:webHidden/>
          </w:rPr>
          <w:instrText xml:space="preserve"> PAGEREF _Toc39065943 \h </w:instrText>
        </w:r>
        <w:r w:rsidR="00BF465B">
          <w:rPr>
            <w:noProof/>
            <w:webHidden/>
          </w:rPr>
        </w:r>
        <w:r w:rsidR="00BF465B">
          <w:rPr>
            <w:noProof/>
            <w:webHidden/>
          </w:rPr>
          <w:fldChar w:fldCharType="separate"/>
        </w:r>
        <w:r w:rsidR="002A71A2">
          <w:rPr>
            <w:noProof/>
            <w:webHidden/>
          </w:rPr>
          <w:t>35</w:t>
        </w:r>
        <w:r w:rsidR="00BF465B">
          <w:rPr>
            <w:noProof/>
            <w:webHidden/>
          </w:rPr>
          <w:fldChar w:fldCharType="end"/>
        </w:r>
      </w:hyperlink>
    </w:p>
    <w:p w14:paraId="2F826960" w14:textId="1C846934" w:rsidR="00BF465B" w:rsidRDefault="00CA386F">
      <w:pPr>
        <w:pStyle w:val="TOC1"/>
        <w:rPr>
          <w:rFonts w:asciiTheme="minorHAnsi" w:eastAsiaTheme="minorEastAsia" w:hAnsiTheme="minorHAnsi" w:cstheme="minorBidi"/>
          <w:b w:val="0"/>
          <w:noProof/>
          <w:sz w:val="22"/>
          <w:szCs w:val="22"/>
        </w:rPr>
      </w:pPr>
      <w:hyperlink w:anchor="_Toc39065944" w:history="1">
        <w:r w:rsidR="00BF465B" w:rsidRPr="00CC05E8">
          <w:rPr>
            <w:rStyle w:val="Hyperlink"/>
            <w:noProof/>
          </w:rPr>
          <w:t>9.0 Conclusion</w:t>
        </w:r>
        <w:r w:rsidR="00BF465B">
          <w:rPr>
            <w:noProof/>
            <w:webHidden/>
          </w:rPr>
          <w:tab/>
        </w:r>
        <w:r w:rsidR="00BF465B">
          <w:rPr>
            <w:noProof/>
            <w:webHidden/>
          </w:rPr>
          <w:fldChar w:fldCharType="begin"/>
        </w:r>
        <w:r w:rsidR="00BF465B">
          <w:rPr>
            <w:noProof/>
            <w:webHidden/>
          </w:rPr>
          <w:instrText xml:space="preserve"> PAGEREF _Toc39065944 \h </w:instrText>
        </w:r>
        <w:r w:rsidR="00BF465B">
          <w:rPr>
            <w:noProof/>
            <w:webHidden/>
          </w:rPr>
        </w:r>
        <w:r w:rsidR="00BF465B">
          <w:rPr>
            <w:noProof/>
            <w:webHidden/>
          </w:rPr>
          <w:fldChar w:fldCharType="separate"/>
        </w:r>
        <w:r w:rsidR="002A71A2">
          <w:rPr>
            <w:noProof/>
            <w:webHidden/>
          </w:rPr>
          <w:t>38</w:t>
        </w:r>
        <w:r w:rsidR="00BF465B">
          <w:rPr>
            <w:noProof/>
            <w:webHidden/>
          </w:rPr>
          <w:fldChar w:fldCharType="end"/>
        </w:r>
      </w:hyperlink>
    </w:p>
    <w:p w14:paraId="39114937" w14:textId="7BAD3CEF" w:rsidR="00BF465B" w:rsidRDefault="00CA386F">
      <w:pPr>
        <w:pStyle w:val="TOC2"/>
        <w:rPr>
          <w:rFonts w:asciiTheme="minorHAnsi" w:eastAsiaTheme="minorEastAsia" w:hAnsiTheme="minorHAnsi" w:cstheme="minorBidi"/>
          <w:b w:val="0"/>
          <w:noProof/>
          <w:sz w:val="22"/>
          <w:szCs w:val="22"/>
        </w:rPr>
      </w:pPr>
      <w:hyperlink w:anchor="_Toc39065945" w:history="1">
        <w:r w:rsidR="00BF465B" w:rsidRPr="00CC05E8">
          <w:rPr>
            <w:rStyle w:val="Hyperlink"/>
            <w:noProof/>
          </w:rPr>
          <w:t>9.1 Public Health Significance</w:t>
        </w:r>
        <w:r w:rsidR="00BF465B">
          <w:rPr>
            <w:noProof/>
            <w:webHidden/>
          </w:rPr>
          <w:tab/>
        </w:r>
        <w:r w:rsidR="00BF465B">
          <w:rPr>
            <w:noProof/>
            <w:webHidden/>
          </w:rPr>
          <w:fldChar w:fldCharType="begin"/>
        </w:r>
        <w:r w:rsidR="00BF465B">
          <w:rPr>
            <w:noProof/>
            <w:webHidden/>
          </w:rPr>
          <w:instrText xml:space="preserve"> PAGEREF _Toc39065945 \h </w:instrText>
        </w:r>
        <w:r w:rsidR="00BF465B">
          <w:rPr>
            <w:noProof/>
            <w:webHidden/>
          </w:rPr>
        </w:r>
        <w:r w:rsidR="00BF465B">
          <w:rPr>
            <w:noProof/>
            <w:webHidden/>
          </w:rPr>
          <w:fldChar w:fldCharType="separate"/>
        </w:r>
        <w:r w:rsidR="002A71A2">
          <w:rPr>
            <w:noProof/>
            <w:webHidden/>
          </w:rPr>
          <w:t>41</w:t>
        </w:r>
        <w:r w:rsidR="00BF465B">
          <w:rPr>
            <w:noProof/>
            <w:webHidden/>
          </w:rPr>
          <w:fldChar w:fldCharType="end"/>
        </w:r>
      </w:hyperlink>
    </w:p>
    <w:p w14:paraId="67328571" w14:textId="7E39F1A2" w:rsidR="00BF465B" w:rsidRDefault="00CA386F">
      <w:pPr>
        <w:pStyle w:val="TOC1"/>
        <w:rPr>
          <w:rFonts w:asciiTheme="minorHAnsi" w:eastAsiaTheme="minorEastAsia" w:hAnsiTheme="minorHAnsi" w:cstheme="minorBidi"/>
          <w:b w:val="0"/>
          <w:noProof/>
          <w:sz w:val="22"/>
          <w:szCs w:val="22"/>
        </w:rPr>
      </w:pPr>
      <w:hyperlink w:anchor="_Toc39065946" w:history="1">
        <w:r w:rsidR="00BF465B" w:rsidRPr="00CC05E8">
          <w:rPr>
            <w:rStyle w:val="Hyperlink"/>
            <w:noProof/>
          </w:rPr>
          <w:t>Bibliography</w:t>
        </w:r>
        <w:r w:rsidR="00BF465B">
          <w:rPr>
            <w:noProof/>
            <w:webHidden/>
          </w:rPr>
          <w:tab/>
        </w:r>
        <w:r w:rsidR="00BF465B">
          <w:rPr>
            <w:noProof/>
            <w:webHidden/>
          </w:rPr>
          <w:fldChar w:fldCharType="begin"/>
        </w:r>
        <w:r w:rsidR="00BF465B">
          <w:rPr>
            <w:noProof/>
            <w:webHidden/>
          </w:rPr>
          <w:instrText xml:space="preserve"> PAGEREF _Toc39065946 \h </w:instrText>
        </w:r>
        <w:r w:rsidR="00BF465B">
          <w:rPr>
            <w:noProof/>
            <w:webHidden/>
          </w:rPr>
        </w:r>
        <w:r w:rsidR="00BF465B">
          <w:rPr>
            <w:noProof/>
            <w:webHidden/>
          </w:rPr>
          <w:fldChar w:fldCharType="separate"/>
        </w:r>
        <w:r w:rsidR="002A71A2">
          <w:rPr>
            <w:noProof/>
            <w:webHidden/>
          </w:rPr>
          <w:t>43</w:t>
        </w:r>
        <w:r w:rsidR="00BF465B">
          <w:rPr>
            <w:noProof/>
            <w:webHidden/>
          </w:rPr>
          <w:fldChar w:fldCharType="end"/>
        </w:r>
      </w:hyperlink>
    </w:p>
    <w:p w14:paraId="5FB9C318" w14:textId="78E244D8" w:rsidR="00CB03F9" w:rsidRDefault="00A8146F" w:rsidP="00905848">
      <w:pPr>
        <w:pStyle w:val="Preliminary"/>
      </w:pPr>
      <w:r>
        <w:rPr>
          <w:rFonts w:cs="Times New Roman"/>
        </w:rPr>
        <w:lastRenderedPageBreak/>
        <w:fldChar w:fldCharType="end"/>
      </w:r>
      <w:r w:rsidR="00CB03F9">
        <w:t xml:space="preserve">List of </w:t>
      </w:r>
      <w:r w:rsidR="00130B6B">
        <w:t>T</w:t>
      </w:r>
      <w:r w:rsidR="00CB03F9" w:rsidRPr="00B424B6">
        <w:t>ables</w:t>
      </w:r>
    </w:p>
    <w:p w14:paraId="18AE02E7" w14:textId="29F59D07" w:rsidR="00BF465B" w:rsidRDefault="00CB03F9">
      <w:pPr>
        <w:pStyle w:val="TableofFigures"/>
        <w:tabs>
          <w:tab w:val="right" w:leader="dot" w:pos="9350"/>
        </w:tabs>
        <w:rPr>
          <w:rFonts w:asciiTheme="minorHAnsi" w:eastAsiaTheme="minorEastAsia" w:hAnsiTheme="minorHAnsi" w:cstheme="minorBidi"/>
          <w:b w:val="0"/>
          <w:noProof/>
          <w:sz w:val="22"/>
          <w:szCs w:val="22"/>
        </w:rPr>
      </w:pPr>
      <w:r>
        <w:fldChar w:fldCharType="begin"/>
      </w:r>
      <w:r>
        <w:instrText xml:space="preserve"> TOC \h \z \c "Table" </w:instrText>
      </w:r>
      <w:r>
        <w:fldChar w:fldCharType="separate"/>
      </w:r>
      <w:hyperlink w:anchor="_Toc39065947" w:history="1">
        <w:r w:rsidR="00BF465B" w:rsidRPr="00FC23DD">
          <w:rPr>
            <w:rStyle w:val="Hyperlink"/>
            <w:noProof/>
          </w:rPr>
          <w:t>Table 1. Comparison of FH Diagnostic Criterias Tools</w:t>
        </w:r>
        <w:r w:rsidR="00BF465B">
          <w:rPr>
            <w:noProof/>
            <w:webHidden/>
          </w:rPr>
          <w:tab/>
        </w:r>
        <w:r w:rsidR="00BF465B">
          <w:rPr>
            <w:noProof/>
            <w:webHidden/>
          </w:rPr>
          <w:fldChar w:fldCharType="begin"/>
        </w:r>
        <w:r w:rsidR="00BF465B">
          <w:rPr>
            <w:noProof/>
            <w:webHidden/>
          </w:rPr>
          <w:instrText xml:space="preserve"> PAGEREF _Toc39065947 \h </w:instrText>
        </w:r>
        <w:r w:rsidR="00BF465B">
          <w:rPr>
            <w:noProof/>
            <w:webHidden/>
          </w:rPr>
        </w:r>
        <w:r w:rsidR="00BF465B">
          <w:rPr>
            <w:noProof/>
            <w:webHidden/>
          </w:rPr>
          <w:fldChar w:fldCharType="separate"/>
        </w:r>
        <w:r w:rsidR="002A71A2">
          <w:rPr>
            <w:noProof/>
            <w:webHidden/>
          </w:rPr>
          <w:t>5</w:t>
        </w:r>
        <w:r w:rsidR="00BF465B">
          <w:rPr>
            <w:noProof/>
            <w:webHidden/>
          </w:rPr>
          <w:fldChar w:fldCharType="end"/>
        </w:r>
      </w:hyperlink>
    </w:p>
    <w:p w14:paraId="66B22072" w14:textId="662EE550" w:rsidR="00BF465B" w:rsidRDefault="00CA386F">
      <w:pPr>
        <w:pStyle w:val="TableofFigures"/>
        <w:tabs>
          <w:tab w:val="right" w:leader="dot" w:pos="9350"/>
        </w:tabs>
        <w:rPr>
          <w:rFonts w:asciiTheme="minorHAnsi" w:eastAsiaTheme="minorEastAsia" w:hAnsiTheme="minorHAnsi" w:cstheme="minorBidi"/>
          <w:b w:val="0"/>
          <w:noProof/>
          <w:sz w:val="22"/>
          <w:szCs w:val="22"/>
        </w:rPr>
      </w:pPr>
      <w:hyperlink w:anchor="_Toc39065948" w:history="1">
        <w:r w:rsidR="00BF465B" w:rsidRPr="00FC23DD">
          <w:rPr>
            <w:rStyle w:val="Hyperlink"/>
            <w:noProof/>
          </w:rPr>
          <w:t>Table 2. Prevalence of FH by Continental Populations</w:t>
        </w:r>
        <w:r w:rsidR="00BF465B">
          <w:rPr>
            <w:noProof/>
            <w:webHidden/>
          </w:rPr>
          <w:tab/>
        </w:r>
        <w:r w:rsidR="00BF465B">
          <w:rPr>
            <w:noProof/>
            <w:webHidden/>
          </w:rPr>
          <w:fldChar w:fldCharType="begin"/>
        </w:r>
        <w:r w:rsidR="00BF465B">
          <w:rPr>
            <w:noProof/>
            <w:webHidden/>
          </w:rPr>
          <w:instrText xml:space="preserve"> PAGEREF _Toc39065948 \h </w:instrText>
        </w:r>
        <w:r w:rsidR="00BF465B">
          <w:rPr>
            <w:noProof/>
            <w:webHidden/>
          </w:rPr>
        </w:r>
        <w:r w:rsidR="00BF465B">
          <w:rPr>
            <w:noProof/>
            <w:webHidden/>
          </w:rPr>
          <w:fldChar w:fldCharType="separate"/>
        </w:r>
        <w:r w:rsidR="002A71A2">
          <w:rPr>
            <w:noProof/>
            <w:webHidden/>
          </w:rPr>
          <w:t>6</w:t>
        </w:r>
        <w:r w:rsidR="00BF465B">
          <w:rPr>
            <w:noProof/>
            <w:webHidden/>
          </w:rPr>
          <w:fldChar w:fldCharType="end"/>
        </w:r>
      </w:hyperlink>
    </w:p>
    <w:p w14:paraId="5A93AF05" w14:textId="5D3CDCA4" w:rsidR="00BF465B" w:rsidRDefault="00CA386F">
      <w:pPr>
        <w:pStyle w:val="TableofFigures"/>
        <w:tabs>
          <w:tab w:val="right" w:leader="dot" w:pos="9350"/>
        </w:tabs>
        <w:rPr>
          <w:rFonts w:asciiTheme="minorHAnsi" w:eastAsiaTheme="minorEastAsia" w:hAnsiTheme="minorHAnsi" w:cstheme="minorBidi"/>
          <w:b w:val="0"/>
          <w:noProof/>
          <w:sz w:val="22"/>
          <w:szCs w:val="22"/>
        </w:rPr>
      </w:pPr>
      <w:hyperlink w:anchor="_Toc39065949" w:history="1">
        <w:r w:rsidR="00BF465B" w:rsidRPr="00FC23DD">
          <w:rPr>
            <w:rStyle w:val="Hyperlink"/>
            <w:noProof/>
          </w:rPr>
          <w:t>Table 3. Select Characteristics of Samoan Sample Population Stratifed by BMI Categories</w:t>
        </w:r>
        <w:r w:rsidR="00BF465B">
          <w:rPr>
            <w:noProof/>
            <w:webHidden/>
          </w:rPr>
          <w:tab/>
        </w:r>
        <w:r w:rsidR="00BF465B">
          <w:rPr>
            <w:noProof/>
            <w:webHidden/>
          </w:rPr>
          <w:fldChar w:fldCharType="begin"/>
        </w:r>
        <w:r w:rsidR="00BF465B">
          <w:rPr>
            <w:noProof/>
            <w:webHidden/>
          </w:rPr>
          <w:instrText xml:space="preserve"> PAGEREF _Toc39065949 \h </w:instrText>
        </w:r>
        <w:r w:rsidR="00BF465B">
          <w:rPr>
            <w:noProof/>
            <w:webHidden/>
          </w:rPr>
        </w:r>
        <w:r w:rsidR="00BF465B">
          <w:rPr>
            <w:noProof/>
            <w:webHidden/>
          </w:rPr>
          <w:fldChar w:fldCharType="separate"/>
        </w:r>
        <w:r w:rsidR="002A71A2">
          <w:rPr>
            <w:noProof/>
            <w:webHidden/>
          </w:rPr>
          <w:t>23</w:t>
        </w:r>
        <w:r w:rsidR="00BF465B">
          <w:rPr>
            <w:noProof/>
            <w:webHidden/>
          </w:rPr>
          <w:fldChar w:fldCharType="end"/>
        </w:r>
      </w:hyperlink>
    </w:p>
    <w:p w14:paraId="6EAE4B73" w14:textId="5028EC3C" w:rsidR="00BF465B" w:rsidRDefault="00CA386F">
      <w:pPr>
        <w:pStyle w:val="TableofFigures"/>
        <w:tabs>
          <w:tab w:val="right" w:leader="dot" w:pos="9350"/>
        </w:tabs>
        <w:rPr>
          <w:rFonts w:asciiTheme="minorHAnsi" w:eastAsiaTheme="minorEastAsia" w:hAnsiTheme="minorHAnsi" w:cstheme="minorBidi"/>
          <w:b w:val="0"/>
          <w:noProof/>
          <w:sz w:val="22"/>
          <w:szCs w:val="22"/>
        </w:rPr>
      </w:pPr>
      <w:hyperlink w:anchor="_Toc39065950" w:history="1">
        <w:r w:rsidR="00BF465B" w:rsidRPr="00FC23DD">
          <w:rPr>
            <w:rStyle w:val="Hyperlink"/>
            <w:noProof/>
          </w:rPr>
          <w:t>Table 4. Known FH Pathogenic Risk Variants in PCSK9, APOB, and LDLR from NCBI Variation Viewer</w:t>
        </w:r>
        <w:r w:rsidR="00BF465B">
          <w:rPr>
            <w:noProof/>
            <w:webHidden/>
          </w:rPr>
          <w:tab/>
        </w:r>
        <w:r w:rsidR="00BF465B">
          <w:rPr>
            <w:noProof/>
            <w:webHidden/>
          </w:rPr>
          <w:fldChar w:fldCharType="begin"/>
        </w:r>
        <w:r w:rsidR="00BF465B">
          <w:rPr>
            <w:noProof/>
            <w:webHidden/>
          </w:rPr>
          <w:instrText xml:space="preserve"> PAGEREF _Toc39065950 \h </w:instrText>
        </w:r>
        <w:r w:rsidR="00BF465B">
          <w:rPr>
            <w:noProof/>
            <w:webHidden/>
          </w:rPr>
        </w:r>
        <w:r w:rsidR="00BF465B">
          <w:rPr>
            <w:noProof/>
            <w:webHidden/>
          </w:rPr>
          <w:fldChar w:fldCharType="separate"/>
        </w:r>
        <w:r w:rsidR="002A71A2">
          <w:rPr>
            <w:noProof/>
            <w:webHidden/>
          </w:rPr>
          <w:t>27</w:t>
        </w:r>
        <w:r w:rsidR="00BF465B">
          <w:rPr>
            <w:noProof/>
            <w:webHidden/>
          </w:rPr>
          <w:fldChar w:fldCharType="end"/>
        </w:r>
      </w:hyperlink>
    </w:p>
    <w:p w14:paraId="2F91658D" w14:textId="6E2A310C" w:rsidR="00BF465B" w:rsidRDefault="00CA386F">
      <w:pPr>
        <w:pStyle w:val="TableofFigures"/>
        <w:tabs>
          <w:tab w:val="right" w:leader="dot" w:pos="9350"/>
        </w:tabs>
        <w:rPr>
          <w:rFonts w:asciiTheme="minorHAnsi" w:eastAsiaTheme="minorEastAsia" w:hAnsiTheme="minorHAnsi" w:cstheme="minorBidi"/>
          <w:b w:val="0"/>
          <w:noProof/>
          <w:sz w:val="22"/>
          <w:szCs w:val="22"/>
        </w:rPr>
      </w:pPr>
      <w:hyperlink w:anchor="_Toc39065951" w:history="1">
        <w:r w:rsidR="00BF465B" w:rsidRPr="00FC23DD">
          <w:rPr>
            <w:rStyle w:val="Hyperlink"/>
            <w:noProof/>
          </w:rPr>
          <w:t>Table 5. Impact of Variants Found in LDLR, APOB, and PCSK9 From Samoan Dataset</w:t>
        </w:r>
        <w:r w:rsidR="00BF465B">
          <w:rPr>
            <w:noProof/>
            <w:webHidden/>
          </w:rPr>
          <w:tab/>
        </w:r>
        <w:r w:rsidR="00BF465B">
          <w:rPr>
            <w:noProof/>
            <w:webHidden/>
          </w:rPr>
          <w:fldChar w:fldCharType="begin"/>
        </w:r>
        <w:r w:rsidR="00BF465B">
          <w:rPr>
            <w:noProof/>
            <w:webHidden/>
          </w:rPr>
          <w:instrText xml:space="preserve"> PAGEREF _Toc39065951 \h </w:instrText>
        </w:r>
        <w:r w:rsidR="00BF465B">
          <w:rPr>
            <w:noProof/>
            <w:webHidden/>
          </w:rPr>
        </w:r>
        <w:r w:rsidR="00BF465B">
          <w:rPr>
            <w:noProof/>
            <w:webHidden/>
          </w:rPr>
          <w:fldChar w:fldCharType="separate"/>
        </w:r>
        <w:r w:rsidR="002A71A2">
          <w:rPr>
            <w:noProof/>
            <w:webHidden/>
          </w:rPr>
          <w:t>28</w:t>
        </w:r>
        <w:r w:rsidR="00BF465B">
          <w:rPr>
            <w:noProof/>
            <w:webHidden/>
          </w:rPr>
          <w:fldChar w:fldCharType="end"/>
        </w:r>
      </w:hyperlink>
    </w:p>
    <w:p w14:paraId="77F1A5EA" w14:textId="5246A707" w:rsidR="00BF465B" w:rsidRDefault="00CA386F">
      <w:pPr>
        <w:pStyle w:val="TableofFigures"/>
        <w:tabs>
          <w:tab w:val="right" w:leader="dot" w:pos="9350"/>
        </w:tabs>
        <w:rPr>
          <w:rFonts w:asciiTheme="minorHAnsi" w:eastAsiaTheme="minorEastAsia" w:hAnsiTheme="minorHAnsi" w:cstheme="minorBidi"/>
          <w:b w:val="0"/>
          <w:noProof/>
          <w:sz w:val="22"/>
          <w:szCs w:val="22"/>
        </w:rPr>
      </w:pPr>
      <w:hyperlink w:anchor="_Toc39065952" w:history="1">
        <w:r w:rsidR="00BF465B" w:rsidRPr="00FC23DD">
          <w:rPr>
            <w:rStyle w:val="Hyperlink"/>
            <w:noProof/>
          </w:rPr>
          <w:t>Table 6. Mean Cholesterol Levels Between BMI Categories</w:t>
        </w:r>
        <w:r w:rsidR="00BF465B">
          <w:rPr>
            <w:noProof/>
            <w:webHidden/>
          </w:rPr>
          <w:tab/>
        </w:r>
        <w:r w:rsidR="00BF465B">
          <w:rPr>
            <w:noProof/>
            <w:webHidden/>
          </w:rPr>
          <w:fldChar w:fldCharType="begin"/>
        </w:r>
        <w:r w:rsidR="00BF465B">
          <w:rPr>
            <w:noProof/>
            <w:webHidden/>
          </w:rPr>
          <w:instrText xml:space="preserve"> PAGEREF _Toc39065952 \h </w:instrText>
        </w:r>
        <w:r w:rsidR="00BF465B">
          <w:rPr>
            <w:noProof/>
            <w:webHidden/>
          </w:rPr>
        </w:r>
        <w:r w:rsidR="00BF465B">
          <w:rPr>
            <w:noProof/>
            <w:webHidden/>
          </w:rPr>
          <w:fldChar w:fldCharType="separate"/>
        </w:r>
        <w:r w:rsidR="002A71A2">
          <w:rPr>
            <w:noProof/>
            <w:webHidden/>
          </w:rPr>
          <w:t>31</w:t>
        </w:r>
        <w:r w:rsidR="00BF465B">
          <w:rPr>
            <w:noProof/>
            <w:webHidden/>
          </w:rPr>
          <w:fldChar w:fldCharType="end"/>
        </w:r>
      </w:hyperlink>
    </w:p>
    <w:p w14:paraId="0C76FE18" w14:textId="5F0CA05C" w:rsidR="00BF465B" w:rsidRDefault="00CA386F">
      <w:pPr>
        <w:pStyle w:val="TableofFigures"/>
        <w:tabs>
          <w:tab w:val="right" w:leader="dot" w:pos="9350"/>
        </w:tabs>
        <w:rPr>
          <w:rFonts w:asciiTheme="minorHAnsi" w:eastAsiaTheme="minorEastAsia" w:hAnsiTheme="minorHAnsi" w:cstheme="minorBidi"/>
          <w:b w:val="0"/>
          <w:noProof/>
          <w:sz w:val="22"/>
          <w:szCs w:val="22"/>
        </w:rPr>
      </w:pPr>
      <w:hyperlink w:anchor="_Toc39065953" w:history="1">
        <w:r w:rsidR="00BF465B" w:rsidRPr="00FC23DD">
          <w:rPr>
            <w:rStyle w:val="Hyperlink"/>
            <w:noProof/>
          </w:rPr>
          <w:t>Table 7. Linear Regression Analysis of Covariates on LDL-Cholesterol Levels</w:t>
        </w:r>
        <w:r w:rsidR="00BF465B">
          <w:rPr>
            <w:noProof/>
            <w:webHidden/>
          </w:rPr>
          <w:tab/>
        </w:r>
        <w:r w:rsidR="00BF465B">
          <w:rPr>
            <w:noProof/>
            <w:webHidden/>
          </w:rPr>
          <w:fldChar w:fldCharType="begin"/>
        </w:r>
        <w:r w:rsidR="00BF465B">
          <w:rPr>
            <w:noProof/>
            <w:webHidden/>
          </w:rPr>
          <w:instrText xml:space="preserve"> PAGEREF _Toc39065953 \h </w:instrText>
        </w:r>
        <w:r w:rsidR="00BF465B">
          <w:rPr>
            <w:noProof/>
            <w:webHidden/>
          </w:rPr>
        </w:r>
        <w:r w:rsidR="00BF465B">
          <w:rPr>
            <w:noProof/>
            <w:webHidden/>
          </w:rPr>
          <w:fldChar w:fldCharType="separate"/>
        </w:r>
        <w:r w:rsidR="002A71A2">
          <w:rPr>
            <w:noProof/>
            <w:webHidden/>
          </w:rPr>
          <w:t>33</w:t>
        </w:r>
        <w:r w:rsidR="00BF465B">
          <w:rPr>
            <w:noProof/>
            <w:webHidden/>
          </w:rPr>
          <w:fldChar w:fldCharType="end"/>
        </w:r>
      </w:hyperlink>
    </w:p>
    <w:p w14:paraId="4BFE8A67" w14:textId="3FEABA5E" w:rsidR="00BF465B" w:rsidRDefault="00CA386F">
      <w:pPr>
        <w:pStyle w:val="TableofFigures"/>
        <w:tabs>
          <w:tab w:val="right" w:leader="dot" w:pos="9350"/>
        </w:tabs>
        <w:rPr>
          <w:rFonts w:asciiTheme="minorHAnsi" w:eastAsiaTheme="minorEastAsia" w:hAnsiTheme="minorHAnsi" w:cstheme="minorBidi"/>
          <w:b w:val="0"/>
          <w:noProof/>
          <w:sz w:val="22"/>
          <w:szCs w:val="22"/>
        </w:rPr>
      </w:pPr>
      <w:hyperlink w:anchor="_Toc39065954" w:history="1">
        <w:r w:rsidR="00BF465B" w:rsidRPr="00FC23DD">
          <w:rPr>
            <w:rStyle w:val="Hyperlink"/>
            <w:noProof/>
          </w:rPr>
          <w:t>Table 8. Matched Variants in LDLR</w:t>
        </w:r>
        <w:r w:rsidR="00BF465B">
          <w:rPr>
            <w:noProof/>
            <w:webHidden/>
          </w:rPr>
          <w:tab/>
        </w:r>
        <w:r w:rsidR="00BF465B">
          <w:rPr>
            <w:noProof/>
            <w:webHidden/>
          </w:rPr>
          <w:fldChar w:fldCharType="begin"/>
        </w:r>
        <w:r w:rsidR="00BF465B">
          <w:rPr>
            <w:noProof/>
            <w:webHidden/>
          </w:rPr>
          <w:instrText xml:space="preserve"> PAGEREF _Toc39065954 \h </w:instrText>
        </w:r>
        <w:r w:rsidR="00BF465B">
          <w:rPr>
            <w:noProof/>
            <w:webHidden/>
          </w:rPr>
        </w:r>
        <w:r w:rsidR="00BF465B">
          <w:rPr>
            <w:noProof/>
            <w:webHidden/>
          </w:rPr>
          <w:fldChar w:fldCharType="separate"/>
        </w:r>
        <w:r w:rsidR="002A71A2">
          <w:rPr>
            <w:noProof/>
            <w:webHidden/>
          </w:rPr>
          <w:t>34</w:t>
        </w:r>
        <w:r w:rsidR="00BF465B">
          <w:rPr>
            <w:noProof/>
            <w:webHidden/>
          </w:rPr>
          <w:fldChar w:fldCharType="end"/>
        </w:r>
      </w:hyperlink>
    </w:p>
    <w:p w14:paraId="7F106748" w14:textId="33B7B3B9" w:rsidR="00BF465B" w:rsidRDefault="00CA386F">
      <w:pPr>
        <w:pStyle w:val="TableofFigures"/>
        <w:tabs>
          <w:tab w:val="right" w:leader="dot" w:pos="9350"/>
        </w:tabs>
        <w:rPr>
          <w:rFonts w:asciiTheme="minorHAnsi" w:eastAsiaTheme="minorEastAsia" w:hAnsiTheme="minorHAnsi" w:cstheme="minorBidi"/>
          <w:b w:val="0"/>
          <w:noProof/>
          <w:sz w:val="22"/>
          <w:szCs w:val="22"/>
        </w:rPr>
      </w:pPr>
      <w:hyperlink w:anchor="_Toc39065955" w:history="1">
        <w:r w:rsidR="00BF465B" w:rsidRPr="00FC23DD">
          <w:rPr>
            <w:rStyle w:val="Hyperlink"/>
            <w:noProof/>
          </w:rPr>
          <w:t xml:space="preserve">Table 9. Matched Variant in </w:t>
        </w:r>
        <w:r w:rsidR="00BF465B" w:rsidRPr="00FC23DD">
          <w:rPr>
            <w:rStyle w:val="Hyperlink"/>
            <w:i/>
            <w:noProof/>
          </w:rPr>
          <w:t>APOB</w:t>
        </w:r>
        <w:r w:rsidR="00BF465B">
          <w:rPr>
            <w:noProof/>
            <w:webHidden/>
          </w:rPr>
          <w:tab/>
        </w:r>
        <w:r w:rsidR="00BF465B">
          <w:rPr>
            <w:noProof/>
            <w:webHidden/>
          </w:rPr>
          <w:fldChar w:fldCharType="begin"/>
        </w:r>
        <w:r w:rsidR="00BF465B">
          <w:rPr>
            <w:noProof/>
            <w:webHidden/>
          </w:rPr>
          <w:instrText xml:space="preserve"> PAGEREF _Toc39065955 \h </w:instrText>
        </w:r>
        <w:r w:rsidR="00BF465B">
          <w:rPr>
            <w:noProof/>
            <w:webHidden/>
          </w:rPr>
        </w:r>
        <w:r w:rsidR="00BF465B">
          <w:rPr>
            <w:noProof/>
            <w:webHidden/>
          </w:rPr>
          <w:fldChar w:fldCharType="separate"/>
        </w:r>
        <w:r w:rsidR="002A71A2">
          <w:rPr>
            <w:noProof/>
            <w:webHidden/>
          </w:rPr>
          <w:t>34</w:t>
        </w:r>
        <w:r w:rsidR="00BF465B">
          <w:rPr>
            <w:noProof/>
            <w:webHidden/>
          </w:rPr>
          <w:fldChar w:fldCharType="end"/>
        </w:r>
      </w:hyperlink>
    </w:p>
    <w:p w14:paraId="33573B81" w14:textId="4717637D" w:rsidR="00BF465B" w:rsidRDefault="00CA386F">
      <w:pPr>
        <w:pStyle w:val="TableofFigures"/>
        <w:tabs>
          <w:tab w:val="right" w:leader="dot" w:pos="9350"/>
        </w:tabs>
        <w:rPr>
          <w:rFonts w:asciiTheme="minorHAnsi" w:eastAsiaTheme="minorEastAsia" w:hAnsiTheme="minorHAnsi" w:cstheme="minorBidi"/>
          <w:b w:val="0"/>
          <w:noProof/>
          <w:sz w:val="22"/>
          <w:szCs w:val="22"/>
        </w:rPr>
      </w:pPr>
      <w:hyperlink w:anchor="_Toc39065956" w:history="1">
        <w:r w:rsidR="00BF465B" w:rsidRPr="00FC23DD">
          <w:rPr>
            <w:rStyle w:val="Hyperlink"/>
            <w:noProof/>
          </w:rPr>
          <w:t xml:space="preserve">Table 10. Matched Variants in </w:t>
        </w:r>
        <w:r w:rsidR="00BF465B" w:rsidRPr="00FC23DD">
          <w:rPr>
            <w:rStyle w:val="Hyperlink"/>
            <w:i/>
            <w:iCs/>
            <w:noProof/>
          </w:rPr>
          <w:t>PCSK9</w:t>
        </w:r>
        <w:r w:rsidR="00BF465B">
          <w:rPr>
            <w:noProof/>
            <w:webHidden/>
          </w:rPr>
          <w:tab/>
        </w:r>
        <w:r w:rsidR="00BF465B">
          <w:rPr>
            <w:noProof/>
            <w:webHidden/>
          </w:rPr>
          <w:fldChar w:fldCharType="begin"/>
        </w:r>
        <w:r w:rsidR="00BF465B">
          <w:rPr>
            <w:noProof/>
            <w:webHidden/>
          </w:rPr>
          <w:instrText xml:space="preserve"> PAGEREF _Toc39065956 \h </w:instrText>
        </w:r>
        <w:r w:rsidR="00BF465B">
          <w:rPr>
            <w:noProof/>
            <w:webHidden/>
          </w:rPr>
        </w:r>
        <w:r w:rsidR="00BF465B">
          <w:rPr>
            <w:noProof/>
            <w:webHidden/>
          </w:rPr>
          <w:fldChar w:fldCharType="separate"/>
        </w:r>
        <w:r w:rsidR="002A71A2">
          <w:rPr>
            <w:noProof/>
            <w:webHidden/>
          </w:rPr>
          <w:t>35</w:t>
        </w:r>
        <w:r w:rsidR="00BF465B">
          <w:rPr>
            <w:noProof/>
            <w:webHidden/>
          </w:rPr>
          <w:fldChar w:fldCharType="end"/>
        </w:r>
      </w:hyperlink>
    </w:p>
    <w:p w14:paraId="2F091FE5" w14:textId="35765BD6" w:rsidR="001C7AFC" w:rsidRPr="001C7AFC" w:rsidRDefault="00CB03F9" w:rsidP="00C672EB">
      <w:pPr>
        <w:pStyle w:val="TableofFigures"/>
        <w:tabs>
          <w:tab w:val="right" w:leader="dot" w:pos="9350"/>
        </w:tabs>
        <w:rPr>
          <w:sz w:val="2"/>
          <w:szCs w:val="2"/>
        </w:rPr>
        <w:sectPr w:rsidR="001C7AFC" w:rsidRPr="001C7AFC" w:rsidSect="00107DBF">
          <w:type w:val="continuous"/>
          <w:pgSz w:w="12240" w:h="15840"/>
          <w:pgMar w:top="1440" w:right="1440" w:bottom="1440" w:left="1440" w:header="720" w:footer="720" w:gutter="0"/>
          <w:pgNumType w:fmt="lowerRoman"/>
          <w:cols w:space="720"/>
          <w:docGrid w:linePitch="360"/>
        </w:sectPr>
      </w:pPr>
      <w:r>
        <w:fldChar w:fldCharType="end"/>
      </w:r>
    </w:p>
    <w:p w14:paraId="2362A606" w14:textId="77777777" w:rsidR="001C7AFC" w:rsidRPr="001C7AFC" w:rsidRDefault="001C7AFC" w:rsidP="00B448D0">
      <w:pPr>
        <w:ind w:firstLine="0"/>
      </w:pPr>
    </w:p>
    <w:p w14:paraId="1A87EC3B" w14:textId="77777777" w:rsidR="00B424B6" w:rsidRDefault="00B424B6" w:rsidP="00EB0892">
      <w:pPr>
        <w:pStyle w:val="Preliminary"/>
      </w:pPr>
      <w:r>
        <w:lastRenderedPageBreak/>
        <w:t xml:space="preserve">List of </w:t>
      </w:r>
      <w:r w:rsidR="00130B6B">
        <w:t>F</w:t>
      </w:r>
      <w:r>
        <w:t>igures</w:t>
      </w:r>
    </w:p>
    <w:p w14:paraId="2B5F571B" w14:textId="15A60181" w:rsidR="00BF465B" w:rsidRDefault="00B424B6">
      <w:pPr>
        <w:pStyle w:val="TableofFigures"/>
        <w:tabs>
          <w:tab w:val="right" w:leader="dot" w:pos="9350"/>
        </w:tabs>
        <w:rPr>
          <w:rFonts w:asciiTheme="minorHAnsi" w:eastAsiaTheme="minorEastAsia" w:hAnsiTheme="minorHAnsi" w:cstheme="minorBidi"/>
          <w:b w:val="0"/>
          <w:noProof/>
          <w:sz w:val="22"/>
          <w:szCs w:val="22"/>
        </w:rPr>
      </w:pPr>
      <w:r>
        <w:fldChar w:fldCharType="begin"/>
      </w:r>
      <w:r>
        <w:instrText xml:space="preserve"> TOC \h \z \c "Figure" </w:instrText>
      </w:r>
      <w:r>
        <w:fldChar w:fldCharType="separate"/>
      </w:r>
      <w:hyperlink r:id="rId12" w:anchor="_Toc39065957" w:history="1">
        <w:r w:rsidR="00BF465B" w:rsidRPr="009F3BE5">
          <w:rPr>
            <w:rStyle w:val="Hyperlink"/>
            <w:noProof/>
          </w:rPr>
          <w:t>Figure 1. Distribution of LDL-Cholesterol Levels (mg/dL)</w:t>
        </w:r>
        <w:r w:rsidR="00BF465B">
          <w:rPr>
            <w:noProof/>
            <w:webHidden/>
          </w:rPr>
          <w:tab/>
        </w:r>
        <w:r w:rsidR="00BF465B">
          <w:rPr>
            <w:noProof/>
            <w:webHidden/>
          </w:rPr>
          <w:fldChar w:fldCharType="begin"/>
        </w:r>
        <w:r w:rsidR="00BF465B">
          <w:rPr>
            <w:noProof/>
            <w:webHidden/>
          </w:rPr>
          <w:instrText xml:space="preserve"> PAGEREF _Toc39065957 \h </w:instrText>
        </w:r>
        <w:r w:rsidR="00BF465B">
          <w:rPr>
            <w:noProof/>
            <w:webHidden/>
          </w:rPr>
        </w:r>
        <w:r w:rsidR="00BF465B">
          <w:rPr>
            <w:noProof/>
            <w:webHidden/>
          </w:rPr>
          <w:fldChar w:fldCharType="separate"/>
        </w:r>
        <w:r w:rsidR="002A71A2">
          <w:rPr>
            <w:noProof/>
            <w:webHidden/>
          </w:rPr>
          <w:t>31</w:t>
        </w:r>
        <w:r w:rsidR="00BF465B">
          <w:rPr>
            <w:noProof/>
            <w:webHidden/>
          </w:rPr>
          <w:fldChar w:fldCharType="end"/>
        </w:r>
      </w:hyperlink>
    </w:p>
    <w:p w14:paraId="039D7E1B" w14:textId="0830BC0B" w:rsidR="00BF465B" w:rsidRDefault="00CA386F">
      <w:pPr>
        <w:pStyle w:val="TableofFigures"/>
        <w:tabs>
          <w:tab w:val="right" w:leader="dot" w:pos="9350"/>
        </w:tabs>
        <w:rPr>
          <w:rFonts w:asciiTheme="minorHAnsi" w:eastAsiaTheme="minorEastAsia" w:hAnsiTheme="minorHAnsi" w:cstheme="minorBidi"/>
          <w:b w:val="0"/>
          <w:noProof/>
          <w:sz w:val="22"/>
          <w:szCs w:val="22"/>
        </w:rPr>
      </w:pPr>
      <w:hyperlink w:anchor="_Toc39065958" w:history="1">
        <w:r w:rsidR="00BF465B" w:rsidRPr="009F3BE5">
          <w:rPr>
            <w:rStyle w:val="Hyperlink"/>
            <w:noProof/>
          </w:rPr>
          <w:t>Figure 2. LDL-Cholesterol Levels by Sex</w:t>
        </w:r>
        <w:r w:rsidR="00BF465B">
          <w:rPr>
            <w:noProof/>
            <w:webHidden/>
          </w:rPr>
          <w:tab/>
        </w:r>
        <w:r w:rsidR="00BF465B">
          <w:rPr>
            <w:noProof/>
            <w:webHidden/>
          </w:rPr>
          <w:fldChar w:fldCharType="begin"/>
        </w:r>
        <w:r w:rsidR="00BF465B">
          <w:rPr>
            <w:noProof/>
            <w:webHidden/>
          </w:rPr>
          <w:instrText xml:space="preserve"> PAGEREF _Toc39065958 \h </w:instrText>
        </w:r>
        <w:r w:rsidR="00BF465B">
          <w:rPr>
            <w:noProof/>
            <w:webHidden/>
          </w:rPr>
        </w:r>
        <w:r w:rsidR="00BF465B">
          <w:rPr>
            <w:noProof/>
            <w:webHidden/>
          </w:rPr>
          <w:fldChar w:fldCharType="separate"/>
        </w:r>
        <w:r w:rsidR="002A71A2">
          <w:rPr>
            <w:noProof/>
            <w:webHidden/>
          </w:rPr>
          <w:t>32</w:t>
        </w:r>
        <w:r w:rsidR="00BF465B">
          <w:rPr>
            <w:noProof/>
            <w:webHidden/>
          </w:rPr>
          <w:fldChar w:fldCharType="end"/>
        </w:r>
      </w:hyperlink>
    </w:p>
    <w:p w14:paraId="4BFB7660" w14:textId="3D2509EF" w:rsidR="00BF465B" w:rsidRDefault="00CA386F">
      <w:pPr>
        <w:pStyle w:val="TableofFigures"/>
        <w:tabs>
          <w:tab w:val="right" w:leader="dot" w:pos="9350"/>
        </w:tabs>
        <w:rPr>
          <w:rFonts w:asciiTheme="minorHAnsi" w:eastAsiaTheme="minorEastAsia" w:hAnsiTheme="minorHAnsi" w:cstheme="minorBidi"/>
          <w:b w:val="0"/>
          <w:noProof/>
          <w:sz w:val="22"/>
          <w:szCs w:val="22"/>
        </w:rPr>
      </w:pPr>
      <w:hyperlink w:anchor="_Toc39065959" w:history="1">
        <w:r w:rsidR="00BF465B" w:rsidRPr="009F3BE5">
          <w:rPr>
            <w:rStyle w:val="Hyperlink"/>
            <w:noProof/>
          </w:rPr>
          <w:t>Figure 3. Total Cholesterol Levels Grouped by Genotype</w:t>
        </w:r>
        <w:r w:rsidR="00BF465B">
          <w:rPr>
            <w:noProof/>
            <w:webHidden/>
          </w:rPr>
          <w:tab/>
        </w:r>
        <w:r w:rsidR="00BF465B">
          <w:rPr>
            <w:noProof/>
            <w:webHidden/>
          </w:rPr>
          <w:fldChar w:fldCharType="begin"/>
        </w:r>
        <w:r w:rsidR="00BF465B">
          <w:rPr>
            <w:noProof/>
            <w:webHidden/>
          </w:rPr>
          <w:instrText xml:space="preserve"> PAGEREF _Toc39065959 \h </w:instrText>
        </w:r>
        <w:r w:rsidR="00BF465B">
          <w:rPr>
            <w:noProof/>
            <w:webHidden/>
          </w:rPr>
        </w:r>
        <w:r w:rsidR="00BF465B">
          <w:rPr>
            <w:noProof/>
            <w:webHidden/>
          </w:rPr>
          <w:fldChar w:fldCharType="separate"/>
        </w:r>
        <w:r w:rsidR="002A71A2">
          <w:rPr>
            <w:noProof/>
            <w:webHidden/>
          </w:rPr>
          <w:t>36</w:t>
        </w:r>
        <w:r w:rsidR="00BF465B">
          <w:rPr>
            <w:noProof/>
            <w:webHidden/>
          </w:rPr>
          <w:fldChar w:fldCharType="end"/>
        </w:r>
      </w:hyperlink>
    </w:p>
    <w:p w14:paraId="08F90CEE" w14:textId="424B26A6" w:rsidR="00BF465B" w:rsidRDefault="00CA386F">
      <w:pPr>
        <w:pStyle w:val="TableofFigures"/>
        <w:tabs>
          <w:tab w:val="right" w:leader="dot" w:pos="9350"/>
        </w:tabs>
        <w:rPr>
          <w:rFonts w:asciiTheme="minorHAnsi" w:eastAsiaTheme="minorEastAsia" w:hAnsiTheme="minorHAnsi" w:cstheme="minorBidi"/>
          <w:b w:val="0"/>
          <w:noProof/>
          <w:sz w:val="22"/>
          <w:szCs w:val="22"/>
        </w:rPr>
      </w:pPr>
      <w:hyperlink r:id="rId13" w:anchor="_Toc39065960" w:history="1">
        <w:r w:rsidR="00BF465B" w:rsidRPr="009F3BE5">
          <w:rPr>
            <w:rStyle w:val="Hyperlink"/>
            <w:noProof/>
          </w:rPr>
          <w:t>Figure 4. LDL-Cholesterol Levels Grouped by Genotype</w:t>
        </w:r>
        <w:r w:rsidR="00BF465B">
          <w:rPr>
            <w:noProof/>
            <w:webHidden/>
          </w:rPr>
          <w:tab/>
        </w:r>
        <w:r w:rsidR="00BF465B">
          <w:rPr>
            <w:noProof/>
            <w:webHidden/>
          </w:rPr>
          <w:fldChar w:fldCharType="begin"/>
        </w:r>
        <w:r w:rsidR="00BF465B">
          <w:rPr>
            <w:noProof/>
            <w:webHidden/>
          </w:rPr>
          <w:instrText xml:space="preserve"> PAGEREF _Toc39065960 \h </w:instrText>
        </w:r>
        <w:r w:rsidR="00BF465B">
          <w:rPr>
            <w:noProof/>
            <w:webHidden/>
          </w:rPr>
        </w:r>
        <w:r w:rsidR="00BF465B">
          <w:rPr>
            <w:noProof/>
            <w:webHidden/>
          </w:rPr>
          <w:fldChar w:fldCharType="separate"/>
        </w:r>
        <w:r w:rsidR="002A71A2">
          <w:rPr>
            <w:noProof/>
            <w:webHidden/>
          </w:rPr>
          <w:t>37</w:t>
        </w:r>
        <w:r w:rsidR="00BF465B">
          <w:rPr>
            <w:noProof/>
            <w:webHidden/>
          </w:rPr>
          <w:fldChar w:fldCharType="end"/>
        </w:r>
      </w:hyperlink>
    </w:p>
    <w:p w14:paraId="65AFB31C" w14:textId="47232C17" w:rsidR="0094766A" w:rsidRPr="0094766A" w:rsidRDefault="00B424B6" w:rsidP="0094766A">
      <w:pPr>
        <w:pStyle w:val="TableofFigures"/>
        <w:tabs>
          <w:tab w:val="right" w:leader="dot" w:pos="9350"/>
        </w:tabs>
        <w:spacing w:line="240" w:lineRule="auto"/>
        <w:ind w:left="0" w:firstLine="0"/>
        <w:rPr>
          <w:rFonts w:ascii="Times New Roman Bold" w:hAnsi="Times New Roman Bold"/>
          <w:vanish/>
          <w:sz w:val="2"/>
        </w:rPr>
        <w:sectPr w:rsidR="0094766A" w:rsidRPr="0094766A" w:rsidSect="00FC2353">
          <w:type w:val="continuous"/>
          <w:pgSz w:w="12240" w:h="15840"/>
          <w:pgMar w:top="1440" w:right="1440" w:bottom="1440" w:left="1440" w:header="720" w:footer="432" w:gutter="0"/>
          <w:pgNumType w:fmt="lowerRoman"/>
          <w:cols w:space="720"/>
          <w:docGrid w:linePitch="360"/>
        </w:sectPr>
      </w:pPr>
      <w:r>
        <w:fldChar w:fldCharType="end"/>
      </w:r>
    </w:p>
    <w:p w14:paraId="20771E67" w14:textId="77777777" w:rsidR="001C7AFC" w:rsidRPr="0094766A" w:rsidRDefault="001C7AFC" w:rsidP="001C7AFC">
      <w:pPr>
        <w:pStyle w:val="NoIndent"/>
        <w:rPr>
          <w:rFonts w:ascii="Times New Roman Bold" w:hAnsi="Times New Roman Bold"/>
          <w:vanish/>
          <w:sz w:val="2"/>
          <w:szCs w:val="2"/>
        </w:rPr>
      </w:pPr>
      <w:bookmarkStart w:id="2" w:name="_Toc8115840"/>
    </w:p>
    <w:p w14:paraId="09507C91" w14:textId="77777777" w:rsidR="00B424B6" w:rsidRDefault="00130B6B" w:rsidP="001C7AFC">
      <w:pPr>
        <w:pStyle w:val="Heading"/>
      </w:pPr>
      <w:bookmarkStart w:id="3" w:name="_Toc39065916"/>
      <w:r>
        <w:lastRenderedPageBreak/>
        <w:t>Preface</w:t>
      </w:r>
      <w:bookmarkEnd w:id="2"/>
      <w:bookmarkEnd w:id="3"/>
    </w:p>
    <w:p w14:paraId="48CD13BB" w14:textId="30A5366C" w:rsidR="004F605E" w:rsidRDefault="004B397E" w:rsidP="004B397E">
      <w:bookmarkStart w:id="4" w:name="_Hlk36472435"/>
      <w:r>
        <w:t>I would like to thank the following individuals for whose help, support, and guidance were essential in the creation of this essay. To Dr. Candace Kammerer for her help in developing this project from a fledgling desire to write about familial hypercholesterolemia to a research project worth investigating and writing about</w:t>
      </w:r>
      <w:r w:rsidR="00595E3D">
        <w:t>,</w:t>
      </w:r>
      <w:r>
        <w:t xml:space="preserve"> </w:t>
      </w:r>
      <w:r w:rsidR="00595E3D">
        <w:t>as well as</w:t>
      </w:r>
      <w:r>
        <w:t xml:space="preserve"> all of her kind words, encouragement, patience, and guidance</w:t>
      </w:r>
      <w:r w:rsidR="00595E3D">
        <w:t xml:space="preserve"> throughout the entire process</w:t>
      </w:r>
      <w:r>
        <w:t xml:space="preserve">. To Dr. Ryan Minster for providing me with all the necessary data from the Samoan project, helping untangle the dense information, and answering all of my questions. To Jacob Leisey-Bartsch for </w:t>
      </w:r>
      <w:r w:rsidR="001E287B">
        <w:t>his</w:t>
      </w:r>
      <w:r>
        <w:t xml:space="preserve"> statistical acumen and R-program prowess which greatly aided me during my data analysis and figure making.</w:t>
      </w:r>
    </w:p>
    <w:p w14:paraId="412BB295" w14:textId="546DE782" w:rsidR="00595E3D" w:rsidRDefault="00595E3D" w:rsidP="004B397E">
      <w:pPr>
        <w:sectPr w:rsidR="00595E3D" w:rsidSect="00107DBF">
          <w:type w:val="continuous"/>
          <w:pgSz w:w="12240" w:h="15840"/>
          <w:pgMar w:top="1440" w:right="1440" w:bottom="1440" w:left="1440" w:header="720" w:footer="720" w:gutter="0"/>
          <w:pgNumType w:fmt="lowerRoman"/>
          <w:cols w:space="720"/>
          <w:docGrid w:linePitch="360"/>
        </w:sectPr>
      </w:pPr>
      <w:r>
        <w:t xml:space="preserve">Finally, to my family and friends who have supported me endlessly throughout my academic career and continue to be my biggest supporters and advocates. Without </w:t>
      </w:r>
      <w:r w:rsidR="001E287B">
        <w:t>you all</w:t>
      </w:r>
      <w:r>
        <w:t>, none of this would have been possible. Thank you from the bottom of my heart.</w:t>
      </w:r>
    </w:p>
    <w:p w14:paraId="446ECD67" w14:textId="77777777" w:rsidR="00FB402B" w:rsidRDefault="007F131E" w:rsidP="00CA2BC8">
      <w:pPr>
        <w:pStyle w:val="Heading1"/>
      </w:pPr>
      <w:bookmarkStart w:id="5" w:name="_Toc39065917"/>
      <w:bookmarkEnd w:id="4"/>
      <w:r>
        <w:lastRenderedPageBreak/>
        <w:t>Cardiovascular Disease</w:t>
      </w:r>
      <w:bookmarkEnd w:id="5"/>
    </w:p>
    <w:p w14:paraId="69CAC900" w14:textId="1C88AD08" w:rsidR="0012127B" w:rsidRDefault="00C0009F" w:rsidP="00637B87">
      <w:r>
        <w:t>Cardiovascular disease (CVD) is a group of diseases that affect both the heart and blood vessels and includes diseases</w:t>
      </w:r>
      <w:r w:rsidR="00282898">
        <w:t>,</w:t>
      </w:r>
      <w:r>
        <w:t xml:space="preserve"> such as coronary artery disease </w:t>
      </w:r>
      <w:r w:rsidR="00B10697">
        <w:t xml:space="preserve">and acute coronary syndrome </w:t>
      </w:r>
      <w:r w:rsidR="00282898">
        <w:fldChar w:fldCharType="begin" w:fldLock="1"/>
      </w:r>
      <w:r w:rsidR="00637B87">
        <w:instrText>ADDIN CSL_CITATION {"citationItems":[{"id":"ITEM-1","itemData":{"DOI":"10.21037/atm.2016.06.33","ISSN":"2305-5839 (Print)","PMID":"27500157","abstract":"The aim of this review is to summarize the incidence, prevalence, trend in mortality, and general prognosis of coronary heart disease (CHD) and a related condition, acute coronary syndrome (ACS). Although CHD mortality has gradually declined over the last decades in western countries, this condition still causes about one-third of all deaths in people older than 35 years. This evidence, along with the fact that mortality from CHD is expected to continue increasing in developing countries, illustrates the need for implementing effective primary prevention approaches worldwide and identifying risk groups and areas for possible improvement.","author":[{"dropping-particle":"","family":"Sanchis-Gomar","given":"Fabian","non-dropping-particle":"","parse-names":false,"suffix":""},{"dropping-particle":"","family":"Perez-Quilis","given":"Carme","non-dropping-particle":"","parse-names":false,"suffix":""},{"dropping-particle":"","family":"Leischik","given":"Roman","non-dropping-particle":"","parse-names":false,"suffix":""},{"dropping-particle":"","family":"Lucia","given":"Alejandro","non-dropping-particle":"","parse-names":false,"suffix":""}],"container-title":"Annals of translational medicine","id":"ITEM-1","issue":"13","issued":{"date-parts":[["2016","7"]]},"language":"eng","page":"256","publisher-place":"China","title":"Epidemiology of coronary heart disease and acute coronary syndrome.","type":"article-journal","volume":"4"},"uris":["http://www.mendeley.com/documents/?uuid=94d2bf90-5d48-4ae9-91e6-51a9bc75cb77"]}],"mendeley":{"formattedCitation":"(Sanchis-Gomar, Perez-Quilis, Leischik, &amp; Lucia, 2016)","manualFormatting":"(Sanchis-Gomar et al., 2016)","plainTextFormattedCitation":"(Sanchis-Gomar, Perez-Quilis, Leischik, &amp; Lucia, 2016)","previouslyFormattedCitation":"(Sanchis-Gomar, Perez-Quilis, Leischik, &amp; Lucia, 2016)"},"properties":{"noteIndex":0},"schema":"https://github.com/citation-style-language/schema/raw/master/csl-citation.json"}</w:instrText>
      </w:r>
      <w:r w:rsidR="00282898">
        <w:fldChar w:fldCharType="separate"/>
      </w:r>
      <w:r w:rsidR="00282898" w:rsidRPr="00282898">
        <w:rPr>
          <w:noProof/>
        </w:rPr>
        <w:t>(Sanchis-Gomar</w:t>
      </w:r>
      <w:r w:rsidR="00637B87">
        <w:rPr>
          <w:noProof/>
        </w:rPr>
        <w:t xml:space="preserve"> et al., </w:t>
      </w:r>
      <w:r w:rsidR="00282898" w:rsidRPr="00282898">
        <w:rPr>
          <w:noProof/>
        </w:rPr>
        <w:t>2016)</w:t>
      </w:r>
      <w:r w:rsidR="00282898">
        <w:fldChar w:fldCharType="end"/>
      </w:r>
      <w:r>
        <w:t xml:space="preserve">. </w:t>
      </w:r>
      <w:r w:rsidR="00A83AAB">
        <w:t xml:space="preserve">The burden of CVD affects an estimated 128 million people worldwide </w:t>
      </w:r>
      <w:r w:rsidR="00A83AAB">
        <w:fldChar w:fldCharType="begin" w:fldLock="1"/>
      </w:r>
      <w:r w:rsidR="0074593C">
        <w:instrText>ADDIN CSL_CITATION {"citationItems":[{"id":"ITEM-1","itemData":{"DOI":"10.1016/j.amjcard.2009.10.007","ISSN":"1879-1913 (Electronic)","PMID":"20102968","abstract":"Current epidemiologic predictions show that the world is heading for a vascular tsunami of pandemic proportions. The number of people at high risk from cardiovascular disease is increasing; recent cohort studies suggest that only 2%-7% of the general population have no risk factors at all, and &gt;70% of at-risk individuals have multiple risk factors. The recently published Ongoing Telmisartan Alone and in Combination with Ramipril Global Endpoint Trial (ONTARGET) study, which showed that telmisartan was as effective as ramipril in the prevention of a range of cardiovascular outcomes, enrolled a broad cross section of high-risk patients. This population was chosen to reflect the type of patients encountered in general practice, and because the proportion of high-risk individuals is increasing worldwide, the ONTARGET results will be relevant for most at-risk patients. Further analysis of the ONTARGET results may also aid in the development of risk estimation scores populated with real-life data and could also determine the impact of treatment on the long-term reduction of total cardiovascular burden (ie, absolute risk reduction). This may be a particularly useful exercise because current risk estimation charts have limitations in their scope, sensitivity, and the ability to reflect changes in risk.","author":[{"dropping-particle":"","family":"Dahlof","given":"Bjorn","non-dropping-particle":"","parse-names":false,"suffix":""}],"container-title":"The American journal of cardiology","id":"ITEM-1","issue":"1 Suppl","issued":{"date-parts":[["2010","1"]]},"language":"eng","page":"3A-9A","publisher-place":"United States","title":"Cardiovascular disease risk factors: epidemiology and risk assessment.","type":"article-journal","volume":"105"},"uris":["http://www.mendeley.com/documents/?uuid=e0e8305b-71ef-42aa-aa97-f86c80f9c38a"]}],"mendeley":{"formattedCitation":"(Dahlof, 2010)","plainTextFormattedCitation":"(Dahlof, 2010)","previouslyFormattedCitation":"(Dahlof, 2010)"},"properties":{"noteIndex":0},"schema":"https://github.com/citation-style-language/schema/raw/master/csl-citation.json"}</w:instrText>
      </w:r>
      <w:r w:rsidR="00A83AAB">
        <w:fldChar w:fldCharType="separate"/>
      </w:r>
      <w:r w:rsidR="00A83AAB" w:rsidRPr="00A83AAB">
        <w:rPr>
          <w:noProof/>
        </w:rPr>
        <w:t>(Dahlof, 2010)</w:t>
      </w:r>
      <w:r w:rsidR="00A83AAB">
        <w:fldChar w:fldCharType="end"/>
      </w:r>
      <w:r w:rsidR="00A83AAB">
        <w:t xml:space="preserve">. </w:t>
      </w:r>
      <w:r>
        <w:t>About 610,000 people in the United States</w:t>
      </w:r>
      <w:r w:rsidR="00034241">
        <w:t xml:space="preserve"> (US)</w:t>
      </w:r>
      <w:r>
        <w:t xml:space="preserve"> die every year from heart disease</w:t>
      </w:r>
      <w:r w:rsidR="00637B87">
        <w:t xml:space="preserve"> </w:t>
      </w:r>
      <w:r>
        <w:t xml:space="preserve">and it is the </w:t>
      </w:r>
      <w:r w:rsidR="00B24EAC">
        <w:t xml:space="preserve">current </w:t>
      </w:r>
      <w:r>
        <w:t>leading cause of death in both men and women</w:t>
      </w:r>
      <w:r w:rsidR="00637B87">
        <w:t xml:space="preserve">, accounting for </w:t>
      </w:r>
      <w:r w:rsidR="00C94939">
        <w:t>one-</w:t>
      </w:r>
      <w:r w:rsidR="00637B87">
        <w:t>third of all total deaths</w:t>
      </w:r>
      <w:r w:rsidR="00282898">
        <w:t xml:space="preserve"> </w:t>
      </w:r>
      <w:r w:rsidR="00282898">
        <w:fldChar w:fldCharType="begin" w:fldLock="1"/>
      </w:r>
      <w:r w:rsidR="00282898">
        <w:instrText>ADDIN CSL_CITATION {"citationItems":[{"id":"ITEM-1","itemData":{"URL":"https://www.cdc.gov/heartdisease/facts.htm","accessed":{"date-parts":[["2019","9","10"]]},"author":[{"dropping-particle":"","family":"Centers for Disease Control and Prevention","given":"","non-dropping-particle":"","parse-names":false,"suffix":""}],"id":"ITEM-1","issued":{"date-parts":[["2017"]]},"title":"Heart Disease Facts","type":"webpage"},"uris":["http://www.mendeley.com/documents/?uuid=99117bf4-d5ca-44fa-854d-b84e930da049"]}],"mendeley":{"formattedCitation":"(Centers for Disease Control and Prevention, 2017)","manualFormatting":"(CDC, 2017)","plainTextFormattedCitation":"(Centers for Disease Control and Prevention, 2017)","previouslyFormattedCitation":"(Centers for Disease Control and Prevention, 2017)"},"properties":{"noteIndex":0},"schema":"https://github.com/citation-style-language/schema/raw/master/csl-citation.json"}</w:instrText>
      </w:r>
      <w:r w:rsidR="00282898">
        <w:fldChar w:fldCharType="separate"/>
      </w:r>
      <w:r w:rsidR="00282898" w:rsidRPr="00282898">
        <w:rPr>
          <w:noProof/>
        </w:rPr>
        <w:t>(</w:t>
      </w:r>
      <w:r w:rsidR="00282898">
        <w:rPr>
          <w:noProof/>
        </w:rPr>
        <w:t>CDC</w:t>
      </w:r>
      <w:r w:rsidR="00282898" w:rsidRPr="00282898">
        <w:rPr>
          <w:noProof/>
        </w:rPr>
        <w:t>, 2017)</w:t>
      </w:r>
      <w:r w:rsidR="00282898">
        <w:fldChar w:fldCharType="end"/>
      </w:r>
      <w:r>
        <w:t xml:space="preserve">. </w:t>
      </w:r>
      <w:r w:rsidR="00266231">
        <w:t>The lifetime risk of developing CVD</w:t>
      </w:r>
      <w:r w:rsidR="00B24EAC">
        <w:t xml:space="preserve"> for those over 40 years old</w:t>
      </w:r>
      <w:r w:rsidR="00266231">
        <w:t xml:space="preserve"> is 49% in men and 32% in women</w:t>
      </w:r>
      <w:r w:rsidR="00B24EAC">
        <w:t xml:space="preserve"> </w:t>
      </w:r>
      <w:r w:rsidR="00B24EAC">
        <w:fldChar w:fldCharType="begin" w:fldLock="1"/>
      </w:r>
      <w:r w:rsidR="00B24EAC">
        <w:instrText>ADDIN CSL_CITATION {"citationItems":[{"id":"ITEM-1","itemData":{"DOI":"10.21037/atm.2016.06.33","ISSN":"2305-5839 (Print)","PMID":"27500157","abstract":"The aim of this review is to summarize the incidence, prevalence, trend in mortality, and general prognosis of coronary heart disease (CHD) and a related condition, acute coronary syndrome (ACS). Although CHD mortality has gradually declined over the last decades in western countries, this condition still causes about one-third of all deaths in people older than 35 years. This evidence, along with the fact that mortality from CHD is expected to continue increasing in developing countries, illustrates the need for implementing effective primary prevention approaches worldwide and identifying risk groups and areas for possible improvement.","author":[{"dropping-particle":"","family":"Sanchis-Gomar","given":"Fabian","non-dropping-particle":"","parse-names":false,"suffix":""},{"dropping-particle":"","family":"Perez-Quilis","given":"Carme","non-dropping-particle":"","parse-names":false,"suffix":""},{"dropping-particle":"","family":"Leischik","given":"Roman","non-dropping-particle":"","parse-names":false,"suffix":""},{"dropping-particle":"","family":"Lucia","given":"Alejandro","non-dropping-particle":"","parse-names":false,"suffix":""}],"container-title":"Annals of translational medicine","id":"ITEM-1","issue":"13","issued":{"date-parts":[["2016","7"]]},"language":"eng","page":"256","publisher-place":"China","title":"Epidemiology of coronary heart disease and acute coronary syndrome.","type":"article-journal","volume":"4"},"uris":["http://www.mendeley.com/documents/?uuid=94d2bf90-5d48-4ae9-91e6-51a9bc75cb77"]}],"mendeley":{"formattedCitation":"(Sanchis-Gomar et al., 2016)","plainTextFormattedCitation":"(Sanchis-Gomar et al., 2016)","previouslyFormattedCitation":"(Sanchis-Gomar et al., 2016)"},"properties":{"noteIndex":0},"schema":"https://github.com/citation-style-language/schema/raw/master/csl-citation.json"}</w:instrText>
      </w:r>
      <w:r w:rsidR="00B24EAC">
        <w:fldChar w:fldCharType="separate"/>
      </w:r>
      <w:r w:rsidR="00B24EAC" w:rsidRPr="00B24EAC">
        <w:rPr>
          <w:noProof/>
        </w:rPr>
        <w:t>(Sanchis-Gomar et al., 2016)</w:t>
      </w:r>
      <w:r w:rsidR="00B24EAC">
        <w:fldChar w:fldCharType="end"/>
      </w:r>
      <w:r w:rsidR="00B24EAC">
        <w:t xml:space="preserve">. </w:t>
      </w:r>
    </w:p>
    <w:p w14:paraId="238DE403" w14:textId="77777777" w:rsidR="00B24EAC" w:rsidRDefault="00B24EAC" w:rsidP="00637B87">
      <w:r>
        <w:t>As a result of the high incidence and prevalence of heart disease, the economic cost has been estimated to be $199.2 billion in healthcare costs and $130.5 billion in lost future productivity due to premature heart disease and mortality in 2013-2014. CVD accounted for 14% of healthcare expenditures in the US and was estimated to be higher than the expenditures for other diseases</w:t>
      </w:r>
      <w:r w:rsidR="005E7D1B">
        <w:t>, such as cancer</w:t>
      </w:r>
      <w:r>
        <w:t xml:space="preserve"> </w:t>
      </w:r>
      <w:r>
        <w:fldChar w:fldCharType="begin" w:fldLock="1"/>
      </w:r>
      <w:r>
        <w:instrText>ADDIN CSL_CITATION {"citationItems":[{"id":"ITEM-1","itemData":{"DOI":"10.1161/CIR.0000000000000558","ISSN":"1524-4539 (Electronic)","PMID":"29386200","author":[{"dropping-particle":"","family":"Benjamin","given":"Emelia J","non-dropping-particle":"","parse-names":false,"suffix":""},{"dropping-particle":"","family":"Virani","given":"Salim S","non-dropping-particle":"","parse-names":false,"suffix":""},{"dropping-particle":"","family":"Callaway","given":"Clifton W","non-dropping-particle":"","parse-names":false,"suffix":""},{"dropping-particle":"","family":"Chamberlain","given":"Alanna M","non-dropping-particle":"","parse-names":false,"suffix":""},{"dropping-particle":"","family":"Chang","given":"Alexander R","non-dropping-particle":"","parse-names":false,"suffix":""},{"dropping-particle":"","family":"Cheng","given":"Susan","non-dropping-particle":"","parse-names":false,"suffix":""},{"dropping-particle":"","family":"Chiuve","given":"Stephanie E","non-dropping-particle":"","parse-names":false,"suffix":""},{"dropping-particle":"","family":"Cushman","given":"Mary","non-dropping-particle":"","parse-names":false,"suffix":""},{"dropping-particle":"","family":"Delling","given":"Francesca N","non-dropping-particle":"","parse-names":false,"suffix":""},{"dropping-particle":"","family":"Deo","given":"Rajat","non-dropping-particle":"","parse-names":false,"suffix":""},{"dropping-particle":"","family":"Ferranti","given":"Sarah D","non-dropping-particle":"de","parse-names":false,"suffix":""},{"dropping-particle":"","family":"Ferguson","given":"Jane F","non-dropping-particle":"","parse-names":false,"suffix":""},{"dropping-particle":"","family":"Fornage","given":"Myriam","non-dropping-particle":"","parse-names":false,"suffix":""},{"dropping-particle":"","family":"Gillespie","given":"Cathleen","non-dropping-particle":"","parse-names":false,"suffix":""},{"dropping-particle":"","family":"Isasi","given":"Carmen R","non-dropping-particle":"","parse-names":false,"suffix":""},{"dropping-particle":"","family":"Jimenez","given":"Monik C","non-dropping-particle":"","parse-names":false,"suffix":""},{"dropping-particle":"","family":"Jordan","given":"Lori Chaffin","non-dropping-particle":"","parse-names":false,"suffix":""},{"dropping-particle":"","family":"Judd","given":"Suzanne E","non-dropping-particle":"","parse-names":false,"suffix":""},{"dropping-particle":"","family":"Lackland","given":"Daniel","non-dropping-particle":"","parse-names":false,"suffix":""},{"dropping-particle":"","family":"Lichtman","given":"Judith H","non-dropping-particle":"","parse-names":false,"suffix":""},{"dropping-particle":"","family":"Lisabeth","given":"Lynda","non-dropping-particle":"","parse-names":false,"suffix":""},{"dropping-particle":"","family":"Liu","given":"Simin","non-dropping-particle":"","parse-names":false,"suffix":""},{"dropping-particle":"","family":"Longenecker","given":"Chris T","non-dropping-particle":"","parse-names":false,"suffix":""},{"dropping-particle":"","family":"Lutsey","given":"Pamela L","non-dropping-particle":"","parse-names":false,"suffix":""},{"dropping-particle":"","family":"Mackey","given":"Jason S","non-dropping-particle":"","parse-names":false,"suffix":""},{"dropping-particle":"","family":"Matchar","given":"David B","non-dropping-particle":"","parse-names":false,"suffix":""},{"dropping-particle":"","family":"Matsushita","given":"Kunihiro","non-dropping-particle":"","parse-names":false,"suffix":""},{"dropping-particle":"","family":"Mussolino","given":"Michael E","non-dropping-particle":"","parse-names":false,"suffix":""},{"dropping-particle":"","family":"Nasir","given":"Khurram","non-dropping-particle":"","parse-names":false,"suffix":""},{"dropping-particle":"","family":"O'Flaherty","given":"Martin","non-dropping-particle":"","parse-names":false,"suffix":""},{"dropping-particle":"","family":"Palaniappan","given":"Latha P","non-dropping-particle":"","parse-names":false,"suffix":""},{"dropping-particle":"","family":"Pandey","given":"Ambarish","non-dropping-particle":"","parse-names":false,"suffix":""},{"dropping-particle":"","family":"Pandey","given":"Dilip K","non-dropping-particle":"","parse-names":false,"suffix":""},{"dropping-particle":"","family":"Reeves","given":"Mathew J","non-dropping-particle":"","parse-names":false,"suffix":""},{"dropping-particle":"","family":"Ritchey","given":"Matthew D","non-dropping-particle":"","parse-names":false,"suffix":""},{"dropping-particle":"","family":"Rodriguez","given":"Carlos J","non-dropping-particle":"","parse-names":false,"suffix":""},{"dropping-particle":"","family":"Roth","given":"Gregory A","non-dropping-particle":"","parse-names":false,"suffix":""},{"dropping-particle":"","family":"Rosamond","given":"Wayne D","non-dropping-particle":"","parse-names":false,"suffix":""},{"dropping-particle":"","family":"Sampson","given":"Uchechukwu K A","non-dropping-particle":"","parse-names":false,"suffix":""},{"dropping-particle":"","family":"Satou","given":"Gary M","non-dropping-particle":"","parse-names":false,"suffix":""},{"dropping-particle":"","family":"Shah","given":"Svati H","non-dropping-particle":"","parse-names":false,"suffix":""},{"dropping-particle":"","family":"Spartano","given":"Nicole L","non-dropping-particle":"","parse-names":false,"suffix":""},{"dropping-particle":"","family":"Tirschwell","given":"David L","non-dropping-particle":"","parse-names":false,"suffix":""},{"dropping-particle":"","family":"Tsao","given":"Connie W","non-dropping-particle":"","parse-names":false,"suffix":""},{"dropping-particle":"","family":"Voeks","given":"Jenifer H","non-dropping-particle":"","parse-names":false,"suffix":""},{"dropping-particle":"","family":"Willey","given":"Joshua Z","non-dropping-particle":"","parse-names":false,"suffix":""},{"dropping-particle":"","family":"Wilkins","given":"John T","non-dropping-particle":"","parse-names":false,"suffix":""},{"dropping-particle":"","family":"Wu","given":"Jason Hy","non-dropping-particle":"","parse-names":false,"suffix":""},{"dropping-particle":"","family":"Alger","given":"Heather M","non-dropping-particle":"","parse-names":false,"suffix":""},{"dropping-particle":"","family":"Wong","given":"Sally S","non-dropping-particle":"","parse-names":false,"suffix":""},{"dropping-particle":"","family":"Muntner","given":"Paul","non-dropping-particle":"","parse-names":false,"suffix":""}],"container-title":"Circulation","id":"ITEM-1","issue":"12","issued":{"date-parts":[["2018","3"]]},"language":"eng","page":"e67-e492","publisher-place":"United States","title":"Heart Disease and Stroke Statistics-2018 Update: A Report From the American Heart Association.","type":"article-journal","volume":"137"},"uris":["http://www.mendeley.com/documents/?uuid=8dfb69eb-a6c1-4858-a73f-d3894f3d4843"]}],"mendeley":{"formattedCitation":"(Benjamin et al., 2018)","plainTextFormattedCitation":"(Benjamin et al., 2018)","previouslyFormattedCitation":"(Benjamin et al., 2018)"},"properties":{"noteIndex":0},"schema":"https://github.com/citation-style-language/schema/raw/master/csl-citation.json"}</w:instrText>
      </w:r>
      <w:r>
        <w:fldChar w:fldCharType="separate"/>
      </w:r>
      <w:r w:rsidRPr="00B24EAC">
        <w:rPr>
          <w:noProof/>
        </w:rPr>
        <w:t>(Benjamin et al., 2018)</w:t>
      </w:r>
      <w:r>
        <w:fldChar w:fldCharType="end"/>
      </w:r>
      <w:r>
        <w:t xml:space="preserve">. </w:t>
      </w:r>
    </w:p>
    <w:p w14:paraId="157106DB" w14:textId="65B1B911" w:rsidR="0025645A" w:rsidRDefault="00A83AAB" w:rsidP="00637B87">
      <w:r>
        <w:t xml:space="preserve">The risk factors for CVD include </w:t>
      </w:r>
      <w:r w:rsidR="0032391D">
        <w:t xml:space="preserve">genetic susceptibility, </w:t>
      </w:r>
      <w:r>
        <w:t>hypertension, abnormal lipid profiles, obesity, smoking, stress, lack of physical activity, and poor diet. Many of these factors contribute to more than 90% of myocardial infarctions (MI)</w:t>
      </w:r>
      <w:r w:rsidR="0074593C">
        <w:t>, but are modifiable or preventable</w:t>
      </w:r>
      <w:r w:rsidR="0070271A">
        <w:t xml:space="preserve"> </w:t>
      </w:r>
      <w:r w:rsidR="0070271A">
        <w:fldChar w:fldCharType="begin" w:fldLock="1"/>
      </w:r>
      <w:r w:rsidR="008F2785">
        <w:instrText>ADDIN CSL_CITATION {"citationItems":[{"id":"ITEM-1","itemData":{"DOI":"10.1016/S0140-6736(04)17018-9","ISSN":"1474-547X (Electronic)","PMID":"15364185","abstract":"BACKGROUND: Although more than 80% of the global burden of cardiovascular disease occurs in low-income and middle-income countries, knowledge of the importance of risk factors is largely derived from developed countries. Therefore, the effect of such factors on risk of coronary heart disease in most regions of the world is unknown. METHODS: We established a standardised case-control study of acute myocardial infarction in 52 countries, representing every inhabited continent. 15152 cases and 14820 controls were enrolled. The relation of smoking, history of hypertension or diabetes, waist/hip ratio, dietary patterns, physical activity, consumption of alcohol, blood apolipoproteins (Apo), and psychosocial factors to myocardial infarction are reported here. Odds ratios and their 99% CIs for the association of risk factors to myocardial infarction and their population attributable risks (PAR) were calculated. FINDINGS: Smoking (odds ratio 2.87 for current vs never, PAR 35.7% for current and former vs never), raised ApoB/ApoA1 ratio (3.25 for top vs lowest quintile, PAR 49.2% for top four quintiles vs lowest quintile), history of hypertension (1.91, PAR 17.9%), diabetes (2.37, PAR 9.9%), abdominal obesity (1.12 for top vs lowest tertile and 1.62 for middle vs lowest tertile, PAR 20.1% for top two tertiles vs lowest tertile), psychosocial factors (2.67, PAR 32.5%), daily consumption of fruits and vegetables (0.70, PAR 13.7% for lack of daily consumption), regular alcohol consumption (0.91, PAR 6.7%), and regular physical activity (0.86, PAR 12.2%), were all significantly related to acute myocardial infarction (p&lt;0.0001 for all risk factors and p=0.03 for alcohol). These associations were noted in men and women, old and young, and in all regions of the world. Collectively, these nine risk factors accounted for 90% of the PAR in men and 94% in women. INTERPRETATION: Abnormal lipids, smoking, hypertension, diabetes, abdominal obesity, psychosocial factors, consumption of fruits, vegetables, and alcohol, and regular physical activity account for most of the risk of myocardial infarction worldwide in both sexes and at all ages in all regions. This finding suggests that approaches to prevention can be based on similar principles worldwide and have the potential to prevent most premature cases of myocardial infarction.","author":[{"dropping-particle":"","family":"Yusuf","given":"Salim","non-dropping-particle":"","parse-names":false,"suffix":""},{"dropping-particle":"","family":"Hawken","given":"Steven","non-dropping-particle":"","parse-names":false,"suffix":""},{"dropping-particle":"","family":"Ounpuu","given":"Stephanie","non-dropping-particle":"","parse-names":false,"suffix":""},{"dropping-particle":"","family":"Dans","given":"Tony","non-dropping-particle":"","parse-names":false,"suffix":""},{"dropping-particle":"","family":"Avezum","given":"Alvaro","non-dropping-particle":"","parse-names":false,"suffix":""},{"dropping-particle":"","family":"Lanas","given":"Fernando","non-dropping-particle":"","parse-names":false,"suffix":""},{"dropping-particle":"","family":"McQueen","given":"Matthew","non-dropping-particle":"","parse-names":false,"suffix":""},{"dropping-particle":"","family":"Budaj","given":"Andrzej","non-dropping-particle":"","parse-names":false,"suffix":""},{"dropping-particle":"","family":"Pais","given":"Prem","non-dropping-particle":"","parse-names":false,"suffix":""},{"dropping-particle":"","family":"Varigos","given":"John","non-dropping-particle":"","parse-names":false,"suffix":""},{"dropping-particle":"","family":"Lisheng","given":"Liu","non-dropping-particle":"","parse-names":false,"suffix":""}],"container-title":"Lancet (London, England)","id":"ITEM-1","issue":"9438","issued":{"date-parts":[["2004","9"]]},"language":"eng","page":"937-952","publisher-place":"England","title":"Effect of potentially modifiable risk factors associated with myocardial infarction in 52 countries (the INTERHEART study): case-control study.","type":"article-journal","volume":"364"},"uris":["http://www.mendeley.com/documents/?uuid=58a71fb3-b7e0-4b32-970b-6cbeff8c5cc9"]}],"mendeley":{"formattedCitation":"(Yusuf et al., 2004)","plainTextFormattedCitation":"(Yusuf et al., 2004)","previouslyFormattedCitation":"(Yusuf et al., 2004)"},"properties":{"noteIndex":0},"schema":"https://github.com/citation-style-language/schema/raw/master/csl-citation.json"}</w:instrText>
      </w:r>
      <w:r w:rsidR="0070271A">
        <w:fldChar w:fldCharType="separate"/>
      </w:r>
      <w:r w:rsidR="0070271A" w:rsidRPr="0070271A">
        <w:rPr>
          <w:noProof/>
        </w:rPr>
        <w:t>(Yusuf et al., 2004)</w:t>
      </w:r>
      <w:r w:rsidR="0070271A">
        <w:fldChar w:fldCharType="end"/>
      </w:r>
      <w:r w:rsidR="0070271A">
        <w:t xml:space="preserve">. </w:t>
      </w:r>
      <w:proofErr w:type="spellStart"/>
      <w:r w:rsidR="0032391D">
        <w:t>Dahlof</w:t>
      </w:r>
      <w:proofErr w:type="spellEnd"/>
      <w:r w:rsidR="0032391D">
        <w:t xml:space="preserve"> (2010)</w:t>
      </w:r>
      <w:r w:rsidR="00385C42">
        <w:t xml:space="preserve"> estimated that 70% of people have multiple risk factors </w:t>
      </w:r>
      <w:r w:rsidR="00E107B7">
        <w:t>which can interact to</w:t>
      </w:r>
      <w:r w:rsidR="00385C42">
        <w:t xml:space="preserve"> increase a person’s risk of CVD. </w:t>
      </w:r>
      <w:r w:rsidR="008F2785">
        <w:t xml:space="preserve">Kurian and Cardarelli (2007) performed a </w:t>
      </w:r>
      <w:r w:rsidR="008A73B5">
        <w:t>systematic review of 13 studies</w:t>
      </w:r>
      <w:r w:rsidR="008F2785">
        <w:t xml:space="preserve"> that</w:t>
      </w:r>
      <w:r w:rsidR="008A73B5">
        <w:t xml:space="preserve"> look</w:t>
      </w:r>
      <w:r w:rsidR="008F2785">
        <w:t>ed</w:t>
      </w:r>
      <w:r w:rsidR="008A73B5">
        <w:t xml:space="preserve"> at different cardiovascular risk factor</w:t>
      </w:r>
      <w:r w:rsidR="00675A71">
        <w:t>s, and</w:t>
      </w:r>
      <w:r w:rsidR="008A73B5">
        <w:t xml:space="preserve"> reported that Black Americans </w:t>
      </w:r>
      <w:r w:rsidR="00675A71">
        <w:t>had</w:t>
      </w:r>
      <w:r w:rsidR="008A73B5">
        <w:t xml:space="preserve"> a twofold higher prevalence of hypertension compared to White Americans. </w:t>
      </w:r>
      <w:r w:rsidR="00675A71">
        <w:t>B</w:t>
      </w:r>
      <w:r w:rsidR="008A73B5">
        <w:t>oth Black and Mexican Americans had an increased prevalence</w:t>
      </w:r>
      <w:r w:rsidR="00675A71">
        <w:t xml:space="preserve"> of diabetes</w:t>
      </w:r>
      <w:r w:rsidR="008A73B5">
        <w:t xml:space="preserve"> compared to White Americans with an </w:t>
      </w:r>
      <w:r w:rsidR="008F2785">
        <w:t>odds ratio (OR)</w:t>
      </w:r>
      <w:r w:rsidR="008A73B5">
        <w:t xml:space="preserve"> of </w:t>
      </w:r>
      <w:r w:rsidR="008A73B5">
        <w:tab/>
        <w:t>2.39</w:t>
      </w:r>
      <w:r w:rsidR="008F2785">
        <w:t xml:space="preserve"> </w:t>
      </w:r>
      <w:r w:rsidR="008A73B5">
        <w:t>and 3.24,</w:t>
      </w:r>
      <w:r w:rsidR="008F2785">
        <w:t xml:space="preserve"> </w:t>
      </w:r>
      <w:r w:rsidR="008A73B5">
        <w:t>respectively.</w:t>
      </w:r>
      <w:r w:rsidR="008F2785">
        <w:t xml:space="preserve"> </w:t>
      </w:r>
      <w:r w:rsidR="00675A71">
        <w:t>With regards to</w:t>
      </w:r>
      <w:r w:rsidR="008F2785">
        <w:t xml:space="preserve"> </w:t>
      </w:r>
      <w:r w:rsidR="008F2785">
        <w:lastRenderedPageBreak/>
        <w:t>smoking, the</w:t>
      </w:r>
      <w:r w:rsidR="00675A71">
        <w:t>se reviewers stated</w:t>
      </w:r>
      <w:r w:rsidR="008F2785">
        <w:t xml:space="preserve"> that smoking was lower in Mexican Americans compared to Black and White Americans</w:t>
      </w:r>
      <w:r w:rsidR="00675A71">
        <w:t>, although</w:t>
      </w:r>
      <w:r w:rsidR="008F2785">
        <w:t xml:space="preserve"> Native Americans had a higher prevalence of smoking with an OR of 1.78 compared to White Americans </w:t>
      </w:r>
      <w:r w:rsidR="008F2785">
        <w:fldChar w:fldCharType="begin" w:fldLock="1"/>
      </w:r>
      <w:r w:rsidR="00E716AA">
        <w:instrText>ADDIN CSL_CITATION {"citationItems":[{"id":"ITEM-1","itemData":{"ISSN":"1049-510X (Print)","PMID":"17274224","abstract":"OBJECTIVE: This systematic review was undertaken to expand our understanding of the factors associated with racial/ethnic disparities in cardiovascular disease (CVD) risk factors (hypertension, diabetes, obesity, hypercholesterolemia, no leisure-time physical activity, and smoking), to assess the potential differences in the CVD risk factors by race/ethnicity, and to update and expand on existing reviews. METHODS: English-language, population-based CVD studies published between 1995 to present, which included one or more ethnic comparison in an adult population were reviewed. RESULTS: Sixteen studies were included in this review. Most of the studies found hypertension to be significantly higher in Blacks than Whites. Minority status was also significantly associated with diabetes. No one racial/ethnic minority population was consistently found to have a higher or lower prevalence of obesity or hypercholesterolemia. Mexican Americans had a significantly lower prevalence of smoking than Whites and Blacks; American Indian/Alaskan Natives (AIANs) had significantly higher prevalence of smoking compared to Whites. Mexican Americans had the highest prevalence of no leisure-time physical activity, followed by AIANs and Blacks. CONCLUSION: Cardiovascular diseases are the leading cause of death in the United States, and disproportionate rates are seen in racial and ethnic minority populations. Systematically assessing and quantifying modifiable CVD risk factors is therefore crucial in these populations. Better understanding and awareness of the disparities of CVD risk factors by race and ethnicity may help clinicians and public health professionals develop culturally sensitive interventions, prevention programs, and services specifically targeted toward risk burdens in each of these populations.","author":[{"dropping-particle":"","family":"Kurian","given":"Anita K","non-dropping-particle":"","parse-names":false,"suffix":""},{"dropping-particle":"","family":"Cardarelli","given":"Kathryn M","non-dropping-particle":"","parse-names":false,"suffix":""}],"container-title":"Ethnicity &amp; disease","id":"ITEM-1","issue":"1","issued":{"date-parts":[["2007"]]},"language":"eng","page":"143-152","publisher-place":"United States","title":"Racial and ethnic differences in cardiovascular disease risk factors: a systematic review.","type":"article-journal","volume":"17"},"uris":["http://www.mendeley.com/documents/?uuid=57e1d9c1-ceba-461d-8985-18959c3a63dd"]}],"mendeley":{"formattedCitation":"(Kurian &amp; Cardarelli, 2007)","plainTextFormattedCitation":"(Kurian &amp; Cardarelli, 2007)","previouslyFormattedCitation":"(Kurian &amp; Cardarelli, 2007)"},"properties":{"noteIndex":0},"schema":"https://github.com/citation-style-language/schema/raw/master/csl-citation.json"}</w:instrText>
      </w:r>
      <w:r w:rsidR="008F2785">
        <w:fldChar w:fldCharType="separate"/>
      </w:r>
      <w:r w:rsidR="008F2785" w:rsidRPr="008F2785">
        <w:rPr>
          <w:noProof/>
        </w:rPr>
        <w:t>(Kurian &amp; Cardarelli, 2007)</w:t>
      </w:r>
      <w:r w:rsidR="008F2785">
        <w:fldChar w:fldCharType="end"/>
      </w:r>
      <w:r w:rsidR="008F2785">
        <w:t xml:space="preserve">. </w:t>
      </w:r>
    </w:p>
    <w:p w14:paraId="2C20C924" w14:textId="5443AFCE" w:rsidR="00A83AAB" w:rsidRDefault="001742B5" w:rsidP="00637B87">
      <w:r>
        <w:t>Many treatments</w:t>
      </w:r>
      <w:r w:rsidR="0025645A">
        <w:t xml:space="preserve"> are available to help prevent or treat CVD</w:t>
      </w:r>
      <w:r>
        <w:t xml:space="preserve"> by tackling different risk factors</w:t>
      </w:r>
      <w:r w:rsidR="0025645A">
        <w:t>. CoA-reductase inhibitors</w:t>
      </w:r>
      <w:r>
        <w:t>,</w:t>
      </w:r>
      <w:r w:rsidR="00A561D4">
        <w:t xml:space="preserve"> also known as statins, </w:t>
      </w:r>
      <w:r w:rsidR="00675A71">
        <w:t>are</w:t>
      </w:r>
      <w:r>
        <w:t xml:space="preserve"> an effective primary and secondary preventive measure to reduce high cholesterol levels</w:t>
      </w:r>
      <w:r w:rsidR="00021F39">
        <w:t xml:space="preserve"> by 60-70% </w:t>
      </w:r>
      <w:r w:rsidR="00021F39">
        <w:fldChar w:fldCharType="begin" w:fldLock="1"/>
      </w:r>
      <w:r w:rsidR="00B404C2">
        <w:instrText>ADDIN CSL_CITATION {"citationItems":[{"id":"ITEM-1","itemData":{"DOI":"10.1093/eurheartj/eht273","ISSN":"1522-9645 (Electronic)","PMID":"23956253","abstract":"AIMS: The first aim was to critically evaluate the extent to which familial hypercholesterolaemia (FH) is underdiagnosed and undertreated. The second aim was to provide guidance for screening and treatment of FH, in order to prevent coronary heart disease (CHD). METHODS AND RESULTS: Of the theoretical estimated prevalence of 1/500 for heterozygous FH, &lt;1% are diagnosed in most countries. Recently, direct screening in a Northern European general population diagnosed approximately 1/200 with heterozygous FH. All reported studies document failure to achieve recommended LDL cholesterol targets in a large proportion of individuals with FH, and up to 13-fold increased risk of CHD. Based on prevalences between 1/500 and 1/200, between 14 and 34 million individuals worldwide have FH. We recommend that children, adults, and families should be screened for FH if a person or family member presents with FH, a plasma cholesterol level in an adult &gt;/=8 mmol/L(&gt;/=310 mg/dL) or a child &gt;/=6 mmol/L(&gt;/=230 mg/dL), premature CHD, tendon xanthomas, or sudden premature cardiac death. In FH, low-density lipoprotein cholesterol targets are &lt;3.5 mmol/L(&lt;135 mg/dL) for children, &lt;2.5 mmol/L(&lt;100 mg/dL) for adults, and &lt;1.8 mmol/L(&lt;70 mg/dL) for adults with known CHD or diabetes. In addition to lifestyle and dietary counselling, treatment priorities are (i) in children, statins, ezetimibe, and bile acid binding resins, and (ii) in adults, maximal potent statin dose, ezetimibe, and bile acid binding resins. Lipoprotein apheresis can be offered in homozygotes and in treatment-resistant heterozygotes with CHD. CONCLUSION: Owing to severe underdiagnosis and undertreatment of FH, there is an urgent worldwide need for diagnostic screening together with early and aggressive treatment of this extremely high-risk condition.","author":[{"dropping-particle":"","family":"Nordestgaard","given":"Borge G","non-dropping-particle":"","parse-names":false,"suffix":""},{"dropping-particle":"","family":"Chapman","given":"M John","non-dropping-particle":"","parse-names":false,"suffix":""},{"dropping-particle":"","family":"Humphries","given":"Steve E","non-dropping-particle":"","parse-names":false,"suffix":""},{"dropping-particle":"","family":"Ginsberg","given":"Henry N","non-dropping-particle":"","parse-names":false,"suffix":""},{"dropping-particle":"","family":"Masana","given":"Luis","non-dropping-particle":"","parse-names":false,"suffix":""},{"dropping-particle":"","family":"Descamps","given":"Olivier S","non-dropping-particle":"","parse-names":false,"suffix":""},{"dropping-particle":"","family":"Wiklund","given":"Olov","non-dropping-particle":"","parse-names":false,"suffix":""},{"dropping-particle":"","family":"Hegele","given":"Robert A","non-dropping-particle":"","parse-names":false,"suffix":""},{"dropping-particle":"","family":"Raal","given":"Frederick J","non-dropping-particle":"","parse-names":false,"suffix":""},{"dropping-particle":"","family":"Defesche","given":"Joep C","non-dropping-particle":"","parse-names":false,"suffix":""},{"dropping-particle":"","family":"Wiegman","given":"Albert","non-dropping-particle":"","parse-names":false,"suffix":""},{"dropping-particle":"","family":"Santos","given":"Raul D","non-dropping-particle":"","parse-names":false,"suffix":""},{"dropping-particle":"","family":"Watts","given":"Gerald F","non-dropping-particle":"","parse-names":false,"suffix":""},{"dropping-particle":"","family":"Parhofer","given":"Klaus G","non-dropping-particle":"","parse-names":false,"suffix":""},{"dropping-particle":"","family":"Hovingh","given":"G Kees","non-dropping-particle":"","parse-names":false,"suffix":""},{"dropping-particle":"","family":"Kovanen","given":"Petri T","non-dropping-particle":"","parse-names":false,"suffix":""},{"dropping-particle":"","family":"Boileau","given":"Catherine","non-dropping-particle":"","parse-names":false,"suffix":""},{"dropping-particle":"","family":"Averna","given":"Maurizio","non-dropping-particle":"","parse-names":false,"suffix":""},{"dropping-particle":"","family":"Boren","given":"Jan","non-dropping-particle":"","parse-names":false,"suffix":""},{"dropping-particle":"","family":"Bruckert","given":"Eric","non-dropping-particle":"","parse-names":false,"suffix":""},{"dropping-particle":"","family":"Catapano","given":"Alberico L","non-dropping-particle":"","parse-names":false,"suffix":""},{"dropping-particle":"","family":"Kuivenhoven","given":"Jan Albert","non-dropping-particle":"","parse-names":false,"suffix":""},{"dropping-particle":"","family":"Pajukanta","given":"Paivi","non-dropping-particle":"","parse-names":false,"suffix":""},{"dropping-particle":"","family":"Ray","given":"Kausik","non-dropping-particle":"","parse-names":false,"suffix":""},{"dropping-particle":"","family":"Stalenhoef","given":"Anton F H","non-dropping-particle":"","parse-names":false,"suffix":""},{"dropping-particle":"","family":"Stroes","given":"Erik","non-dropping-particle":"","parse-names":false,"suffix":""},{"dropping-particle":"","family":"Taskinen","given":"Marja-Riitta","non-dropping-particle":"","parse-names":false,"suffix":""},{"dropping-particle":"","family":"Tybjaerg-Hansen","given":"Anne","non-dropping-particle":"","parse-names":false,"suffix":""}],"container-title":"European heart journal","id":"ITEM-1","issue":"45","issued":{"date-parts":[["2013","12"]]},"language":"eng","page":"3478-90a","publisher-place":"England","title":"Familial hypercholesterolaemia is underdiagnosed and undertreated in the general  population: guidance for clinicians to prevent coronary heart disease: consensus statement of the European Atherosclerosis Society.","type":"article-journal","volume":"34"},"uris":["http://www.mendeley.com/documents/?uuid=cd8cf69f-b669-4d5d-b3a0-821498944406"]}],"mendeley":{"formattedCitation":"(Borge G Nordestgaard et al., 2013)","plainTextFormattedCitation":"(Borge G Nordestgaard et al., 2013)","previouslyFormattedCitation":"(Borge G Nordestgaard et al., 2013)"},"properties":{"noteIndex":0},"schema":"https://github.com/citation-style-language/schema/raw/master/csl-citation.json"}</w:instrText>
      </w:r>
      <w:r w:rsidR="00021F39">
        <w:fldChar w:fldCharType="separate"/>
      </w:r>
      <w:r w:rsidR="00470FE7" w:rsidRPr="00470FE7">
        <w:rPr>
          <w:noProof/>
        </w:rPr>
        <w:t>(Borge G Nordestgaard et al., 2013)</w:t>
      </w:r>
      <w:r w:rsidR="00021F39">
        <w:fldChar w:fldCharType="end"/>
      </w:r>
      <w:r>
        <w:t xml:space="preserve"> and</w:t>
      </w:r>
      <w:r w:rsidR="00675A71">
        <w:t xml:space="preserve"> subsequently</w:t>
      </w:r>
      <w:r>
        <w:t xml:space="preserve"> reduce relative risk of overall mortality by approximately 13% </w:t>
      </w:r>
      <w:r>
        <w:fldChar w:fldCharType="begin" w:fldLock="1"/>
      </w:r>
      <w:r>
        <w:instrText>ADDIN CSL_CITATION {"citationItems":[{"id":"ITEM-1","itemData":{"ISSN":"0957-9672 (Print)","PMID":"16276235","abstract":"PURPOSE OF REVIEW: To summarize the evidence from recent clinical trials and metaanalyses on the efficacy of statin therapy to reduce death, myocardial infarction and stroke, and to review the effects of statins in patients with low LDL cholesterol, diabetes, end-stage renal disease, and acute coronary syndrome. RECENT FINDINGS: In large metaanalyses of randomized controlled trials relative risk reductions from statins compared with placebo for patients with manifest or with risk factors for coronary artery disease were 13% for overall mortality, 26% for fatal and nonfatal myocardial infarction, and 18% for fatal and nonfatal stroke. Evidence from large trials suggests that patients with type II diabetes compared with patients without diabetes have similar risk reductions from statins for cardiovascular events, but this benefit is not seen in patients with diabetes and end-stage renal disease. In patients with acute coronary syndrome, early treatment with high-dose atorvastatin reduces cardiovascular morbidity after the first 4 months following the event, but the impact on mortality endpoints remains less clear. Results from recent trials in patients with stable coronary artery disease or type II diabetes suggest that statins provide benefit at considerable low LDL cholesterol levels. Therefore, target values for LDL cholesterol of less than 1.8 mmol/l (&lt;70 mg/dl) should be considered for all patients with coronary artery disease or equivalent coronary risk. SUMMARY: For patients at high risk of coronary artery disease there is growing evidence for the concept of 'the lower, the better' regarding LDL cholesterol levels. Ongoing trials are further investigating the safety of lower target values in patients at various risk of coronary artery disease.","author":[{"dropping-particle":"","family":"Briel","given":"Matthias","non-dropping-particle":"","parse-names":false,"suffix":""},{"dropping-particle":"","family":"Nordmann","given":"Alain J","non-dropping-particle":"","parse-names":false,"suffix":""},{"dropping-particle":"","family":"Bucher","given":"Heiner C","non-dropping-particle":"","parse-names":false,"suffix":""}],"container-title":"Current opinion in lipidology","id":"ITEM-1","issue":"6","issued":{"date-parts":[["2005","12"]]},"language":"eng","page":"601-605","publisher-place":"England","title":"Statin therapy for prevention and treatment of acute and chronic cardiovascular disease: update on recent trials and metaanalyses.","type":"article-journal","volume":"16"},"uris":["http://www.mendeley.com/documents/?uuid=05dda2e7-79f3-438f-844c-9c4d0e96b28e"]},{"id":"ITEM-2","itemData":{"DOI":"10.1016/j.jacc.2008.08.039","ISSN":"1558-3597 (Electronic)","PMID":"19022156","abstract":"OBJECTIVES: This study aimed to evaluate the effectiveness of 3-hydroxy-3-methyl-glutaryl-CoA reductase inhibitors (statins) in primary prevention of cardiovascular events. BACKGROUND: The role of statins is well established for secondary prevention of cardiovascular disease (CVD) clinical events and mortality. Little is known of their role in primary cardiovascular event prevention. METHODS: We conducted comprehensive searches of 10 electronic databases from inception to May 2008. We contacted study investigators and maintained a comprehensive bibliography of statin studies. We included randomized trials of at least 12-month duration in predominantly primary prevention populations. Two reviewers independently extracted data in duplicate. We performed random-effects meta-analysis and meta-regression, calculated optimal information size, and conducted a mixed-treatment comparison analysis. RESULTS: We included 20 randomized clinical trials. We pooled 19 trials (n = 63,899) for all-cause mortality and found a relative risk (RR) of 0.93 (95% confidence interval [CI]: 0.87 to 0.99, p = 0.03 [I(2) = 5%, 95% CI: 0% to 51%]). Eighteen trials (n = 59,469) assessed cardiovascular deaths (RR: 0.89, 95% CI: 0.81 to 0.98, p = 0.01 [I(2) = 0%, 95% CI: 0% to 41%]). Seventeen trials (n = 53,371) found an RR of 0.85 (95% CI: 0.77 to 0.95, p = 0.004 [I(2) = 61%, 95% CI: 38% to 77%]) for major cardiovascular events, and 17 trials (n = 52,976) assessed myocardial infarctions (RR: 0.77, 95% CI: 0.63 to 0.95, p = 0.01 [I(2) = 59%, 95% CI: 24% to 74%]). Incidence of cancer was not elevated in 10 trials (n = 45,469) (RR: 1.02, 95% CI: 0.94 to 1.11, p = 0.59 [I(2) = 0%, 95% CI: 0% to 46%]), nor was rhabdomyolysis (RR: 0.97, 95% CI: 0.25 to 3.83, p = 0.96 [I(2) = 0%, 95% CI: 0% to 40%]). Our analysis included a sufficient sample to reliably answer our primary outcome of CVD mortality. CONCLUSIONS: Statins have a clear role in primary prevention of CVD mortality and major events.","author":[{"dropping-particle":"","family":"Mills","given":"Edward J","non-dropping-particle":"","parse-names":false,"suffix":""},{"dropping-particle":"","family":"Rachlis","given":"Beth","non-dropping-particle":"","parse-names":false,"suffix":""},{"dropping-particle":"","family":"Wu","given":"Ping","non-dropping-particle":"","parse-names":false,"suffix":""},{"dropping-particle":"","family":"Devereaux","given":"Philip J","non-dropping-particle":"","parse-names":false,"suffix":""},{"dropping-particle":"","family":"Arora","given":"Paul","non-dropping-particle":"","parse-names":false,"suffix":""},{"dropping-particle":"","family":"Perri","given":"Dan","non-dropping-particle":"","parse-names":false,"suffix":""}],"container-title":"Journal of the American College of Cardiology","id":"ITEM-2","issue":"22","issued":{"date-parts":[["2008","11"]]},"language":"eng","page":"1769-1781","publisher-place":"United States","title":"Primary prevention of cardiovascular mortality and events with statin treatments: a network meta-analysis involving more than 65,000 patients.","type":"article-journal","volume":"52"},"uris":["http://www.mendeley.com/documents/?uuid=ae9e8c26-be81-43b0-b0bd-212c0b5f32fc"]}],"mendeley":{"formattedCitation":"(Briel, Nordmann, &amp; Bucher, 2005; Mills et al., 2008)","plainTextFormattedCitation":"(Briel, Nordmann, &amp; Bucher, 2005; Mills et al., 2008)","previouslyFormattedCitation":"(Briel, Nordmann, &amp; Bucher, 2005; Mills et al., 2008)"},"properties":{"noteIndex":0},"schema":"https://github.com/citation-style-language/schema/raw/master/csl-citation.json"}</w:instrText>
      </w:r>
      <w:r>
        <w:fldChar w:fldCharType="separate"/>
      </w:r>
      <w:r w:rsidRPr="001742B5">
        <w:rPr>
          <w:noProof/>
        </w:rPr>
        <w:t>(Briel, Nordmann, &amp; Bucher, 2005; Mills et al., 2008)</w:t>
      </w:r>
      <w:r>
        <w:fldChar w:fldCharType="end"/>
      </w:r>
      <w:r>
        <w:t xml:space="preserve">. Other treatments for </w:t>
      </w:r>
      <w:r w:rsidR="00675A71">
        <w:t>individuals</w:t>
      </w:r>
      <w:r>
        <w:t xml:space="preserve"> with extremely high lipid levels (hyperlipidemia) include apheresis, which can decrease LDL-cholesterol levels by 50-75% </w:t>
      </w:r>
      <w:r>
        <w:fldChar w:fldCharType="begin" w:fldLock="1"/>
      </w:r>
      <w:r w:rsidR="00B404C2">
        <w:instrText>ADDIN CSL_CITATION {"citationItems":[{"id":"ITEM-1","itemData":{"DOI":"10.1093/eurheartj/eht273","ISSN":"1522-9645 (Electronic)","PMID":"23956253","abstract":"AIMS: The first aim was to critically evaluate the extent to which familial hypercholesterolaemia (FH) is underdiagnosed and undertreated. The second aim was to provide guidance for screening and treatment of FH, in order to prevent coronary heart disease (CHD). METHODS AND RESULTS: Of the theoretical estimated prevalence of 1/500 for heterozygous FH, &lt;1% are diagnosed in most countries. Recently, direct screening in a Northern European general population diagnosed approximately 1/200 with heterozygous FH. All reported studies document failure to achieve recommended LDL cholesterol targets in a large proportion of individuals with FH, and up to 13-fold increased risk of CHD. Based on prevalences between 1/500 and 1/200, between 14 and 34 million individuals worldwide have FH. We recommend that children, adults, and families should be screened for FH if a person or family member presents with FH, a plasma cholesterol level in an adult &gt;/=8 mmol/L(&gt;/=310 mg/dL) or a child &gt;/=6 mmol/L(&gt;/=230 mg/dL), premature CHD, tendon xanthomas, or sudden premature cardiac death. In FH, low-density lipoprotein cholesterol targets are &lt;3.5 mmol/L(&lt;135 mg/dL) for children, &lt;2.5 mmol/L(&lt;100 mg/dL) for adults, and &lt;1.8 mmol/L(&lt;70 mg/dL) for adults with known CHD or diabetes. In addition to lifestyle and dietary counselling, treatment priorities are (i) in children, statins, ezetimibe, and bile acid binding resins, and (ii) in adults, maximal potent statin dose, ezetimibe, and bile acid binding resins. Lipoprotein apheresis can be offered in homozygotes and in treatment-resistant heterozygotes with CHD. CONCLUSION: Owing to severe underdiagnosis and undertreatment of FH, there is an urgent worldwide need for diagnostic screening together with early and aggressive treatment of this extremely high-risk condition.","author":[{"dropping-particle":"","family":"Nordestgaard","given":"Borge G","non-dropping-particle":"","parse-names":false,"suffix":""},{"dropping-particle":"","family":"Chapman","given":"M John","non-dropping-particle":"","parse-names":false,"suffix":""},{"dropping-particle":"","family":"Humphries","given":"Steve E","non-dropping-particle":"","parse-names":false,"suffix":""},{"dropping-particle":"","family":"Ginsberg","given":"Henry N","non-dropping-particle":"","parse-names":false,"suffix":""},{"dropping-particle":"","family":"Masana","given":"Luis","non-dropping-particle":"","parse-names":false,"suffix":""},{"dropping-particle":"","family":"Descamps","given":"Olivier S","non-dropping-particle":"","parse-names":false,"suffix":""},{"dropping-particle":"","family":"Wiklund","given":"Olov","non-dropping-particle":"","parse-names":false,"suffix":""},{"dropping-particle":"","family":"Hegele","given":"Robert A","non-dropping-particle":"","parse-names":false,"suffix":""},{"dropping-particle":"","family":"Raal","given":"Frederick J","non-dropping-particle":"","parse-names":false,"suffix":""},{"dropping-particle":"","family":"Defesche","given":"Joep C","non-dropping-particle":"","parse-names":false,"suffix":""},{"dropping-particle":"","family":"Wiegman","given":"Albert","non-dropping-particle":"","parse-names":false,"suffix":""},{"dropping-particle":"","family":"Santos","given":"Raul D","non-dropping-particle":"","parse-names":false,"suffix":""},{"dropping-particle":"","family":"Watts","given":"Gerald F","non-dropping-particle":"","parse-names":false,"suffix":""},{"dropping-particle":"","family":"Parhofer","given":"Klaus G","non-dropping-particle":"","parse-names":false,"suffix":""},{"dropping-particle":"","family":"Hovingh","given":"G Kees","non-dropping-particle":"","parse-names":false,"suffix":""},{"dropping-particle":"","family":"Kovanen","given":"Petri T","non-dropping-particle":"","parse-names":false,"suffix":""},{"dropping-particle":"","family":"Boileau","given":"Catherine","non-dropping-particle":"","parse-names":false,"suffix":""},{"dropping-particle":"","family":"Averna","given":"Maurizio","non-dropping-particle":"","parse-names":false,"suffix":""},{"dropping-particle":"","family":"Boren","given":"Jan","non-dropping-particle":"","parse-names":false,"suffix":""},{"dropping-particle":"","family":"Bruckert","given":"Eric","non-dropping-particle":"","parse-names":false,"suffix":""},{"dropping-particle":"","family":"Catapano","given":"Alberico L","non-dropping-particle":"","parse-names":false,"suffix":""},{"dropping-particle":"","family":"Kuivenhoven","given":"Jan Albert","non-dropping-particle":"","parse-names":false,"suffix":""},{"dropping-particle":"","family":"Pajukanta","given":"Paivi","non-dropping-particle":"","parse-names":false,"suffix":""},{"dropping-particle":"","family":"Ray","given":"Kausik","non-dropping-particle":"","parse-names":false,"suffix":""},{"dropping-particle":"","family":"Stalenhoef","given":"Anton F H","non-dropping-particle":"","parse-names":false,"suffix":""},{"dropping-particle":"","family":"Stroes","given":"Erik","non-dropping-particle":"","parse-names":false,"suffix":""},{"dropping-particle":"","family":"Taskinen","given":"Marja-Riitta","non-dropping-particle":"","parse-names":false,"suffix":""},{"dropping-particle":"","family":"Tybjaerg-Hansen","given":"Anne","non-dropping-particle":"","parse-names":false,"suffix":""}],"container-title":"European heart journal","id":"ITEM-1","issue":"45","issued":{"date-parts":[["2013","12"]]},"language":"eng","page":"3478-90a","publisher-place":"England","title":"Familial hypercholesterolaemia is underdiagnosed and undertreated in the general  population: guidance for clinicians to prevent coronary heart disease: consensus statement of the European Atherosclerosis Society.","type":"article-journal","volume":"34"},"uris":["http://www.mendeley.com/documents/?uuid=cd8cf69f-b669-4d5d-b3a0-821498944406"]}],"mendeley":{"formattedCitation":"(Borge G Nordestgaard et al., 2013)","plainTextFormattedCitation":"(Borge G Nordestgaard et al., 2013)","previouslyFormattedCitation":"(Borge G Nordestgaard et al., 2013)"},"properties":{"noteIndex":0},"schema":"https://github.com/citation-style-language/schema/raw/master/csl-citation.json"}</w:instrText>
      </w:r>
      <w:r>
        <w:fldChar w:fldCharType="separate"/>
      </w:r>
      <w:r w:rsidR="00470FE7" w:rsidRPr="00470FE7">
        <w:rPr>
          <w:noProof/>
        </w:rPr>
        <w:t>(Borge G Nordestgaard et al., 2013)</w:t>
      </w:r>
      <w:r>
        <w:fldChar w:fldCharType="end"/>
      </w:r>
      <w:r>
        <w:t xml:space="preserve">. </w:t>
      </w:r>
      <w:r w:rsidR="008E449C">
        <w:t>Many other treatments and surgeries are also available to help treat other risk factor</w:t>
      </w:r>
      <w:r w:rsidR="00675A71">
        <w:t>s</w:t>
      </w:r>
      <w:r w:rsidR="008E449C">
        <w:t xml:space="preserve"> or the presence of heart disease. </w:t>
      </w:r>
    </w:p>
    <w:p w14:paraId="00D12BCB" w14:textId="77777777" w:rsidR="00953860" w:rsidRDefault="000379F9" w:rsidP="00041A19">
      <w:pPr>
        <w:pStyle w:val="Heading2"/>
      </w:pPr>
      <w:bookmarkStart w:id="6" w:name="_Toc39065918"/>
      <w:r>
        <w:t xml:space="preserve">The Pathology </w:t>
      </w:r>
      <w:r w:rsidR="00041A19">
        <w:t>of Coronary Artery Disease</w:t>
      </w:r>
      <w:bookmarkEnd w:id="6"/>
    </w:p>
    <w:p w14:paraId="7389C9AF" w14:textId="314C59FD" w:rsidR="00CE4C70" w:rsidRDefault="00B10697" w:rsidP="00B10697">
      <w:r>
        <w:t xml:space="preserve">Coronary artery disease (CAD) is the most common type of CVD in the </w:t>
      </w:r>
      <w:r w:rsidR="00034241">
        <w:t>US</w:t>
      </w:r>
      <w:r>
        <w:t xml:space="preserve"> </w:t>
      </w:r>
      <w:r>
        <w:fldChar w:fldCharType="begin" w:fldLock="1"/>
      </w:r>
      <w:r w:rsidR="001742B5">
        <w:instrText>ADDIN CSL_CITATION {"citationItems":[{"id":"ITEM-1","itemData":{"URL":"https://www.cdc.gov/heartdisease/facts.htm","accessed":{"date-parts":[["2019","9","10"]]},"author":[{"dropping-particle":"","family":"Centers for Disease Control and Prevention","given":"","non-dropping-particle":"","parse-names":false,"suffix":""}],"id":"ITEM-1","issued":{"date-parts":[["2017"]]},"title":"Heart Disease Facts","type":"webpage"},"uris":["http://www.mendeley.com/documents/?uuid=99117bf4-d5ca-44fa-854d-b84e930da049"]}],"mendeley":{"formattedCitation":"(Centers for Disease Control and Prevention, 2017)","manualFormatting":"(CDC, 2017)","plainTextFormattedCitation":"(Centers for Disease Control and Prevention, 2017)","previouslyFormattedCitation":"(Centers for Disease Control and Prevention, 2017)"},"properties":{"noteIndex":0},"schema":"https://github.com/citation-style-language/schema/raw/master/csl-citation.json"}</w:instrText>
      </w:r>
      <w:r>
        <w:fldChar w:fldCharType="separate"/>
      </w:r>
      <w:r w:rsidRPr="00B10697">
        <w:rPr>
          <w:noProof/>
        </w:rPr>
        <w:t>(C</w:t>
      </w:r>
      <w:r>
        <w:rPr>
          <w:noProof/>
        </w:rPr>
        <w:t>DC</w:t>
      </w:r>
      <w:r w:rsidRPr="00B10697">
        <w:rPr>
          <w:noProof/>
        </w:rPr>
        <w:t>, 2017)</w:t>
      </w:r>
      <w:r>
        <w:fldChar w:fldCharType="end"/>
      </w:r>
      <w:r>
        <w:t xml:space="preserve">. </w:t>
      </w:r>
      <w:r w:rsidR="000A1C02">
        <w:t>Atherosclero</w:t>
      </w:r>
      <w:r w:rsidR="00087825">
        <w:t>tic</w:t>
      </w:r>
      <w:r w:rsidR="000A1C02">
        <w:t xml:space="preserve"> cardiovascular disease (ASCVD) and </w:t>
      </w:r>
      <w:r w:rsidR="00B51BBF">
        <w:t xml:space="preserve">CAD occurs from atherosclerosis, which is the thickening and narrowing of arteries. </w:t>
      </w:r>
      <w:r w:rsidR="000379F9">
        <w:t xml:space="preserve">The process of atherosclerosis begins in a person’s childhood and gradually progresses throughout a person’s lifetime </w:t>
      </w:r>
      <w:r w:rsidR="000379F9">
        <w:fldChar w:fldCharType="begin" w:fldLock="1"/>
      </w:r>
      <w:r w:rsidR="00B70886">
        <w:instrText>ADDIN CSL_CITATION {"citationItems":[{"id":"ITEM-1","itemData":{"DOI":"10.1016/j.amjmed.2008.10.013","ISSN":"1555-7162 (Electronic)","PMID":"19110086","abstract":"Atherosclerosis develops over the course of 50 years, beginning in the early teenage years. The causes of this process appear to be lipid retention, oxidation, and modification, which provoke chronic inflammation at susceptible sites in the walls of all major conduit arteries. Initial fatty streaks evolve into fibrous plaques, some of which develop into forms that are vulnerable to rupture, causing thrombosis or stenosis. Erosion of the surfaces of some plaques and rupture of a plaque's calcific nodule into the artery lumen also may trigger thrombosis. The process of plaque development is the same regardless of race/ethnicity, sex, or geographic location, apparently worldwide. However, the rate of development is faster in patients with risk factors such as hypertension, tobacco smoking, diabetes mellitus, obesity, and genetic predisposition. Clinical trial data demonstrate that treatment with 3-hydroxy-3-methylglutaryl coenzyme A reductase inhibitors (statins) favorably alters plaque size, cellular composition, chemical composition, and biological activities centered on inflammation and cholesterol metabolism, as well as the risk of clinical events due to atherosclerosis. Even with advanced atherosclerosis, statins begin to improve clinical risk within 4 months. During long-term follow-up in clinical trials for up to 11 years with or without further treatment, clinical benefit remains significant, indicating the durability of treatment-induced changes in the development of plaque. Thus, atherosclerosis, a disease heretofore viewed as inevitably progressive, can be treated to significantly alter arterial lesions and reduce their clinical consequences.","author":[{"dropping-particle":"","family":"Insull","given":"William Jr","non-dropping-particle":"","parse-names":false,"suffix":""}],"container-title":"The American journal of medicine","id":"ITEM-1","issue":"1 Suppl","issued":{"date-parts":[["2009","1"]]},"language":"eng","page":"S3-S14","publisher-place":"United States","title":"The pathology of atherosclerosis: plaque development and plaque responses to medical treatment.","type":"article-journal","volume":"122"},"uris":["http://www.mendeley.com/documents/?uuid=2e00fe32-a105-43ca-95af-0122c89a5b61"]}],"mendeley":{"formattedCitation":"(Insull, 2009)","plainTextFormattedCitation":"(Insull, 2009)","previouslyFormattedCitation":"(Insull, 2009)"},"properties":{"noteIndex":0},"schema":"https://github.com/citation-style-language/schema/raw/master/csl-citation.json"}</w:instrText>
      </w:r>
      <w:r w:rsidR="000379F9">
        <w:fldChar w:fldCharType="separate"/>
      </w:r>
      <w:r w:rsidR="000379F9" w:rsidRPr="000379F9">
        <w:rPr>
          <w:noProof/>
        </w:rPr>
        <w:t>(Insull, 2009)</w:t>
      </w:r>
      <w:r w:rsidR="000379F9">
        <w:fldChar w:fldCharType="end"/>
      </w:r>
      <w:r w:rsidR="000379F9">
        <w:t xml:space="preserve">. </w:t>
      </w:r>
      <w:r w:rsidR="008343AA">
        <w:t xml:space="preserve">Atherosclerosis is difficult to detect in patients as they typically remain asymptomatic; however, patients with atherosclerosis and CAD typically have worse prognosis compared to those without in terms of surviving a myocardial infarction </w:t>
      </w:r>
      <w:r w:rsidR="008343AA">
        <w:fldChar w:fldCharType="begin" w:fldLock="1"/>
      </w:r>
      <w:r w:rsidR="00AC20D5">
        <w:instrText>ADDIN CSL_CITATION {"citationItems":[{"id":"ITEM-1","itemData":{"DOI":"10.21037/atm.2016.06.33","ISSN":"2305-5839 (Print)","PMID":"27500157","abstract":"The aim of this review is to summarize the incidence, prevalence, trend in mortality, and general prognosis of coronary heart disease (CHD) and a related condition, acute coronary syndrome (ACS). Although CHD mortality has gradually declined over the last decades in western countries, this condition still causes about one-third of all deaths in people older than 35 years. This evidence, along with the fact that mortality from CHD is expected to continue increasing in developing countries, illustrates the need for implementing effective primary prevention approaches worldwide and identifying risk groups and areas for possible improvement.","author":[{"dropping-particle":"","family":"Sanchis-Gomar","given":"Fabian","non-dropping-particle":"","parse-names":false,"suffix":""},{"dropping-particle":"","family":"Perez-Quilis","given":"Carme","non-dropping-particle":"","parse-names":false,"suffix":""},{"dropping-particle":"","family":"Leischik","given":"Roman","non-dropping-particle":"","parse-names":false,"suffix":""},{"dropping-particle":"","family":"Lucia","given":"Alejandro","non-dropping-particle":"","parse-names":false,"suffix":""}],"container-title":"Annals of translational medicine","id":"ITEM-1","issue":"13","issued":{"date-parts":[["2016","7"]]},"language":"eng","page":"256","publisher-place":"China","title":"Epidemiology of coronary heart disease and acute coronary syndrome.","type":"article-journal","volume":"4"},"uris":["http://www.mendeley.com/documents/?uuid=94d2bf90-5d48-4ae9-91e6-51a9bc75cb77"]}],"mendeley":{"formattedCitation":"(Sanchis-Gomar et al., 2016)","plainTextFormattedCitation":"(Sanchis-Gomar et al., 2016)","previouslyFormattedCitation":"(Sanchis-Gomar et al., 2016)"},"properties":{"noteIndex":0},"schema":"https://github.com/citation-style-language/schema/raw/master/csl-citation.json"}</w:instrText>
      </w:r>
      <w:r w:rsidR="008343AA">
        <w:fldChar w:fldCharType="separate"/>
      </w:r>
      <w:r w:rsidR="008343AA" w:rsidRPr="008343AA">
        <w:rPr>
          <w:noProof/>
        </w:rPr>
        <w:t>(Sanchis-Gomar et al., 2016)</w:t>
      </w:r>
      <w:r w:rsidR="008343AA">
        <w:fldChar w:fldCharType="end"/>
      </w:r>
      <w:r w:rsidR="008343AA">
        <w:t xml:space="preserve">. </w:t>
      </w:r>
    </w:p>
    <w:p w14:paraId="080B2E99" w14:textId="33535F3D" w:rsidR="00B24EAC" w:rsidRDefault="00B51BBF" w:rsidP="00B70886">
      <w:r>
        <w:t xml:space="preserve">The pathology </w:t>
      </w:r>
      <w:r w:rsidR="00034241">
        <w:t>results</w:t>
      </w:r>
      <w:r>
        <w:t xml:space="preserve"> from the body’s immune response. </w:t>
      </w:r>
      <w:r w:rsidR="000379F9">
        <w:t xml:space="preserve">As excess LDL-cholesterol leaves the blood and enters the intima, enzymes modify the LDL particles and become oxidized. </w:t>
      </w:r>
      <w:r w:rsidR="004C7688">
        <w:lastRenderedPageBreak/>
        <w:t xml:space="preserve">The oxidized LDL particles </w:t>
      </w:r>
      <w:r w:rsidR="000379F9">
        <w:t>send a signal to the body’s inflammatory response system</w:t>
      </w:r>
      <w:r w:rsidR="00A60EC6">
        <w:t xml:space="preserve"> to</w:t>
      </w:r>
      <w:r w:rsidR="000379F9">
        <w:t xml:space="preserve"> activate and secrete adhesion molecules</w:t>
      </w:r>
      <w:r w:rsidR="004C7688">
        <w:t xml:space="preserve"> and </w:t>
      </w:r>
      <w:r w:rsidR="00A60EC6">
        <w:t>chemokines,</w:t>
      </w:r>
      <w:r w:rsidR="004C7688">
        <w:t xml:space="preserve"> which draws in immune cells</w:t>
      </w:r>
      <w:r w:rsidR="00A60EC6">
        <w:t>, such as monocytes and neutrophils,</w:t>
      </w:r>
      <w:r w:rsidR="004C7688">
        <w:t xml:space="preserve"> into the intima. </w:t>
      </w:r>
      <w:r w:rsidR="00A60EC6">
        <w:t xml:space="preserve">As the monocytes enter the intima, they mature into macrophages which take in the LDL particles and become foam cells. The accumulation of foam cells and debris forms a necrotic core, which is then enveloped by smooth muscle cells and collagen </w:t>
      </w:r>
      <w:r w:rsidR="00581DC1">
        <w:t>called the fibrous cap</w:t>
      </w:r>
      <w:r w:rsidR="00A60EC6">
        <w:t>.</w:t>
      </w:r>
      <w:r w:rsidR="00581DC1">
        <w:t xml:space="preserve"> Together, this creates plaques in the arterial walls of the intima which reduces blood flows.</w:t>
      </w:r>
      <w:r w:rsidR="00A60EC6">
        <w:t xml:space="preserve"> As </w:t>
      </w:r>
      <w:r w:rsidR="00B70886">
        <w:t xml:space="preserve">a person ages, the fibrous cap </w:t>
      </w:r>
      <w:r w:rsidR="00581DC1">
        <w:t xml:space="preserve">of the plaque </w:t>
      </w:r>
      <w:r w:rsidR="00B70886">
        <w:t>thins and weakens, which can lead to a rupture, resulting in thrombosis (blood clot)</w:t>
      </w:r>
      <w:r w:rsidR="004C4C91">
        <w:t xml:space="preserve">, </w:t>
      </w:r>
      <w:r w:rsidR="00B70886">
        <w:t xml:space="preserve">coronary artery disease, myocardial infarction, or sudden cardiac death </w:t>
      </w:r>
      <w:r w:rsidR="00B70886">
        <w:fldChar w:fldCharType="begin" w:fldLock="1"/>
      </w:r>
      <w:r w:rsidR="00AA3A0E">
        <w:instrText>ADDIN CSL_CITATION {"citationItems":[{"id":"ITEM-1","itemData":{"DOI":"10.1016/j.amjmed.2008.10.013","ISSN":"1555-7162 (Electronic)","PMID":"19110086","abstract":"Atherosclerosis develops over the course of 50 years, beginning in the early teenage years. The causes of this process appear to be lipid retention, oxidation, and modification, which provoke chronic inflammation at susceptible sites in the walls of all major conduit arteries. Initial fatty streaks evolve into fibrous plaques, some of which develop into forms that are vulnerable to rupture, causing thrombosis or stenosis. Erosion of the surfaces of some plaques and rupture of a plaque's calcific nodule into the artery lumen also may trigger thrombosis. The process of plaque development is the same regardless of race/ethnicity, sex, or geographic location, apparently worldwide. However, the rate of development is faster in patients with risk factors such as hypertension, tobacco smoking, diabetes mellitus, obesity, and genetic predisposition. Clinical trial data demonstrate that treatment with 3-hydroxy-3-methylglutaryl coenzyme A reductase inhibitors (statins) favorably alters plaque size, cellular composition, chemical composition, and biological activities centered on inflammation and cholesterol metabolism, as well as the risk of clinical events due to atherosclerosis. Even with advanced atherosclerosis, statins begin to improve clinical risk within 4 months. During long-term follow-up in clinical trials for up to 11 years with or without further treatment, clinical benefit remains significant, indicating the durability of treatment-induced changes in the development of plaque. Thus, atherosclerosis, a disease heretofore viewed as inevitably progressive, can be treated to significantly alter arterial lesions and reduce their clinical consequences.","author":[{"dropping-particle":"","family":"Insull","given":"William Jr","non-dropping-particle":"","parse-names":false,"suffix":""}],"container-title":"The American journal of medicine","id":"ITEM-1","issue":"1 Suppl","issued":{"date-parts":[["2009","1"]]},"language":"eng","page":"S3-S14","publisher-place":"United States","title":"The pathology of atherosclerosis: plaque development and plaque responses to medical treatment.","type":"article-journal","volume":"122"},"uris":["http://www.mendeley.com/documents/?uuid=2e00fe32-a105-43ca-95af-0122c89a5b61"]},{"id":"ITEM-2","itemData":{"DOI":"10.1038/nm.2538","ISSN":"1546-170X (Electronic)","PMID":"22064431","abstract":"Coronary artery disease (CAD) arising from atherosclerosis is a leading cause of  death and morbidity worldwide. The underlying pathogenesis involves an imbalanced lipid metabolism and a maladaptive immune response entailing a chronic inflammation of the arterial wall. The disturbed equilibrium of lipid accumulation, immune responses and their clearance is shaped by leukocyte trafficking and homeostasis governed by chemokines and their receptors. New pro- and anti-inflammatory pathways linking lipid and inflammation biology have been discovered, and genetic profiling studies have unveiled variations involved in human CAD. The growing understanding of the inflammatory processes and mediators has uncovered an intriguing diversity of targetable mechanisms that can be exploited to complement lipid-lowering therapies. Here we aim to systematically survey recently identified molecular mechanisms, translational developments and clinical strategies for targeting lipid-related inflammation in atherosclerosis and CAD.","author":[{"dropping-particle":"","family":"Weber","given":"Christian","non-dropping-particle":"","parse-names":false,"suffix":""},{"dropping-particle":"","family":"Noels","given":"Heidi","non-dropping-particle":"","parse-names":false,"suffix":""}],"container-title":"Nature medicine","id":"ITEM-2","issue":"11","issued":{"date-parts":[["2011","11"]]},"language":"eng","page":"1410-1422","publisher-place":"United States","title":"Atherosclerosis: current pathogenesis and therapeutic options.","type":"article-journal","volume":"17"},"uris":["http://www.mendeley.com/documents/?uuid=94129296-f159-4dac-8c6a-4e409c1923a4"]}],"mendeley":{"formattedCitation":"(Insull, 2009; Weber &amp; Noels, 2011)","plainTextFormattedCitation":"(Insull, 2009; Weber &amp; Noels, 2011)","previouslyFormattedCitation":"(Insull, 2009; Weber &amp; Noels, 2011)"},"properties":{"noteIndex":0},"schema":"https://github.com/citation-style-language/schema/raw/master/csl-citation.json"}</w:instrText>
      </w:r>
      <w:r w:rsidR="00B70886">
        <w:fldChar w:fldCharType="separate"/>
      </w:r>
      <w:r w:rsidR="00B70886" w:rsidRPr="00B70886">
        <w:rPr>
          <w:noProof/>
        </w:rPr>
        <w:t>(Insull, 2009; Weber &amp; Noels, 2011)</w:t>
      </w:r>
      <w:r w:rsidR="00B70886">
        <w:fldChar w:fldCharType="end"/>
      </w:r>
      <w:r w:rsidR="00B70886">
        <w:t xml:space="preserve">. </w:t>
      </w:r>
    </w:p>
    <w:p w14:paraId="30075184" w14:textId="40CA015B" w:rsidR="00562667" w:rsidRDefault="00562667" w:rsidP="00B70886">
      <w:r>
        <w:t>The risk of atherosclerosis and CAD increases with the appearance of one or more risk factors such as hypertension, smoking, diabetes, hyperlipidemia, and genetic susceptibility.</w:t>
      </w:r>
      <w:r w:rsidR="00BC4330">
        <w:t xml:space="preserve"> Treatments, </w:t>
      </w:r>
      <w:r w:rsidR="00581DC1">
        <w:t xml:space="preserve">such as </w:t>
      </w:r>
      <w:r w:rsidR="00282463">
        <w:t>statins</w:t>
      </w:r>
      <w:r w:rsidR="00581DC1">
        <w:t>,</w:t>
      </w:r>
      <w:r w:rsidR="00282463">
        <w:t xml:space="preserve"> and preventative measures, such as lifestyle and behavioral modifications</w:t>
      </w:r>
      <w:r w:rsidR="00581DC1">
        <w:t xml:space="preserve"> have been shown to reduce excess LDL-cholesterol in the blood </w:t>
      </w:r>
      <w:r w:rsidR="00930F38">
        <w:t>and</w:t>
      </w:r>
      <w:r w:rsidR="00581DC1">
        <w:t xml:space="preserve"> decrease the formation of plaques</w:t>
      </w:r>
      <w:r w:rsidR="00AA3A0E">
        <w:t xml:space="preserve"> </w:t>
      </w:r>
      <w:r w:rsidR="00AA3A0E">
        <w:fldChar w:fldCharType="begin" w:fldLock="1"/>
      </w:r>
      <w:r w:rsidR="0054707E">
        <w:instrText>ADDIN CSL_CITATION {"citationItems":[{"id":"ITEM-1","itemData":{"DOI":"10.1016/j.amjmed.2008.10.013","ISSN":"1555-7162 (Electronic)","PMID":"19110086","abstract":"Atherosclerosis develops over the course of 50 years, beginning in the early teenage years. The causes of this process appear to be lipid retention, oxidation, and modification, which provoke chronic inflammation at susceptible sites in the walls of all major conduit arteries. Initial fatty streaks evolve into fibrous plaques, some of which develop into forms that are vulnerable to rupture, causing thrombosis or stenosis. Erosion of the surfaces of some plaques and rupture of a plaque's calcific nodule into the artery lumen also may trigger thrombosis. The process of plaque development is the same regardless of race/ethnicity, sex, or geographic location, apparently worldwide. However, the rate of development is faster in patients with risk factors such as hypertension, tobacco smoking, diabetes mellitus, obesity, and genetic predisposition. Clinical trial data demonstrate that treatment with 3-hydroxy-3-methylglutaryl coenzyme A reductase inhibitors (statins) favorably alters plaque size, cellular composition, chemical composition, and biological activities centered on inflammation and cholesterol metabolism, as well as the risk of clinical events due to atherosclerosis. Even with advanced atherosclerosis, statins begin to improve clinical risk within 4 months. During long-term follow-up in clinical trials for up to 11 years with or without further treatment, clinical benefit remains significant, indicating the durability of treatment-induced changes in the development of plaque. Thus, atherosclerosis, a disease heretofore viewed as inevitably progressive, can be treated to significantly alter arterial lesions and reduce their clinical consequences.","author":[{"dropping-particle":"","family":"Insull","given":"William Jr","non-dropping-particle":"","parse-names":false,"suffix":""}],"container-title":"The American journal of medicine","id":"ITEM-1","issue":"1 Suppl","issued":{"date-parts":[["2009","1"]]},"language":"eng","page":"S3-S14","publisher-place":"United States","title":"The pathology of atherosclerosis: plaque development and plaque responses to medical treatment.","type":"article-journal","volume":"122"},"uris":["http://www.mendeley.com/documents/?uuid=2e00fe32-a105-43ca-95af-0122c89a5b61"]},{"id":"ITEM-2","itemData":{"DOI":"10.1038/nm.2538","ISSN":"1546-170X (Electronic)","PMID":"22064431","abstract":"Coronary artery disease (CAD) arising from atherosclerosis is a leading cause of  death and morbidity worldwide. The underlying pathogenesis involves an imbalanced lipid metabolism and a maladaptive immune response entailing a chronic inflammation of the arterial wall. The disturbed equilibrium of lipid accumulation, immune responses and their clearance is shaped by leukocyte trafficking and homeostasis governed by chemokines and their receptors. New pro- and anti-inflammatory pathways linking lipid and inflammation biology have been discovered, and genetic profiling studies have unveiled variations involved in human CAD. The growing understanding of the inflammatory processes and mediators has uncovered an intriguing diversity of targetable mechanisms that can be exploited to complement lipid-lowering therapies. Here we aim to systematically survey recently identified molecular mechanisms, translational developments and clinical strategies for targeting lipid-related inflammation in atherosclerosis and CAD.","author":[{"dropping-particle":"","family":"Weber","given":"Christian","non-dropping-particle":"","parse-names":false,"suffix":""},{"dropping-particle":"","family":"Noels","given":"Heidi","non-dropping-particle":"","parse-names":false,"suffix":""}],"container-title":"Nature medicine","id":"ITEM-2","issue":"11","issued":{"date-parts":[["2011","11"]]},"language":"eng","page":"1410-1422","publisher-place":"United States","title":"Atherosclerosis: current pathogenesis and therapeutic options.","type":"article-journal","volume":"17"},"uris":["http://www.mendeley.com/documents/?uuid=94129296-f159-4dac-8c6a-4e409c1923a4"]}],"mendeley":{"formattedCitation":"(Insull, 2009; Weber &amp; Noels, 2011)","plainTextFormattedCitation":"(Insull, 2009; Weber &amp; Noels, 2011)","previouslyFormattedCitation":"(Insull, 2009; Weber &amp; Noels, 2011)"},"properties":{"noteIndex":0},"schema":"https://github.com/citation-style-language/schema/raw/master/csl-citation.json"}</w:instrText>
      </w:r>
      <w:r w:rsidR="00AA3A0E">
        <w:fldChar w:fldCharType="separate"/>
      </w:r>
      <w:r w:rsidR="00AA3A0E" w:rsidRPr="00AA3A0E">
        <w:rPr>
          <w:noProof/>
        </w:rPr>
        <w:t>(Insull, 2009; Weber &amp; Noels, 2011)</w:t>
      </w:r>
      <w:r w:rsidR="00AA3A0E">
        <w:fldChar w:fldCharType="end"/>
      </w:r>
      <w:r w:rsidR="00581DC1">
        <w:t xml:space="preserve">. </w:t>
      </w:r>
    </w:p>
    <w:p w14:paraId="23CEF5B1" w14:textId="77777777" w:rsidR="00B917F0" w:rsidRDefault="0026404B" w:rsidP="003B681C">
      <w:pPr>
        <w:pStyle w:val="Heading1"/>
      </w:pPr>
      <w:bookmarkStart w:id="7" w:name="_Toc39065919"/>
      <w:r>
        <w:lastRenderedPageBreak/>
        <w:t>Familial Hypercholesterolemia and CAD</w:t>
      </w:r>
      <w:bookmarkEnd w:id="7"/>
    </w:p>
    <w:p w14:paraId="21D65DE1" w14:textId="3E01740B" w:rsidR="00A31719" w:rsidRDefault="0054707E" w:rsidP="0054707E">
      <w:bookmarkStart w:id="8" w:name="_Toc106513529"/>
      <w:bookmarkStart w:id="9" w:name="_Toc106717787"/>
      <w:r w:rsidRPr="0054707E">
        <w:t>Familial hypercholesterolemia (FH) is a</w:t>
      </w:r>
      <w:r w:rsidR="007237BF">
        <w:t>n autosomal dominant,</w:t>
      </w:r>
      <w:r w:rsidRPr="0054707E">
        <w:t xml:space="preserve"> genetic condition</w:t>
      </w:r>
      <w:r w:rsidR="007237BF">
        <w:t xml:space="preserve"> where</w:t>
      </w:r>
      <w:r w:rsidRPr="0054707E">
        <w:t xml:space="preserve"> excess low-density lipoprotein (LDL)-cholesterol</w:t>
      </w:r>
      <w:r w:rsidR="00A31719">
        <w:t xml:space="preserve"> is unable to be removed</w:t>
      </w:r>
      <w:r w:rsidRPr="0054707E">
        <w:t xml:space="preserve"> from blood. </w:t>
      </w:r>
      <w:r w:rsidR="00A31719">
        <w:t xml:space="preserve">Therefore, the primary symptom of FH in adults is having LDL-cholesterol levels over 190 mg/dL, or total cholesterol levels over 310 mg/dL. Physical symptoms include xanthomas or corneal arcus. These physical symptoms occur as a result of excess cholesterol being deposited in certain parts of the body </w:t>
      </w:r>
      <w:r w:rsidR="00A31719">
        <w:fldChar w:fldCharType="begin" w:fldLock="1"/>
      </w:r>
      <w:r w:rsidR="00A31719">
        <w:instrText>ADDIN CSL_CITATION {"citationItems":[{"id":"ITEM-1","itemData":{"DOI":"10.1007/s11883-014-0482-5","ISSN":"1534-6242","abstract":"Familial hypercholesterolemia is among the commonest inherited metabolic disorders and is characterized by severely elevated LDL cholesterol levels. Mutations in four genes have been noted in patients with familial hypercholesterolemia (FH): LDL receptor (most common), apolipoprotein B (Apo B), proprotein convertase subtilin/kexin 9 (PCSK9), and low-density lipoprotein receptor adaptor protein (LDLRAP). In most cases, inheritance is autosomal co-dominant with homozygotes having double the LDL cholesterol levels of heterozygotes. Autosomal recessive inheritance is rare. The prevalence of the heterozygous state has been estimated at 1 in 200 to 1 in 500 and of the homozygous state from 1 in 160,000 to 1 in 1,000, 000. Three formal diagnostic criteria have been proposed to diagnose FH in practice-MedPed, Simon Broome, and Dutch Lipid Clinic Network. The role of genetic testing and cascade screening among families is discussed in this review.","author":[{"dropping-particle":"","family":"Singh","given":"Siddharth","non-dropping-particle":"","parse-names":false,"suffix":""},{"dropping-particle":"","family":"Bittner","given":"Vera","non-dropping-particle":"","parse-names":false,"suffix":""}],"container-title":"Current Atherosclerosis Reports","id":"ITEM-1","issue":"2","issued":{"date-parts":[["2015","1"]]},"page":"3","title":"Familial Hypercholesterolemia---Epidemiology, Diagnosis, and Screening","type":"article-journal","volume":"17"},"uris":["http://www.mendeley.com/documents/?uuid=57f2418c-392b-4f22-b57a-c4236d460da7"]}],"mendeley":{"formattedCitation":"(Singh &amp; Bittner, 2015)","plainTextFormattedCitation":"(Singh &amp; Bittner, 2015)","previouslyFormattedCitation":"(Singh &amp; Bittner, 2015)"},"properties":{"noteIndex":0},"schema":"https://github.com/citation-style-language/schema/raw/master/csl-citation.json"}</w:instrText>
      </w:r>
      <w:r w:rsidR="00A31719">
        <w:fldChar w:fldCharType="separate"/>
      </w:r>
      <w:r w:rsidR="00A31719" w:rsidRPr="0054707E">
        <w:rPr>
          <w:noProof/>
        </w:rPr>
        <w:t>(Singh &amp; Bittner, 2015)</w:t>
      </w:r>
      <w:r w:rsidR="00A31719">
        <w:fldChar w:fldCharType="end"/>
      </w:r>
      <w:r w:rsidR="00A31719">
        <w:t>.</w:t>
      </w:r>
    </w:p>
    <w:p w14:paraId="506D99C3" w14:textId="77777777" w:rsidR="000F0784" w:rsidRDefault="00A31719" w:rsidP="0054707E">
      <w:r>
        <w:t>FH</w:t>
      </w:r>
      <w:r w:rsidR="0054707E" w:rsidRPr="0054707E">
        <w:t xml:space="preserve"> </w:t>
      </w:r>
      <w:r>
        <w:t>increases</w:t>
      </w:r>
      <w:r w:rsidR="0054707E" w:rsidRPr="0054707E">
        <w:t xml:space="preserve"> an individual’s risk of developing premature </w:t>
      </w:r>
      <w:r w:rsidR="0054707E">
        <w:t xml:space="preserve">CVD or CAD </w:t>
      </w:r>
      <w:r w:rsidR="0054707E" w:rsidRPr="0054707E">
        <w:t>up 20-fold</w:t>
      </w:r>
      <w:r w:rsidR="0054707E">
        <w:t xml:space="preserve"> </w:t>
      </w:r>
      <w:r w:rsidR="0054707E">
        <w:fldChar w:fldCharType="begin" w:fldLock="1"/>
      </w:r>
      <w:r w:rsidR="00B404C2">
        <w:instrText>ADDIN CSL_CITATION {"citationItems":[{"id":"ITEM-1","itemData":{"DOI":"10.1016/j.jacl.2015.03.068","ISSN":"1933-2874","author":[{"dropping-particle":"","family":"Ahmad","given":"Zahid","non-dropping-particle":"","parse-names":false,"suffix":""},{"dropping-particle":"","family":"Newman","given":"Connie B","non-dropping-particle":"","parse-names":false,"suffix":""},{"dropping-particle":"","family":"O'Brien","given":"Emily C","non-dropping-particle":"","parse-names":false,"suffix":""},{"dropping-particle":"","family":"Shrader","given":"Peter","non-dropping-particle":"","parse-names":false,"suffix":""},{"dropping-particle":"","family":"deGoma","given":"Emil M","non-dropping-particle":"","parse-names":false,"suffix":""},{"dropping-particle":"","family":"Ahmed","given":"Catherine","non-dropping-particle":"","parse-names":false,"suffix":""},{"dropping-particle":"","family":"Moriarty","given":"Patrick M","non-dropping-particle":"","parse-names":false,"suffix":""},{"dropping-particle":"","family":"Linton","given":"MacRae F","non-dropping-particle":"","parse-names":false,"suffix":""},{"dropping-particle":"","family":"Shapiro","given":"Michael D","non-dropping-particle":"","parse-names":false,"suffix":""},{"dropping-particle":"","family":"Duell","given":"Barton","non-dropping-particle":"","parse-names":false,"suffix":""},{"dropping-particle":"","family":"Ballantyne","given":"Christie M","non-dropping-particle":"","parse-names":false,"suffix":""},{"dropping-particle":"","family":"Neal","given":"William","non-dropping-particle":"","parse-names":false,"suffix":""},{"dropping-particle":"","family":"Duffy","given":"Danielle","non-dropping-particle":"","parse-names":false,"suffix":""},{"dropping-particle":"","family":"Hudgins","given":"Lisa C","non-dropping-particle":"","parse-names":false,"suffix":""},{"dropping-particle":"","family":"Hemphill","given":"Linda C","non-dropping-particle":"","parse-names":false,"suffix":""},{"dropping-particle":"","family":"Underberg","given":"James A","non-dropping-particle":"","parse-names":false,"suffix":""},{"dropping-particle":"","family":"Watson","given":"Karol E","non-dropping-particle":"","parse-names":false,"suffix":""},{"dropping-particle":"","family":"Gidding","given":"Samuel S","non-dropping-particle":"","parse-names":false,"suffix":""},{"dropping-particle":"","family":"Baum","given":"Seth J","non-dropping-particle":"","parse-names":false,"suffix":""},{"dropping-particle":"","family":"Wilemon","given":"Katherine","non-dropping-particle":"","parse-names":false,"suffix":""},{"dropping-particle":"","family":"Pickhardt","given":"Dave","non-dropping-particle":"","parse-names":false,"suffix":""},{"dropping-particle":"","family":"Kindt","given":"Iris","non-dropping-particle":"","parse-names":false,"suffix":""},{"dropping-particle":"","family":"Rader","given":"Daniel J","non-dropping-particle":"","parse-names":false,"suffix":""},{"dropping-particle":"","family":"Roe","given":"Matthew T","non-dropping-particle":"","parse-names":false,"suffix":""},{"dropping-particle":"","family":"Knowles","given":"Joshua W","non-dropping-particle":"","parse-names":false,"suffix":""}],"container-title":"Journal of Clinical Lipidology","id":"ITEM-1","issue":"3","issued":{"date-parts":[["2015","5","1"]]},"note":"doi: 10.1016/j.jacl.2015.03.068","page":"451-452","publisher":"Elsevier","title":"Diagnosing Familial Hypercholesterolemia (FH) in the United States: Results from the CASCADE FH Patient Registry*&lt;sup&gt;&amp;#x2020;&lt;/sup&gt;","type":"article-journal","volume":"9"},"uris":["http://www.mendeley.com/documents/?uuid=900cf363-de61-427b-85be-20596c54597b"]},{"id":"ITEM-2","itemData":{"DOI":"10.1093/eurheartj/eht273","ISSN":"1522-9645 (Electronic)","PMID":"23956253","abstract":"AIMS: The first aim was to critically evaluate the extent to which familial hypercholesterolaemia (FH) is underdiagnosed and undertreated. The second aim was to provide guidance for screening and treatment of FH, in order to prevent coronary heart disease (CHD). METHODS AND RESULTS: Of the theoretical estimated prevalence of 1/500 for heterozygous FH, &lt;1% are diagnosed in most countries. Recently, direct screening in a Northern European general population diagnosed approximately 1/200 with heterozygous FH. All reported studies document failure to achieve recommended LDL cholesterol targets in a large proportion of individuals with FH, and up to 13-fold increased risk of CHD. Based on prevalences between 1/500 and 1/200, between 14 and 34 million individuals worldwide have FH. We recommend that children, adults, and families should be screened for FH if a person or family member presents with FH, a plasma cholesterol level in an adult &gt;/=8 mmol/L(&gt;/=310 mg/dL) or a child &gt;/=6 mmol/L(&gt;/=230 mg/dL), premature CHD, tendon xanthomas, or sudden premature cardiac death. In FH, low-density lipoprotein cholesterol targets are &lt;3.5 mmol/L(&lt;135 mg/dL) for children, &lt;2.5 mmol/L(&lt;100 mg/dL) for adults, and &lt;1.8 mmol/L(&lt;70 mg/dL) for adults with known CHD or diabetes. In addition to lifestyle and dietary counselling, treatment priorities are (i) in children, statins, ezetimibe, and bile acid binding resins, and (ii) in adults, maximal potent statin dose, ezetimibe, and bile acid binding resins. Lipoprotein apheresis can be offered in homozygotes and in treatment-resistant heterozygotes with CHD. CONCLUSION: Owing to severe underdiagnosis and undertreatment of FH, there is an urgent worldwide need for diagnostic screening together with early and aggressive treatment of this extremely high-risk condition.","author":[{"dropping-particle":"","family":"Nordestgaard","given":"Borge G","non-dropping-particle":"","parse-names":false,"suffix":""},{"dropping-particle":"","family":"Chapman","given":"M John","non-dropping-particle":"","parse-names":false,"suffix":""},{"dropping-particle":"","family":"Humphries","given":"Steve E","non-dropping-particle":"","parse-names":false,"suffix":""},{"dropping-particle":"","family":"Ginsberg","given":"Henry N","non-dropping-particle":"","parse-names":false,"suffix":""},{"dropping-particle":"","family":"Masana","given":"Luis","non-dropping-particle":"","parse-names":false,"suffix":""},{"dropping-particle":"","family":"Descamps","given":"Olivier S","non-dropping-particle":"","parse-names":false,"suffix":""},{"dropping-particle":"","family":"Wiklund","given":"Olov","non-dropping-particle":"","parse-names":false,"suffix":""},{"dropping-particle":"","family":"Hegele","given":"Robert A","non-dropping-particle":"","parse-names":false,"suffix":""},{"dropping-particle":"","family":"Raal","given":"Frederick J","non-dropping-particle":"","parse-names":false,"suffix":""},{"dropping-particle":"","family":"Defesche","given":"Joep C","non-dropping-particle":"","parse-names":false,"suffix":""},{"dropping-particle":"","family":"Wiegman","given":"Albert","non-dropping-particle":"","parse-names":false,"suffix":""},{"dropping-particle":"","family":"Santos","given":"Raul D","non-dropping-particle":"","parse-names":false,"suffix":""},{"dropping-particle":"","family":"Watts","given":"Gerald F","non-dropping-particle":"","parse-names":false,"suffix":""},{"dropping-particle":"","family":"Parhofer","given":"Klaus G","non-dropping-particle":"","parse-names":false,"suffix":""},{"dropping-particle":"","family":"Hovingh","given":"G Kees","non-dropping-particle":"","parse-names":false,"suffix":""},{"dropping-particle":"","family":"Kovanen","given":"Petri T","non-dropping-particle":"","parse-names":false,"suffix":""},{"dropping-particle":"","family":"Boileau","given":"Catherine","non-dropping-particle":"","parse-names":false,"suffix":""},{"dropping-particle":"","family":"Averna","given":"Maurizio","non-dropping-particle":"","parse-names":false,"suffix":""},{"dropping-particle":"","family":"Boren","given":"Jan","non-dropping-particle":"","parse-names":false,"suffix":""},{"dropping-particle":"","family":"Bruckert","given":"Eric","non-dropping-particle":"","parse-names":false,"suffix":""},{"dropping-particle":"","family":"Catapano","given":"Alberico L","non-dropping-particle":"","parse-names":false,"suffix":""},{"dropping-particle":"","family":"Kuivenhoven","given":"Jan Albert","non-dropping-particle":"","parse-names":false,"suffix":""},{"dropping-particle":"","family":"Pajukanta","given":"Paivi","non-dropping-particle":"","parse-names":false,"suffix":""},{"dropping-particle":"","family":"Ray","given":"Kausik","non-dropping-particle":"","parse-names":false,"suffix":""},{"dropping-particle":"","family":"Stalenhoef","given":"Anton F H","non-dropping-particle":"","parse-names":false,"suffix":""},{"dropping-particle":"","family":"Stroes","given":"Erik","non-dropping-particle":"","parse-names":false,"suffix":""},{"dropping-particle":"","family":"Taskinen","given":"Marja-Riitta","non-dropping-particle":"","parse-names":false,"suffix":""},{"dropping-particle":"","family":"Tybjaerg-Hansen","given":"Anne","non-dropping-particle":"","parse-names":false,"suffix":""}],"container-title":"European heart journal","id":"ITEM-2","issue":"45","issued":{"date-parts":[["2013","12"]]},"language":"eng","page":"3478-90a","publisher-place":"England","title":"Familial hypercholesterolaemia is underdiagnosed and undertreated in the general  population: guidance for clinicians to prevent coronary heart disease: consensus statement of the European Atherosclerosis Society.","type":"article-journal","volume":"34"},"uris":["http://www.mendeley.com/documents/?uuid=cd8cf69f-b669-4d5d-b3a0-821498944406"]}],"mendeley":{"formattedCitation":"(Ahmad et al., 2015; Borge G Nordestgaard et al., 2013)","plainTextFormattedCitation":"(Ahmad et al., 2015; Borge G Nordestgaard et al., 2013)","previouslyFormattedCitation":"(Ahmad et al., 2015; Borge G Nordestgaard et al., 2013)"},"properties":{"noteIndex":0},"schema":"https://github.com/citation-style-language/schema/raw/master/csl-citation.json"}</w:instrText>
      </w:r>
      <w:r w:rsidR="0054707E">
        <w:fldChar w:fldCharType="separate"/>
      </w:r>
      <w:r w:rsidR="00470FE7" w:rsidRPr="00470FE7">
        <w:rPr>
          <w:noProof/>
        </w:rPr>
        <w:t>(Ahmad et al., 2015; Borge G Nordestgaard et al., 2013)</w:t>
      </w:r>
      <w:r w:rsidR="0054707E">
        <w:fldChar w:fldCharType="end"/>
      </w:r>
      <w:r w:rsidR="0054707E">
        <w:t>.</w:t>
      </w:r>
      <w:r w:rsidR="0054707E" w:rsidRPr="0054707E">
        <w:t xml:space="preserve"> </w:t>
      </w:r>
      <w:r>
        <w:t>Patients who are heterozygous for specific genetic variants will show clinical symptoms</w:t>
      </w:r>
      <w:r w:rsidR="000F0784">
        <w:t>,</w:t>
      </w:r>
      <w:r>
        <w:t xml:space="preserve"> such as elevated LDL-cholesterol levels or xanthomas. Homozygous or compound heterozygous individuals will have even more severe elevated LDL-cholesterol levels and most will experience a cardiac event by their mid-20s </w:t>
      </w:r>
      <w:r>
        <w:fldChar w:fldCharType="begin" w:fldLock="1"/>
      </w:r>
      <w:r>
        <w:instrText>ADDIN CSL_CITATION {"citationItems":[{"id":"ITEM-1","itemData":{"PMID":"24404629","abstract":"CLINICAL CHARACTERISTICS: Familial hypercholesterolemia (FH) is characterized by  severely elevated LDL cholesterol (LDL-C) levels that lead to atherosclerotic plaque deposition in the coronary arteries and proximal aorta at an early age, leading to an increased risk for cardiovascular disease. Xanthomas (patches of yellowish cholesterol buildup) may worsen with age as a result of extremely high cholesterol levels. Xanthomas can occur around the eyelids and within the tendons of the elbows, hands, knees, and feet. In FH, the more common cardiovascular disease is coronary artery disease (CAD), which may manifest as angina and myocardial infarction; stroke occurs more rarely. Untreated men are at a 50% risk for a fatal or non-fatal coronary event by age 50 years; untreated women are at a 30% risk by age 60 years. An estimated 70%-95% of FH results from a heterozygous pathogenic variant in one of three genes (APOB, LDLR, PCSK9). FH is the most common inherited cardiovascular disease, with a prevalence of 1:200-250. FH likely accounts for 2%-3% of myocardial infarctions in individuals younger than age 60 years. In contrast, homozygous FH (HoFH) results from biallelic (homozygous or compound heterozygous) pathogenic variants in one of these known genes (APOB, LDLR, PCSK9). Most individuals with HoFH experience severe CAD by their mid-20s and the rate of either death or coronary bypass surgery by the teenage years is high. Severe aortic stenosis is also common. DIAGNOSIS/TESTING: Several formal diagnostic criteria exist for FH. The diagnostic criteria most widely used in Western countries include: extreme hypercholesterolemia (untreated adults with LDL-C&gt;190 mg/dL or total cholesterol levels &gt;310 mg/dL; untreated children/adolescents with LDL-C levels &gt;160 mg/dL or total cholesterol levels &gt;230 mg/dL); history of premature CAD or other CVD; xanthomas; corneal arcus; and a family history of features suggestive of FH. The diagnosis of FH can also be established by identification of a heterozygous pathogenic variant in one of the three genes (APOB, LDLR, and PCSK9) known to be associated with FH. The diagnosis of HoFH can be established in a proband by identification of biallelic pathogenic variants in one of the three genes (APOB, LDLR, and PCSK9) known to be associated with FH. MANAGEMENT: Treatment of manifestations: Adults with FH: reduce CAD risk factors including cessation of smoking, regular physical activity, healthy diet and weight control; treatment of…","author":[{"dropping-particle":"","family":"Youngblom","given":"Emily","non-dropping-particle":"","parse-names":false,"suffix":""},{"dropping-particle":"","family":"Pariani","given":"Mitchel","non-dropping-particle":"","parse-names":false,"suffix":""},{"dropping-particle":"","family":"Knowles","given":"Joshua W","non-dropping-particle":"","parse-names":false,"suffix":""}],"editor":[{"dropping-particle":"","family":"Adam","given":"Margaret P","non-dropping-particle":"","parse-names":false,"suffix":""},{"dropping-particle":"","family":"Ardinger","given":"Holly H","non-dropping-particle":"","parse-names":false,"suffix":""},{"dropping-particle":"","family":"Pagon","given":"Roberta A","non-dropping-particle":"","parse-names":false,"suffix":""},{"dropping-particle":"","family":"Wallace","given":"Stephanie E","non-dropping-particle":"","parse-names":false,"suffix":""},{"dropping-particle":"","family":"Bean","given":"Lora J H","non-dropping-particle":"","parse-names":false,"suffix":""},{"dropping-particle":"","family":"Stephens","given":"Karen","non-dropping-particle":"","parse-names":false,"suffix":""},{"dropping-particle":"","family":"Amemiya","given":"Anne","non-dropping-particle":"","parse-names":false,"suffix":""}],"id":"ITEM-1","issued":{"date-parts":[["1993"]]},"language":"eng","publisher-place":"Seattle (WA)","title":"Familial Hypercholesterolemia","type":"chapter"},"uris":["http://www.mendeley.com/documents/?uuid=823fa13b-4359-4358-8775-7ebe3441c63c"]}],"mendeley":{"formattedCitation":"(Youngblom, Pariani, &amp; Knowles, 1993)","plainTextFormattedCitation":"(Youngblom, Pariani, &amp; Knowles, 1993)","previouslyFormattedCitation":"(Youngblom, Pariani, &amp; Knowles, 1993)"},"properties":{"noteIndex":0},"schema":"https://github.com/citation-style-language/schema/raw/master/csl-citation.json"}</w:instrText>
      </w:r>
      <w:r>
        <w:fldChar w:fldCharType="separate"/>
      </w:r>
      <w:r w:rsidRPr="00AB5C0C">
        <w:rPr>
          <w:noProof/>
        </w:rPr>
        <w:t>(Youngblom, Pariani, &amp; Knowles, 1993)</w:t>
      </w:r>
      <w:r>
        <w:fldChar w:fldCharType="end"/>
      </w:r>
      <w:r>
        <w:t>. Furthermore, undiagnosed men with FH have a 50% increased risk of having a cardiac event by the age 50, while undiagnosed women have a 30% increased risk by the age of 60 (</w:t>
      </w:r>
      <w:proofErr w:type="spellStart"/>
      <w:r w:rsidRPr="004F5D08">
        <w:t>Youngblom</w:t>
      </w:r>
      <w:proofErr w:type="spellEnd"/>
      <w:r w:rsidRPr="004F5D08">
        <w:t xml:space="preserve">, </w:t>
      </w:r>
      <w:proofErr w:type="spellStart"/>
      <w:r w:rsidRPr="004F5D08">
        <w:t>Pariani</w:t>
      </w:r>
      <w:proofErr w:type="spellEnd"/>
      <w:r w:rsidRPr="004F5D08">
        <w:t>, &amp; Knowles, 1993)</w:t>
      </w:r>
      <w:r>
        <w:t>.</w:t>
      </w:r>
      <w:r w:rsidR="000F0784" w:rsidRPr="000F0784">
        <w:t xml:space="preserve"> </w:t>
      </w:r>
    </w:p>
    <w:p w14:paraId="55B45EBE" w14:textId="4964B115" w:rsidR="00FF38EA" w:rsidRDefault="00DC1DFA" w:rsidP="0054707E">
      <w:r>
        <w:t>The presence of</w:t>
      </w:r>
      <w:r w:rsidR="000F0784" w:rsidRPr="0054707E">
        <w:t xml:space="preserve"> multiple symptoms and a family health history of heart disease is crucial to making a clinical diagnosis of FH.</w:t>
      </w:r>
      <w:r w:rsidR="008D2516">
        <w:t xml:space="preserve"> </w:t>
      </w:r>
      <w:r>
        <w:t xml:space="preserve">There are currently no universally agreed upon diagnostic criteria tools </w:t>
      </w:r>
      <w:r w:rsidR="00AC20D5">
        <w:t>used by healthcare professionals to aid them in their diagnoses of FH; however, the ones most currently used are the Dutch Lipid Clinic Network criteria, the UK Simon Broome criteria, and the US Make Early Diagnosis to Prevent Early Death (MEDPED) criteria. The Dutch Lipid Clinic Network criteria uses a scoring system to weigh the appearance and</w:t>
      </w:r>
      <w:r w:rsidR="009865BA">
        <w:t xml:space="preserve"> lack of </w:t>
      </w:r>
      <w:r w:rsidR="00FA229B">
        <w:t>several symptoms</w:t>
      </w:r>
      <w:r w:rsidR="009865BA">
        <w:t xml:space="preserve"> to determine if a patient has FH. The UK Simon Broome criteria is one of the only </w:t>
      </w:r>
      <w:r w:rsidR="00FA229B">
        <w:t>tools</w:t>
      </w:r>
      <w:r w:rsidR="009865BA">
        <w:t xml:space="preserve"> </w:t>
      </w:r>
      <w:r w:rsidR="009865BA">
        <w:lastRenderedPageBreak/>
        <w:t>that incorporates genetic testing and the US MEDPED looks solely at cholesterol levels cutoffs based on family health history of FH</w:t>
      </w:r>
      <w:r w:rsidR="005E6E42">
        <w:t xml:space="preserve"> (Table 1)</w:t>
      </w:r>
      <w:r w:rsidR="009865BA">
        <w:t xml:space="preserve">. </w:t>
      </w:r>
      <w:r w:rsidR="00AC20D5">
        <w:t xml:space="preserve">Although all of them differ in both structure and the symptoms included, the main similarities are the inclusion of elevated LDL-cholesterol and having a family health history of </w:t>
      </w:r>
      <w:r w:rsidR="00AC20D5">
        <w:tab/>
        <w:t xml:space="preserve">hypercholesterolemia </w:t>
      </w:r>
      <w:r w:rsidR="00AC20D5">
        <w:fldChar w:fldCharType="begin" w:fldLock="1"/>
      </w:r>
      <w:r w:rsidR="00D41CC5">
        <w:instrText>ADDIN CSL_CITATION {"citationItems":[{"id":"ITEM-1","itemData":{"DOI":"10.1161/JAHA.119.013225","ISSN":"2047-9980 (Electronic)","PMID":"31838973","author":[{"dropping-particle":"","family":"McGowan","given":"Mary P","non-dropping-particle":"","parse-names":false,"suffix":""},{"dropping-particle":"","family":"Hosseini Dehkordi","given":"Seyed Hamed","non-dropping-particle":"","parse-names":false,"suffix":""},{"dropping-particle":"","family":"Moriarty","given":"Patrick M","non-dropping-particle":"","parse-names":false,"suffix":""},{"dropping-particle":"","family":"Duell","given":"P Barton","non-dropping-particle":"","parse-names":false,"suffix":""}],"container-title":"Journal of the American Heart Association","id":"ITEM-1","issue":"24","issued":{"date-parts":[["2019","12"]]},"language":"eng","page":"e013225","title":"Diagnosis and Treatment of Heterozygous Familial Hypercholesterolemia.","type":"article-journal","volume":"8"},"uris":["http://www.mendeley.com/documents/?uuid=84c97c24-65f5-4ead-a74a-0085507ce8ea"]}],"mendeley":{"formattedCitation":"(McGowan, Hosseini Dehkordi, Moriarty, &amp; Duell, 2019)","plainTextFormattedCitation":"(McGowan, Hosseini Dehkordi, Moriarty, &amp; Duell, 2019)","previouslyFormattedCitation":"(McGowan, Hosseini Dehkordi, Moriarty, &amp; Duell, 2019)"},"properties":{"noteIndex":0},"schema":"https://github.com/citation-style-language/schema/raw/master/csl-citation.json"}</w:instrText>
      </w:r>
      <w:r w:rsidR="00AC20D5">
        <w:fldChar w:fldCharType="separate"/>
      </w:r>
      <w:r w:rsidR="00AC20D5" w:rsidRPr="00AC20D5">
        <w:rPr>
          <w:noProof/>
        </w:rPr>
        <w:t>(McGowan, Hosseini Dehkordi, Moriarty, &amp; Duell, 2019)</w:t>
      </w:r>
      <w:r w:rsidR="00AC20D5">
        <w:fldChar w:fldCharType="end"/>
      </w:r>
      <w:r w:rsidR="00AC20D5">
        <w:t xml:space="preserve">. </w:t>
      </w:r>
    </w:p>
    <w:p w14:paraId="0E46CFB1" w14:textId="38FD657C" w:rsidR="005E6E42" w:rsidRDefault="005E6E42" w:rsidP="005E6E42">
      <w:pPr>
        <w:pStyle w:val="Caption"/>
        <w:keepNext/>
      </w:pPr>
      <w:bookmarkStart w:id="10" w:name="_Toc39065947"/>
      <w:r>
        <w:t xml:space="preserve">Table </w:t>
      </w:r>
      <w:r>
        <w:fldChar w:fldCharType="begin"/>
      </w:r>
      <w:r>
        <w:instrText xml:space="preserve"> SEQ Table \* ARABIC </w:instrText>
      </w:r>
      <w:r>
        <w:fldChar w:fldCharType="separate"/>
      </w:r>
      <w:r w:rsidR="002A71A2">
        <w:t>1</w:t>
      </w:r>
      <w:r>
        <w:fldChar w:fldCharType="end"/>
      </w:r>
      <w:r>
        <w:t>. Comparison of FH Diagnostic Criterias Tools</w:t>
      </w:r>
      <w:bookmarkEnd w:id="10"/>
    </w:p>
    <w:tbl>
      <w:tblPr>
        <w:tblStyle w:val="TableGrid"/>
        <w:tblW w:w="0" w:type="auto"/>
        <w:tblLook w:val="04A0" w:firstRow="1" w:lastRow="0" w:firstColumn="1" w:lastColumn="0" w:noHBand="0" w:noVBand="1"/>
      </w:tblPr>
      <w:tblGrid>
        <w:gridCol w:w="3505"/>
        <w:gridCol w:w="1800"/>
        <w:gridCol w:w="1980"/>
        <w:gridCol w:w="2065"/>
      </w:tblGrid>
      <w:tr w:rsidR="00F46A3D" w14:paraId="31F7DC42" w14:textId="77777777" w:rsidTr="00F46A3D">
        <w:tc>
          <w:tcPr>
            <w:tcW w:w="3505" w:type="dxa"/>
            <w:shd w:val="clear" w:color="auto" w:fill="D9D9D9" w:themeFill="background1" w:themeFillShade="D9"/>
          </w:tcPr>
          <w:p w14:paraId="74423982" w14:textId="15C13234" w:rsidR="00F46A3D" w:rsidRDefault="00F46A3D" w:rsidP="00F46A3D">
            <w:pPr>
              <w:ind w:firstLine="0"/>
              <w:jc w:val="center"/>
            </w:pPr>
            <w:r>
              <w:t>FH Characteristic</w:t>
            </w:r>
          </w:p>
        </w:tc>
        <w:tc>
          <w:tcPr>
            <w:tcW w:w="1800" w:type="dxa"/>
            <w:shd w:val="clear" w:color="auto" w:fill="D9D9D9" w:themeFill="background1" w:themeFillShade="D9"/>
          </w:tcPr>
          <w:p w14:paraId="2BA529E9" w14:textId="5906915A" w:rsidR="00F46A3D" w:rsidRDefault="00F46A3D" w:rsidP="00F46A3D">
            <w:pPr>
              <w:ind w:firstLine="0"/>
              <w:jc w:val="center"/>
            </w:pPr>
            <w:r>
              <w:t>Dutch Lipid</w:t>
            </w:r>
          </w:p>
        </w:tc>
        <w:tc>
          <w:tcPr>
            <w:tcW w:w="1980" w:type="dxa"/>
            <w:shd w:val="clear" w:color="auto" w:fill="D9D9D9" w:themeFill="background1" w:themeFillShade="D9"/>
          </w:tcPr>
          <w:p w14:paraId="7A45A8E2" w14:textId="449B57C0" w:rsidR="00F46A3D" w:rsidRDefault="00F46A3D" w:rsidP="00F46A3D">
            <w:pPr>
              <w:ind w:firstLine="0"/>
              <w:jc w:val="center"/>
            </w:pPr>
            <w:r>
              <w:t>Simon Broome</w:t>
            </w:r>
          </w:p>
        </w:tc>
        <w:tc>
          <w:tcPr>
            <w:tcW w:w="2065" w:type="dxa"/>
            <w:shd w:val="clear" w:color="auto" w:fill="D9D9D9" w:themeFill="background1" w:themeFillShade="D9"/>
          </w:tcPr>
          <w:p w14:paraId="5D6CCCC0" w14:textId="7736C05B" w:rsidR="00F46A3D" w:rsidRDefault="00F46A3D" w:rsidP="00F46A3D">
            <w:pPr>
              <w:ind w:firstLine="0"/>
              <w:jc w:val="center"/>
            </w:pPr>
            <w:r>
              <w:t>MEDPED</w:t>
            </w:r>
          </w:p>
        </w:tc>
      </w:tr>
      <w:tr w:rsidR="00F46A3D" w14:paraId="33437702" w14:textId="77777777" w:rsidTr="00F46A3D">
        <w:tc>
          <w:tcPr>
            <w:tcW w:w="3505" w:type="dxa"/>
          </w:tcPr>
          <w:p w14:paraId="0CC9A925" w14:textId="17A43345" w:rsidR="00F46A3D" w:rsidRDefault="00F46A3D" w:rsidP="00F46A3D">
            <w:pPr>
              <w:spacing w:line="240" w:lineRule="auto"/>
              <w:ind w:firstLine="0"/>
              <w:jc w:val="center"/>
            </w:pPr>
            <w:r>
              <w:t>Family health history of premature CAD</w:t>
            </w:r>
          </w:p>
        </w:tc>
        <w:tc>
          <w:tcPr>
            <w:tcW w:w="1800" w:type="dxa"/>
          </w:tcPr>
          <w:p w14:paraId="2F6AA9C3" w14:textId="1A1B0431" w:rsidR="00F46A3D" w:rsidRDefault="00F46A3D" w:rsidP="00F46A3D">
            <w:pPr>
              <w:spacing w:line="240" w:lineRule="auto"/>
              <w:ind w:firstLine="0"/>
              <w:jc w:val="center"/>
            </w:pPr>
            <w:r>
              <w:t>+</w:t>
            </w:r>
          </w:p>
        </w:tc>
        <w:tc>
          <w:tcPr>
            <w:tcW w:w="1980" w:type="dxa"/>
          </w:tcPr>
          <w:p w14:paraId="29FF75F5" w14:textId="197C875F" w:rsidR="00F46A3D" w:rsidRDefault="00F46A3D" w:rsidP="00F46A3D">
            <w:pPr>
              <w:spacing w:line="240" w:lineRule="auto"/>
              <w:ind w:firstLine="0"/>
              <w:jc w:val="center"/>
            </w:pPr>
            <w:r>
              <w:t>+</w:t>
            </w:r>
          </w:p>
        </w:tc>
        <w:tc>
          <w:tcPr>
            <w:tcW w:w="2065" w:type="dxa"/>
          </w:tcPr>
          <w:p w14:paraId="485D02DB" w14:textId="77777777" w:rsidR="00F46A3D" w:rsidRDefault="00F46A3D" w:rsidP="00F46A3D">
            <w:pPr>
              <w:spacing w:line="240" w:lineRule="auto"/>
              <w:ind w:firstLine="0"/>
              <w:jc w:val="center"/>
            </w:pPr>
          </w:p>
        </w:tc>
      </w:tr>
      <w:tr w:rsidR="00F46A3D" w14:paraId="186B2773" w14:textId="77777777" w:rsidTr="00F46A3D">
        <w:tc>
          <w:tcPr>
            <w:tcW w:w="3505" w:type="dxa"/>
          </w:tcPr>
          <w:p w14:paraId="3E394D56" w14:textId="03FA3DFE" w:rsidR="00F46A3D" w:rsidRDefault="00F46A3D" w:rsidP="00F46A3D">
            <w:pPr>
              <w:spacing w:line="240" w:lineRule="auto"/>
              <w:ind w:firstLine="0"/>
              <w:jc w:val="center"/>
            </w:pPr>
            <w:r>
              <w:t>Family health history of tendon xanthomas</w:t>
            </w:r>
          </w:p>
        </w:tc>
        <w:tc>
          <w:tcPr>
            <w:tcW w:w="1800" w:type="dxa"/>
          </w:tcPr>
          <w:p w14:paraId="3758AC44" w14:textId="59620A7F" w:rsidR="00F46A3D" w:rsidRDefault="00F46A3D" w:rsidP="00F46A3D">
            <w:pPr>
              <w:spacing w:line="240" w:lineRule="auto"/>
              <w:ind w:firstLine="0"/>
              <w:jc w:val="center"/>
            </w:pPr>
            <w:r>
              <w:t>+</w:t>
            </w:r>
          </w:p>
        </w:tc>
        <w:tc>
          <w:tcPr>
            <w:tcW w:w="1980" w:type="dxa"/>
          </w:tcPr>
          <w:p w14:paraId="5FD5863E" w14:textId="710936DC" w:rsidR="00F46A3D" w:rsidRDefault="00F46A3D" w:rsidP="00F46A3D">
            <w:pPr>
              <w:spacing w:line="240" w:lineRule="auto"/>
              <w:ind w:firstLine="0"/>
              <w:jc w:val="center"/>
            </w:pPr>
            <w:r>
              <w:t>+</w:t>
            </w:r>
          </w:p>
        </w:tc>
        <w:tc>
          <w:tcPr>
            <w:tcW w:w="2065" w:type="dxa"/>
          </w:tcPr>
          <w:p w14:paraId="1D8BD4B0" w14:textId="77777777" w:rsidR="00F46A3D" w:rsidRDefault="00F46A3D" w:rsidP="00F46A3D">
            <w:pPr>
              <w:spacing w:line="240" w:lineRule="auto"/>
              <w:ind w:firstLine="0"/>
              <w:jc w:val="center"/>
            </w:pPr>
          </w:p>
        </w:tc>
      </w:tr>
      <w:tr w:rsidR="00F46A3D" w14:paraId="773A681D" w14:textId="77777777" w:rsidTr="00F46A3D">
        <w:tc>
          <w:tcPr>
            <w:tcW w:w="3505" w:type="dxa"/>
          </w:tcPr>
          <w:p w14:paraId="61D53381" w14:textId="2555FFF0" w:rsidR="00F46A3D" w:rsidRDefault="00F46A3D" w:rsidP="00F46A3D">
            <w:pPr>
              <w:spacing w:line="240" w:lineRule="auto"/>
              <w:ind w:firstLine="0"/>
              <w:jc w:val="center"/>
            </w:pPr>
            <w:r>
              <w:t>Family health history of hypercholesterolemia</w:t>
            </w:r>
          </w:p>
        </w:tc>
        <w:tc>
          <w:tcPr>
            <w:tcW w:w="1800" w:type="dxa"/>
          </w:tcPr>
          <w:p w14:paraId="4B25B5B4" w14:textId="213992D0" w:rsidR="00F46A3D" w:rsidRDefault="00F46A3D" w:rsidP="00F46A3D">
            <w:pPr>
              <w:spacing w:line="240" w:lineRule="auto"/>
              <w:ind w:firstLine="0"/>
              <w:jc w:val="center"/>
            </w:pPr>
            <w:r>
              <w:t>+</w:t>
            </w:r>
          </w:p>
        </w:tc>
        <w:tc>
          <w:tcPr>
            <w:tcW w:w="1980" w:type="dxa"/>
          </w:tcPr>
          <w:p w14:paraId="00B88C11" w14:textId="098A7B01" w:rsidR="00F46A3D" w:rsidRDefault="00F46A3D" w:rsidP="00F46A3D">
            <w:pPr>
              <w:spacing w:line="240" w:lineRule="auto"/>
              <w:ind w:firstLine="0"/>
              <w:jc w:val="center"/>
            </w:pPr>
            <w:r>
              <w:t>+</w:t>
            </w:r>
          </w:p>
        </w:tc>
        <w:tc>
          <w:tcPr>
            <w:tcW w:w="2065" w:type="dxa"/>
          </w:tcPr>
          <w:p w14:paraId="42E21B34" w14:textId="4BE82AB7" w:rsidR="00F46A3D" w:rsidRDefault="00F46A3D" w:rsidP="00F46A3D">
            <w:pPr>
              <w:spacing w:line="240" w:lineRule="auto"/>
              <w:ind w:firstLine="0"/>
              <w:jc w:val="center"/>
            </w:pPr>
            <w:r>
              <w:t>+</w:t>
            </w:r>
          </w:p>
        </w:tc>
      </w:tr>
      <w:tr w:rsidR="00F46A3D" w14:paraId="6FC6A215" w14:textId="77777777" w:rsidTr="005E6E42">
        <w:trPr>
          <w:trHeight w:val="368"/>
        </w:trPr>
        <w:tc>
          <w:tcPr>
            <w:tcW w:w="3505" w:type="dxa"/>
          </w:tcPr>
          <w:p w14:paraId="16B91E1E" w14:textId="3EC33432" w:rsidR="00F46A3D" w:rsidRDefault="00F46A3D" w:rsidP="00F46A3D">
            <w:pPr>
              <w:spacing w:line="240" w:lineRule="auto"/>
              <w:ind w:firstLine="0"/>
              <w:jc w:val="center"/>
            </w:pPr>
            <w:r>
              <w:t>Patient premature CAD</w:t>
            </w:r>
          </w:p>
        </w:tc>
        <w:tc>
          <w:tcPr>
            <w:tcW w:w="1800" w:type="dxa"/>
          </w:tcPr>
          <w:p w14:paraId="56C528DB" w14:textId="38C205E3" w:rsidR="00F46A3D" w:rsidRDefault="00F46A3D" w:rsidP="00F46A3D">
            <w:pPr>
              <w:spacing w:line="240" w:lineRule="auto"/>
              <w:ind w:firstLine="0"/>
              <w:jc w:val="center"/>
            </w:pPr>
            <w:r>
              <w:t>+</w:t>
            </w:r>
          </w:p>
        </w:tc>
        <w:tc>
          <w:tcPr>
            <w:tcW w:w="1980" w:type="dxa"/>
          </w:tcPr>
          <w:p w14:paraId="64BD5018" w14:textId="77777777" w:rsidR="00F46A3D" w:rsidRDefault="00F46A3D" w:rsidP="00F46A3D">
            <w:pPr>
              <w:spacing w:line="240" w:lineRule="auto"/>
              <w:ind w:firstLine="0"/>
              <w:jc w:val="center"/>
            </w:pPr>
          </w:p>
        </w:tc>
        <w:tc>
          <w:tcPr>
            <w:tcW w:w="2065" w:type="dxa"/>
          </w:tcPr>
          <w:p w14:paraId="4DB69032" w14:textId="77777777" w:rsidR="00F46A3D" w:rsidRDefault="00F46A3D" w:rsidP="00F46A3D">
            <w:pPr>
              <w:spacing w:line="240" w:lineRule="auto"/>
              <w:ind w:firstLine="0"/>
              <w:jc w:val="center"/>
            </w:pPr>
          </w:p>
        </w:tc>
      </w:tr>
      <w:tr w:rsidR="00F46A3D" w14:paraId="24F0707E" w14:textId="77777777" w:rsidTr="00B05F23">
        <w:trPr>
          <w:trHeight w:val="440"/>
        </w:trPr>
        <w:tc>
          <w:tcPr>
            <w:tcW w:w="3505" w:type="dxa"/>
          </w:tcPr>
          <w:p w14:paraId="34285C08" w14:textId="3F809EC0" w:rsidR="00F46A3D" w:rsidRDefault="00F46A3D" w:rsidP="00F46A3D">
            <w:pPr>
              <w:spacing w:line="240" w:lineRule="auto"/>
              <w:ind w:firstLine="0"/>
              <w:jc w:val="center"/>
            </w:pPr>
            <w:r>
              <w:t>Elevated LDL-cholesterol</w:t>
            </w:r>
          </w:p>
        </w:tc>
        <w:tc>
          <w:tcPr>
            <w:tcW w:w="1800" w:type="dxa"/>
          </w:tcPr>
          <w:p w14:paraId="0B5F6771" w14:textId="0668A485" w:rsidR="00F46A3D" w:rsidRDefault="00F46A3D" w:rsidP="00F46A3D">
            <w:pPr>
              <w:spacing w:line="240" w:lineRule="auto"/>
              <w:ind w:firstLine="0"/>
              <w:jc w:val="center"/>
            </w:pPr>
            <w:r>
              <w:t>+</w:t>
            </w:r>
          </w:p>
        </w:tc>
        <w:tc>
          <w:tcPr>
            <w:tcW w:w="1980" w:type="dxa"/>
          </w:tcPr>
          <w:p w14:paraId="661006EE" w14:textId="209D8A31" w:rsidR="00F46A3D" w:rsidRDefault="00F46A3D" w:rsidP="00F46A3D">
            <w:pPr>
              <w:spacing w:line="240" w:lineRule="auto"/>
              <w:ind w:firstLine="0"/>
              <w:jc w:val="center"/>
            </w:pPr>
            <w:r>
              <w:t>+</w:t>
            </w:r>
          </w:p>
        </w:tc>
        <w:tc>
          <w:tcPr>
            <w:tcW w:w="2065" w:type="dxa"/>
          </w:tcPr>
          <w:p w14:paraId="0FE6D119" w14:textId="24BB8373" w:rsidR="00F46A3D" w:rsidRDefault="00F46A3D" w:rsidP="00F46A3D">
            <w:pPr>
              <w:spacing w:line="240" w:lineRule="auto"/>
              <w:ind w:firstLine="0"/>
              <w:jc w:val="center"/>
            </w:pPr>
            <w:r>
              <w:t>+</w:t>
            </w:r>
          </w:p>
        </w:tc>
      </w:tr>
      <w:tr w:rsidR="00F46A3D" w14:paraId="503AD30D" w14:textId="77777777" w:rsidTr="00B05F23">
        <w:trPr>
          <w:trHeight w:val="440"/>
        </w:trPr>
        <w:tc>
          <w:tcPr>
            <w:tcW w:w="3505" w:type="dxa"/>
          </w:tcPr>
          <w:p w14:paraId="1862062C" w14:textId="6BCD89D4" w:rsidR="00F46A3D" w:rsidRDefault="00F46A3D" w:rsidP="00F46A3D">
            <w:pPr>
              <w:spacing w:line="240" w:lineRule="auto"/>
              <w:ind w:firstLine="0"/>
              <w:jc w:val="center"/>
            </w:pPr>
            <w:r>
              <w:t>Genetic mutation</w:t>
            </w:r>
          </w:p>
        </w:tc>
        <w:tc>
          <w:tcPr>
            <w:tcW w:w="1800" w:type="dxa"/>
          </w:tcPr>
          <w:p w14:paraId="0393884D" w14:textId="777C27A1" w:rsidR="00F46A3D" w:rsidRDefault="00F46A3D" w:rsidP="00F46A3D">
            <w:pPr>
              <w:spacing w:line="240" w:lineRule="auto"/>
              <w:ind w:firstLine="0"/>
              <w:jc w:val="center"/>
            </w:pPr>
            <w:r>
              <w:t>+</w:t>
            </w:r>
          </w:p>
        </w:tc>
        <w:tc>
          <w:tcPr>
            <w:tcW w:w="1980" w:type="dxa"/>
          </w:tcPr>
          <w:p w14:paraId="4DE09BEF" w14:textId="56CB2F73" w:rsidR="00F46A3D" w:rsidRDefault="00F46A3D" w:rsidP="00F46A3D">
            <w:pPr>
              <w:spacing w:line="240" w:lineRule="auto"/>
              <w:ind w:firstLine="0"/>
              <w:jc w:val="center"/>
            </w:pPr>
            <w:r>
              <w:t>+</w:t>
            </w:r>
          </w:p>
        </w:tc>
        <w:tc>
          <w:tcPr>
            <w:tcW w:w="2065" w:type="dxa"/>
          </w:tcPr>
          <w:p w14:paraId="3CCAEEE0" w14:textId="77777777" w:rsidR="00F46A3D" w:rsidRDefault="00F46A3D" w:rsidP="00F46A3D">
            <w:pPr>
              <w:spacing w:line="240" w:lineRule="auto"/>
              <w:ind w:firstLine="0"/>
              <w:jc w:val="center"/>
            </w:pPr>
          </w:p>
        </w:tc>
      </w:tr>
    </w:tbl>
    <w:p w14:paraId="27C971AD" w14:textId="77777777" w:rsidR="000A1C02" w:rsidRDefault="000A1C02" w:rsidP="000A1C02">
      <w:pPr>
        <w:pStyle w:val="Heading2"/>
      </w:pPr>
      <w:bookmarkStart w:id="11" w:name="_Toc39065920"/>
      <w:bookmarkEnd w:id="8"/>
      <w:bookmarkEnd w:id="9"/>
      <w:r>
        <w:t>Incidence and Prevalence of FH</w:t>
      </w:r>
      <w:bookmarkEnd w:id="11"/>
    </w:p>
    <w:p w14:paraId="761AB3C4" w14:textId="137A5D7B" w:rsidR="000A1C02" w:rsidRPr="00655DF5" w:rsidRDefault="000A1C02" w:rsidP="000A1C02">
      <w:r w:rsidRPr="00655DF5">
        <w:t xml:space="preserve">In FH patients exhibiting elevated LDL-cholesterol levels, the incidence of CHD is 5.8 per 1000 person-years while the incidence of ASCVD is 14.9 per 1000 person-years </w:t>
      </w:r>
      <w:r w:rsidRPr="00655DF5">
        <w:fldChar w:fldCharType="begin" w:fldLock="1"/>
      </w:r>
      <w:r w:rsidRPr="00655DF5">
        <w:instrText>ADDIN CSL_CITATION {"citationItems":[{"id":"ITEM-1","itemData":{"DOI":"10.3390/jcm8071080","ISSN":"2077-0383 (Print)","PMID":"31340450","abstract":"In the statin era, the incidence of atherosclerotic cardiovascular diseases (ASCVD)  in patients with familial hypercholesterolemia (FH) has not been updated. We aimed to determine the incidence of ASCVD in patients with FH-phenotype (FH-P) and to compare it with that of normal low-density lipoprotein cholesterol (LDL-C) patients. We performed a retrospective cohort study using the Database of the Catalan primary care system, including ≥18-year-old patients with an LDL-C measurement. From 1,589,264 patients available before 2009, 12,823 fulfilled FH-P criteria and 514,176 patients were normolipidemic (LDL-C &lt; 115 mg/dL). In primary prevention, patients with FH-P had incidences of ASCVD and coronary heart disease (CHD) of 14.9/1000 and 5.8/1000 person-years, respectively, compared to 7.1/1000 and 2.1/1000 person-years in the normolipidemic group. FH-P showed hazard ratio (HR) of 7.1 and 16.7 for ASCVD and CHD, respectively, in patients younger than 35 years. In secondary prevention, patients with FH-P had incidences of ASCVD and CHD of 89.7/1000 and 34.5/1000 person-years, respectively, compared to 90.9/1000 and 28.2/1000 person-years in the normolipidemic group (HR in patients younger than 35 years: 2.4 and 6.0). In the statin era, FH-P remains associated with high cardiovascular risk, compared with the normolipidemic population. This excess of risk is markedly high in young individuals.","author":[{"dropping-particle":"","family":"Masana","given":"Luís","non-dropping-particle":"","parse-names":false,"suffix":""},{"dropping-particle":"","family":"Zamora","given":"Alberto","non-dropping-particle":"","parse-names":false,"suffix":""},{"dropping-particle":"","family":"Plana","given":"Núria","non-dropping-particle":"","parse-names":false,"suffix":""},{"dropping-particle":"","family":"Comas-Cufí","given":"Marc","non-dropping-particle":"","parse-names":false,"suffix":""},{"dropping-particle":"","family":"Garcia-Gil","given":"Maria","non-dropping-particle":"","parse-names":false,"suffix":""},{"dropping-particle":"","family":"Martí-Lluch","given":"Ruth","non-dropping-particle":"","parse-names":false,"suffix":""},{"dropping-particle":"","family":"Ponjoan","given":"Anna","non-dropping-particle":"","parse-names":false,"suffix":""},{"dropping-particle":"","family":"Alves-Cabratosa","given":"Lia","non-dropping-particle":"","parse-names":false,"suffix":""},{"dropping-particle":"","family":"Elosua","given":"Roberto","non-dropping-particle":"","parse-names":false,"suffix":""},{"dropping-particle":"","family":"Marrugat","given":"Jaume","non-dropping-particle":"","parse-names":false,"suffix":""},{"dropping-particle":"","family":"Dégano","given":"Irene R","non-dropping-particle":"","parse-names":false,"suffix":""},{"dropping-particle":"","family":"Ramos","given":"Rafel","non-dropping-particle":"","parse-names":false,"suffix":""}],"container-title":"Journal of clinical medicine","id":"ITEM-1","issue":"7","issued":{"date-parts":[["2019","7"]]},"language":"eng","title":"Incidence of Cardiovascular Disease in Patients with Familial Hypercholesterolemia  Phenotype: Analysis of 5 Years Follow-Up of Real-World Data from More than 1.5 Million Patients.","type":"article-journal","volume":"8"},"uris":["http://www.mendeley.com/documents/?uuid=157cb226-c7c7-4e25-91b4-fa3165416a64"]}],"mendeley":{"formattedCitation":"(Masana et al., 2019)","plainTextFormattedCitation":"(Masana et al., 2019)","previouslyFormattedCitation":"(Masana et al., 2019)"},"properties":{"noteIndex":0},"schema":"https://github.com/citation-style-language/schema/raw/master/csl-citation.json"}</w:instrText>
      </w:r>
      <w:r w:rsidRPr="00655DF5">
        <w:fldChar w:fldCharType="separate"/>
      </w:r>
      <w:r w:rsidRPr="00655DF5">
        <w:rPr>
          <w:noProof/>
        </w:rPr>
        <w:t>(Masana et al., 2019)</w:t>
      </w:r>
      <w:r w:rsidRPr="00655DF5">
        <w:fldChar w:fldCharType="end"/>
      </w:r>
      <w:r w:rsidRPr="00655DF5">
        <w:t xml:space="preserve">. FH is considered a common genetic condition within the </w:t>
      </w:r>
      <w:r>
        <w:t>US</w:t>
      </w:r>
      <w:r w:rsidRPr="00655DF5">
        <w:t>, with an estimated prevalence of 1 in 250 people or 0.4%. However, other populations and groups have different prevalence rates.</w:t>
      </w:r>
      <w:r>
        <w:t xml:space="preserve"> </w:t>
      </w:r>
      <w:proofErr w:type="spellStart"/>
      <w:r>
        <w:t>Akioyamen</w:t>
      </w:r>
      <w:proofErr w:type="spellEnd"/>
      <w:r>
        <w:t xml:space="preserve"> et al. (2017) performed a meta-analysis </w:t>
      </w:r>
      <w:r w:rsidR="00982457">
        <w:t>combining</w:t>
      </w:r>
      <w:r w:rsidR="00665EC6">
        <w:t xml:space="preserve"> 19 different studies </w:t>
      </w:r>
      <w:r w:rsidR="00874832">
        <w:t>with a total sample size of 2,458,456 individuals from 28 countries</w:t>
      </w:r>
      <w:r w:rsidR="00982457">
        <w:t>. The researchers analyzed the</w:t>
      </w:r>
      <w:r>
        <w:t xml:space="preserve"> prevalence of FH </w:t>
      </w:r>
      <w:r w:rsidR="00982457">
        <w:t>from these 28 countries</w:t>
      </w:r>
      <w:r>
        <w:t xml:space="preserve"> and stratified </w:t>
      </w:r>
      <w:r w:rsidR="00982457">
        <w:t xml:space="preserve">individuals </w:t>
      </w:r>
      <w:r>
        <w:t>by age and sex. The researchers showed that the pooled global prevalence of F</w:t>
      </w:r>
      <w:r w:rsidR="00087825">
        <w:t>H</w:t>
      </w:r>
      <w:r>
        <w:t xml:space="preserve"> is 0.40%</w:t>
      </w:r>
      <w:r w:rsidR="00087825">
        <w:t xml:space="preserve"> in adults</w:t>
      </w:r>
      <w:r>
        <w:t xml:space="preserve"> and 0.36% in children. Prevalence was </w:t>
      </w:r>
      <w:r>
        <w:lastRenderedPageBreak/>
        <w:t xml:space="preserve">similar between males and females at 0.42% and 0.45%, respectively. Older populations </w:t>
      </w:r>
      <w:r w:rsidR="00087825">
        <w:t>had</w:t>
      </w:r>
      <w:r>
        <w:t xml:space="preserve"> higher prevalence rates</w:t>
      </w:r>
      <w:r w:rsidR="00AA1713">
        <w:t>; individuals</w:t>
      </w:r>
      <w:r>
        <w:t xml:space="preserve"> aged 60-69 years ha</w:t>
      </w:r>
      <w:r w:rsidR="00AA1713">
        <w:t>d</w:t>
      </w:r>
      <w:r>
        <w:t xml:space="preserve"> higher prevalence compared to younger</w:t>
      </w:r>
      <w:r w:rsidR="00AA1713">
        <w:t xml:space="preserve"> individuals</w:t>
      </w:r>
      <w:r>
        <w:t xml:space="preserve">. Prevalence rates also differ among </w:t>
      </w:r>
      <w:r w:rsidR="00AA1713">
        <w:t>regions, ranging from 0.21% in European populations to 1.14% in African populations</w:t>
      </w:r>
      <w:r>
        <w:t xml:space="preserve"> (Table 1) </w:t>
      </w:r>
      <w:r>
        <w:fldChar w:fldCharType="begin" w:fldLock="1"/>
      </w:r>
      <w:r>
        <w:instrText>ADDIN CSL_CITATION {"citationItems":[{"id":"ITEM-1","itemData":{"DOI":"10.1136/bmjopen-2017-016461","ISSN":"2044-6055 (Electronic)","PMID":"28864697","abstract":"OBJECTIVES: Heterozygous familial hypercholesterolaemia (FH) confers a significant  risk for premature cardiovascular disease (CVD). However, the estimated prevalence of FH varies substantially among studies. We aimed to provide a summary estimate of FH prevalence in the general population and assess variations in frequency across different sociodemographic characteristics. SETTING, PARTICIPANTS AND OUTCOME MEASURES: We searched MEDLINE, EMBASE, Global Health, the Cochrane Library, PsycINFO and PubMed for peer-reviewed literature using validated strategies. Results were limited to studies published in English between January 1990 and January 2017. Studies were eligible if they determined FH prevalence using clinical criteria or DNA-based analyses. We determined a pooled point prevalence of FH in adults and children and assessed the variation of the pooled frequency by age, sex, geographical location, diagnostic method, study quality and year of publication. Estimates were pooled using random-effects meta-analysis. Differences by study-level characteristics were investigated through subgroups, meta-regression and sensitivity analyses. RESULTS: The pooled prevalence of FH from 19 studies including 2 458 456 unique individuals was 0.40% (95% CI 0.29% to 0.52%) which corresponds to a frequency of 1 in 250 individuals. FH prevalence was found to vary by age and geographical location but not by any other covariates. Results were consistent in sensitivity analyses. CONCLUSIONS: Our systematic review suggests that FH is a common disorder, affecting 1 in 250 individuals. These findings underscore the need for early detection and management to decrease CVD risk.","author":[{"dropping-particle":"","family":"Akioyamen","given":"Leo E","non-dropping-particle":"","parse-names":false,"suffix":""},{"dropping-particle":"","family":"Genest","given":"Jacques","non-dropping-particle":"","parse-names":false,"suffix":""},{"dropping-particle":"","family":"Shan","given":"Shubham D","non-dropping-particle":"","parse-names":false,"suffix":""},{"dropping-particle":"","family":"Reel","given":"Rachel L","non-dropping-particle":"","parse-names":false,"suffix":""},{"dropping-particle":"","family":"Albaum","given":"Jordan M","non-dropping-particle":"","parse-names":false,"suffix":""},{"dropping-particle":"","family":"Chu","given":"Anna","non-dropping-particle":"","parse-names":false,"suffix":""},{"dropping-particle":"V","family":"Tu","given":"Jack","non-dropping-particle":"","parse-names":false,"suffix":""}],"container-title":"BMJ open","id":"ITEM-1","issue":"9","issued":{"date-parts":[["2017","9"]]},"language":"eng","page":"e016461","title":"Estimating the prevalence of heterozygous familial hypercholesterolaemia: a  systematic review and meta-analysis.","type":"article-journal","volume":"7"},"uris":["http://www.mendeley.com/documents/?uuid=b3c55b02-19c3-4b2f-b2ef-1e485b903b02"]}],"mendeley":{"formattedCitation":"(Akioyamen et al., 2017)","plainTextFormattedCitation":"(Akioyamen et al., 2017)","previouslyFormattedCitation":"(Akioyamen et al., 2017)"},"properties":{"noteIndex":0},"schema":"https://github.com/citation-style-language/schema/raw/master/csl-citation.json"}</w:instrText>
      </w:r>
      <w:r>
        <w:fldChar w:fldCharType="separate"/>
      </w:r>
      <w:r w:rsidRPr="00610F68">
        <w:rPr>
          <w:noProof/>
        </w:rPr>
        <w:t>(Akioyamen et al., 2017)</w:t>
      </w:r>
      <w:r>
        <w:fldChar w:fldCharType="end"/>
      </w:r>
      <w:r>
        <w:t xml:space="preserve">.  </w:t>
      </w:r>
    </w:p>
    <w:p w14:paraId="49B7B5E2" w14:textId="0F984C8F" w:rsidR="000A1C02" w:rsidRDefault="00AA1713" w:rsidP="000A1C02">
      <w:r>
        <w:t>B</w:t>
      </w:r>
      <w:r w:rsidR="000A1C02">
        <w:t>ased o</w:t>
      </w:r>
      <w:r>
        <w:t>n</w:t>
      </w:r>
      <w:r w:rsidR="000A1C02">
        <w:t xml:space="preserve"> the global prevalence rates</w:t>
      </w:r>
      <w:r>
        <w:t xml:space="preserve"> of FH as well as </w:t>
      </w:r>
      <w:r w:rsidR="000A1C02">
        <w:t>the number of clinical cases</w:t>
      </w:r>
      <w:r>
        <w:t xml:space="preserve"> of FH, researchers estimated</w:t>
      </w:r>
      <w:r w:rsidR="000A1C02">
        <w:t xml:space="preserve"> </w:t>
      </w:r>
      <w:r w:rsidR="000A1C02" w:rsidRPr="00655DF5">
        <w:t xml:space="preserve">that less than 10% of individuals with FH have been diagnosed within the </w:t>
      </w:r>
      <w:r w:rsidR="000A1C02">
        <w:t>US</w:t>
      </w:r>
      <w:r w:rsidR="000A1C02" w:rsidRPr="00655DF5">
        <w:t xml:space="preserve"> </w:t>
      </w:r>
      <w:r w:rsidR="000A1C02" w:rsidRPr="00655DF5">
        <w:fldChar w:fldCharType="begin" w:fldLock="1"/>
      </w:r>
      <w:r w:rsidR="000A1C02" w:rsidRPr="00655DF5">
        <w:instrText>ADDIN CSL_CITATION {"citationItems":[{"id":"ITEM-1","itemData":{"DOI":"10.1016/j.jacl.2015.03.068","ISSN":"1933-2874","author":[{"dropping-particle":"","family":"Ahmad","given":"Zahid","non-dropping-particle":"","parse-names":false,"suffix":""},{"dropping-particle":"","family":"Newman","given":"Connie B","non-dropping-particle":"","parse-names":false,"suffix":""},{"dropping-particle":"","family":"O'Brien","given":"Emily C","non-dropping-particle":"","parse-names":false,"suffix":""},{"dropping-particle":"","family":"Shrader","given":"Peter","non-dropping-particle":"","parse-names":false,"suffix":""},{"dropping-particle":"","family":"deGoma","given":"Emil M","non-dropping-particle":"","parse-names":false,"suffix":""},{"dropping-particle":"","family":"Ahmed","given":"Catherine","non-dropping-particle":"","parse-names":false,"suffix":""},{"dropping-particle":"","family":"Moriarty","given":"Patrick M","non-dropping-particle":"","parse-names":false,"suffix":""},{"dropping-particle":"","family":"Linton","given":"MacRae F","non-dropping-particle":"","parse-names":false,"suffix":""},{"dropping-particle":"","family":"Shapiro","given":"Michael D","non-dropping-particle":"","parse-names":false,"suffix":""},{"dropping-particle":"","family":"Duell","given":"Barton","non-dropping-particle":"","parse-names":false,"suffix":""},{"dropping-particle":"","family":"Ballantyne","given":"Christie M","non-dropping-particle":"","parse-names":false,"suffix":""},{"dropping-particle":"","family":"Neal","given":"William","non-dropping-particle":"","parse-names":false,"suffix":""},{"dropping-particle":"","family":"Duffy","given":"Danielle","non-dropping-particle":"","parse-names":false,"suffix":""},{"dropping-particle":"","family":"Hudgins","given":"Lisa C","non-dropping-particle":"","parse-names":false,"suffix":""},{"dropping-particle":"","family":"Hemphill","given":"Linda C","non-dropping-particle":"","parse-names":false,"suffix":""},{"dropping-particle":"","family":"Underberg","given":"James A","non-dropping-particle":"","parse-names":false,"suffix":""},{"dropping-particle":"","family":"Watson","given":"Karol E","non-dropping-particle":"","parse-names":false,"suffix":""},{"dropping-particle":"","family":"Gidding","given":"Samuel S","non-dropping-particle":"","parse-names":false,"suffix":""},{"dropping-particle":"","family":"Baum","given":"Seth J","non-dropping-particle":"","parse-names":false,"suffix":""},{"dropping-particle":"","family":"Wilemon","given":"Katherine","non-dropping-particle":"","parse-names":false,"suffix":""},{"dropping-particle":"","family":"Pickhardt","given":"Dave","non-dropping-particle":"","parse-names":false,"suffix":""},{"dropping-particle":"","family":"Kindt","given":"Iris","non-dropping-particle":"","parse-names":false,"suffix":""},{"dropping-particle":"","family":"Rader","given":"Daniel J","non-dropping-particle":"","parse-names":false,"suffix":""},{"dropping-particle":"","family":"Roe","given":"Matthew T","non-dropping-particle":"","parse-names":false,"suffix":""},{"dropping-particle":"","family":"Knowles","given":"Joshua W","non-dropping-particle":"","parse-names":false,"suffix":""}],"container-title":"Journal of Clinical Lipidology","id":"ITEM-1","issue":"3","issued":{"date-parts":[["2015","5","1"]]},"note":"doi: 10.1016/j.jacl.2015.03.068","page":"451-452","publisher":"Elsevier","title":"Diagnosing Familial Hypercholesterolemia (FH) in the United States: Results from the CASCADE FH Patient Registry*&lt;sup&gt;&amp;#x2020;&lt;/sup&gt;","type":"article-journal","volume":"9"},"uris":["http://www.mendeley.com/documents/?uuid=900cf363-de61-427b-85be-20596c54597b"]}],"mendeley":{"formattedCitation":"(Ahmad et al., 2015)","plainTextFormattedCitation":"(Ahmad et al., 2015)","previouslyFormattedCitation":"(Ahmad et al., 2015)"},"properties":{"noteIndex":0},"schema":"https://github.com/citation-style-language/schema/raw/master/csl-citation.json"}</w:instrText>
      </w:r>
      <w:r w:rsidR="000A1C02" w:rsidRPr="00655DF5">
        <w:fldChar w:fldCharType="separate"/>
      </w:r>
      <w:r w:rsidR="000A1C02" w:rsidRPr="00655DF5">
        <w:rPr>
          <w:noProof/>
        </w:rPr>
        <w:t>(Ahmad et al., 2015)</w:t>
      </w:r>
      <w:r w:rsidR="000A1C02" w:rsidRPr="00655DF5">
        <w:fldChar w:fldCharType="end"/>
      </w:r>
      <w:r w:rsidR="000A1C02" w:rsidRPr="00655DF5">
        <w:t xml:space="preserve">, and less than 1% have been diagnosed globally </w:t>
      </w:r>
      <w:r w:rsidR="000A1C02" w:rsidRPr="00655DF5">
        <w:fldChar w:fldCharType="begin" w:fldLock="1"/>
      </w:r>
      <w:r w:rsidR="000A1C02" w:rsidRPr="00655DF5">
        <w:instrText>ADDIN CSL_CITATION {"citationItems":[{"id":"ITEM-1","itemData":{"DOI":"10.1136/bmjopen-2017-016461","ISSN":"2044-6055 (Electronic)","PMID":"28864697","abstract":"OBJECTIVES: Heterozygous familial hypercholesterolaemia (FH) confers a significant  risk for premature cardiovascular disease (CVD). However, the estimated prevalence of FH varies substantially among studies. We aimed to provide a summary estimate of FH prevalence in the general population and assess variations in frequency across different sociodemographic characteristics. SETTING, PARTICIPANTS AND OUTCOME MEASURES: We searched MEDLINE, EMBASE, Global Health, the Cochrane Library, PsycINFO and PubMed for peer-reviewed literature using validated strategies. Results were limited to studies published in English between January 1990 and January 2017. Studies were eligible if they determined FH prevalence using clinical criteria or DNA-based analyses. We determined a pooled point prevalence of FH in adults and children and assessed the variation of the pooled frequency by age, sex, geographical location, diagnostic method, study quality and year of publication. Estimates were pooled using random-effects meta-analysis. Differences by study-level characteristics were investigated through subgroups, meta-regression and sensitivity analyses. RESULTS: The pooled prevalence of FH from 19 studies including 2 458 456 unique individuals was 0.40% (95% CI 0.29% to 0.52%) which corresponds to a frequency of 1 in 250 individuals. FH prevalence was found to vary by age and geographical location but not by any other covariates. Results were consistent in sensitivity analyses. CONCLUSIONS: Our systematic review suggests that FH is a common disorder, affecting 1 in 250 individuals. These findings underscore the need for early detection and management to decrease CVD risk.","author":[{"dropping-particle":"","family":"Akioyamen","given":"Leo E","non-dropping-particle":"","parse-names":false,"suffix":""},{"dropping-particle":"","family":"Genest","given":"Jacques","non-dropping-particle":"","parse-names":false,"suffix":""},{"dropping-particle":"","family":"Shan","given":"Shubham D","non-dropping-particle":"","parse-names":false,"suffix":""},{"dropping-particle":"","family":"Reel","given":"Rachel L","non-dropping-particle":"","parse-names":false,"suffix":""},{"dropping-particle":"","family":"Albaum","given":"Jordan M","non-dropping-particle":"","parse-names":false,"suffix":""},{"dropping-particle":"","family":"Chu","given":"Anna","non-dropping-particle":"","parse-names":false,"suffix":""},{"dropping-particle":"V","family":"Tu","given":"Jack","non-dropping-particle":"","parse-names":false,"suffix":""}],"container-title":"BMJ open","id":"ITEM-1","issue":"9","issued":{"date-parts":[["2017","9"]]},"language":"eng","page":"e016461","title":"Estimating the prevalence of heterozygous familial hypercholesterolaemia: a  systematic review and meta-analysis.","type":"article-journal","volume":"7"},"uris":["http://www.mendeley.com/documents/?uuid=b3c55b02-19c3-4b2f-b2ef-1e485b903b02"]}],"mendeley":{"formattedCitation":"(Akioyamen et al., 2017)","plainTextFormattedCitation":"(Akioyamen et al., 2017)","previouslyFormattedCitation":"(Akioyamen et al., 2017)"},"properties":{"noteIndex":0},"schema":"https://github.com/citation-style-language/schema/raw/master/csl-citation.json"}</w:instrText>
      </w:r>
      <w:r w:rsidR="000A1C02" w:rsidRPr="00655DF5">
        <w:fldChar w:fldCharType="separate"/>
      </w:r>
      <w:r w:rsidR="000A1C02" w:rsidRPr="00655DF5">
        <w:rPr>
          <w:noProof/>
        </w:rPr>
        <w:t>(Akioyamen et al., 2017)</w:t>
      </w:r>
      <w:r w:rsidR="000A1C02" w:rsidRPr="00655DF5">
        <w:fldChar w:fldCharType="end"/>
      </w:r>
      <w:r w:rsidR="000A1C02" w:rsidRPr="00655DF5">
        <w:t>.</w:t>
      </w:r>
      <w:r w:rsidR="000A1C02">
        <w:t xml:space="preserve"> </w:t>
      </w:r>
    </w:p>
    <w:p w14:paraId="60BDD10E" w14:textId="77777777" w:rsidR="006F2C84" w:rsidRDefault="006F2C84" w:rsidP="006F2C84">
      <w:pPr>
        <w:spacing w:line="240" w:lineRule="auto"/>
      </w:pPr>
    </w:p>
    <w:p w14:paraId="0F2521DF" w14:textId="4DB4348B" w:rsidR="000A1C02" w:rsidRDefault="000A1C02" w:rsidP="000A1C02">
      <w:pPr>
        <w:pStyle w:val="Caption"/>
        <w:keepNext/>
      </w:pPr>
      <w:bookmarkStart w:id="12" w:name="_Toc39065948"/>
      <w:r>
        <w:t xml:space="preserve">Table </w:t>
      </w:r>
      <w:r>
        <w:fldChar w:fldCharType="begin"/>
      </w:r>
      <w:r>
        <w:instrText xml:space="preserve"> SEQ Table \* ARABIC </w:instrText>
      </w:r>
      <w:r>
        <w:fldChar w:fldCharType="separate"/>
      </w:r>
      <w:r w:rsidR="002A71A2">
        <w:t>2</w:t>
      </w:r>
      <w:r>
        <w:fldChar w:fldCharType="end"/>
      </w:r>
      <w:r>
        <w:t>. Prevalence of FH by Continental Populations</w:t>
      </w:r>
      <w:bookmarkEnd w:id="12"/>
    </w:p>
    <w:tbl>
      <w:tblPr>
        <w:tblStyle w:val="TableGrid"/>
        <w:tblW w:w="0" w:type="auto"/>
        <w:tblLook w:val="04A0" w:firstRow="1" w:lastRow="0" w:firstColumn="1" w:lastColumn="0" w:noHBand="0" w:noVBand="1"/>
      </w:tblPr>
      <w:tblGrid>
        <w:gridCol w:w="4675"/>
        <w:gridCol w:w="4675"/>
      </w:tblGrid>
      <w:tr w:rsidR="000A1C02" w14:paraId="15BD7ED1" w14:textId="77777777" w:rsidTr="00087825">
        <w:trPr>
          <w:trHeight w:val="278"/>
        </w:trPr>
        <w:tc>
          <w:tcPr>
            <w:tcW w:w="4675" w:type="dxa"/>
            <w:shd w:val="clear" w:color="auto" w:fill="E7E6E6" w:themeFill="background2"/>
          </w:tcPr>
          <w:p w14:paraId="1E911785" w14:textId="77777777" w:rsidR="000A1C02" w:rsidRPr="00A960E5" w:rsidRDefault="000A1C02" w:rsidP="00087825">
            <w:pPr>
              <w:ind w:firstLine="0"/>
              <w:jc w:val="center"/>
              <w:rPr>
                <w:b/>
                <w:bCs/>
              </w:rPr>
            </w:pPr>
            <w:r>
              <w:rPr>
                <w:b/>
                <w:bCs/>
              </w:rPr>
              <w:t>Population</w:t>
            </w:r>
          </w:p>
        </w:tc>
        <w:tc>
          <w:tcPr>
            <w:tcW w:w="4675" w:type="dxa"/>
            <w:shd w:val="clear" w:color="auto" w:fill="E7E6E6" w:themeFill="background2"/>
          </w:tcPr>
          <w:p w14:paraId="3F4002F0" w14:textId="77777777" w:rsidR="000A1C02" w:rsidRPr="00A960E5" w:rsidRDefault="000A1C02" w:rsidP="00087825">
            <w:pPr>
              <w:ind w:firstLine="0"/>
              <w:jc w:val="center"/>
              <w:rPr>
                <w:b/>
                <w:bCs/>
              </w:rPr>
            </w:pPr>
            <w:r>
              <w:rPr>
                <w:b/>
                <w:bCs/>
              </w:rPr>
              <w:t>Prevalence Rates (%)</w:t>
            </w:r>
          </w:p>
        </w:tc>
      </w:tr>
      <w:tr w:rsidR="000A1C02" w14:paraId="28AC59B0" w14:textId="77777777" w:rsidTr="00087825">
        <w:trPr>
          <w:trHeight w:val="350"/>
        </w:trPr>
        <w:tc>
          <w:tcPr>
            <w:tcW w:w="4675" w:type="dxa"/>
          </w:tcPr>
          <w:p w14:paraId="21B6D24C" w14:textId="77777777" w:rsidR="000A1C02" w:rsidRPr="00A960E5" w:rsidRDefault="000A1C02" w:rsidP="00087825">
            <w:pPr>
              <w:ind w:firstLine="0"/>
              <w:jc w:val="center"/>
            </w:pPr>
            <w:r>
              <w:t>North American</w:t>
            </w:r>
          </w:p>
        </w:tc>
        <w:tc>
          <w:tcPr>
            <w:tcW w:w="4675" w:type="dxa"/>
          </w:tcPr>
          <w:p w14:paraId="7DAE7430" w14:textId="77777777" w:rsidR="000A1C02" w:rsidRPr="00A960E5" w:rsidRDefault="000A1C02" w:rsidP="00087825">
            <w:pPr>
              <w:ind w:firstLine="0"/>
              <w:jc w:val="center"/>
            </w:pPr>
            <w:r>
              <w:t>0.38</w:t>
            </w:r>
          </w:p>
        </w:tc>
      </w:tr>
      <w:tr w:rsidR="000A1C02" w14:paraId="2AFE5CA5" w14:textId="77777777" w:rsidTr="00087825">
        <w:trPr>
          <w:trHeight w:val="144"/>
        </w:trPr>
        <w:tc>
          <w:tcPr>
            <w:tcW w:w="4675" w:type="dxa"/>
          </w:tcPr>
          <w:p w14:paraId="76F97F57" w14:textId="77777777" w:rsidR="000A1C02" w:rsidRPr="00A960E5" w:rsidRDefault="000A1C02" w:rsidP="00087825">
            <w:pPr>
              <w:ind w:firstLine="0"/>
              <w:jc w:val="center"/>
            </w:pPr>
            <w:r>
              <w:t>European</w:t>
            </w:r>
          </w:p>
        </w:tc>
        <w:tc>
          <w:tcPr>
            <w:tcW w:w="4675" w:type="dxa"/>
          </w:tcPr>
          <w:p w14:paraId="5C97149B" w14:textId="77777777" w:rsidR="000A1C02" w:rsidRPr="00A960E5" w:rsidRDefault="000A1C02" w:rsidP="00087825">
            <w:pPr>
              <w:ind w:firstLine="0"/>
              <w:jc w:val="center"/>
            </w:pPr>
            <w:r>
              <w:t>0.21</w:t>
            </w:r>
          </w:p>
        </w:tc>
      </w:tr>
      <w:tr w:rsidR="000A1C02" w14:paraId="17377096" w14:textId="77777777" w:rsidTr="00087825">
        <w:trPr>
          <w:trHeight w:val="144"/>
        </w:trPr>
        <w:tc>
          <w:tcPr>
            <w:tcW w:w="4675" w:type="dxa"/>
          </w:tcPr>
          <w:p w14:paraId="7B34F3B7" w14:textId="77777777" w:rsidR="000A1C02" w:rsidRDefault="000A1C02" w:rsidP="00087825">
            <w:pPr>
              <w:ind w:firstLine="0"/>
              <w:jc w:val="center"/>
            </w:pPr>
            <w:r>
              <w:t>African</w:t>
            </w:r>
          </w:p>
        </w:tc>
        <w:tc>
          <w:tcPr>
            <w:tcW w:w="4675" w:type="dxa"/>
          </w:tcPr>
          <w:p w14:paraId="3976A226" w14:textId="77777777" w:rsidR="000A1C02" w:rsidRPr="00A960E5" w:rsidRDefault="000A1C02" w:rsidP="00087825">
            <w:pPr>
              <w:ind w:firstLine="0"/>
              <w:jc w:val="center"/>
            </w:pPr>
            <w:r>
              <w:t>1.14</w:t>
            </w:r>
          </w:p>
        </w:tc>
      </w:tr>
      <w:tr w:rsidR="000A1C02" w14:paraId="762FDD6C" w14:textId="77777777" w:rsidTr="00087825">
        <w:trPr>
          <w:trHeight w:val="144"/>
        </w:trPr>
        <w:tc>
          <w:tcPr>
            <w:tcW w:w="4675" w:type="dxa"/>
          </w:tcPr>
          <w:p w14:paraId="44E6E9BB" w14:textId="77777777" w:rsidR="000A1C02" w:rsidRPr="00A960E5" w:rsidRDefault="000A1C02" w:rsidP="00087825">
            <w:pPr>
              <w:ind w:firstLine="0"/>
              <w:jc w:val="center"/>
            </w:pPr>
            <w:r>
              <w:t>Australian</w:t>
            </w:r>
          </w:p>
        </w:tc>
        <w:tc>
          <w:tcPr>
            <w:tcW w:w="4675" w:type="dxa"/>
          </w:tcPr>
          <w:p w14:paraId="69A19076" w14:textId="77777777" w:rsidR="000A1C02" w:rsidRPr="00A960E5" w:rsidRDefault="000A1C02" w:rsidP="00087825">
            <w:pPr>
              <w:ind w:firstLine="0"/>
              <w:jc w:val="center"/>
            </w:pPr>
            <w:r>
              <w:t>0.5</w:t>
            </w:r>
          </w:p>
        </w:tc>
      </w:tr>
      <w:tr w:rsidR="000A1C02" w14:paraId="6F637BC7" w14:textId="77777777" w:rsidTr="00087825">
        <w:trPr>
          <w:trHeight w:val="144"/>
        </w:trPr>
        <w:tc>
          <w:tcPr>
            <w:tcW w:w="4675" w:type="dxa"/>
          </w:tcPr>
          <w:p w14:paraId="254E8148" w14:textId="77777777" w:rsidR="000A1C02" w:rsidRPr="00A960E5" w:rsidRDefault="000A1C02" w:rsidP="00087825">
            <w:pPr>
              <w:ind w:firstLine="0"/>
              <w:jc w:val="center"/>
            </w:pPr>
            <w:r>
              <w:t>Asian</w:t>
            </w:r>
          </w:p>
        </w:tc>
        <w:tc>
          <w:tcPr>
            <w:tcW w:w="4675" w:type="dxa"/>
          </w:tcPr>
          <w:p w14:paraId="4FC2632C" w14:textId="77777777" w:rsidR="000A1C02" w:rsidRPr="00A960E5" w:rsidRDefault="000A1C02" w:rsidP="00087825">
            <w:pPr>
              <w:ind w:firstLine="0"/>
              <w:jc w:val="center"/>
            </w:pPr>
            <w:r>
              <w:t>0.46</w:t>
            </w:r>
          </w:p>
        </w:tc>
      </w:tr>
    </w:tbl>
    <w:p w14:paraId="6D5C71FB" w14:textId="461C60BB" w:rsidR="00B404C2" w:rsidRPr="00B404C2" w:rsidRDefault="000F0784" w:rsidP="00B404C2">
      <w:pPr>
        <w:pStyle w:val="Heading2"/>
      </w:pPr>
      <w:bookmarkStart w:id="13" w:name="_Toc39065921"/>
      <w:r>
        <w:t>Lipid Metabolism and Genes Associated with</w:t>
      </w:r>
      <w:r w:rsidR="009B6C48">
        <w:t xml:space="preserve"> FH</w:t>
      </w:r>
      <w:bookmarkEnd w:id="13"/>
    </w:p>
    <w:p w14:paraId="7F646D3B" w14:textId="37A9DF23" w:rsidR="00544D46" w:rsidRDefault="00D900F9" w:rsidP="00D900F9">
      <w:r>
        <w:t xml:space="preserve">Normal lipid metabolism </w:t>
      </w:r>
      <w:r w:rsidR="00D41CC5">
        <w:t xml:space="preserve">is </w:t>
      </w:r>
      <w:r>
        <w:t>comprise</w:t>
      </w:r>
      <w:r w:rsidR="00D41CC5">
        <w:t>d</w:t>
      </w:r>
      <w:r>
        <w:t xml:space="preserve"> of different </w:t>
      </w:r>
      <w:r w:rsidR="008A7F15">
        <w:t>parts and elements</w:t>
      </w:r>
      <w:r>
        <w:t xml:space="preserve">. LDL-cholesterol particles consist of </w:t>
      </w:r>
      <w:proofErr w:type="spellStart"/>
      <w:r>
        <w:t>apoB</w:t>
      </w:r>
      <w:proofErr w:type="spellEnd"/>
      <w:r>
        <w:t xml:space="preserve"> molecules that form an envelope around different types of lipids. </w:t>
      </w:r>
      <w:r w:rsidR="008A7F15">
        <w:t>The</w:t>
      </w:r>
      <w:r>
        <w:t xml:space="preserve"> </w:t>
      </w:r>
      <w:proofErr w:type="spellStart"/>
      <w:r>
        <w:t>apoB</w:t>
      </w:r>
      <w:proofErr w:type="spellEnd"/>
      <w:r>
        <w:t xml:space="preserve"> molecules on the LDL-cholesterol particles bind to LDL-receptors that are found on the surface of the liver. Th</w:t>
      </w:r>
      <w:r w:rsidR="00D41CC5">
        <w:t>e resulting</w:t>
      </w:r>
      <w:r>
        <w:t xml:space="preserve"> LDL-cholesterol particle-receptor complex is brought into the endosome compartment of the </w:t>
      </w:r>
      <w:r w:rsidR="00207D14">
        <w:t xml:space="preserve">liver </w:t>
      </w:r>
      <w:r>
        <w:t xml:space="preserve">cell where </w:t>
      </w:r>
      <w:r w:rsidR="00331097">
        <w:t>the particle</w:t>
      </w:r>
      <w:r>
        <w:t xml:space="preserve"> is subsequently </w:t>
      </w:r>
      <w:r w:rsidR="00331097">
        <w:t xml:space="preserve">catabolized </w:t>
      </w:r>
      <w:r>
        <w:t xml:space="preserve">into </w:t>
      </w:r>
      <w:r w:rsidR="00331097">
        <w:t xml:space="preserve">its </w:t>
      </w:r>
      <w:r>
        <w:lastRenderedPageBreak/>
        <w:t>smaller lipid and amino acid</w:t>
      </w:r>
      <w:r w:rsidR="00331097">
        <w:t xml:space="preserve"> components</w:t>
      </w:r>
      <w:r>
        <w:t>. The LDL-receptor is</w:t>
      </w:r>
      <w:r w:rsidR="008A7F15">
        <w:t xml:space="preserve"> then</w:t>
      </w:r>
      <w:r>
        <w:t xml:space="preserve"> recycled back to the surface of the liver or taken to the lysosome</w:t>
      </w:r>
      <w:r w:rsidR="00D41CC5">
        <w:t xml:space="preserve"> and</w:t>
      </w:r>
      <w:r>
        <w:t xml:space="preserve"> destroyed.</w:t>
      </w:r>
      <w:r w:rsidR="008A7F15">
        <w:t xml:space="preserve"> </w:t>
      </w:r>
    </w:p>
    <w:p w14:paraId="45B93AD1" w14:textId="2935AB74" w:rsidR="00D900F9" w:rsidRPr="00D41CC5" w:rsidRDefault="008A7F15" w:rsidP="00D900F9">
      <w:r>
        <w:t xml:space="preserve">If any of these elements or processes </w:t>
      </w:r>
      <w:r w:rsidR="00D41CC5">
        <w:t>are</w:t>
      </w:r>
      <w:r>
        <w:t xml:space="preserve"> dysfunction</w:t>
      </w:r>
      <w:r w:rsidR="00D41CC5">
        <w:t xml:space="preserve">al, </w:t>
      </w:r>
      <w:r>
        <w:t xml:space="preserve">LDL-cholesterol </w:t>
      </w:r>
      <w:r w:rsidR="00D41CC5">
        <w:t xml:space="preserve">levels increase </w:t>
      </w:r>
      <w:r>
        <w:t>in the bloo</w:t>
      </w:r>
      <w:r w:rsidR="00D811CC">
        <w:t>d</w:t>
      </w:r>
      <w:r>
        <w:t xml:space="preserve"> c</w:t>
      </w:r>
      <w:r w:rsidR="00FA229B">
        <w:t>haracterizing</w:t>
      </w:r>
      <w:r>
        <w:t xml:space="preserve"> FH</w:t>
      </w:r>
      <w:r w:rsidR="00B404C2">
        <w:t xml:space="preserve"> </w:t>
      </w:r>
      <w:r w:rsidR="00B404C2">
        <w:fldChar w:fldCharType="begin" w:fldLock="1"/>
      </w:r>
      <w:r w:rsidR="002D1969">
        <w:instrText>ADDIN CSL_CITATION {"citationItems":[{"id":"ITEM-1","itemData":{"DOI":"10.1007/s11886-017-0848-8","ISSN":"1534-3170 (Electronic)","PMID":"28405938","abstract":"PURPOSE OF REVIEW: Familial hypercholesterolaemia (FH) is an inherited disorder of low-density lipoprotein cholesterol (LDL-C) which is characterised by a raised cholesterol level from birth and a high risk of premature coronary heart disease. In this paper, we review the genetic basis of FH and its impact on the clinical presentation. RECENT FINDINGS: Mutations in any of three genes (LDLR, APOB and PCSK9) are known to cause autosomal dominant FH, but a mutation can be found in only approximately 40% of patients with a clinical diagnosis of FH. In the remainder, a polygenic aetiology is most likely, due to the co-inheritance of common LDL-C-raising variants. The cardiovascular presentation and management of FH will differ between patients based on their underlying genetic factors. New genotyping methods such as next-generation sequencing will provide us with better understanding of the genetic architecture of FH.","author":[{"dropping-particle":"","family":"Sharifi","given":"Mahtab","non-dropping-particle":"","parse-names":false,"suffix":""},{"dropping-particle":"","family":"Futema","given":"Marta","non-dropping-particle":"","parse-names":false,"suffix":""},{"dropping-particle":"","family":"Nair","given":"Devaki","non-dropping-particle":"","parse-names":false,"suffix":""},{"dropping-particle":"","family":"Humphries","given":"Steve E","non-dropping-particle":"","parse-names":false,"suffix":""}],"container-title":"Current cardiology reports","id":"ITEM-1","issue":"5","issued":{"date-parts":[["2017","5"]]},"language":"eng","page":"44","publisher-place":"United States","title":"Genetic Architecture of Familial Hypercholesterolaemia.","type":"article-journal","volume":"19"},"uris":["http://www.mendeley.com/documents/?uuid=98e12b0e-305c-46ef-ad1d-80fccedfa7d4"]}],"mendeley":{"formattedCitation":"(Sharifi, Futema, Nair, &amp; Humphries, 2017)","manualFormatting":"(Sharifi et al., 2017)","plainTextFormattedCitation":"(Sharifi, Futema, Nair, &amp; Humphries, 2017)","previouslyFormattedCitation":"(Sharifi, Futema, Nair, &amp; Humphries, 2017)"},"properties":{"noteIndex":0},"schema":"https://github.com/citation-style-language/schema/raw/master/csl-citation.json"}</w:instrText>
      </w:r>
      <w:r w:rsidR="00B404C2">
        <w:fldChar w:fldCharType="separate"/>
      </w:r>
      <w:r w:rsidR="00B404C2" w:rsidRPr="00B404C2">
        <w:rPr>
          <w:noProof/>
        </w:rPr>
        <w:t>(Sharifi</w:t>
      </w:r>
      <w:r w:rsidR="00B404C2">
        <w:rPr>
          <w:noProof/>
        </w:rPr>
        <w:t xml:space="preserve"> et al.,</w:t>
      </w:r>
      <w:r w:rsidR="00B404C2" w:rsidRPr="00B404C2">
        <w:rPr>
          <w:noProof/>
        </w:rPr>
        <w:t xml:space="preserve"> 2017)</w:t>
      </w:r>
      <w:r w:rsidR="00B404C2">
        <w:fldChar w:fldCharType="end"/>
      </w:r>
      <w:r>
        <w:t xml:space="preserve">. </w:t>
      </w:r>
      <w:r w:rsidR="00BE7ED1">
        <w:t>Variants in any genes involved in these processes are categorized according to</w:t>
      </w:r>
      <w:r w:rsidR="00D41CC5">
        <w:t xml:space="preserve"> guidelines developed by</w:t>
      </w:r>
      <w:r w:rsidR="00BE7ED1">
        <w:t xml:space="preserve"> the American College of Medical Genetics and Genomics (ACMG). The categories include: pathogenic, likely pathogenic, uncertain significance, likely benign, and benign </w:t>
      </w:r>
      <w:r w:rsidR="00605E7D">
        <w:fldChar w:fldCharType="begin" w:fldLock="1"/>
      </w:r>
      <w:r w:rsidR="00605E7D">
        <w:instrText>ADDIN CSL_CITATION {"citationItems":[{"id":"ITEM-1","itemData":{"DOI":"10.1038/gim.2015.30","ISSN":"1530-0366 (Electronic)","PMID":"25741868","abstract":"The American College of Medical Genetics and Genomics (ACMG) previously developed  guidance for the interpretation of sequence variants.(1) In the past decade, sequencing technology has evolved rapidly with the advent of high-throughput next-generation sequencing. By adopting and leveraging next-generation sequencing, clinical laboratories are now performing an ever-increasing catalogue of genetic testing spanning genotyping, single genes, gene panels, exomes, genomes, transcriptomes, and epigenetic assays for genetic disorders. By virtue of increased complexity, this shift in genetic testing has been accompanied by new challenges in sequence interpretation. In this context the ACMG convened a workgroup in 2013 comprising representatives from the ACMG, the Association for Molecular Pathology (AMP), and the College of American Pathologists to revisit and revise the standards and guidelines for the interpretation of sequence variants. The group consisted of clinical laboratory directors and clinicians. This report represents expert opinion of the workgroup with input from ACMG, AMP, and College of American Pathologists stakeholders. These recommendations primarily apply to the breadth of genetic tests used in clinical laboratories, including genotyping, single genes, panels, exomes, and genomes. This report recommends the use of specific standard terminology-\"pathogenic,\" \"likely pathogenic,\" \"uncertain significance,\" \"likely benign,\" and \"benign\"-to describe variants identified in genes that cause Mendelian disorders. Moreover, this recommendation describes a process for classifying variants into these five categories based on criteria using typical types of variant evidence (e.g., population data, computational data, functional data, segregation data). Because of the increased complexity of analysis and interpretation of clinical genetic testing described in this report, the ACMG strongly recommends that clinical molecular genetic testing should be performed in a Clinical Laboratory Improvement Amendments-approved laboratory, with results interpreted by a board-certified clinical molecular geneticist or molecular genetic pathologist or the equivalent.","author":[{"dropping-particle":"","family":"Richards","given":"Sue","non-dropping-particle":"","parse-names":false,"suffix":""},{"dropping-particle":"","family":"Aziz","given":"Nazneen","non-dropping-particle":"","parse-names":false,"suffix":""},{"dropping-particle":"","family":"Bale","given":"Sherri","non-dropping-particle":"","parse-names":false,"suffix":""},{"dropping-particle":"","family":"Bick","given":"David","non-dropping-particle":"","parse-names":false,"suffix":""},{"dropping-particle":"","family":"Das","given":"Soma","non-dropping-particle":"","parse-names":false,"suffix":""},{"dropping-particle":"","family":"Gastier-Foster","given":"Julie","non-dropping-particle":"","parse-names":false,"suffix":""},{"dropping-particle":"","family":"Grody","given":"Wayne W","non-dropping-particle":"","parse-names":false,"suffix":""},{"dropping-particle":"","family":"Hegde","given":"Madhuri","non-dropping-particle":"","parse-names":false,"suffix":""},{"dropping-particle":"","family":"Lyon","given":"Elaine","non-dropping-particle":"","parse-names":false,"suffix":""},{"dropping-particle":"","family":"Spector","given":"Elaine","non-dropping-particle":"","parse-names":false,"suffix":""},{"dropping-particle":"","family":"Voelkerding","given":"Karl","non-dropping-particle":"","parse-names":false,"suffix":""},{"dropping-particle":"","family":"Rehm","given":"Heidi L","non-dropping-particle":"","parse-names":false,"suffix":""}],"container-title":"Genetics in medicine : official journal of the American College of Medical Genetics","id":"ITEM-1","issue":"5","issued":{"date-parts":[["2015","5"]]},"language":"eng","page":"405-424","title":"Standards and guidelines for the interpretation of sequence variants: a joint  consensus recommendation of the American College of Medical Genetics and Genomics and the Association for Molecular Pathology.","type":"article-journal","volume":"17"},"uris":["http://www.mendeley.com/documents/?uuid=6de0af51-7d2e-4d53-ba90-64100531631e"]}],"mendeley":{"formattedCitation":"(Richards et al., 2015)","plainTextFormattedCitation":"(Richards et al., 2015)","previouslyFormattedCitation":"(Richards et al., 2015)"},"properties":{"noteIndex":0},"schema":"https://github.com/citation-style-language/schema/raw/master/csl-citation.json"}</w:instrText>
      </w:r>
      <w:r w:rsidR="00605E7D">
        <w:fldChar w:fldCharType="separate"/>
      </w:r>
      <w:r w:rsidR="00605E7D" w:rsidRPr="00605E7D">
        <w:rPr>
          <w:noProof/>
        </w:rPr>
        <w:t>(Richards et al., 2015)</w:t>
      </w:r>
      <w:r w:rsidR="00605E7D">
        <w:fldChar w:fldCharType="end"/>
      </w:r>
      <w:r w:rsidR="00BE7ED1">
        <w:t>.</w:t>
      </w:r>
      <w:r w:rsidR="00D41CC5">
        <w:t xml:space="preserve"> Known variants in three genes involved in lipoprotein metabolism, </w:t>
      </w:r>
      <w:r w:rsidR="00D41CC5">
        <w:rPr>
          <w:i/>
          <w:iCs/>
        </w:rPr>
        <w:t xml:space="preserve">LDLR, APOB, </w:t>
      </w:r>
      <w:r w:rsidR="00D41CC5">
        <w:t xml:space="preserve">and </w:t>
      </w:r>
      <w:r w:rsidR="00D41CC5">
        <w:rPr>
          <w:i/>
          <w:iCs/>
        </w:rPr>
        <w:t>PCSK9</w:t>
      </w:r>
      <w:r w:rsidR="00D41CC5">
        <w:t xml:space="preserve">, are estimated to cause 75-90% of FH cases </w:t>
      </w:r>
      <w:r w:rsidR="00D41CC5">
        <w:fldChar w:fldCharType="begin" w:fldLock="1"/>
      </w:r>
      <w:r w:rsidR="00196D96">
        <w:instrText>ADDIN CSL_CITATION {"citationItems":[{"id":"ITEM-1","itemData":{"DOI":"10.1016/j.jacl.2011.04.003","ISSN":"1933-2874 (Print)","PMID":"21600525","abstract":"The familial hypercholesterolemias (FH) are a group of genetic defects resulting  in severe elevations of blood cholesterol levels and increased risk of premature coronary heart disease. FH is among the most commonly occurring congenital metabolic disorders. FH is a treatable disease. Aggressive lipid lowering is necessary to achieve the target LDL cholesterol reduction of at least 50% or more. Even greater target LDL cholesterol reductions may be necessary for FH patients who have other CHD risk factors. Despite the prevalence of this disease and the availability of effective treatment options, FH is both underdiagnosed and undertreated, particularly among children. Deficiencies in the diagnosis and treatment of FH indicate the need for greatly increased awareness and understanding of this disease, both on the part of the public and of healthcare practitioners. This document provides recommendations for the screening, diagnosis and treatment of FH in pediatric and adult patients developed by the National Lipid Association Expert Panel on Familial Hypercholesterolemia. This report goes beyond previously published guidelines by providing specific clinical guidance for the primary care clinician and lipid specialist with the goal of improving care of patients with FH and reducing their elevated risk for CHD.","author":[{"dropping-particle":"","family":"Goldberg","given":"Anne C","non-dropping-particle":"","parse-names":false,"suffix":""},{"dropping-particle":"","family":"Hopkins","given":"Paul N","non-dropping-particle":"","parse-names":false,"suffix":""},{"dropping-particle":"","family":"Toth","given":"Peter P","non-dropping-particle":"","parse-names":false,"suffix":""},{"dropping-particle":"","family":"Ballantyne","given":"Christie M","non-dropping-particle":"","parse-names":false,"suffix":""},{"dropping-particle":"","family":"Rader","given":"Daniel J","non-dropping-particle":"","parse-names":false,"suffix":""},{"dropping-particle":"","family":"Robinson","given":"Jennifer G","non-dropping-particle":"","parse-names":false,"suffix":""},{"dropping-particle":"","family":"Daniels","given":"Stephen R","non-dropping-particle":"","parse-names":false,"suffix":""},{"dropping-particle":"","family":"Gidding","given":"Samuel S","non-dropping-particle":"","parse-names":false,"suffix":""},{"dropping-particle":"","family":"Ferranti","given":"Sarah D","non-dropping-particle":"de","parse-names":false,"suffix":""},{"dropping-particle":"","family":"Ito","given":"Matthew K","non-dropping-particle":"","parse-names":false,"suffix":""},{"dropping-particle":"","family":"McGowan","given":"Mary P","non-dropping-particle":"","parse-names":false,"suffix":""},{"dropping-particle":"","family":"Moriarty","given":"Patrick M","non-dropping-particle":"","parse-names":false,"suffix":""},{"dropping-particle":"","family":"Cromwell","given":"William C","non-dropping-particle":"","parse-names":false,"suffix":""},{"dropping-particle":"","family":"Ross","given":"Joyce L","non-dropping-particle":"","parse-names":false,"suffix":""},{"dropping-particle":"","family":"Ziajka","given":"Paul E","non-dropping-particle":"","parse-names":false,"suffix":""}],"container-title":"Journal of clinical lipidology","id":"ITEM-1","issue":"3 Suppl","issued":{"date-parts":[["2011","6"]]},"language":"eng","page":"S1-8","publisher-place":"United States","title":"Familial hypercholesterolemia: screening, diagnosis and management of pediatric and adult patients: clinical guidance from the National Lipid Association Expert Panel on Familial Hypercholesterolemia.","type":"article-journal","volume":"5"},"uris":["http://www.mendeley.com/documents/?uuid=f08c33f8-6ae9-46e0-9d39-087c1de8505c"]}],"mendeley":{"formattedCitation":"(Goldberg et al., 2011)","plainTextFormattedCitation":"(Goldberg et al., 2011)","previouslyFormattedCitation":"(Goldberg et al., 2011)"},"properties":{"noteIndex":0},"schema":"https://github.com/citation-style-language/schema/raw/master/csl-citation.json"}</w:instrText>
      </w:r>
      <w:r w:rsidR="00D41CC5">
        <w:fldChar w:fldCharType="separate"/>
      </w:r>
      <w:r w:rsidR="00D41CC5" w:rsidRPr="00D41CC5">
        <w:rPr>
          <w:noProof/>
        </w:rPr>
        <w:t>(Goldberg et al., 2011)</w:t>
      </w:r>
      <w:r w:rsidR="00D41CC5">
        <w:fldChar w:fldCharType="end"/>
      </w:r>
      <w:r w:rsidR="00D41CC5">
        <w:t xml:space="preserve">. </w:t>
      </w:r>
    </w:p>
    <w:p w14:paraId="6A649723" w14:textId="347386F0" w:rsidR="00B404C2" w:rsidRDefault="00B404C2" w:rsidP="00B404C2">
      <w:pPr>
        <w:pStyle w:val="Heading3"/>
      </w:pPr>
      <w:bookmarkStart w:id="14" w:name="_Toc39065922"/>
      <w:r>
        <w:t>Low-Density Lipoprotein Receptor (</w:t>
      </w:r>
      <w:r>
        <w:rPr>
          <w:i/>
          <w:iCs w:val="0"/>
        </w:rPr>
        <w:t>LDLR</w:t>
      </w:r>
      <w:r>
        <w:t>)</w:t>
      </w:r>
      <w:bookmarkEnd w:id="14"/>
    </w:p>
    <w:p w14:paraId="4F0C774F" w14:textId="2D0B3545" w:rsidR="009B6C48" w:rsidRDefault="00394AC3" w:rsidP="00394AC3">
      <w:r>
        <w:t xml:space="preserve">The </w:t>
      </w:r>
      <w:r w:rsidR="009B6C48">
        <w:rPr>
          <w:i/>
          <w:iCs/>
        </w:rPr>
        <w:t>LDLR</w:t>
      </w:r>
      <w:r w:rsidR="009B6C48">
        <w:t xml:space="preserve"> </w:t>
      </w:r>
      <w:r>
        <w:t xml:space="preserve">locus </w:t>
      </w:r>
      <w:r w:rsidR="009B6C48">
        <w:t xml:space="preserve">is located on chromosome 19 and has 18 exons that are transcribed and translated to form the LDL-receptor. Mutations in </w:t>
      </w:r>
      <w:r w:rsidR="009B6C48">
        <w:rPr>
          <w:i/>
          <w:iCs/>
        </w:rPr>
        <w:t>LDLR</w:t>
      </w:r>
      <w:r w:rsidR="009B6C48">
        <w:t xml:space="preserve"> can result in alterations in the LDL-receptor that affect binding and uptake of LDL particles</w:t>
      </w:r>
      <w:r w:rsidR="002D1969">
        <w:t>,</w:t>
      </w:r>
      <w:r w:rsidR="009B6C48">
        <w:t xml:space="preserve"> or receptor synthesis, recycling, and transport—all of which can cause a buildup of LDL-cholesterol in the blood </w:t>
      </w:r>
      <w:r w:rsidR="002D1969">
        <w:fldChar w:fldCharType="begin" w:fldLock="1"/>
      </w:r>
      <w:r w:rsidR="00605E7D">
        <w:instrText>ADDIN CSL_CITATION {"citationItems":[{"id":"ITEM-1","itemData":{"DOI":"10.1002/humu.1380010602","ISSN":"1059-7794 (Print)","PMID":"1301956","abstract":"The low density lipoprotein (LDL) receptor is a cell surface transmembrane protein that mediates the uptake and lysosomal degradation of plasma LDL, thereby providing cholesterol to cells. Mutations disrupting the function of this receptor produce autosomal dominant familial hypercholesterolemia (FH). Affected individuals have elevated plasma levels of LDL, which causes premature coronary atherosclerosis. To date, 71 mutations in the LDL receptor gene have been characterized at a molecular level. In this report, we describe 79 additional mutations and review the insights that all 150 mutations have provided into the structure/function relationship of the receptor protein and the clinical manifestations of FH.","author":[{"dropping-particle":"","family":"Hobbs","given":"H H","non-dropping-particle":"","parse-names":false,"suffix":""},{"dropping-particle":"","family":"Brown","given":"M S","non-dropping-particle":"","parse-names":false,"suffix":""},{"dropping-particle":"","family":"Goldstein","given":"J L","non-dropping-particle":"","parse-names":false,"suffix":""}],"container-title":"Human mutation","id":"ITEM-1","issue":"6","issued":{"date-parts":[["1992"]]},"language":"eng","page":"445-466","publisher-place":"United States","title":"Molecular genetics of the LDL receptor gene in familial hypercholesterolemia.","type":"article-journal","volume":"1"},"uris":["http://www.mendeley.com/documents/?uuid=623692d7-b349-49f9-970d-79f5364a11f4"]}],"mendeley":{"formattedCitation":"(Hobbs, Brown, &amp; Goldstein, 1992)","manualFormatting":"(Hobbs et al., 1992)","plainTextFormattedCitation":"(Hobbs, Brown, &amp; Goldstein, 1992)","previouslyFormattedCitation":"(Hobbs, Brown, &amp; Goldstein, 1992)"},"properties":{"noteIndex":0},"schema":"https://github.com/citation-style-language/schema/raw/master/csl-citation.json"}</w:instrText>
      </w:r>
      <w:r w:rsidR="002D1969">
        <w:fldChar w:fldCharType="separate"/>
      </w:r>
      <w:r w:rsidR="002D1969" w:rsidRPr="002D1969">
        <w:rPr>
          <w:noProof/>
        </w:rPr>
        <w:t xml:space="preserve">(Hobbs </w:t>
      </w:r>
      <w:r w:rsidR="002D1969">
        <w:rPr>
          <w:noProof/>
        </w:rPr>
        <w:t>et al.,</w:t>
      </w:r>
      <w:r w:rsidR="002D1969" w:rsidRPr="002D1969">
        <w:rPr>
          <w:noProof/>
        </w:rPr>
        <w:t xml:space="preserve"> 1992)</w:t>
      </w:r>
      <w:r w:rsidR="002D1969">
        <w:fldChar w:fldCharType="end"/>
      </w:r>
      <w:r w:rsidR="002D1969">
        <w:t>.</w:t>
      </w:r>
      <w:r w:rsidR="00605E7D">
        <w:t xml:space="preserve"> </w:t>
      </w:r>
      <w:r>
        <w:t>O</w:t>
      </w:r>
      <w:r w:rsidR="00BE7ED1">
        <w:t>ver 2900 FH causing variants</w:t>
      </w:r>
      <w:r>
        <w:t xml:space="preserve"> were reported to be</w:t>
      </w:r>
      <w:r w:rsidR="00BE7ED1">
        <w:t xml:space="preserve"> in </w:t>
      </w:r>
      <w:r w:rsidR="00BE7ED1" w:rsidRPr="00BE7ED1">
        <w:rPr>
          <w:i/>
          <w:iCs/>
        </w:rPr>
        <w:t>LDLR</w:t>
      </w:r>
      <w:r>
        <w:rPr>
          <w:i/>
          <w:iCs/>
        </w:rPr>
        <w:t>.</w:t>
      </w:r>
      <w:r w:rsidR="00BE7ED1">
        <w:t xml:space="preserve"> </w:t>
      </w:r>
      <w:r>
        <w:t xml:space="preserve">Of these reported variants, 93% encompass </w:t>
      </w:r>
      <w:r w:rsidR="00196D96">
        <w:t xml:space="preserve">missense, </w:t>
      </w:r>
      <w:r w:rsidR="00E84E52">
        <w:t xml:space="preserve">nonsense, </w:t>
      </w:r>
      <w:r>
        <w:t>and frameshift</w:t>
      </w:r>
      <w:r w:rsidR="00BE7ED1">
        <w:t xml:space="preserve"> variants</w:t>
      </w:r>
      <w:r>
        <w:t xml:space="preserve">, </w:t>
      </w:r>
      <w:r w:rsidR="00BE7ED1">
        <w:t>or large rearrangements</w:t>
      </w:r>
      <w:r w:rsidR="00BE7ED1">
        <w:tab/>
      </w:r>
      <w:r w:rsidR="00605E7D">
        <w:t>.</w:t>
      </w:r>
      <w:r w:rsidR="00E84E52">
        <w:t xml:space="preserve"> All nonsense and frameshift variants, and large rearrangements are considered to be pathogenic or likely to be pathogenic. Missense variants were the most highly reported; however, 15% of reported missense mutations were considered not to be pathogenic.</w:t>
      </w:r>
      <w:r w:rsidR="00605E7D">
        <w:t xml:space="preserve"> 7% </w:t>
      </w:r>
      <w:r>
        <w:t>of the</w:t>
      </w:r>
      <w:r w:rsidR="00196D96">
        <w:t xml:space="preserve"> 2900</w:t>
      </w:r>
      <w:r>
        <w:t xml:space="preserve"> reported variants are listed as</w:t>
      </w:r>
      <w:r w:rsidR="00605E7D">
        <w:t xml:space="preserve"> variants of unknown significance (VUS) and more information is needed to determine the pathogenicity </w:t>
      </w:r>
      <w:r w:rsidR="00605E7D">
        <w:fldChar w:fldCharType="begin" w:fldLock="1"/>
      </w:r>
      <w:r w:rsidR="00196D96">
        <w:instrText>ADDIN CSL_CITATION {"citationItems":[{"id":"ITEM-1","itemData":{"DOI":"10.1136/jmedgenet-2016-104054","ISSN":"1468-6244 (Electronic)","PMID":"27821657","abstract":"BACKGROUND: Familial hypercholesterolaemia (OMIM 143890) is most frequently caused by variations in the low-density lipoprotein receptor (LDLR) gene. Predicting whether novel variants are pathogenic may not be straightforward, especially for missense and synonymous variants. In 2013, the Association of Clinical Genetic Scientists published guidelines for the classification of variants, with categories 1 and 2 representing clearly not or unlikely pathogenic, respectively, 3 representing variants of unknown significance (VUS), and 4 and 5 representing likely to be or clearly pathogenic, respectively. Here, we update the University College London (UCL) LDLR variant database according to these guidelines. METHODS: PubMed searches and alerts were used to identify novel LDLR variants for inclusion in the database. Standard in silico tools were used to predict potential pathogenicity. Variants were designated as class 4/5 only when the predictions from the different programs were concordant and as class 3 when predictions were discordant. RESULTS: The updated database (http://www.lovd.nl/LDLR) now includes 2925 curated variants, representing 1707 independent events. All 129 nonsense variants, 337 small frame-shifting and 117/118 large rearrangements were classified as 4 or 5. Of the 795 missense variants, 115 were in classes 1 and 2, 605 in class 4 and 75 in class 3. 111/181 intronic variants, 4/34 synonymous variants and 14/37 promoter variants were assigned to classes 4 or 5. Overall, 112 (7%) of reported variants were class 3. CONCLUSIONS: This study updates the LDLR variant database and identifies a number of reported VUS where additional family and in vitro studies will be required to confirm or refute their pathogenicity.","author":[{"dropping-particle":"","family":"Leigh","given":"Sarah","non-dropping-particle":"","parse-names":false,"suffix":""},{"dropping-particle":"","family":"Futema","given":"Marta","non-dropping-particle":"","parse-names":false,"suffix":""},{"dropping-particle":"","family":"Whittall","given":"Ros","non-dropping-particle":"","parse-names":false,"suffix":""},{"dropping-particle":"","family":"Taylor-Beadling","given":"Alison","non-dropping-particle":"","parse-names":false,"suffix":""},{"dropping-particle":"","family":"Williams","given":"Maggie","non-dropping-particle":"","parse-names":false,"suffix":""},{"dropping-particle":"","family":"Dunnen","given":"Johan T","non-dropping-particle":"den","parse-names":false,"suffix":""},{"dropping-particle":"","family":"Humphries","given":"Steve E","non-dropping-particle":"","parse-names":false,"suffix":""}],"container-title":"Journal of medical genetics","id":"ITEM-1","issue":"4","issued":{"date-parts":[["2017","4"]]},"language":"eng","page":"217-223","publisher-place":"England","title":"The UCL low-density lipoprotein receptor gene variant database: pathogenicity update.","type":"article-journal","volume":"54"},"uris":["http://www.mendeley.com/documents/?uuid=743413a5-e365-4d82-a6ae-560a0619fcc9"]},{"id":"ITEM-2","itemData":{"DOI":"10.1007/s11886-017-0848-8","ISSN":"1534-3170 (Electronic)","PMID":"28405938","abstract":"PURPOSE OF REVIEW: Familial hypercholesterolaemia (FH) is an inherited disorder of low-density lipoprotein cholesterol (LDL-C) which is characterised by a raised cholesterol level from birth and a high risk of premature coronary heart disease. In this paper, we review the genetic basis of FH and its impact on the clinical presentation. RECENT FINDINGS: Mutations in any of three genes (LDLR, APOB and PCSK9) are known to cause autosomal dominant FH, but a mutation can be found in only approximately 40% of patients with a clinical diagnosis of FH. In the remainder, a polygenic aetiology is most likely, due to the co-inheritance of common LDL-C-raising variants. The cardiovascular presentation and management of FH will differ between patients based on their underlying genetic factors. New genotyping methods such as next-generation sequencing will provide us with better understanding of the genetic architecture of FH.","author":[{"dropping-particle":"","family":"Sharifi","given":"Mahtab","non-dropping-particle":"","parse-names":false,"suffix":""},{"dropping-particle":"","family":"Futema","given":"Marta","non-dropping-particle":"","parse-names":false,"suffix":""},{"dropping-particle":"","family":"Nair","given":"Devaki","non-dropping-particle":"","parse-names":false,"suffix":""},{"dropping-particle":"","family":"Humphries","given":"Steve E","non-dropping-particle":"","parse-names":false,"suffix":""}],"container-title":"Current cardiology reports","id":"ITEM-2","issue":"5","issued":{"date-parts":[["2017","5"]]},"language":"eng","page":"44","publisher-place":"United States","title":"Genetic Architecture of Familial Hypercholesterolaemia.","type":"article-journal","volume":"19"},"uris":["http://www.mendeley.com/documents/?uuid=98e12b0e-305c-46ef-ad1d-80fccedfa7d4"]}],"mendeley":{"formattedCitation":"(Leigh et al., 2017; Sharifi et al., 2017)","plainTextFormattedCitation":"(Leigh et al., 2017; Sharifi et al., 2017)","previouslyFormattedCitation":"(Leigh et al., 2017; Sharifi et al., 2017)"},"properties":{"noteIndex":0},"schema":"https://github.com/citation-style-language/schema/raw/master/csl-citation.json"}</w:instrText>
      </w:r>
      <w:r w:rsidR="00605E7D">
        <w:fldChar w:fldCharType="separate"/>
      </w:r>
      <w:r w:rsidR="00196D96" w:rsidRPr="00196D96">
        <w:rPr>
          <w:noProof/>
        </w:rPr>
        <w:t>(Leigh et al., 2017; Sharifi et al., 2017)</w:t>
      </w:r>
      <w:r w:rsidR="00605E7D">
        <w:fldChar w:fldCharType="end"/>
      </w:r>
      <w:r w:rsidR="00605E7D">
        <w:t xml:space="preserve">. </w:t>
      </w:r>
    </w:p>
    <w:p w14:paraId="61100996" w14:textId="706FA74B" w:rsidR="00605E7D" w:rsidRPr="00605E7D" w:rsidRDefault="00605E7D" w:rsidP="009B6C48">
      <w:r>
        <w:lastRenderedPageBreak/>
        <w:t xml:space="preserve">Different </w:t>
      </w:r>
      <w:r w:rsidR="003B118F">
        <w:t>populations</w:t>
      </w:r>
      <w:r>
        <w:t xml:space="preserve"> exhibit different ranges of FH causing mutations in the </w:t>
      </w:r>
      <w:r>
        <w:rPr>
          <w:i/>
          <w:iCs/>
        </w:rPr>
        <w:t xml:space="preserve">LDLR </w:t>
      </w:r>
      <w:r>
        <w:t xml:space="preserve">gene. In Greece, </w:t>
      </w:r>
      <w:r w:rsidR="004D6A3D">
        <w:t xml:space="preserve">the majority of FH cases result from </w:t>
      </w:r>
      <w:r>
        <w:t>a small number of variants</w:t>
      </w:r>
      <w:r w:rsidR="004D6A3D">
        <w:t xml:space="preserve">, whereas </w:t>
      </w:r>
      <w:r>
        <w:t xml:space="preserve">in the Netherlands and UK, </w:t>
      </w:r>
      <w:r w:rsidR="003B118F">
        <w:t>over 200 different mutations</w:t>
      </w:r>
      <w:r w:rsidR="004D6A3D">
        <w:t xml:space="preserve"> have been</w:t>
      </w:r>
      <w:r w:rsidR="003B118F">
        <w:t xml:space="preserve"> reported in FH cases. Countries within Latin America and South Asia lack information on the molecular basis of FH; however, </w:t>
      </w:r>
      <w:r w:rsidR="004D6A3D">
        <w:t>based on</w:t>
      </w:r>
      <w:r w:rsidR="003B118F">
        <w:t xml:space="preserve"> the cohort studies in Latin America </w:t>
      </w:r>
      <w:r w:rsidR="004D6A3D">
        <w:t>that have been done</w:t>
      </w:r>
      <w:r w:rsidR="003B118F">
        <w:t xml:space="preserve">, only a few </w:t>
      </w:r>
      <w:r w:rsidR="004D6A3D">
        <w:t xml:space="preserve">of the </w:t>
      </w:r>
      <w:r w:rsidR="003B118F">
        <w:t xml:space="preserve">variants found in these populations </w:t>
      </w:r>
      <w:r w:rsidR="004D6A3D">
        <w:t xml:space="preserve">had previously been </w:t>
      </w:r>
      <w:r w:rsidR="003B118F">
        <w:t xml:space="preserve">reported in the European population beforehand </w:t>
      </w:r>
      <w:r w:rsidR="003B118F">
        <w:fldChar w:fldCharType="begin" w:fldLock="1"/>
      </w:r>
      <w:r w:rsidR="00544D46">
        <w:instrText>ADDIN CSL_CITATION {"citationItems":[{"id":"ITEM-1","itemData":{"DOI":"10.1007/s11886-017-0848-8","ISSN":"1534-3170 (Electronic)","PMID":"28405938","abstract":"PURPOSE OF REVIEW: Familial hypercholesterolaemia (FH) is an inherited disorder of low-density lipoprotein cholesterol (LDL-C) which is characterised by a raised cholesterol level from birth and a high risk of premature coronary heart disease. In this paper, we review the genetic basis of FH and its impact on the clinical presentation. RECENT FINDINGS: Mutations in any of three genes (LDLR, APOB and PCSK9) are known to cause autosomal dominant FH, but a mutation can be found in only approximately 40% of patients with a clinical diagnosis of FH. In the remainder, a polygenic aetiology is most likely, due to the co-inheritance of common LDL-C-raising variants. The cardiovascular presentation and management of FH will differ between patients based on their underlying genetic factors. New genotyping methods such as next-generation sequencing will provide us with better understanding of the genetic architecture of FH.","author":[{"dropping-particle":"","family":"Sharifi","given":"Mahtab","non-dropping-particle":"","parse-names":false,"suffix":""},{"dropping-particle":"","family":"Futema","given":"Marta","non-dropping-particle":"","parse-names":false,"suffix":""},{"dropping-particle":"","family":"Nair","given":"Devaki","non-dropping-particle":"","parse-names":false,"suffix":""},{"dropping-particle":"","family":"Humphries","given":"Steve E","non-dropping-particle":"","parse-names":false,"suffix":""}],"container-title":"Current cardiology reports","id":"ITEM-1","issue":"5","issued":{"date-parts":[["2017","5"]]},"language":"eng","page":"44","publisher-place":"United States","title":"Genetic Architecture of Familial Hypercholesterolaemia.","type":"article-journal","volume":"19"},"uris":["http://www.mendeley.com/documents/?uuid=98e12b0e-305c-46ef-ad1d-80fccedfa7d4"]}],"mendeley":{"formattedCitation":"(Sharifi et al., 2017)","plainTextFormattedCitation":"(Sharifi et al., 2017)","previouslyFormattedCitation":"(Sharifi et al., 2017)"},"properties":{"noteIndex":0},"schema":"https://github.com/citation-style-language/schema/raw/master/csl-citation.json"}</w:instrText>
      </w:r>
      <w:r w:rsidR="003B118F">
        <w:fldChar w:fldCharType="separate"/>
      </w:r>
      <w:r w:rsidR="003B118F" w:rsidRPr="003B118F">
        <w:rPr>
          <w:noProof/>
        </w:rPr>
        <w:t>(Sharifi et al., 2017)</w:t>
      </w:r>
      <w:r w:rsidR="003B118F">
        <w:fldChar w:fldCharType="end"/>
      </w:r>
      <w:r w:rsidR="003B118F">
        <w:t xml:space="preserve">. </w:t>
      </w:r>
      <w:r w:rsidR="004D6A3D">
        <w:t>Therefore, most of the variants were novel to Latin America.</w:t>
      </w:r>
    </w:p>
    <w:p w14:paraId="0E2FA5AA" w14:textId="716755D9" w:rsidR="00B404C2" w:rsidRDefault="00B404C2" w:rsidP="00B404C2">
      <w:pPr>
        <w:pStyle w:val="Heading3"/>
      </w:pPr>
      <w:bookmarkStart w:id="15" w:name="_Toc39065923"/>
      <w:r>
        <w:t>Apolipoprotein B (</w:t>
      </w:r>
      <w:r>
        <w:rPr>
          <w:i/>
          <w:iCs w:val="0"/>
        </w:rPr>
        <w:t>APOB</w:t>
      </w:r>
      <w:r>
        <w:t>)</w:t>
      </w:r>
      <w:bookmarkEnd w:id="15"/>
    </w:p>
    <w:p w14:paraId="2455485D" w14:textId="6EB6CF03" w:rsidR="0053334F" w:rsidRPr="00544D46" w:rsidRDefault="00172597" w:rsidP="00F240C8">
      <w:pPr>
        <w:rPr>
          <w:noProof/>
        </w:rPr>
      </w:pPr>
      <w:r>
        <w:t xml:space="preserve">The </w:t>
      </w:r>
      <w:r w:rsidR="0053334F">
        <w:rPr>
          <w:i/>
          <w:iCs/>
        </w:rPr>
        <w:t>APOB</w:t>
      </w:r>
      <w:r>
        <w:rPr>
          <w:i/>
          <w:iCs/>
        </w:rPr>
        <w:t xml:space="preserve"> </w:t>
      </w:r>
      <w:r>
        <w:t>locus</w:t>
      </w:r>
      <w:r w:rsidR="0053334F">
        <w:rPr>
          <w:i/>
          <w:iCs/>
        </w:rPr>
        <w:t xml:space="preserve"> </w:t>
      </w:r>
      <w:r w:rsidR="0053334F">
        <w:t>is located on chromosome 2p and has 29 exons that are transcribed and translated to</w:t>
      </w:r>
      <w:r w:rsidR="00207D14">
        <w:t xml:space="preserve"> </w:t>
      </w:r>
      <w:r w:rsidR="00544D46">
        <w:t xml:space="preserve">form </w:t>
      </w:r>
      <w:proofErr w:type="spellStart"/>
      <w:r w:rsidR="00544D46">
        <w:t>apoB</w:t>
      </w:r>
      <w:proofErr w:type="spellEnd"/>
      <w:r w:rsidR="00544D46">
        <w:t xml:space="preserve">, the major apolipoprotein located on LDL-cholesterol particles and ligand </w:t>
      </w:r>
      <w:r w:rsidR="006C0747">
        <w:t>for</w:t>
      </w:r>
      <w:r w:rsidR="00544D46">
        <w:t xml:space="preserve"> the LDL-receptor </w:t>
      </w:r>
      <w:r w:rsidR="00544D46">
        <w:fldChar w:fldCharType="begin" w:fldLock="1"/>
      </w:r>
      <w:r w:rsidR="003D7789">
        <w:instrText>ADDIN CSL_CITATION {"citationItems":[{"id":"ITEM-1","itemData":{"DOI":"10.1007/s11886-017-0848-8","ISSN":"1534-3170 (Electronic)","PMID":"28405938","abstract":"PURPOSE OF REVIEW: Familial hypercholesterolaemia (FH) is an inherited disorder of low-density lipoprotein cholesterol (LDL-C) which is characterised by a raised cholesterol level from birth and a high risk of premature coronary heart disease. In this paper, we review the genetic basis of FH and its impact on the clinical presentation. RECENT FINDINGS: Mutations in any of three genes (LDLR, APOB and PCSK9) are known to cause autosomal dominant FH, but a mutation can be found in only approximately 40% of patients with a clinical diagnosis of FH. In the remainder, a polygenic aetiology is most likely, due to the co-inheritance of common LDL-C-raising variants. The cardiovascular presentation and management of FH will differ between patients based on their underlying genetic factors. New genotyping methods such as next-generation sequencing will provide us with better understanding of the genetic architecture of FH.","author":[{"dropping-particle":"","family":"Sharifi","given":"Mahtab","non-dropping-particle":"","parse-names":false,"suffix":""},{"dropping-particle":"","family":"Futema","given":"Marta","non-dropping-particle":"","parse-names":false,"suffix":""},{"dropping-particle":"","family":"Nair","given":"Devaki","non-dropping-particle":"","parse-names":false,"suffix":""},{"dropping-particle":"","family":"Humphries","given":"Steve E","non-dropping-particle":"","parse-names":false,"suffix":""}],"container-title":"Current cardiology reports","id":"ITEM-1","issue":"5","issued":{"date-parts":[["2017","5"]]},"language":"eng","page":"44","publisher-place":"United States","title":"Genetic Architecture of Familial Hypercholesterolaemia.","type":"article-journal","volume":"19"},"uris":["http://www.mendeley.com/documents/?uuid=98e12b0e-305c-46ef-ad1d-80fccedfa7d4"]}],"mendeley":{"formattedCitation":"(Sharifi et al., 2017)","plainTextFormattedCitation":"(Sharifi et al., 2017)","previouslyFormattedCitation":"(Sharifi et al., 2017)"},"properties":{"noteIndex":0},"schema":"https://github.com/citation-style-language/schema/raw/master/csl-citation.json"}</w:instrText>
      </w:r>
      <w:r w:rsidR="00544D46">
        <w:fldChar w:fldCharType="separate"/>
      </w:r>
      <w:r w:rsidR="00544D46" w:rsidRPr="00544D46">
        <w:rPr>
          <w:noProof/>
        </w:rPr>
        <w:t>(Sharifi et al., 2017)</w:t>
      </w:r>
      <w:r w:rsidR="00544D46">
        <w:fldChar w:fldCharType="end"/>
      </w:r>
      <w:r w:rsidR="00544D46">
        <w:t xml:space="preserve">. Mutations in </w:t>
      </w:r>
      <w:r w:rsidR="00544D46" w:rsidRPr="00544D46">
        <w:rPr>
          <w:i/>
          <w:iCs/>
        </w:rPr>
        <w:t>APOB</w:t>
      </w:r>
      <w:r w:rsidR="00544D46">
        <w:rPr>
          <w:i/>
          <w:iCs/>
        </w:rPr>
        <w:t xml:space="preserve"> </w:t>
      </w:r>
      <w:r w:rsidR="00544D46">
        <w:t xml:space="preserve">result in decreased binding of </w:t>
      </w:r>
      <w:proofErr w:type="spellStart"/>
      <w:r w:rsidR="00F7042A">
        <w:t>apoB</w:t>
      </w:r>
      <w:proofErr w:type="spellEnd"/>
      <w:r w:rsidR="00F7042A">
        <w:t xml:space="preserve"> </w:t>
      </w:r>
      <w:r w:rsidR="00544D46">
        <w:t>to the LDL-receptor,</w:t>
      </w:r>
      <w:r w:rsidR="006C0747">
        <w:t xml:space="preserve"> and</w:t>
      </w:r>
      <w:r w:rsidR="00544D46">
        <w:t xml:space="preserve"> consequently</w:t>
      </w:r>
      <w:r w:rsidR="006C0747">
        <w:t>,</w:t>
      </w:r>
      <w:r w:rsidR="00544D46">
        <w:t xml:space="preserve"> the</w:t>
      </w:r>
      <w:r w:rsidR="00F7042A">
        <w:t xml:space="preserve"> LDL-cholesterol</w:t>
      </w:r>
      <w:r w:rsidR="00544D46">
        <w:t xml:space="preserve"> particles</w:t>
      </w:r>
      <w:r w:rsidR="006C0747">
        <w:t xml:space="preserve"> are</w:t>
      </w:r>
      <w:r w:rsidR="00544D46">
        <w:t xml:space="preserve"> unable to enter the liver cells to be catabolized.</w:t>
      </w:r>
      <w:r w:rsidR="003D7789">
        <w:t xml:space="preserve"> Most mutations in </w:t>
      </w:r>
      <w:r w:rsidR="003D7789" w:rsidRPr="003D7789">
        <w:rPr>
          <w:i/>
          <w:iCs/>
        </w:rPr>
        <w:t>APOB</w:t>
      </w:r>
      <w:r w:rsidR="003D7789">
        <w:rPr>
          <w:i/>
          <w:iCs/>
        </w:rPr>
        <w:t xml:space="preserve"> </w:t>
      </w:r>
      <w:r w:rsidR="003D7789">
        <w:t>are found in a “hotspot”</w:t>
      </w:r>
      <w:r w:rsidR="00F240C8">
        <w:t xml:space="preserve"> located</w:t>
      </w:r>
      <w:r w:rsidR="003D7789">
        <w:t xml:space="preserve"> </w:t>
      </w:r>
      <w:r w:rsidR="00F240C8">
        <w:t xml:space="preserve">in exon 26. One common variant in this </w:t>
      </w:r>
      <w:r w:rsidR="000833DD">
        <w:t>region</w:t>
      </w:r>
      <w:r w:rsidR="00F240C8">
        <w:t xml:space="preserve"> is</w:t>
      </w:r>
      <w:r w:rsidR="003D7789">
        <w:t xml:space="preserve"> </w:t>
      </w:r>
      <w:proofErr w:type="gramStart"/>
      <w:r w:rsidR="003D7789">
        <w:t>p.Arg</w:t>
      </w:r>
      <w:proofErr w:type="gramEnd"/>
      <w:r w:rsidR="003D7789">
        <w:t>3500Gln (R3500Q) which accounts for 6-10% of FH cases in European populations</w:t>
      </w:r>
      <w:r w:rsidR="00F240C8">
        <w:t xml:space="preserve"> and over 12% in Amish populations</w:t>
      </w:r>
      <w:r w:rsidR="003D7789">
        <w:t>. Another</w:t>
      </w:r>
      <w:r w:rsidR="00F240C8">
        <w:t xml:space="preserve"> variant</w:t>
      </w:r>
      <w:r w:rsidR="000833DD">
        <w:t>,</w:t>
      </w:r>
      <w:r w:rsidR="00F240C8">
        <w:t xml:space="preserve"> R3500W</w:t>
      </w:r>
      <w:r w:rsidR="000833DD">
        <w:t>,</w:t>
      </w:r>
      <w:r w:rsidR="00F240C8">
        <w:t xml:space="preserve"> has a prevalence of 1 in 393 in East Asian populations </w:t>
      </w:r>
      <w:r w:rsidR="00F240C8">
        <w:fldChar w:fldCharType="begin" w:fldLock="1"/>
      </w:r>
      <w:r w:rsidR="00E65231">
        <w:instrText>ADDIN CSL_CITATION {"citationItems":[{"id":"ITEM-1","itemData":{"DOI":"10.1016/j.jacl.2016.09.009","ISSN":"1933-2874 (Print)","PMID":"27919345","abstract":"Familial defective apolipoprotein B-100 (FDB) is an autosomal dominant genetic disorder of lipid metabolism associated with hyperlipidemia and elevated risk for atherosclerosis. FDB is caused by mutations in APOB reducing the binding affinity between apolipoprotein B-100 and the low-density lipoprotein receptor. Population studies suggest that approximately 0.1% of Northern Europeans and US Caucasians carries the R3500Q variant in APOB most commonly associated with FDB; in addition, the APOB R3500 W variant is known to make a significant contribution to familial hypercholesterolemia (FH) among East Asians. However, the elevation of plasma low-density lipoprotein cholesterol observed in FDB is frequently milder than that of FH due to mutations in LDLR, and FDB is subsequently underdiagnosed according to standard FH diagnostic criteria.","author":[{"dropping-particle":"","family":"Andersen","given":"Lars H","non-dropping-particle":"","parse-names":false,"suffix":""},{"dropping-particle":"","family":"Miserez","given":"Andre R","non-dropping-particle":"","parse-names":false,"suffix":""},{"dropping-particle":"","family":"Ahmad","given":"Zahid","non-dropping-particle":"","parse-names":false,"suffix":""},{"dropping-particle":"","family":"Andersen","given":"Rolf L","non-dropping-particle":"","parse-names":false,"suffix":""}],"container-title":"Journal of clinical lipidology","id":"ITEM-1","issue":"6","issued":{"date-parts":[["2016","11"]]},"language":"eng","page":"1297-1302","publisher-place":"United States","title":"Familial defective apolipoprotein B-100: A review.","type":"article-journal","volume":"10"},"uris":["http://www.mendeley.com/documents/?uuid=9ad9e0f3-eca8-4f15-94fb-760f1c5a4b96"]}],"mendeley":{"formattedCitation":"(Andersen, Miserez, Ahmad, &amp; Andersen, 2016)","plainTextFormattedCitation":"(Andersen, Miserez, Ahmad, &amp; Andersen, 2016)","previouslyFormattedCitation":"(Andersen, Miserez, Ahmad, &amp; Andersen, 2016)"},"properties":{"noteIndex":0},"schema":"https://github.com/citation-style-language/schema/raw/master/csl-citation.json"}</w:instrText>
      </w:r>
      <w:r w:rsidR="00F240C8">
        <w:fldChar w:fldCharType="separate"/>
      </w:r>
      <w:r w:rsidR="008B12B1" w:rsidRPr="008B12B1">
        <w:rPr>
          <w:noProof/>
        </w:rPr>
        <w:t>(Andersen, Miserez, Ahmad, &amp; Andersen, 2016)</w:t>
      </w:r>
      <w:r w:rsidR="00F240C8">
        <w:fldChar w:fldCharType="end"/>
      </w:r>
      <w:r w:rsidR="00F240C8">
        <w:t>.</w:t>
      </w:r>
      <w:r w:rsidR="00F240C8" w:rsidRPr="00F240C8">
        <w:t xml:space="preserve"> </w:t>
      </w:r>
      <w:r w:rsidR="00F240C8">
        <w:rPr>
          <w:i/>
          <w:iCs/>
        </w:rPr>
        <w:t>APOB</w:t>
      </w:r>
      <w:r w:rsidR="00F240C8">
        <w:t xml:space="preserve"> mutations</w:t>
      </w:r>
      <w:r w:rsidR="00F240C8">
        <w:tab/>
      </w:r>
      <w:r w:rsidR="006C0747">
        <w:t xml:space="preserve"> result in an increase in</w:t>
      </w:r>
      <w:r w:rsidR="00F240C8">
        <w:t xml:space="preserve"> LDL-cholesterol levels in the blood by a </w:t>
      </w:r>
      <w:r w:rsidR="006C0747">
        <w:t>mean</w:t>
      </w:r>
      <w:r w:rsidR="00F240C8">
        <w:t xml:space="preserve"> of 60 – 70 mg/dL</w:t>
      </w:r>
      <w:r w:rsidR="006C0747">
        <w:t>. Thus, the effects of these mutations</w:t>
      </w:r>
      <w:r w:rsidR="00F240C8">
        <w:t xml:space="preserve"> </w:t>
      </w:r>
      <w:r w:rsidR="006C0747">
        <w:t>have less severe effects on</w:t>
      </w:r>
      <w:r w:rsidR="00F240C8">
        <w:t xml:space="preserve"> LDL-cholesterol levels </w:t>
      </w:r>
      <w:r w:rsidR="006C0747">
        <w:t>than</w:t>
      </w:r>
      <w:r w:rsidR="00F240C8">
        <w:t xml:space="preserve"> mutations in the LDLR </w:t>
      </w:r>
      <w:r w:rsidR="006C0747">
        <w:t>locus</w:t>
      </w:r>
      <w:r w:rsidR="00F240C8">
        <w:t xml:space="preserve"> </w:t>
      </w:r>
      <w:r w:rsidR="00F240C8">
        <w:fldChar w:fldCharType="begin" w:fldLock="1"/>
      </w:r>
      <w:r w:rsidR="008B12B1">
        <w:instrText>ADDIN CSL_CITATION {"citationItems":[{"id":"ITEM-1","itemData":{"DOI":"10.1016/j.jacl.2016.09.009","ISSN":"1933-2874 (Print)","PMID":"27919345","abstract":"Familial defective apolipoprotein B-100 (FDB) is an autosomal dominant genetic disorder of lipid metabolism associated with hyperlipidemia and elevated risk for atherosclerosis. FDB is caused by mutations in APOB reducing the binding affinity between apolipoprotein B-100 and the low-density lipoprotein receptor. Population studies suggest that approximately 0.1% of Northern Europeans and US Caucasians carries the R3500Q variant in APOB most commonly associated with FDB; in addition, the APOB R3500 W variant is known to make a significant contribution to familial hypercholesterolemia (FH) among East Asians. However, the elevation of plasma low-density lipoprotein cholesterol observed in FDB is frequently milder than that of FH due to mutations in LDLR, and FDB is subsequently underdiagnosed according to standard FH diagnostic criteria.","author":[{"dropping-particle":"","family":"Andersen","given":"Lars H","non-dropping-particle":"","parse-names":false,"suffix":""},{"dropping-particle":"","family":"Miserez","given":"Andre R","non-dropping-particle":"","parse-names":false,"suffix":""},{"dropping-particle":"","family":"Ahmad","given":"Zahid","non-dropping-particle":"","parse-names":false,"suffix":""},{"dropping-particle":"","family":"Andersen","given":"Rolf L","non-dropping-particle":"","parse-names":false,"suffix":""}],"container-title":"Journal of clinical lipidology","id":"ITEM-1","issue":"6","issued":{"date-parts":[["2016","11"]]},"language":"eng","page":"1297-1302","publisher-place":"United States","title":"Familial defective apolipoprotein B-100: A review.","type":"article-journal","volume":"10"},"uris":["http://www.mendeley.com/documents/?uuid=9ad9e0f3-eca8-4f15-94fb-760f1c5a4b96"]}],"mendeley":{"formattedCitation":"(Andersen et al., 2016)","plainTextFormattedCitation":"(Andersen et al., 2016)","previouslyFormattedCitation":"(Andersen et al., 2016)"},"properties":{"noteIndex":0},"schema":"https://github.com/citation-style-language/schema/raw/master/csl-citation.json"}</w:instrText>
      </w:r>
      <w:r w:rsidR="00F240C8">
        <w:fldChar w:fldCharType="separate"/>
      </w:r>
      <w:r w:rsidR="00F240C8" w:rsidRPr="00F240C8">
        <w:rPr>
          <w:noProof/>
        </w:rPr>
        <w:t>(Andersen et al., 2016)</w:t>
      </w:r>
      <w:r w:rsidR="00F240C8">
        <w:fldChar w:fldCharType="end"/>
      </w:r>
      <w:r w:rsidR="00F240C8">
        <w:t xml:space="preserve">. </w:t>
      </w:r>
    </w:p>
    <w:p w14:paraId="7625F79F" w14:textId="74D85A5D" w:rsidR="00B404C2" w:rsidRDefault="00B404C2" w:rsidP="00B404C2">
      <w:pPr>
        <w:pStyle w:val="Heading3"/>
      </w:pPr>
      <w:bookmarkStart w:id="16" w:name="_Toc39065924"/>
      <w:r>
        <w:lastRenderedPageBreak/>
        <w:t>Proprotein Convertase Subtilisin/Kexin Type 9 (</w:t>
      </w:r>
      <w:r w:rsidRPr="00B404C2">
        <w:rPr>
          <w:i/>
          <w:iCs w:val="0"/>
        </w:rPr>
        <w:t>PCSK9</w:t>
      </w:r>
      <w:r>
        <w:t>)</w:t>
      </w:r>
      <w:bookmarkEnd w:id="16"/>
    </w:p>
    <w:p w14:paraId="2B0F8A49" w14:textId="44BC8071" w:rsidR="00F7042A" w:rsidRDefault="00751A53" w:rsidP="00F7042A">
      <w:r>
        <w:t xml:space="preserve">The </w:t>
      </w:r>
      <w:r w:rsidR="00381866">
        <w:rPr>
          <w:i/>
          <w:iCs/>
        </w:rPr>
        <w:t>PCSK9</w:t>
      </w:r>
      <w:r w:rsidR="00381866">
        <w:t xml:space="preserve"> </w:t>
      </w:r>
      <w:r>
        <w:t xml:space="preserve">locus </w:t>
      </w:r>
      <w:r w:rsidR="00381866">
        <w:t>is located on chromosome 1p and consists of 12 exons encod</w:t>
      </w:r>
      <w:r>
        <w:t>ing</w:t>
      </w:r>
      <w:r w:rsidR="00381866">
        <w:t xml:space="preserve"> an enzyme that regulates the degradation of LDL-receptors </w:t>
      </w:r>
      <w:r w:rsidR="00E65231">
        <w:t>and</w:t>
      </w:r>
      <w:r w:rsidR="00381866">
        <w:t xml:space="preserve"> prevents </w:t>
      </w:r>
      <w:r w:rsidR="00023AF2">
        <w:t>them</w:t>
      </w:r>
      <w:r w:rsidR="00381866">
        <w:t xml:space="preserve"> from being recycled back</w:t>
      </w:r>
      <w:r w:rsidR="008B12B1">
        <w:t xml:space="preserve"> up</w:t>
      </w:r>
      <w:r w:rsidR="00381866">
        <w:t xml:space="preserve"> to the </w:t>
      </w:r>
      <w:r w:rsidR="008B12B1">
        <w:t>liver cell surface</w:t>
      </w:r>
      <w:r w:rsidR="00381866">
        <w:t xml:space="preserve">. </w:t>
      </w:r>
      <w:r w:rsidR="008B12B1">
        <w:t xml:space="preserve">The PCSK9 molecule is synthesized as an inactive proenzyme that must undergo cleavage in the endoplasmic reticulum to be transported and secreted from the liver. Secreted PCSK9 enzymes bind to </w:t>
      </w:r>
      <w:r w:rsidR="00D133C9">
        <w:t xml:space="preserve">the LDL-receptor </w:t>
      </w:r>
      <w:r w:rsidR="00E65231">
        <w:t xml:space="preserve">and directs the receptor to the lysosome to be degraded </w:t>
      </w:r>
      <w:r w:rsidR="00E65231">
        <w:fldChar w:fldCharType="begin" w:fldLock="1"/>
      </w:r>
      <w:r w:rsidR="00E65231">
        <w:instrText>ADDIN CSL_CITATION {"citationItems":[{"id":"ITEM-1","itemData":{"DOI":"10.1007/s11883-017-0684-8","ISSN":"1534-6242","abstract":"In 2003, Abifadel et al. (Nat. Genet. 34:154--156, 2003) identified PCSK9, encoding proprotein convertase subtilisin/kexin type 9, as the third causal gene for autosomal dominant hypercholesterolemia. This review focuses on the main steps from this major breakthrough in familial hypercholesterolemia (FH) to the latest clinical trials with the anti-PCSK9 antibodies.","author":[{"dropping-particle":"","family":"Khoury","given":"Petra","non-dropping-particle":"El","parse-names":false,"suffix":""},{"dropping-particle":"","family":"Elbitar","given":"Sandy","non-dropping-particle":"","parse-names":false,"suffix":""},{"dropping-particle":"","family":"Ghaleb","given":"Youmna","non-dropping-particle":"","parse-names":false,"suffix":""},{"dropping-particle":"","family":"Khalil","given":"Yara Abou","non-dropping-particle":"","parse-names":false,"suffix":""},{"dropping-particle":"","family":"Varret","given":"Mathilde","non-dropping-particle":"","parse-names":false,"suffix":""},{"dropping-particle":"","family":"Boileau","given":"Catherine","non-dropping-particle":"","parse-names":false,"suffix":""},{"dropping-particle":"","family":"Abifadel","given":"Marianne","non-dropping-particle":"","parse-names":false,"suffix":""}],"container-title":"Current Atherosclerosis Reports","id":"ITEM-1","issue":"12","issued":{"date-parts":[["2017","10"]]},"page":"49","title":"PCSK9 Mutations in Familial Hypercholesterolemia: from a Groundbreaking Discovery to Anti-PCSK9 Therapies","type":"article-journal","volume":"19"},"uris":["http://www.mendeley.com/documents/?uuid=e69bc1a1-3cdf-42ff-bb4d-2122b6ed28fb"]}],"mendeley":{"formattedCitation":"(El Khoury et al., 2017)","plainTextFormattedCitation":"(El Khoury et al., 2017)","previouslyFormattedCitation":"(El Khoury et al., 2017)"},"properties":{"noteIndex":0},"schema":"https://github.com/citation-style-language/schema/raw/master/csl-citation.json"}</w:instrText>
      </w:r>
      <w:r w:rsidR="00E65231">
        <w:fldChar w:fldCharType="separate"/>
      </w:r>
      <w:r w:rsidR="00E65231" w:rsidRPr="008B12B1">
        <w:rPr>
          <w:noProof/>
        </w:rPr>
        <w:t>(El Khoury et al., 2017)</w:t>
      </w:r>
      <w:r w:rsidR="00E65231">
        <w:fldChar w:fldCharType="end"/>
      </w:r>
      <w:r w:rsidR="00E65231">
        <w:t xml:space="preserve">. </w:t>
      </w:r>
    </w:p>
    <w:p w14:paraId="2598DF1B" w14:textId="64E47BC3" w:rsidR="008C5907" w:rsidRDefault="005103EA" w:rsidP="00F7042A">
      <w:r>
        <w:t>More than 20 variants i</w:t>
      </w:r>
      <w:r w:rsidR="00E65231">
        <w:t xml:space="preserve">n </w:t>
      </w:r>
      <w:r w:rsidR="00E65231">
        <w:rPr>
          <w:i/>
          <w:iCs/>
        </w:rPr>
        <w:t xml:space="preserve">PCSK9 </w:t>
      </w:r>
      <w:r>
        <w:t xml:space="preserve">cause FH </w:t>
      </w:r>
      <w:r>
        <w:fldChar w:fldCharType="begin" w:fldLock="1"/>
      </w:r>
      <w:r w:rsidR="00A97337">
        <w:instrText>ADDIN CSL_CITATION {"citationItems":[{"id":"ITEM-1","itemData":{"DOI":"10.1007/s11886-017-0848-8","ISSN":"1534-3170 (Electronic)","PMID":"28405938","abstract":"PURPOSE OF REVIEW: Familial hypercholesterolaemia (FH) is an inherited disorder of low-density lipoprotein cholesterol (LDL-C) which is characterised by a raised cholesterol level from birth and a high risk of premature coronary heart disease. In this paper, we review the genetic basis of FH and its impact on the clinical presentation. RECENT FINDINGS: Mutations in any of three genes (LDLR, APOB and PCSK9) are known to cause autosomal dominant FH, but a mutation can be found in only approximately 40% of patients with a clinical diagnosis of FH. In the remainder, a polygenic aetiology is most likely, due to the co-inheritance of common LDL-C-raising variants. The cardiovascular presentation and management of FH will differ between patients based on their underlying genetic factors. New genotyping methods such as next-generation sequencing will provide us with better understanding of the genetic architecture of FH.","author":[{"dropping-particle":"","family":"Sharifi","given":"Mahtab","non-dropping-particle":"","parse-names":false,"suffix":""},{"dropping-particle":"","family":"Futema","given":"Marta","non-dropping-particle":"","parse-names":false,"suffix":""},{"dropping-particle":"","family":"Nair","given":"Devaki","non-dropping-particle":"","parse-names":false,"suffix":""},{"dropping-particle":"","family":"Humphries","given":"Steve E","non-dropping-particle":"","parse-names":false,"suffix":""}],"container-title":"Current cardiology reports","id":"ITEM-1","issue":"5","issued":{"date-parts":[["2017","5"]]},"language":"eng","page":"44","publisher-place":"United States","title":"Genetic Architecture of Familial Hypercholesterolaemia.","type":"article-journal","volume":"19"},"uris":["http://www.mendeley.com/documents/?uuid=98e12b0e-305c-46ef-ad1d-80fccedfa7d4"]}],"mendeley":{"formattedCitation":"(Sharifi et al., 2017)","plainTextFormattedCitation":"(Sharifi et al., 2017)","previouslyFormattedCitation":"(Sharifi et al., 2017)"},"properties":{"noteIndex":0},"schema":"https://github.com/citation-style-language/schema/raw/master/csl-citation.json"}</w:instrText>
      </w:r>
      <w:r>
        <w:fldChar w:fldCharType="separate"/>
      </w:r>
      <w:r w:rsidRPr="005103EA">
        <w:rPr>
          <w:noProof/>
        </w:rPr>
        <w:t>(Sharifi et al., 2017)</w:t>
      </w:r>
      <w:r>
        <w:fldChar w:fldCharType="end"/>
      </w:r>
      <w:r>
        <w:t>. These variants are</w:t>
      </w:r>
      <w:r w:rsidR="00E65231">
        <w:t xml:space="preserve"> gain-of-function mutations that increases the degradation of LDL-receptors and reduces the number of LDL-receptors on the surface of the liver by approximately 23% </w:t>
      </w:r>
      <w:r w:rsidR="00E65231">
        <w:fldChar w:fldCharType="begin" w:fldLock="1"/>
      </w:r>
      <w:r>
        <w:instrText>ADDIN CSL_CITATION {"citationItems":[{"id":"ITEM-1","itemData":{"DOI":"10.1007/s11883-017-0684-8","ISSN":"1534-6242","abstract":"In 2003, Abifadel et al. (Nat. Genet. 34:154--156, 2003) identified PCSK9, encoding proprotein convertase subtilisin/kexin type 9, as the third causal gene for autosomal dominant hypercholesterolemia. This review focuses on the main steps from this major breakthrough in familial hypercholesterolemia (FH) to the latest clinical trials with the anti-PCSK9 antibodies.","author":[{"dropping-particle":"","family":"Khoury","given":"Petra","non-dropping-particle":"El","parse-names":false,"suffix":""},{"dropping-particle":"","family":"Elbitar","given":"Sandy","non-dropping-particle":"","parse-names":false,"suffix":""},{"dropping-particle":"","family":"Ghaleb","given":"Youmna","non-dropping-particle":"","parse-names":false,"suffix":""},{"dropping-particle":"","family":"Khalil","given":"Yara Abou","non-dropping-particle":"","parse-names":false,"suffix":""},{"dropping-particle":"","family":"Varret","given":"Mathilde","non-dropping-particle":"","parse-names":false,"suffix":""},{"dropping-particle":"","family":"Boileau","given":"Catherine","non-dropping-particle":"","parse-names":false,"suffix":""},{"dropping-particle":"","family":"Abifadel","given":"Marianne","non-dropping-particle":"","parse-names":false,"suffix":""}],"container-title":"Current Atherosclerosis Reports","id":"ITEM-1","issue":"12","issued":{"date-parts":[["2017","10"]]},"page":"49","title":"PCSK9 Mutations in Familial Hypercholesterolemia: from a Groundbreaking Discovery to Anti-PCSK9 Therapies","type":"article-journal","volume":"19"},"uris":["http://www.mendeley.com/documents/?uuid=e69bc1a1-3cdf-42ff-bb4d-2122b6ed28fb"]}],"mendeley":{"formattedCitation":"(El Khoury et al., 2017)","plainTextFormattedCitation":"(El Khoury et al., 2017)","previouslyFormattedCitation":"(El Khoury et al., 2017)"},"properties":{"noteIndex":0},"schema":"https://github.com/citation-style-language/schema/raw/master/csl-citation.json"}</w:instrText>
      </w:r>
      <w:r w:rsidR="00E65231">
        <w:fldChar w:fldCharType="separate"/>
      </w:r>
      <w:r w:rsidR="00E65231" w:rsidRPr="00E65231">
        <w:rPr>
          <w:noProof/>
        </w:rPr>
        <w:t>(El Khoury et al., 2017)</w:t>
      </w:r>
      <w:r w:rsidR="00E65231">
        <w:fldChar w:fldCharType="end"/>
      </w:r>
      <w:r w:rsidR="00E65231">
        <w:t xml:space="preserve">. </w:t>
      </w:r>
      <w:r w:rsidR="00040713">
        <w:t>The decrease in LDL-receptors causes more LDL-cholesterol particles to accumulate in the blood</w:t>
      </w:r>
      <w:r w:rsidR="008C5907">
        <w:t xml:space="preserve">. </w:t>
      </w:r>
    </w:p>
    <w:p w14:paraId="707087C5" w14:textId="7AFBBD63" w:rsidR="00E65231" w:rsidRDefault="008C5907" w:rsidP="00F7042A">
      <w:r>
        <w:t xml:space="preserve">Conversely, loss-of-function mutations have been shown </w:t>
      </w:r>
      <w:r w:rsidR="00C116E9">
        <w:t xml:space="preserve">to enhance LDL-cholesterol clearance from the blood. These mutations are usually nonsense mutations and two variants, p.Tyr142Ter and p.Cys679Ter, </w:t>
      </w:r>
      <w:r w:rsidR="00023AF2">
        <w:t>were</w:t>
      </w:r>
      <w:r w:rsidR="00C116E9">
        <w:t xml:space="preserve"> found in 2.6% of Black Americans and another variant p.Arg46Leu was found in 3% of European populations </w:t>
      </w:r>
      <w:r w:rsidR="00C116E9">
        <w:fldChar w:fldCharType="begin" w:fldLock="1"/>
      </w:r>
      <w:r w:rsidR="00C116E9">
        <w:instrText>ADDIN CSL_CITATION {"citationItems":[{"id":"ITEM-1","itemData":{"DOI":"10.1007/s11886-017-0848-8","ISSN":"1534-3170 (Electronic)","PMID":"28405938","abstract":"PURPOSE OF REVIEW: Familial hypercholesterolaemia (FH) is an inherited disorder of low-density lipoprotein cholesterol (LDL-C) which is characterised by a raised cholesterol level from birth and a high risk of premature coronary heart disease. In this paper, we review the genetic basis of FH and its impact on the clinical presentation. RECENT FINDINGS: Mutations in any of three genes (LDLR, APOB and PCSK9) are known to cause autosomal dominant FH, but a mutation can be found in only approximately 40% of patients with a clinical diagnosis of FH. In the remainder, a polygenic aetiology is most likely, due to the co-inheritance of common LDL-C-raising variants. The cardiovascular presentation and management of FH will differ between patients based on their underlying genetic factors. New genotyping methods such as next-generation sequencing will provide us with better understanding of the genetic architecture of FH.","author":[{"dropping-particle":"","family":"Sharifi","given":"Mahtab","non-dropping-particle":"","parse-names":false,"suffix":""},{"dropping-particle":"","family":"Futema","given":"Marta","non-dropping-particle":"","parse-names":false,"suffix":""},{"dropping-particle":"","family":"Nair","given":"Devaki","non-dropping-particle":"","parse-names":false,"suffix":""},{"dropping-particle":"","family":"Humphries","given":"Steve E","non-dropping-particle":"","parse-names":false,"suffix":""}],"container-title":"Current cardiology reports","id":"ITEM-1","issue":"5","issued":{"date-parts":[["2017","5"]]},"language":"eng","page":"44","publisher-place":"United States","title":"Genetic Architecture of Familial Hypercholesterolaemia.","type":"article-journal","volume":"19"},"uris":["http://www.mendeley.com/documents/?uuid=98e12b0e-305c-46ef-ad1d-80fccedfa7d4"]},{"id":"ITEM-2","itemData":{"DOI":"10.1007/s11883-017-0684-8","ISSN":"1534-6242","abstract":"In 2003, Abifadel et al. (Nat. Genet. 34:154--156, 2003) identified PCSK9, encoding proprotein convertase subtilisin/kexin type 9, as the third causal gene for autosomal dominant hypercholesterolemia. This review focuses on the main steps from this major breakthrough in familial hypercholesterolemia (FH) to the latest clinical trials with the anti-PCSK9 antibodies.","author":[{"dropping-particle":"","family":"Khoury","given":"Petra","non-dropping-particle":"El","parse-names":false,"suffix":""},{"dropping-particle":"","family":"Elbitar","given":"Sandy","non-dropping-particle":"","parse-names":false,"suffix":""},{"dropping-particle":"","family":"Ghaleb","given":"Youmna","non-dropping-particle":"","parse-names":false,"suffix":""},{"dropping-particle":"","family":"Khalil","given":"Yara Abou","non-dropping-particle":"","parse-names":false,"suffix":""},{"dropping-particle":"","family":"Varret","given":"Mathilde","non-dropping-particle":"","parse-names":false,"suffix":""},{"dropping-particle":"","family":"Boileau","given":"Catherine","non-dropping-particle":"","parse-names":false,"suffix":""},{"dropping-particle":"","family":"Abifadel","given":"Marianne","non-dropping-particle":"","parse-names":false,"suffix":""}],"container-title":"Current Atherosclerosis Reports","id":"ITEM-2","issue":"12","issued":{"date-parts":[["2017","10"]]},"page":"49","title":"PCSK9 Mutations in Familial Hypercholesterolemia: from a Groundbreaking Discovery to Anti-PCSK9 Therapies","type":"article-journal","volume":"19"},"uris":["http://www.mendeley.com/documents/?uuid=e69bc1a1-3cdf-42ff-bb4d-2122b6ed28fb"]}],"mendeley":{"formattedCitation":"(El Khoury et al., 2017; Sharifi et al., 2017)","plainTextFormattedCitation":"(El Khoury et al., 2017; Sharifi et al., 2017)","previouslyFormattedCitation":"(El Khoury et al., 2017; Sharifi et al., 2017)"},"properties":{"noteIndex":0},"schema":"https://github.com/citation-style-language/schema/raw/master/csl-citation.json"}</w:instrText>
      </w:r>
      <w:r w:rsidR="00C116E9">
        <w:fldChar w:fldCharType="separate"/>
      </w:r>
      <w:r w:rsidR="00C116E9" w:rsidRPr="00C116E9">
        <w:rPr>
          <w:noProof/>
        </w:rPr>
        <w:t>(El Khoury et al., 2017; Sharifi et al., 2017)</w:t>
      </w:r>
      <w:r w:rsidR="00C116E9">
        <w:fldChar w:fldCharType="end"/>
      </w:r>
      <w:r w:rsidR="00C116E9">
        <w:t xml:space="preserve">. These variants have been associated with a 15-27% reduction in LDL-cholesterol levels and a 47-88% reduction in the risk of CVD </w:t>
      </w:r>
      <w:r w:rsidR="00C116E9">
        <w:fldChar w:fldCharType="begin" w:fldLock="1"/>
      </w:r>
      <w:r w:rsidR="0070271A">
        <w:instrText>ADDIN CSL_CITATION {"citationItems":[{"id":"ITEM-1","itemData":{"DOI":"10.1007/s11883-017-0684-8","ISSN":"1534-6242","abstract":"In 2003, Abifadel et al. (Nat. Genet. 34:154--156, 2003) identified PCSK9, encoding proprotein convertase subtilisin/kexin type 9, as the third causal gene for autosomal dominant hypercholesterolemia. This review focuses on the main steps from this major breakthrough in familial hypercholesterolemia (FH) to the latest clinical trials with the anti-PCSK9 antibodies.","author":[{"dropping-particle":"","family":"Khoury","given":"Petra","non-dropping-particle":"El","parse-names":false,"suffix":""},{"dropping-particle":"","family":"Elbitar","given":"Sandy","non-dropping-particle":"","parse-names":false,"suffix":""},{"dropping-particle":"","family":"Ghaleb","given":"Youmna","non-dropping-particle":"","parse-names":false,"suffix":""},{"dropping-particle":"","family":"Khalil","given":"Yara Abou","non-dropping-particle":"","parse-names":false,"suffix":""},{"dropping-particle":"","family":"Varret","given":"Mathilde","non-dropping-particle":"","parse-names":false,"suffix":""},{"dropping-particle":"","family":"Boileau","given":"Catherine","non-dropping-particle":"","parse-names":false,"suffix":""},{"dropping-particle":"","family":"Abifadel","given":"Marianne","non-dropping-particle":"","parse-names":false,"suffix":""}],"container-title":"Current Atherosclerosis Reports","id":"ITEM-1","issue":"12","issued":{"date-parts":[["2017","10"]]},"page":"49","title":"PCSK9 Mutations in Familial Hypercholesterolemia: from a Groundbreaking Discovery to Anti-PCSK9 Therapies","type":"article-journal","volume":"19"},"uris":["http://www.mendeley.com/documents/?uuid=e69bc1a1-3cdf-42ff-bb4d-2122b6ed28fb"]}],"mendeley":{"formattedCitation":"(El Khoury et al., 2017)","plainTextFormattedCitation":"(El Khoury et al., 2017)","previouslyFormattedCitation":"(El Khoury et al., 2017)"},"properties":{"noteIndex":0},"schema":"https://github.com/citation-style-language/schema/raw/master/csl-citation.json"}</w:instrText>
      </w:r>
      <w:r w:rsidR="00C116E9">
        <w:fldChar w:fldCharType="separate"/>
      </w:r>
      <w:r w:rsidR="00C116E9" w:rsidRPr="00C116E9">
        <w:rPr>
          <w:noProof/>
        </w:rPr>
        <w:t>(El Khoury et al., 2017)</w:t>
      </w:r>
      <w:r w:rsidR="00C116E9">
        <w:fldChar w:fldCharType="end"/>
      </w:r>
      <w:r w:rsidR="00C116E9">
        <w:t xml:space="preserve">. </w:t>
      </w:r>
    </w:p>
    <w:p w14:paraId="2636AAA8" w14:textId="111DECB4" w:rsidR="00807DCB" w:rsidRDefault="00807DCB" w:rsidP="00807DCB">
      <w:pPr>
        <w:pStyle w:val="Heading3"/>
      </w:pPr>
      <w:bookmarkStart w:id="17" w:name="_Toc39065925"/>
      <w:r>
        <w:t>Monogenic and Polygenic FH</w:t>
      </w:r>
      <w:bookmarkEnd w:id="17"/>
    </w:p>
    <w:p w14:paraId="64667C26" w14:textId="52BFFBCE" w:rsidR="00B20D75" w:rsidRDefault="00B20D75" w:rsidP="00807DCB">
      <w:r>
        <w:t xml:space="preserve">Monogenic cases of FH </w:t>
      </w:r>
      <w:r w:rsidR="00C06477">
        <w:t xml:space="preserve">result when a variant </w:t>
      </w:r>
      <w:r>
        <w:t xml:space="preserve">in one of the three FH genes </w:t>
      </w:r>
      <w:r w:rsidR="00C06477">
        <w:t xml:space="preserve">is the primary cause of </w:t>
      </w:r>
      <w:r>
        <w:t>the increa</w:t>
      </w:r>
      <w:r w:rsidR="00C06477">
        <w:t>s</w:t>
      </w:r>
      <w:r>
        <w:t>e</w:t>
      </w:r>
      <w:r w:rsidR="00C06477">
        <w:t>d</w:t>
      </w:r>
      <w:r>
        <w:t xml:space="preserve"> LDL-cholesterol levels. </w:t>
      </w:r>
      <w:r w:rsidR="00C06477">
        <w:t>P</w:t>
      </w:r>
      <w:r>
        <w:t>olygenic FH occurs when</w:t>
      </w:r>
      <w:r w:rsidR="00C06477">
        <w:t xml:space="preserve"> </w:t>
      </w:r>
      <w:r>
        <w:t>increase</w:t>
      </w:r>
      <w:r w:rsidR="00C06477">
        <w:t>d</w:t>
      </w:r>
      <w:r>
        <w:t xml:space="preserve"> total cholesterol levels</w:t>
      </w:r>
      <w:r w:rsidR="00C06477">
        <w:t xml:space="preserve"> result from</w:t>
      </w:r>
      <w:r>
        <w:t xml:space="preserve"> the additive influence of several genes with modest effect. </w:t>
      </w:r>
      <w:r w:rsidR="00C06477">
        <w:t xml:space="preserve">Common </w:t>
      </w:r>
      <w:r w:rsidR="00C06477">
        <w:lastRenderedPageBreak/>
        <w:t>variants in</w:t>
      </w:r>
      <w:r>
        <w:t xml:space="preserve"> over 100 loci</w:t>
      </w:r>
      <w:r w:rsidR="00C06477">
        <w:t xml:space="preserve">, </w:t>
      </w:r>
      <w:r w:rsidR="00CB25B4">
        <w:t xml:space="preserve">such as </w:t>
      </w:r>
      <w:r w:rsidR="00CB25B4">
        <w:rPr>
          <w:i/>
          <w:iCs/>
        </w:rPr>
        <w:t xml:space="preserve">APOE, ABCG8, </w:t>
      </w:r>
      <w:r w:rsidR="00CB25B4">
        <w:t xml:space="preserve">and </w:t>
      </w:r>
      <w:r w:rsidR="00CB25B4" w:rsidRPr="00CB25B4">
        <w:rPr>
          <w:i/>
          <w:iCs/>
        </w:rPr>
        <w:t>SORT1</w:t>
      </w:r>
      <w:r>
        <w:t xml:space="preserve"> have </w:t>
      </w:r>
      <w:r w:rsidR="00C06477">
        <w:t>modest effects</w:t>
      </w:r>
      <w:r>
        <w:t xml:space="preserve"> on LDL-cholesterol levels </w:t>
      </w:r>
      <w:r>
        <w:fldChar w:fldCharType="begin" w:fldLock="1"/>
      </w:r>
      <w:r>
        <w:instrText>ADDIN CSL_CITATION {"citationItems":[{"id":"ITEM-1","itemData":{"DOI":"10.1007/s11886-017-0848-8","ISSN":"1534-3170 (Electronic)","PMID":"28405938","abstract":"PURPOSE OF REVIEW: Familial hypercholesterolaemia (FH) is an inherited disorder of low-density lipoprotein cholesterol (LDL-C) which is characterised by a raised cholesterol level from birth and a high risk of premature coronary heart disease. In this paper, we review the genetic basis of FH and its impact on the clinical presentation. RECENT FINDINGS: Mutations in any of three genes (LDLR, APOB and PCSK9) are known to cause autosomal dominant FH, but a mutation can be found in only approximately 40% of patients with a clinical diagnosis of FH. In the remainder, a polygenic aetiology is most likely, due to the co-inheritance of common LDL-C-raising variants. The cardiovascular presentation and management of FH will differ between patients based on their underlying genetic factors. New genotyping methods such as next-generation sequencing will provide us with better understanding of the genetic architecture of FH.","author":[{"dropping-particle":"","family":"Sharifi","given":"Mahtab","non-dropping-particle":"","parse-names":false,"suffix":""},{"dropping-particle":"","family":"Futema","given":"Marta","non-dropping-particle":"","parse-names":false,"suffix":""},{"dropping-particle":"","family":"Nair","given":"Devaki","non-dropping-particle":"","parse-names":false,"suffix":""},{"dropping-particle":"","family":"Humphries","given":"Steve E","non-dropping-particle":"","parse-names":false,"suffix":""}],"container-title":"Current cardiology reports","id":"ITEM-1","issue":"5","issued":{"date-parts":[["2017","5"]]},"language":"eng","page":"44","publisher-place":"United States","title":"Genetic Architecture of Familial Hypercholesterolaemia.","type":"article-journal","volume":"19"},"uris":["http://www.mendeley.com/documents/?uuid=98e12b0e-305c-46ef-ad1d-80fccedfa7d4"]}],"mendeley":{"formattedCitation":"(Sharifi et al., 2017)","plainTextFormattedCitation":"(Sharifi et al., 2017)","previouslyFormattedCitation":"(Sharifi et al., 2017)"},"properties":{"noteIndex":0},"schema":"https://github.com/citation-style-language/schema/raw/master/csl-citation.json"}</w:instrText>
      </w:r>
      <w:r>
        <w:fldChar w:fldCharType="separate"/>
      </w:r>
      <w:r w:rsidRPr="00B20D75">
        <w:rPr>
          <w:noProof/>
        </w:rPr>
        <w:t>(Sharifi et al., 2017)</w:t>
      </w:r>
      <w:r>
        <w:fldChar w:fldCharType="end"/>
      </w:r>
      <w:r>
        <w:t>.</w:t>
      </w:r>
    </w:p>
    <w:p w14:paraId="5B96B3B3" w14:textId="59250F28" w:rsidR="004D1316" w:rsidRPr="004D1316" w:rsidRDefault="008C3100" w:rsidP="00087825">
      <w:r>
        <w:t xml:space="preserve">When </w:t>
      </w:r>
      <w:r w:rsidR="00C06477">
        <w:t xml:space="preserve">an individual with high LDL-cholesterol levels </w:t>
      </w:r>
      <w:r>
        <w:t>underg</w:t>
      </w:r>
      <w:r w:rsidR="00C06477">
        <w:t>oes</w:t>
      </w:r>
      <w:r>
        <w:t xml:space="preserve"> genetic testing for FH, a causative</w:t>
      </w:r>
      <w:r w:rsidR="00C06477">
        <w:t xml:space="preserve"> variant</w:t>
      </w:r>
      <w:r>
        <w:t xml:space="preserve"> in one of the three FH genes </w:t>
      </w:r>
      <w:r w:rsidR="00C06477">
        <w:t>is</w:t>
      </w:r>
      <w:r>
        <w:t xml:space="preserve"> found in 60-80% of cases diagnosed with definite FH and in 30% of patients with probable FH. However, patients </w:t>
      </w:r>
      <w:r w:rsidR="006C134E">
        <w:t>who do not have a known causative mutation</w:t>
      </w:r>
      <w:r>
        <w:t xml:space="preserve"> may have a polygenic form of FH</w:t>
      </w:r>
      <w:r w:rsidR="006C134E">
        <w:t>. Alternatively, their FH</w:t>
      </w:r>
      <w:r w:rsidR="0056398F">
        <w:t xml:space="preserve"> may be due to </w:t>
      </w:r>
      <w:r w:rsidR="00B20D75">
        <w:t xml:space="preserve">a novel </w:t>
      </w:r>
      <w:r w:rsidR="006C134E">
        <w:t>variant</w:t>
      </w:r>
      <w:r w:rsidR="0056398F">
        <w:t xml:space="preserve"> in a gene</w:t>
      </w:r>
      <w:r w:rsidR="00B20D75">
        <w:t xml:space="preserve"> that has not been </w:t>
      </w:r>
      <w:r w:rsidR="006C134E">
        <w:t>identified</w:t>
      </w:r>
      <w:r w:rsidR="00B20D75">
        <w:t xml:space="preserve"> yet </w:t>
      </w:r>
      <w:r w:rsidR="00B20D75">
        <w:fldChar w:fldCharType="begin" w:fldLock="1"/>
      </w:r>
      <w:r w:rsidR="001D595D">
        <w:instrText>ADDIN CSL_CITATION {"citationItems":[{"id":"ITEM-1","itemData":{"DOI":"10.1007/s11886-017-0848-8","ISSN":"1534-3170 (Electronic)","PMID":"28405938","abstract":"PURPOSE OF REVIEW: Familial hypercholesterolaemia (FH) is an inherited disorder of low-density lipoprotein cholesterol (LDL-C) which is characterised by a raised cholesterol level from birth and a high risk of premature coronary heart disease. In this paper, we review the genetic basis of FH and its impact on the clinical presentation. RECENT FINDINGS: Mutations in any of three genes (LDLR, APOB and PCSK9) are known to cause autosomal dominant FH, but a mutation can be found in only approximately 40% of patients with a clinical diagnosis of FH. In the remainder, a polygenic aetiology is most likely, due to the co-inheritance of common LDL-C-raising variants. The cardiovascular presentation and management of FH will differ between patients based on their underlying genetic factors. New genotyping methods such as next-generation sequencing will provide us with better understanding of the genetic architecture of FH.","author":[{"dropping-particle":"","family":"Sharifi","given":"Mahtab","non-dropping-particle":"","parse-names":false,"suffix":""},{"dropping-particle":"","family":"Futema","given":"Marta","non-dropping-particle":"","parse-names":false,"suffix":""},{"dropping-particle":"","family":"Nair","given":"Devaki","non-dropping-particle":"","parse-names":false,"suffix":""},{"dropping-particle":"","family":"Humphries","given":"Steve E","non-dropping-particle":"","parse-names":false,"suffix":""}],"container-title":"Current cardiology reports","id":"ITEM-1","issue":"5","issued":{"date-parts":[["2017","5"]]},"language":"eng","page":"44","publisher-place":"United States","title":"Genetic Architecture of Familial Hypercholesterolaemia.","type":"article-journal","volume":"19"},"uris":["http://www.mendeley.com/documents/?uuid=98e12b0e-305c-46ef-ad1d-80fccedfa7d4"]}],"mendeley":{"formattedCitation":"(Sharifi et al., 2017)","plainTextFormattedCitation":"(Sharifi et al., 2017)","previouslyFormattedCitation":"(Sharifi et al., 2017)"},"properties":{"noteIndex":0},"schema":"https://github.com/citation-style-language/schema/raw/master/csl-citation.json"}</w:instrText>
      </w:r>
      <w:r w:rsidR="00B20D75">
        <w:fldChar w:fldCharType="separate"/>
      </w:r>
      <w:r w:rsidR="00B20D75" w:rsidRPr="00B20D75">
        <w:rPr>
          <w:noProof/>
        </w:rPr>
        <w:t>(Sharifi et al., 2017)</w:t>
      </w:r>
      <w:r w:rsidR="00B20D75">
        <w:fldChar w:fldCharType="end"/>
      </w:r>
      <w:r>
        <w:t xml:space="preserve">. </w:t>
      </w:r>
    </w:p>
    <w:p w14:paraId="7FC6638F" w14:textId="77777777" w:rsidR="0023327D" w:rsidRDefault="0023327D" w:rsidP="003B681C">
      <w:pPr>
        <w:pStyle w:val="Heading2"/>
      </w:pPr>
      <w:bookmarkStart w:id="18" w:name="_Toc39065926"/>
      <w:r>
        <w:t>Treatment for FH</w:t>
      </w:r>
      <w:bookmarkEnd w:id="18"/>
    </w:p>
    <w:p w14:paraId="30C7AC39" w14:textId="260A8FD9" w:rsidR="00910DAF" w:rsidRDefault="00123FF7" w:rsidP="0023327D">
      <w:r>
        <w:t>After an individual</w:t>
      </w:r>
      <w:r w:rsidR="0023327D" w:rsidRPr="0023327D">
        <w:t xml:space="preserve"> has been diagnosed with FH, immediate treatment includes using cholesterol-lowering drugs such as statins, ezetimibe, and bile acid-binding resin. These treatments have decreased LDL-cholesterol concentrations by 60-70%. For </w:t>
      </w:r>
      <w:r>
        <w:t>individuals with</w:t>
      </w:r>
      <w:r w:rsidR="0023327D" w:rsidRPr="0023327D">
        <w:t xml:space="preserve"> extreme LDL-cholesterol levels </w:t>
      </w:r>
      <w:r>
        <w:t>(</w:t>
      </w:r>
      <w:r w:rsidR="0023327D" w:rsidRPr="0023327D">
        <w:t>due to having two copies of a genetic mutation or resistan</w:t>
      </w:r>
      <w:r>
        <w:t>ce</w:t>
      </w:r>
      <w:r w:rsidR="0023327D" w:rsidRPr="0023327D">
        <w:t xml:space="preserve"> to cholesterol-lowering drugs</w:t>
      </w:r>
      <w:r>
        <w:t>),</w:t>
      </w:r>
      <w:r w:rsidR="0023327D" w:rsidRPr="0023327D">
        <w:t xml:space="preserve"> weekly or bi-weekly lipoprotein apheresis may be necessary to remove excess LDL-cholesterol from their blood. Apheresis has been shown to decrease LDL-cholesterol levels by 50-75% </w:t>
      </w:r>
      <w:r w:rsidR="0023327D" w:rsidRPr="0023327D">
        <w:fldChar w:fldCharType="begin" w:fldLock="1"/>
      </w:r>
      <w:r w:rsidR="0023327D" w:rsidRPr="0023327D">
        <w:instrText>ADDIN CSL_CITATION {"citationItems":[{"id":"ITEM-1","itemData":{"DOI":"10.1093/eurheartj/eht273","ISSN":"1522-9645 (Electronic)","PMID":"23956253","abstract":"AIMS: The first aim was to critically evaluate the extent to which familial hypercholesterolaemia (FH) is underdiagnosed and undertreated. The second aim was to provide guidance for screening and treatment of FH, in order to prevent coronary heart disease (CHD). METHODS AND RESULTS: Of the theoretical estimated prevalence of 1/500 for heterozygous FH, &lt;1% are diagnosed in most countries. Recently, direct screening in a Northern European general population diagnosed approximately 1/200 with heterozygous FH. All reported studies document failure to achieve recommended LDL cholesterol targets in a large proportion of individuals with FH, and up to 13-fold increased risk of CHD. Based on prevalences between 1/500 and 1/200, between 14 and 34 million individuals worldwide have FH. We recommend that children, adults, and families should be screened for FH if a person or family member presents with FH, a plasma cholesterol level in an adult &gt;/=8 mmol/L(&gt;/=310 mg/dL) or a child &gt;/=6 mmol/L(&gt;/=230 mg/dL), premature CHD, tendon xanthomas, or sudden premature cardiac death. In FH, low-density lipoprotein cholesterol targets are &lt;3.5 mmol/L(&lt;135 mg/dL) for children, &lt;2.5 mmol/L(&lt;100 mg/dL) for adults, and &lt;1.8 mmol/L(&lt;70 mg/dL) for adults with known CHD or diabetes. In addition to lifestyle and dietary counselling, treatment priorities are (i) in children, statins, ezetimibe, and bile acid binding resins, and (ii) in adults, maximal potent statin dose, ezetimibe, and bile acid binding resins. Lipoprotein apheresis can be offered in homozygotes and in treatment-resistant heterozygotes with CHD. CONCLUSION: Owing to severe underdiagnosis and undertreatment of FH, there is an urgent worldwide need for diagnostic screening together with early and aggressive treatment of this extremely high-risk condition.","author":[{"dropping-particle":"","family":"Nordestgaard","given":"Borge G","non-dropping-particle":"","parse-names":false,"suffix":""},{"dropping-particle":"","family":"Chapman","given":"M John","non-dropping-particle":"","parse-names":false,"suffix":""},{"dropping-particle":"","family":"Humphries","given":"Steve E","non-dropping-particle":"","parse-names":false,"suffix":""},{"dropping-particle":"","family":"Ginsberg","given":"Henry N","non-dropping-particle":"","parse-names":false,"suffix":""},{"dropping-particle":"","family":"Masana","given":"Luis","non-dropping-particle":"","parse-names":false,"suffix":""},{"dropping-particle":"","family":"Descamps","given":"Olivier S","non-dropping-particle":"","parse-names":false,"suffix":""},{"dropping-particle":"","family":"Wiklund","given":"Olov","non-dropping-particle":"","parse-names":false,"suffix":""},{"dropping-particle":"","family":"Hegele","given":"Robert A","non-dropping-particle":"","parse-names":false,"suffix":""},{"dropping-particle":"","family":"Raal","given":"Frederick J","non-dropping-particle":"","parse-names":false,"suffix":""},{"dropping-particle":"","family":"Defesche","given":"Joep C","non-dropping-particle":"","parse-names":false,"suffix":""},{"dropping-particle":"","family":"Wiegman","given":"Albert","non-dropping-particle":"","parse-names":false,"suffix":""},{"dropping-particle":"","family":"Santos","given":"Raul D","non-dropping-particle":"","parse-names":false,"suffix":""},{"dropping-particle":"","family":"Watts","given":"Gerald F","non-dropping-particle":"","parse-names":false,"suffix":""},{"dropping-particle":"","family":"Parhofer","given":"Klaus G","non-dropping-particle":"","parse-names":false,"suffix":""},{"dropping-particle":"","family":"Hovingh","given":"G Kees","non-dropping-particle":"","parse-names":false,"suffix":""},{"dropping-particle":"","family":"Kovanen","given":"Petri T","non-dropping-particle":"","parse-names":false,"suffix":""},{"dropping-particle":"","family":"Boileau","given":"Catherine","non-dropping-particle":"","parse-names":false,"suffix":""},{"dropping-particle":"","family":"Averna","given":"Maurizio","non-dropping-particle":"","parse-names":false,"suffix":""},{"dropping-particle":"","family":"Boren","given":"Jan","non-dropping-particle":"","parse-names":false,"suffix":""},{"dropping-particle":"","family":"Bruckert","given":"Eric","non-dropping-particle":"","parse-names":false,"suffix":""},{"dropping-particle":"","family":"Catapano","given":"Alberico L","non-dropping-particle":"","parse-names":false,"suffix":""},{"dropping-particle":"","family":"Kuivenhoven","given":"Jan Albert","non-dropping-particle":"","parse-names":false,"suffix":""},{"dropping-particle":"","family":"Pajukanta","given":"Paivi","non-dropping-particle":"","parse-names":false,"suffix":""},{"dropping-particle":"","family":"Ray","given":"Kausik","non-dropping-particle":"","parse-names":false,"suffix":""},{"dropping-particle":"","family":"Stalenhoef","given":"Anton F H","non-dropping-particle":"","parse-names":false,"suffix":""},{"dropping-particle":"","family":"Stroes","given":"Erik","non-dropping-particle":"","parse-names":false,"suffix":""},{"dropping-particle":"","family":"Taskinen","given":"Marja-Riitta","non-dropping-particle":"","parse-names":false,"suffix":""},{"dropping-particle":"","family":"Tybjaerg-Hansen","given":"Anne","non-dropping-particle":"","parse-names":false,"suffix":""}],"container-title":"European heart journal","id":"ITEM-1","issue":"45","issued":{"date-parts":[["2013","12"]]},"language":"eng","page":"3478-90a","publisher-place":"England","title":"Familial hypercholesterolaemia is underdiagnosed and undertreated in the general  population: guidance for clinicians to prevent coronary heart disease: consensus statement of the European Atherosclerosis Society.","type":"article-journal","volume":"34"},"uris":["http://www.mendeley.com/documents/?uuid=cd8cf69f-b669-4d5d-b3a0-821498944406"]}],"mendeley":{"formattedCitation":"(Borge G Nordestgaard et al., 2013)","plainTextFormattedCitation":"(Borge G Nordestgaard et al., 2013)","previouslyFormattedCitation":"(Borge G Nordestgaard et al., 2013)"},"properties":{"noteIndex":0},"schema":"https://github.com/citation-style-language/schema/raw/master/csl-citation.json"}</w:instrText>
      </w:r>
      <w:r w:rsidR="0023327D" w:rsidRPr="0023327D">
        <w:fldChar w:fldCharType="separate"/>
      </w:r>
      <w:r w:rsidR="0023327D" w:rsidRPr="0023327D">
        <w:rPr>
          <w:noProof/>
        </w:rPr>
        <w:t>(Borge G Nordestgaard et al., 2013)</w:t>
      </w:r>
      <w:r w:rsidR="0023327D" w:rsidRPr="0023327D">
        <w:fldChar w:fldCharType="end"/>
      </w:r>
      <w:r w:rsidR="0023327D" w:rsidRPr="0023327D">
        <w:t xml:space="preserve">. </w:t>
      </w:r>
    </w:p>
    <w:p w14:paraId="2872F8B1" w14:textId="0FD03C91" w:rsidR="00910DAF" w:rsidRPr="00910DAF" w:rsidRDefault="00264140" w:rsidP="0023327D">
      <w:r>
        <w:t xml:space="preserve">Recent discoveries </w:t>
      </w:r>
      <w:r w:rsidR="00123FF7">
        <w:t>regarding the function of the</w:t>
      </w:r>
      <w:r>
        <w:t xml:space="preserve"> </w:t>
      </w:r>
      <w:r w:rsidRPr="00910DAF">
        <w:rPr>
          <w:i/>
          <w:iCs/>
        </w:rPr>
        <w:t>PCSK9</w:t>
      </w:r>
      <w:r>
        <w:t xml:space="preserve"> </w:t>
      </w:r>
      <w:r w:rsidR="00123FF7">
        <w:t>locus</w:t>
      </w:r>
      <w:r>
        <w:t xml:space="preserve"> have</w:t>
      </w:r>
      <w:r w:rsidR="00910DAF">
        <w:t xml:space="preserve"> resulted in new therapies that inhibit the effects of </w:t>
      </w:r>
      <w:r w:rsidR="00910DAF">
        <w:rPr>
          <w:i/>
          <w:iCs/>
        </w:rPr>
        <w:t>PCSK9</w:t>
      </w:r>
      <w:r w:rsidR="00910DAF">
        <w:t xml:space="preserve"> on degrading LDL receptors. These </w:t>
      </w:r>
      <w:r w:rsidR="00910DAF">
        <w:rPr>
          <w:i/>
          <w:iCs/>
        </w:rPr>
        <w:t>PCSK9</w:t>
      </w:r>
      <w:r w:rsidR="00910DAF">
        <w:t xml:space="preserve"> inhibitors include small molecule compounds and antibodies, such as </w:t>
      </w:r>
      <w:proofErr w:type="spellStart"/>
      <w:r w:rsidR="00910DAF">
        <w:t>evolocumab</w:t>
      </w:r>
      <w:proofErr w:type="spellEnd"/>
      <w:r w:rsidR="00910DAF">
        <w:t xml:space="preserve"> and alirocumab, that prevent the binding of </w:t>
      </w:r>
      <w:r w:rsidR="00910DAF" w:rsidRPr="00910DAF">
        <w:rPr>
          <w:i/>
          <w:iCs/>
        </w:rPr>
        <w:t>PCSK9</w:t>
      </w:r>
      <w:r w:rsidR="00910DAF">
        <w:t xml:space="preserve"> to the LDL-receptors. These inhibitors have been shown to decrease LDL-cholesterol levels by approximately 60% when taken alone or with another statin. In addition, </w:t>
      </w:r>
      <w:r w:rsidR="00910DAF">
        <w:lastRenderedPageBreak/>
        <w:t xml:space="preserve">these </w:t>
      </w:r>
      <w:r w:rsidR="00910DAF">
        <w:rPr>
          <w:i/>
          <w:iCs/>
        </w:rPr>
        <w:t>PCSK9</w:t>
      </w:r>
      <w:r w:rsidR="00DB1D96">
        <w:t xml:space="preserve"> inhibitors have been reported to reduce the need and frequency of lipid apheresis for patients with extremely high levels of LDL cholesterol </w:t>
      </w:r>
      <w:r w:rsidR="00DB1D96">
        <w:fldChar w:fldCharType="begin" w:fldLock="1"/>
      </w:r>
      <w:r w:rsidR="00610F68">
        <w:instrText>ADDIN CSL_CITATION {"citationItems":[{"id":"ITEM-1","itemData":{"DOI":"10.1016/j.jjcc.2017.07.002","ISSN":"1876-4738 (Electronic)","PMID":"28784313","abstract":"Familial hypercholesterolemia (FH) is a frequent hereditary metabolic disease characterized by high serum low-density lipoprotein (LDL) cholesterol concentration and premature atherosclerotic cardiovascular disease (ASCVD). The discovery of the LDL receptor as one of the causative genes of FH enabled us to understand the pathophysiology of FH and paved the way for developing statins. Similar to LDL receptor, discovery of proprotein convertase subtilisin/kexin type 9 (PCSK9) also created an opportunity for developing its inhibitors. Since PCSK9 degrades LDL receptor protein, inhibiting PCSK9 will be an effective strategy. Evolocumab and alirocumab, anti-PCSK9 antibodies that inhibit binding between PCSK9 and LDL receptors, are now available in Japan. Adding an anti-PCSK9 antibody to standard therapy with statin alone or statin combined with ezetimibe further reduced serum LDL cholesterol levels by around 60% and they significantly decrease cardiovascular event incidence as compared with placebo. Additionally, the strong LDL cholesterol lowering effect of anti-PCSK9 antibody therapies has reportedly enabled the frequency of lipoprotein apheresis to be reduced or to be discontinued. As alternative strategies against PCSK9, antisense oligonucleotide agents that inhibit PCSK9 protein synthesis as well as a small interfering (or short interference) RNA (siRNA) for PCSK9 are also being developed. While relatively high cost can be given as a problem, PCSK9 inhibitors are able to reduce LDL cholesterol dramatically even in FH patients who could not achieve targets until now. To ensure that these drugs are given to the patients who really need them, it is necessary to raise the diagnosis rate and family screening has to be more actively conducted. Finally, it has been reported that PCSK9 is expressed not only in hepatocytes but also in other cells such as epithelial cells in small intestine and vascular smooth muscle cells in atherosclerotic plaque. Further research regarding extra-hepatic pathophysiology of PCSK9 is expected.","author":[{"dropping-particle":"","family":"Ogura","given":"Masatsune","non-dropping-particle":"","parse-names":false,"suffix":""}],"container-title":"Journal of cardiology","id":"ITEM-1","issue":"1","issued":{"date-parts":[["2018","1"]]},"language":"eng","page":"1-7","publisher-place":"Netherlands","title":"PCSK9 inhibition in the management of familial hypercholesterolemia.","type":"article-journal","volume":"71"},"uris":["http://www.mendeley.com/documents/?uuid=a67a8671-f5a0-4e30-8fb3-afb35c3a0404"]},{"id":"ITEM-2","itemData":{"DOI":"10.2174/1381612824666181010124657","ISSN":"1873-4286 (Electronic)","PMID":"30317985","abstract":"BACKGROUND: Familial hypercholesterolemia (FH) is an inherited autosomal dominant disorder that is characterized by substantially increased Low-Density Lipoprotein Cholesterol (LDL-C) levels. Patients with FH have a significantly higher risk for Cardiovascular (CV) events, and the timely reduction of LDL-C is of paramount importance to ameliorate the risk for CV disease. Among the available lipid-lowering therapies, the novel Proprotein Convertase Subtilisin/Kexin type 9 (PCSK9) inhibitors have emerged as a very promising class of drugs for the management of such patients. OBJECTIVE: The purpose of this review is to present available data on the efficacy and safety of the two available PCSK9 inhibitors in patients with FH, and importantly to discuss potential differences between the two drugs. METHODS: A comprehensive literature search was performed to identify available data from clinical studies evaluating the impact of evolocumab or alirocumab on lipid and CV parameters in patients with FH. RESULTS: Several studies have assessed the lipid-lowering profile of PCSK9 inhibitors in patients with FH. Both evolocumab and alirocumab were found to significantly reduce LDL-C by more than 50-60% in FH patients. Furthermore, data also support a lower rate of lipid apheresis in FH patients receiving a PCSK9 inhibitor. In terms of CV outcomes, both drugs were found to possess CV-ameliorating effects of the same extent in patients with CV disease. However, alirocumab reduced all-cause mortality, as well, a finding not observed with evolocumab. Several differences in the study population characteristics might explain this and other mild differences observed in the CV trials of these drugs. CONCLUSION: Available evidence suggests similar potency of alirocumab and evolocumab in reducing lipids and CV events.","author":[{"dropping-particle":"","family":"Papademetriou","given":"Vasilios","non-dropping-particle":"","parse-names":false,"suffix":""},{"dropping-particle":"","family":"Stavropoulos","given":"Konstantinos","non-dropping-particle":"","parse-names":false,"suffix":""},{"dropping-particle":"","family":"Papadopoulos","given":"Christodoulos","non-dropping-particle":"","parse-names":false,"suffix":""},{"dropping-particle":"","family":"Koutsampasopoulos","given":"Konstantinos","non-dropping-particle":"","parse-names":false,"suffix":""},{"dropping-particle":"","family":"Dimitriadis","given":"Kiriakos","non-dropping-particle":"","parse-names":false,"suffix":""},{"dropping-particle":"","family":"Tsioufis","given":"Kostas","non-dropping-particle":"","parse-names":false,"suffix":""}],"container-title":"Current pharmaceutical design","id":"ITEM-2","issue":"31","issued":{"date-parts":[["2018"]]},"language":"eng","page":"3647-3653","publisher-place":"United Arab Emirates","title":"Role of PCSK9 Inhibitors in High Risk Patients with Dyslipidemia: Focus on Familial Hypercholesterolemia.","type":"article-journal","volume":"24"},"uris":["http://www.mendeley.com/documents/?uuid=7e9f2664-17dc-4069-bfd8-47208087f78c"]}],"mendeley":{"formattedCitation":"(Ogura, 2018; Papademetriou et al., 2018)","plainTextFormattedCitation":"(Ogura, 2018; Papademetriou et al., 2018)","previouslyFormattedCitation":"(Ogura, 2018; Papademetriou et al., 2018)"},"properties":{"noteIndex":0},"schema":"https://github.com/citation-style-language/schema/raw/master/csl-citation.json"}</w:instrText>
      </w:r>
      <w:r w:rsidR="00DB1D96">
        <w:fldChar w:fldCharType="separate"/>
      </w:r>
      <w:r w:rsidR="00DB1D96" w:rsidRPr="00DB1D96">
        <w:rPr>
          <w:noProof/>
        </w:rPr>
        <w:t>(Ogura, 2018; Papademetriou et al., 2018)</w:t>
      </w:r>
      <w:r w:rsidR="00DB1D96">
        <w:fldChar w:fldCharType="end"/>
      </w:r>
      <w:r w:rsidR="00DB1D96">
        <w:t>.</w:t>
      </w:r>
    </w:p>
    <w:p w14:paraId="78E65650" w14:textId="7726D980" w:rsidR="0023327D" w:rsidRDefault="0023327D" w:rsidP="0023327D">
      <w:r w:rsidRPr="0023327D">
        <w:t xml:space="preserve">Overall, early detection and treatment can help lower mortality risk from premature CHD or ASCVD by 48% </w:t>
      </w:r>
      <w:r w:rsidRPr="0023327D">
        <w:fldChar w:fldCharType="begin" w:fldLock="1"/>
      </w:r>
      <w:r w:rsidR="003B118F">
        <w:instrText>ADDIN CSL_CITATION {"citationItems":[{"id":"ITEM-1","itemData":{"DOI":"10.1136/heartjnl-2015-308845","ISSN":"1468-201X (Electronic)","PMID":"27126396","abstract":"Familial hypercholesterolaemia (FH) is a common autosomal-dominant disorder in most European countries. Patients with FH are characterised by a raised level of low-density lipoprotein cholesterol and a high risk of premature coronary heart disease (CHD). Currently there is no consensus regarding the clinical utility to predict future coronary events or testing for the presence of subclinical atherosclerotic disease in asymptomatic patients with FH. Family screening of patients with FH as recommended by the UK National Institute of Health and Care Excellence guideline would result in finding many young individuals with a diagnosis of FH who are clinically asymptomatic. The traditional CHD risk scores, that is, the Framingham score, are insufficient in risk prediction in this group of young individuals. In addition, a better understanding of the genetic aetiology of the FH phenotype and CHD risk in monogenic FH and polygenic hypercholesterolaemia is needed. Non-invasive imaging methods such as carotid intima-media thickness measurement might produce more reliable information in finding high-risk patients with FH. The potential market authorisation of novel therapeutic agents such as PCSK9 monoclonal inhibitors makes it essential to have a better screening programme to prioritise the candidates for treatment with the most severe form of FH and at higher risk of coronary events. The utility of new imaging techniques and new cardiovascular biomarkers remains to be determined in prospective trials.","author":[{"dropping-particle":"","family":"Sharifi","given":"Mahtab","non-dropping-particle":"","parse-names":false,"suffix":""},{"dropping-particle":"","family":"Rakhit","given":"Roby D","non-dropping-particle":"","parse-names":false,"suffix":""},{"dropping-particle":"","family":"Humphries","given":"Steve E","non-dropping-particle":"","parse-names":false,"suffix":""},{"dropping-particle":"","family":"Nair","given":"Devaki","non-dropping-particle":"","parse-names":false,"suffix":""}],"container-title":"Heart (British Cardiac Society)","id":"ITEM-1","issue":"13","issued":{"date-parts":[["2016","7"]]},"language":"eng","page":"1003-1008","publisher-place":"England","title":"Cardiovascular risk stratification in familial hypercholesterolaemia.","type":"article-journal","volume":"102"},"uris":["http://www.mendeley.com/documents/?uuid=aa453b1d-1a82-4849-9fd2-f4ef6c826dd3"]}],"mendeley":{"formattedCitation":"(Sharifi, Rakhit, Humphries, &amp; Nair, 2016)","plainTextFormattedCitation":"(Sharifi, Rakhit, Humphries, &amp; Nair, 2016)","previouslyFormattedCitation":"(Sharifi, Rakhit, Humphries, &amp; Nair, 2016)"},"properties":{"noteIndex":0},"schema":"https://github.com/citation-style-language/schema/raw/master/csl-citation.json"}</w:instrText>
      </w:r>
      <w:r w:rsidRPr="0023327D">
        <w:fldChar w:fldCharType="separate"/>
      </w:r>
      <w:r w:rsidR="00605E7D" w:rsidRPr="00605E7D">
        <w:rPr>
          <w:noProof/>
        </w:rPr>
        <w:t>(Sharifi, Rakhit, Humphries, &amp; Nair, 2016)</w:t>
      </w:r>
      <w:r w:rsidRPr="0023327D">
        <w:fldChar w:fldCharType="end"/>
      </w:r>
      <w:r w:rsidRPr="0023327D">
        <w:t xml:space="preserve">. </w:t>
      </w:r>
    </w:p>
    <w:p w14:paraId="378A3486" w14:textId="77777777" w:rsidR="0023327D" w:rsidRPr="00205322" w:rsidRDefault="0023327D" w:rsidP="00205322">
      <w:pPr>
        <w:pStyle w:val="Heading1"/>
      </w:pPr>
      <w:bookmarkStart w:id="19" w:name="_Toc39065927"/>
      <w:r w:rsidRPr="00205322">
        <w:lastRenderedPageBreak/>
        <w:t>Screening Methods for FH</w:t>
      </w:r>
      <w:bookmarkEnd w:id="19"/>
    </w:p>
    <w:p w14:paraId="5AC18EA0" w14:textId="77777777" w:rsidR="00EF7D08" w:rsidRDefault="0023327D" w:rsidP="00F526C4">
      <w:pPr>
        <w:ind w:firstLine="718"/>
      </w:pPr>
      <w:r w:rsidRPr="0023327D">
        <w:t xml:space="preserve">FH is clinically actionable and having an earlier diagnosis can improve health outcomes and reduce mortality from premature CHD and ASCVD </w:t>
      </w:r>
      <w:r w:rsidRPr="0023327D">
        <w:fldChar w:fldCharType="begin" w:fldLock="1"/>
      </w:r>
      <w:r w:rsidRPr="0023327D">
        <w:instrText>ADDIN CSL_CITATION {"citationItems":[{"id":"ITEM-1","itemData":{"DOI":"10.1038/gim.2013.73","ISSN":"1530-0366 (Electronic)","PMID":"23788249","abstract":"In clinical exome and genome sequencing, there is a potential for the recognition and reporting of incidental or secondary findings unrelated to the indication for ordering the sequencing but of medical value for patient care. The American College of Medical Genetics and Genomics (ACMG) recently published a policy statement on clinical sequencing that emphasized the importance of alerting the patient to the possibility of such results in pretest patient discussions, clinical testing, and reporting of results. The ACMG appointed a Working Group on Incidental Findings in Clinical Exome and Genome Sequencing to make recommendations about responsible management of incidental findings when patients undergo exome or genome sequencing. This Working Group conducted a year-long consensus process, including an open forum at the 2012 Annual Meeting and review by outside experts, and produced recommendations that have been approved by the ACMG Board. Specific and detailed recommendations, and the background and rationale for these recommendations, are described herein. The ACMG recommends that laboratories performing clinical sequencing seek and report mutations of the specified classes or types in the genes listed here. This evaluation and reporting should be performed for all clinical germline (constitutional) exome and genome sequencing, including the \"normal\" of tumor-normal subtractive analyses in all subjects, irrespective of age but excluding fetal samples. We recognize that there are insufficient data on penetrance and clinical utility to fully support these recommendations, and we encourage the creation of an ongoing process for updating these recommendations at least annually as further data are collected.","author":[{"dropping-particle":"","family":"Green","given":"Robert C","non-dropping-particle":"","parse-names":false,"suffix":""},{"dropping-particle":"","family":"Berg","given":"Jonathan S","non-dropping-particle":"","parse-names":false,"suffix":""},{"dropping-particle":"","family":"Grody","given":"Wayne W","non-dropping-particle":"","parse-names":false,"suffix":""},{"dropping-particle":"","family":"Kalia","given":"Sarah S","non-dropping-particle":"","parse-names":false,"suffix":""},{"dropping-particle":"","family":"Korf","given":"Bruce R","non-dropping-particle":"","parse-names":false,"suffix":""},{"dropping-particle":"","family":"Martin","given":"Christa L","non-dropping-particle":"","parse-names":false,"suffix":""},{"dropping-particle":"","family":"McGuire","given":"Amy L","non-dropping-particle":"","parse-names":false,"suffix":""},{"dropping-particle":"","family":"Nussbaum","given":"Robert L","non-dropping-particle":"","parse-names":false,"suffix":""},{"dropping-particle":"","family":"O'Daniel","given":"Julianne M","non-dropping-particle":"","parse-names":false,"suffix":""},{"dropping-particle":"","family":"Ormond","given":"Kelly E","non-dropping-particle":"","parse-names":false,"suffix":""},{"dropping-particle":"","family":"Rehm","given":"Heidi L","non-dropping-particle":"","parse-names":false,"suffix":""},{"dropping-particle":"","family":"Watson","given":"Michael S","non-dropping-particle":"","parse-names":false,"suffix":""},{"dropping-particle":"","family":"Williams","given":"Marc S","non-dropping-particle":"","parse-names":false,"suffix":""},{"dropping-particle":"","family":"Biesecker","given":"Leslie G","non-dropping-particle":"","parse-names":false,"suffix":""}],"container-title":"Genetics in medicine : official journal of the American College of Medical Genetics","id":"ITEM-1","issue":"7","issued":{"date-parts":[["2013","7"]]},"language":"eng","page":"565-574","publisher-place":"United States","title":"ACMG recommendations for reporting of incidental findings in clinical exome and genome sequencing.","type":"article-journal","volume":"15"},"uris":["http://www.mendeley.com/documents/?uuid=544a92b5-124d-4bde-8f0d-1ff06cc57198"]}],"mendeley":{"formattedCitation":"(Green et al., 2013)","plainTextFormattedCitation":"(Green et al., 2013)","previouslyFormattedCitation":"(Green et al., 2013)"},"properties":{"noteIndex":0},"schema":"https://github.com/citation-style-language/schema/raw/master/csl-citation.json"}</w:instrText>
      </w:r>
      <w:r w:rsidRPr="0023327D">
        <w:fldChar w:fldCharType="separate"/>
      </w:r>
      <w:r w:rsidRPr="0023327D">
        <w:rPr>
          <w:noProof/>
        </w:rPr>
        <w:t>(Green et al., 2013)</w:t>
      </w:r>
      <w:r w:rsidRPr="0023327D">
        <w:fldChar w:fldCharType="end"/>
      </w:r>
      <w:r w:rsidRPr="0023327D">
        <w:t xml:space="preserve">. </w:t>
      </w:r>
      <w:r w:rsidR="00EF7D08">
        <w:t xml:space="preserve">As stated previously, however, fewer than 1% of individuals with FH are diagnosed globally. </w:t>
      </w:r>
      <w:r w:rsidRPr="0023327D">
        <w:t xml:space="preserve">Current screening methods include cholesterol screening, genetic testing, and cascade screening. Cholesterol screening was also the primary method </w:t>
      </w:r>
      <w:r w:rsidR="00EF7D08">
        <w:t>by which</w:t>
      </w:r>
      <w:r w:rsidRPr="0023327D">
        <w:t xml:space="preserve"> </w:t>
      </w:r>
      <w:r w:rsidR="00EF7D08">
        <w:t xml:space="preserve">over </w:t>
      </w:r>
      <w:r w:rsidRPr="0023327D">
        <w:t xml:space="preserve">90% of currently known FH cases in the </w:t>
      </w:r>
      <w:r w:rsidR="00034241">
        <w:t>US</w:t>
      </w:r>
      <w:r w:rsidR="00EF7D08">
        <w:t xml:space="preserve"> were identified </w:t>
      </w:r>
      <w:r w:rsidR="00EF7D08" w:rsidRPr="0023327D">
        <w:fldChar w:fldCharType="begin" w:fldLock="1"/>
      </w:r>
      <w:r w:rsidR="00EF7D08" w:rsidRPr="0023327D">
        <w:instrText xml:space="preserve">ADDIN CSL_CITATION {"citationItems":[{"id":"ITEM-1","itemData":{"DOI":"10.1093/eurheartj/ehx136","ISSN":"0195-668X","abstract":"We recently showed that FH is more common in the general population than originally thought:1,2 using a clinical diagnosis, FH was found in </w:instrText>
      </w:r>
      <w:r w:rsidR="00EF7D08" w:rsidRPr="0023327D">
        <w:rPr>
          <w:rFonts w:ascii="Cambria Math" w:hAnsi="Cambria Math" w:cs="Cambria Math"/>
        </w:rPr>
        <w:instrText>∼</w:instrText>
      </w:r>
      <w:r w:rsidR="00EF7D08" w:rsidRPr="0023327D">
        <w:instrText>1:200 individuals in the Danish general population. Several later studies have confirmed that FH is common, and in The Netherlands, Poland, the UK, the USA, and Denmark FH frequencies in the general population of 1:200 to 1:250 have been observed, using either a clinical or a genetic diagnosis.3–9 Compared with other genetic diseases found in children, FH is by far the most common.10 Recent studies have also documented that FH is both underdiagnosed and undertreated worldwide, with the exceptions being The Netherlands and Norway.2","author":[{"dropping-particle":"","family":"Nordestgaard","given":"Børge G","non-dropping-particle":"","parse-names":false,"suffix":""},{"dropping-particle":"","family":"Benn","given":"Marianne","non-dropping-particle":"","parse-names":false,"suffix":""}],"container-title":"European Heart Journal","id":"ITEM-1","issue":"20","issued":{"date-parts":[["2017","4","12"]]},"page":"1580-1583","title":"Genetic testing for familial hypercholesterolaemia is essential in individuals with high LDL cholesterol: who does it in the world?","type":"article-journal","volume":"38"},"uris":["http://www.mendeley.com/documents/?uuid=b6e90302-195c-4af3-bff7-7eaaee11a3cc"]}],"mendeley":{"formattedCitation":"(Børge G Nordestgaard &amp; Benn, 2017)","plainTextFormattedCitation":"(Børge G Nordestgaard &amp; Benn, 2017)","previouslyFormattedCitation":"(Børge G Nordestgaard &amp; Benn, 2017)"},"properties":{"noteIndex":0},"schema":"https://github.com/citation-style-language/schema/raw/master/csl-citation.json"}</w:instrText>
      </w:r>
      <w:r w:rsidR="00EF7D08" w:rsidRPr="0023327D">
        <w:fldChar w:fldCharType="separate"/>
      </w:r>
      <w:r w:rsidR="00EF7D08" w:rsidRPr="0023327D">
        <w:rPr>
          <w:noProof/>
        </w:rPr>
        <w:t>(Børge G Nordestgaard &amp; Benn, 2017)</w:t>
      </w:r>
      <w:r w:rsidR="00EF7D08" w:rsidRPr="0023327D">
        <w:fldChar w:fldCharType="end"/>
      </w:r>
      <w:r w:rsidRPr="0023327D">
        <w:t xml:space="preserve">. </w:t>
      </w:r>
      <w:r w:rsidR="00EF7D08">
        <w:t xml:space="preserve">Therefore, routine cholesterol screening through a primary care provider for LDL-cholesterol levels over 190 mg/dL can aid in a clinical diagnosis for FH. </w:t>
      </w:r>
    </w:p>
    <w:p w14:paraId="461BEEFA" w14:textId="55196D83" w:rsidR="0023327D" w:rsidRDefault="00EF7D08" w:rsidP="00F526C4">
      <w:pPr>
        <w:ind w:firstLine="718"/>
      </w:pPr>
      <w:r>
        <w:t>In addition to cholesterol screening, o</w:t>
      </w:r>
      <w:r w:rsidR="0023327D" w:rsidRPr="0023327D">
        <w:t>ther methods</w:t>
      </w:r>
      <w:r>
        <w:t xml:space="preserve"> to identify individuals with FH include</w:t>
      </w:r>
      <w:r w:rsidR="0023327D" w:rsidRPr="0023327D">
        <w:t xml:space="preserve"> family health history or genetic testing</w:t>
      </w:r>
      <w:r>
        <w:t xml:space="preserve"> </w:t>
      </w:r>
      <w:r>
        <w:fldChar w:fldCharType="begin" w:fldLock="1"/>
      </w:r>
      <w:r w:rsidR="00C47C09">
        <w:instrText xml:space="preserve">ADDIN CSL_CITATION {"citationItems":[{"id":"ITEM-1","itemData":{"DOI":"10.1093/eurheartj/ehx136","ISSN":"0195-668X","abstract":"We recently showed that FH is more common in the general population than originally thought:1,2 using a clinical diagnosis, FH was found in </w:instrText>
      </w:r>
      <w:r w:rsidR="00C47C09">
        <w:rPr>
          <w:rFonts w:ascii="Cambria Math" w:hAnsi="Cambria Math" w:cs="Cambria Math"/>
        </w:rPr>
        <w:instrText>∼</w:instrText>
      </w:r>
      <w:r w:rsidR="00C47C09">
        <w:instrText>1:200 individuals in the Danish general population. Several later studies have confirmed that FH is common, and in The Netherlands, Poland, the UK, the USA, and Denmark FH frequencies in the general population of 1:200 to 1:250 have been observed, using either a clinical or a genetic diagnosis.3–9 Compared with other genetic diseases found in children, FH is by far the most common.10 Recent studies have also documented that FH is both underdiagnosed and undertreated worldwide, with the exceptions being The Netherlands and Norway.2","author":[{"dropping-particle":"","family":"Nordestgaard","given":"Børge G","non-dropping-particle":"","parse-names":false,"suffix":""},{"dropping-particle":"","family":"Benn","given":"Marianne","non-dropping-particle":"","parse-names":false,"suffix":""}],"container-title":"European Heart Journal","id":"ITEM-1","issue":"20","issued":{"date-parts":[["2017","4","12"]]},"page":"1580-1583","title":"Genetic testing for familial hypercholesterolaemia is essential in individuals with high LDL cholesterol: who does it in the world?","type":"article-journal","volume":"38"},"uris":["http://www.mendeley.com/documents/?uuid=b6e90302-195c-4af3-bff7-7eaaee11a3cc"]}],"mendeley":{"formattedCitation":"(Børge G Nordestgaard &amp; Benn, 2017)","plainTextFormattedCitation":"(Børge G Nordestgaard &amp; Benn, 2017)","previouslyFormattedCitation":"(Børge G Nordestgaard &amp; Benn, 2017)"},"properties":{"noteIndex":0},"schema":"https://github.com/citation-style-language/schema/raw/master/csl-citation.json"}</w:instrText>
      </w:r>
      <w:r>
        <w:fldChar w:fldCharType="separate"/>
      </w:r>
      <w:r w:rsidRPr="00EF7D08">
        <w:rPr>
          <w:noProof/>
        </w:rPr>
        <w:t>(Børge G Nordestgaard &amp; Benn, 2017)</w:t>
      </w:r>
      <w:r>
        <w:fldChar w:fldCharType="end"/>
      </w:r>
      <w:r w:rsidR="0023327D" w:rsidRPr="0023327D">
        <w:t xml:space="preserve">. Genetic testing and cascade screening have become more viable options as the genetic causes behind FH have been identified. By detecting known mutations and risk alleles in </w:t>
      </w:r>
      <w:r w:rsidR="007B2D45">
        <w:t>the thre</w:t>
      </w:r>
      <w:r w:rsidR="00FA229B">
        <w:t>e primary</w:t>
      </w:r>
      <w:r w:rsidR="007B2D45">
        <w:t xml:space="preserve"> genes associated with FH</w:t>
      </w:r>
      <w:r w:rsidR="0023327D" w:rsidRPr="0023327D">
        <w:t xml:space="preserve">, a genetic diagnosis </w:t>
      </w:r>
      <w:r w:rsidR="007B2D45">
        <w:t>can be made</w:t>
      </w:r>
      <w:r w:rsidR="0023327D" w:rsidRPr="0023327D">
        <w:t xml:space="preserve">. Cascade screening </w:t>
      </w:r>
      <w:r w:rsidR="00C65FBA">
        <w:t>is</w:t>
      </w:r>
      <w:r w:rsidR="0023327D" w:rsidRPr="0023327D">
        <w:t xml:space="preserve"> a systematic</w:t>
      </w:r>
      <w:r w:rsidR="00C65FBA">
        <w:t xml:space="preserve"> screening</w:t>
      </w:r>
      <w:r w:rsidR="0023327D" w:rsidRPr="0023327D">
        <w:t xml:space="preserve"> approach</w:t>
      </w:r>
      <w:r w:rsidR="00C65FBA">
        <w:t xml:space="preserve"> that involves</w:t>
      </w:r>
      <w:r w:rsidR="0023327D" w:rsidRPr="0023327D">
        <w:t xml:space="preserve"> test</w:t>
      </w:r>
      <w:r w:rsidR="00C65FBA">
        <w:t>ing all</w:t>
      </w:r>
      <w:r w:rsidR="0023327D" w:rsidRPr="0023327D">
        <w:t xml:space="preserve"> first-degree relatives of an index patient who was diagnosed with FH and has a known mutation </w:t>
      </w:r>
      <w:r w:rsidR="0023327D" w:rsidRPr="0023327D">
        <w:fldChar w:fldCharType="begin" w:fldLock="1"/>
      </w:r>
      <w:r w:rsidR="0023327D" w:rsidRPr="0023327D">
        <w:instrText>ADDIN CSL_CITATION {"citationItems":[{"id":"ITEM-1","itemData":{"DOI":"10.1371/currents.RRN1238","ISSN":"2157-3999","abstract":"Familial hypercholesterolemia (FH) is an autosomal dominant disorder characterized by abnormally high concentrations of low-density lipoprotein (LDL) cholesterol in the blood, which predisposes affected persons to premature coronary heart disease (CHD) and death. FH is one of the most common inherited disorders and the most common one known to cause premature CHD in people of European descent. The vast majority of people with FH have inherited a single mutation from one parent in either the LDL receptor (LDLR), apolipoprotein B (APOB), or proprotein convertase subtilisin/kexin type 9 (PCSK9) genes. Despite their greatly elevated risk of coronary heart disease, most individuals with FH remain undiagnosed, untreated, or inadequately treated. Cascade screening is a mechanism for identifying people at risk for a genetic condition by a process of systematic family tracing. The National Institute for Health and Clinical Excellence in the United Kingdom recommends cascade screening of close biological relatives of people with a clinical diagnosis of FH in order to effectively identify additional FH patients. The ultimate goal of this testing is to reduce morbidity and mortality from heart disease in persons with FH through early diagnosis and effective disease management. The goal of this article is to outline the available evidence on the clinical validity and utility of cascade screening for FH, while emphasizing the availability, usefulness, and recommendation for including DNA testing (if the disease-causing mutation has been identified).","author":[{"dropping-particle":"","family":"Ned","given":"Renée M","non-dropping-particle":"","parse-names":false,"suffix":""},{"dropping-particle":"","family":"Sijbrands","given":"Eric J G","non-dropping-particle":"","parse-names":false,"suffix":""}],"container-title":"PLoS currents","id":"ITEM-1","issued":{"date-parts":[["2011","5","23"]]},"language":"eng","page":"RRN1238-RRN1238","publisher":"Public Library of Science","title":"Cascade Screening for Familial Hypercholesterolemia (FH)","type":"article-journal","volume":"3"},"uris":["http://www.mendeley.com/documents/?uuid=a0f7a757-d4c5-4402-988b-53f48d34793d"]}],"mendeley":{"formattedCitation":"(Ned &amp; Sijbrands, 2011)","plainTextFormattedCitation":"(Ned &amp; Sijbrands, 2011)","previouslyFormattedCitation":"(Ned &amp; Sijbrands, 2011)"},"properties":{"noteIndex":0},"schema":"https://github.com/citation-style-language/schema/raw/master/csl-citation.json"}</w:instrText>
      </w:r>
      <w:r w:rsidR="0023327D" w:rsidRPr="0023327D">
        <w:fldChar w:fldCharType="separate"/>
      </w:r>
      <w:r w:rsidR="0023327D" w:rsidRPr="0023327D">
        <w:rPr>
          <w:noProof/>
        </w:rPr>
        <w:t>(Ned &amp; Sijbrands, 2011)</w:t>
      </w:r>
      <w:r w:rsidR="0023327D" w:rsidRPr="0023327D">
        <w:fldChar w:fldCharType="end"/>
      </w:r>
      <w:r w:rsidR="0023327D" w:rsidRPr="0023327D">
        <w:t>.</w:t>
      </w:r>
      <w:r w:rsidR="00C65FBA">
        <w:t xml:space="preserve"> All of the first-degree relatives who carry the known mutation are then classified as index patients themselves and subsequently, all of their first degree-relatives are tested.</w:t>
      </w:r>
      <w:r w:rsidR="0023327D" w:rsidRPr="0023327D">
        <w:t xml:space="preserve"> Cascade screening </w:t>
      </w:r>
      <w:r w:rsidR="00C65FBA">
        <w:t>is</w:t>
      </w:r>
      <w:r w:rsidR="0023327D" w:rsidRPr="0023327D">
        <w:t xml:space="preserve"> effective within a family</w:t>
      </w:r>
      <w:r w:rsidR="00C65FBA">
        <w:t xml:space="preserve"> because affected individuals have</w:t>
      </w:r>
      <w:r w:rsidR="0023327D" w:rsidRPr="0023327D">
        <w:t xml:space="preserve"> a 50% chance of passing on the mutation to </w:t>
      </w:r>
      <w:r w:rsidR="00C65FBA">
        <w:t>their</w:t>
      </w:r>
      <w:r w:rsidR="0023327D" w:rsidRPr="0023327D">
        <w:t xml:space="preserve"> children. </w:t>
      </w:r>
      <w:r w:rsidR="00C65FBA">
        <w:t>This approach requires that the specific mutation within the family is known, but approximately</w:t>
      </w:r>
      <w:r w:rsidR="0023327D" w:rsidRPr="0023327D">
        <w:t xml:space="preserve"> 15% of people diagnosed with FH do not have a known mutation in one of the three</w:t>
      </w:r>
      <w:r w:rsidR="00FA229B">
        <w:t xml:space="preserve"> primary</w:t>
      </w:r>
      <w:r w:rsidR="0023327D" w:rsidRPr="0023327D">
        <w:t xml:space="preserve"> genes </w:t>
      </w:r>
      <w:r w:rsidR="0023327D" w:rsidRPr="0023327D">
        <w:fldChar w:fldCharType="begin" w:fldLock="1"/>
      </w:r>
      <w:r w:rsidR="0023327D" w:rsidRPr="0023327D">
        <w:instrText>ADDIN CSL_CITATION {"citationItems":[{"id":"ITEM-1","itemData":{"DOI":"10.1371/currents.RRN1238","ISSN":"2157-3999","abstract":"Familial hypercholesterolemia (FH) is an autosomal dominant disorder characterized by abnormally high concentrations of low-density lipoprotein (LDL) cholesterol in the blood, which predisposes affected persons to premature coronary heart disease (CHD) and death. FH is one of the most common inherited disorders and the most common one known to cause premature CHD in people of European descent. The vast majority of people with FH have inherited a single mutation from one parent in either the LDL receptor (LDLR), apolipoprotein B (APOB), or proprotein convertase subtilisin/kexin type 9 (PCSK9) genes. Despite their greatly elevated risk of coronary heart disease, most individuals with FH remain undiagnosed, untreated, or inadequately treated. Cascade screening is a mechanism for identifying people at risk for a genetic condition by a process of systematic family tracing. The National Institute for Health and Clinical Excellence in the United Kingdom recommends cascade screening of close biological relatives of people with a clinical diagnosis of FH in order to effectively identify additional FH patients. The ultimate goal of this testing is to reduce morbidity and mortality from heart disease in persons with FH through early diagnosis and effective disease management. The goal of this article is to outline the available evidence on the clinical validity and utility of cascade screening for FH, while emphasizing the availability, usefulness, and recommendation for including DNA testing (if the disease-causing mutation has been identified).","author":[{"dropping-particle":"","family":"Ned","given":"Renée M","non-dropping-particle":"","parse-names":false,"suffix":""},{"dropping-particle":"","family":"Sijbrands","given":"Eric J G","non-dropping-particle":"","parse-names":false,"suffix":""}],"container-title":"PLoS currents","id":"ITEM-1","issued":{"date-parts":[["2011","5","23"]]},"language":"eng","page":"RRN1238-RRN1238","publisher":"Public Library of Science","title":"Cascade Screening for Familial Hypercholesterolemia (FH)","type":"article-journal","volume":"3"},"uris":["http://www.mendeley.com/documents/?uuid=a0f7a757-d4c5-4402-988b-53f48d34793d"]}],"mendeley":{"formattedCitation":"(Ned &amp; Sijbrands, 2011)","plainTextFormattedCitation":"(Ned &amp; Sijbrands, 2011)","previouslyFormattedCitation":"(Ned &amp; Sijbrands, 2011)"},"properties":{"noteIndex":0},"schema":"https://github.com/citation-style-language/schema/raw/master/csl-citation.json"}</w:instrText>
      </w:r>
      <w:r w:rsidR="0023327D" w:rsidRPr="0023327D">
        <w:fldChar w:fldCharType="separate"/>
      </w:r>
      <w:r w:rsidR="0023327D" w:rsidRPr="0023327D">
        <w:rPr>
          <w:noProof/>
        </w:rPr>
        <w:t>(Ned &amp; Sijbrands, 2011)</w:t>
      </w:r>
      <w:r w:rsidR="0023327D" w:rsidRPr="0023327D">
        <w:fldChar w:fldCharType="end"/>
      </w:r>
      <w:r w:rsidR="0023327D" w:rsidRPr="0023327D">
        <w:t xml:space="preserve">. </w:t>
      </w:r>
    </w:p>
    <w:p w14:paraId="38ABBB92" w14:textId="14AD5B9B" w:rsidR="0023327D" w:rsidRDefault="00D74DCC" w:rsidP="003B681C">
      <w:pPr>
        <w:pStyle w:val="Heading2"/>
      </w:pPr>
      <w:bookmarkStart w:id="20" w:name="_Toc39065928"/>
      <w:r>
        <w:lastRenderedPageBreak/>
        <w:t xml:space="preserve">Utility of </w:t>
      </w:r>
      <w:r w:rsidR="0023327D">
        <w:t>Screening Studies</w:t>
      </w:r>
      <w:bookmarkEnd w:id="20"/>
    </w:p>
    <w:p w14:paraId="2F47A635" w14:textId="4B411E57" w:rsidR="0023327D" w:rsidRDefault="005A1835" w:rsidP="0023327D">
      <w:r>
        <w:t>C</w:t>
      </w:r>
      <w:r w:rsidRPr="0023327D">
        <w:t xml:space="preserve">ompared to traditional cholesterol </w:t>
      </w:r>
      <w:r>
        <w:t xml:space="preserve">screening, </w:t>
      </w:r>
      <w:r w:rsidR="0023327D" w:rsidRPr="0023327D">
        <w:t xml:space="preserve">genetic and cascade screening is </w:t>
      </w:r>
      <w:r>
        <w:t xml:space="preserve">estimated to be </w:t>
      </w:r>
      <w:r w:rsidR="0023327D" w:rsidRPr="0023327D">
        <w:t xml:space="preserve">more cost-effective and </w:t>
      </w:r>
      <w:r>
        <w:t xml:space="preserve">also </w:t>
      </w:r>
      <w:r w:rsidR="0023327D" w:rsidRPr="0023327D">
        <w:t xml:space="preserve">increases diagnoses of FH </w:t>
      </w:r>
      <w:r w:rsidR="0023327D" w:rsidRPr="0023327D">
        <w:fldChar w:fldCharType="begin" w:fldLock="1"/>
      </w:r>
      <w:r w:rsidR="00470FE7">
        <w:instrText>ADDIN CSL_CITATION {"citationItems":[{"id":"ITEM-1","itemData":{"DOI":"10.1093/eurheartj/eht273","ISSN":"1522-9645 (Electronic)","PMID":"23956253","abstract":"AIMS: The first aim was to critically evaluate the extent to which familial hypercholesterolaemia (FH) is underdiagnosed and undertreated. The second aim was to provide guidance for screening and treatment of FH, in order to prevent coronary heart disease (CHD). METHODS AND RESULTS: Of the theoretical estimated prevalence of 1/500 for heterozygous FH, &lt;1% are diagnosed in most countries. Recently, direct screening in a Northern European general population diagnosed approximately 1/200 with heterozygous FH. All reported studies document failure to achieve recommended LDL cholesterol targets in a large proportion of individuals with FH, and up to 13-fold increased risk of CHD. Based on prevalences between 1/500 and 1/200, between 14 and 34 million individuals worldwide have FH. We recommend that children, adults, and families should be screened for FH if a person or family member presents with FH, a plasma cholesterol level in an adult &gt;/=8 mmol/L(&gt;/=310 mg/dL) or a child &gt;/=6 mmol/L(&gt;/=230 mg/dL), premature CHD, tendon xanthomas, or sudden premature cardiac death. In FH, low-density lipoprotein cholesterol targets are &lt;3.5 mmol/L(&lt;135 mg/dL) for children, &lt;2.5 mmol/L(&lt;100 mg/dL) for adults, and &lt;1.8 mmol/L(&lt;70 mg/dL) for adults with known CHD or diabetes. In addition to lifestyle and dietary counselling, treatment priorities are (i) in children, statins, ezetimibe, and bile acid binding resins, and (ii) in adults, maximal potent statin dose, ezetimibe, and bile acid binding resins. Lipoprotein apheresis can be offered in homozygotes and in treatment-resistant heterozygotes with CHD. CONCLUSION: Owing to severe underdiagnosis and undertreatment of FH, there is an urgent worldwide need for diagnostic screening together with early and aggressive treatment of this extremely high-risk condition.","author":[{"dropping-particle":"","family":"Nordestgaard","given":"Borge G","non-dropping-particle":"","parse-names":false,"suffix":""},{"dropping-particle":"","family":"Chapman","given":"M John","non-dropping-particle":"","parse-names":false,"suffix":""},{"dropping-particle":"","family":"Humphries","given":"Steve E","non-dropping-particle":"","parse-names":false,"suffix":""},{"dropping-particle":"","family":"Ginsberg","given":"Henry N","non-dropping-particle":"","parse-names":false,"suffix":""},{"dropping-particle":"","family":"Masana","given":"Luis","non-dropping-particle":"","parse-names":false,"suffix":""},{"dropping-particle":"","family":"Descamps","given":"Olivier S","non-dropping-particle":"","parse-names":false,"suffix":""},{"dropping-particle":"","family":"Wiklund","given":"Olov","non-dropping-particle":"","parse-names":false,"suffix":""},{"dropping-particle":"","family":"Hegele","given":"Robert A","non-dropping-particle":"","parse-names":false,"suffix":""},{"dropping-particle":"","family":"Raal","given":"Frederick J","non-dropping-particle":"","parse-names":false,"suffix":""},{"dropping-particle":"","family":"Defesche","given":"Joep C","non-dropping-particle":"","parse-names":false,"suffix":""},{"dropping-particle":"","family":"Wiegman","given":"Albert","non-dropping-particle":"","parse-names":false,"suffix":""},{"dropping-particle":"","family":"Santos","given":"Raul D","non-dropping-particle":"","parse-names":false,"suffix":""},{"dropping-particle":"","family":"Watts","given":"Gerald F","non-dropping-particle":"","parse-names":false,"suffix":""},{"dropping-particle":"","family":"Parhofer","given":"Klaus G","non-dropping-particle":"","parse-names":false,"suffix":""},{"dropping-particle":"","family":"Hovingh","given":"G Kees","non-dropping-particle":"","parse-names":false,"suffix":""},{"dropping-particle":"","family":"Kovanen","given":"Petri T","non-dropping-particle":"","parse-names":false,"suffix":""},{"dropping-particle":"","family":"Boileau","given":"Catherine","non-dropping-particle":"","parse-names":false,"suffix":""},{"dropping-particle":"","family":"Averna","given":"Maurizio","non-dropping-particle":"","parse-names":false,"suffix":""},{"dropping-particle":"","family":"Boren","given":"Jan","non-dropping-particle":"","parse-names":false,"suffix":""},{"dropping-particle":"","family":"Bruckert","given":"Eric","non-dropping-particle":"","parse-names":false,"suffix":""},{"dropping-particle":"","family":"Catapano","given":"Alberico L","non-dropping-particle":"","parse-names":false,"suffix":""},{"dropping-particle":"","family":"Kuivenhoven","given":"Jan Albert","non-dropping-particle":"","parse-names":false,"suffix":""},{"dropping-particle":"","family":"Pajukanta","given":"Paivi","non-dropping-particle":"","parse-names":false,"suffix":""},{"dropping-particle":"","family":"Ray","given":"Kausik","non-dropping-particle":"","parse-names":false,"suffix":""},{"dropping-particle":"","family":"Stalenhoef","given":"Anton F H","non-dropping-particle":"","parse-names":false,"suffix":""},{"dropping-particle":"","family":"Stroes","given":"Erik","non-dropping-particle":"","parse-names":false,"suffix":""},{"dropping-particle":"","family":"Taskinen","given":"Marja-Riitta","non-dropping-particle":"","parse-names":false,"suffix":""},{"dropping-particle":"","family":"Tybjaerg-Hansen","given":"Anne","non-dropping-particle":"","parse-names":false,"suffix":""}],"container-title":"European heart journal","id":"ITEM-1","issue":"45","issued":{"date-parts":[["2013","12"]]},"language":"eng","page":"3478-90a","publisher-place":"England","title":"Familial hypercholesterolaemia is underdiagnosed and undertreated in the general  population: guidance for clinicians to prevent coronary heart disease: consensus statement of the European Atherosclerosis Society.","type":"article-journal","volume":"34"},"uris":["http://www.mendeley.com/documents/?uuid=cd8cf69f-b669-4d5d-b3a0-821498944406"]},{"id":"ITEM-2","itemData":{"DOI":"10.1016/j.jacc.2018.05.044","abstract":"Although awareness of familial hypercholesterolemia (FH) is increasing, this common, potentially fatal, treatable condition remains underdiagnosed. Despite FH being a genetic disorder, genetic testing is rarely used. The Familial Hypercholesterolemia Foundation convened an international expert panel to assess the utility of FH genetic testing. The rationale includes the following: 1) facilitation of definitive diagnosis; 2) pathogenic variants indicate higher cardiovascular risk, which indicates the potential need for more aggressive lipid lowering; 3) increase in initiation of and adherence to therapy; and 4) cascade testing of at-risk relatives. The Expert Consensus Panel recommends that FH genetic testing become the standard of care for patients with definite or probable FH, as well as for their at-risk relatives. Testing should include the genes encoding the low-density lipoprotein receptor (LDLR), apolipoprotein B (APOB), and proprotein convertase subtilisin/kexin 9 (PCSK9); other genes may also need to be considered for analysis based on patient phenotype. Expected outcomes include greater diagnoses, more effective cascade testing, initiation of therapies at earlier ages, and more accurate risk stratification.","author":[{"dropping-particle":"","family":"Sturm","given":"Amy C","non-dropping-particle":"","parse-names":false,"suffix":""},{"dropping-particle":"","family":"Knowles","given":"Joshua W","non-dropping-particle":"","parse-names":false,"suffix":""},{"dropping-particle":"","family":"Gidding","given":"Samuel S","non-dropping-particle":"","parse-names":false,"suffix":""},{"dropping-particle":"","family":"Ahmad","given":"Zahid S","non-dropping-particle":"","parse-names":false,"suffix":""},{"dropping-particle":"","family":"Ahmed","given":"Catherine D","non-dropping-particle":"","parse-names":false,"suffix":""},{"dropping-particle":"","family":"Ballantyne","given":"Christie M","non-dropping-particle":"","parse-names":false,"suffix":""},{"dropping-particle":"","family":"Baum","given":"Seth J","non-dropping-particle":"","parse-names":false,"suffix":""},{"dropping-particle":"","family":"Bourbon","given":"Mafalda","non-dropping-particle":"","parse-names":false,"suffix":""},{"dropping-particle":"","family":"Carrié","given":"Alain","non-dropping-particle":"","parse-names":false,"suffix":""},{"dropping-particle":"","family":"Cuchel","given":"Marina","non-dropping-particle":"","parse-names":false,"suffix":""},{"dropping-particle":"","family":"Ferranti","given":"Sarah D","non-dropping-particle":"de","parse-names":false,"suffix":""},{"dropping-particle":"","family":"Defesche","given":"Joep C","non-dropping-particle":"","parse-names":false,"suffix":""},{"dropping-particle":"","family":"Freiberger","given":"Tomas","non-dropping-particle":"","parse-names":false,"suffix":""},{"dropping-particle":"","family":"Hershberger","given":"Ray E","non-dropping-particle":"","parse-names":false,"suffix":""},{"dropping-particle":"","family":"Hovingh","given":"G Kees","non-dropping-particle":"","parse-names":false,"suffix":""},{"dropping-particle":"","family":"Karayan","given":"Lala","non-dropping-particle":"","parse-names":false,"suffix":""},{"dropping-particle":"","family":"Kastelein","given":"Johannes Jacob Pieter","non-dropping-particle":"","parse-names":false,"suffix":""},{"dropping-particle":"","family":"Kindt","given":"Iris","non-dropping-particle":"","parse-names":false,"suffix":""},{"dropping-particle":"","family":"Lane","given":"Stacey R","non-dropping-particle":"","parse-names":false,"suffix":""},{"dropping-particle":"","family":"Leigh","given":"Sarah E","non-dropping-particle":"","parse-names":false,"suffix":""},{"dropping-particle":"","family":"Linton","given":"MacRae F","non-dropping-particle":"","parse-names":false,"suffix":""},{"dropping-particle":"","family":"Mata","given":"Pedro","non-dropping-particle":"","parse-names":false,"suffix":""},{"dropping-particle":"","family":"Neal","given":"William A","non-dropping-particle":"","parse-names":false,"suffix":""},{"dropping-particle":"","family":"Nordestgaard","given":"Børge G","non-dropping-particle":"","parse-names":false,"suffix":""},{"dropping-particle":"","family":"Santos","given":"Raul D","non-dropping-particle":"","parse-names":false,"suffix":""},{"dropping-particle":"","family":"Harada-Shiba","given":"Mariko","non-dropping-particle":"","parse-names":false,"suffix":""},{"dropping-particle":"","family":"Sijbrands","given":"Eric J","non-dropping-particle":"","parse-names":false,"suffix":""},{"dropping-particle":"","family":"Stitziel","given":"Nathan O","non-dropping-particle":"","parse-names":false,"suffix":""},{"dropping-particle":"","family":"Yamashita","given":"Shizuya","non-dropping-particle":"","parse-names":false,"suffix":""},{"dropping-particle":"","family":"Wilemon","given":"Katherine A","non-dropping-particle":"","parse-names":false,"suffix":""},{"dropping-particle":"","family":"Ledbetter","given":"David H","non-dropping-particle":"","parse-names":false,"suffix":""},{"dropping-particle":"","family":"Rader","given":"Daniel J","non-dropping-particle":"","parse-names":false,"suffix":""}],"container-title":"Journal of the American College of Cardiology","id":"ITEM-2","issue":"6","issued":{"date-parts":[["2018","8","7"]]},"page":"662 LP  - 680","title":"Clinical Genetic Testing for Familial Hypercholesterolemia","type":"article-journal","volume":"72"},"uris":["http://www.mendeley.com/documents/?uuid=817deca7-4480-4814-9c01-117f9265a8a3"]},{"id":"ITEM-3","itemData":{"DOI":"10.1371/currents.RRN1238","ISSN":"2157-3999","abstract":"Familial hypercholesterolemia (FH) is an autosomal dominant disorder characterized by abnormally high concentrations of low-density lipoprotein (LDL) cholesterol in the blood, which predisposes affected persons to premature coronary heart disease (CHD) and death. FH is one of the most common inherited disorders and the most common one known to cause premature CHD in people of European descent. The vast majority of people with FH have inherited a single mutation from one parent in either the LDL receptor (LDLR), apolipoprotein B (APOB), or proprotein convertase subtilisin/kexin type 9 (PCSK9) genes. Despite their greatly elevated risk of coronary heart disease, most individuals with FH remain undiagnosed, untreated, or inadequately treated. Cascade screening is a mechanism for identifying people at risk for a genetic condition by a process of systematic family tracing. The National Institute for Health and Clinical Excellence in the United Kingdom recommends cascade screening of close biological relatives of people with a clinical diagnosis of FH in order to effectively identify additional FH patients. The ultimate goal of this testing is to reduce morbidity and mortality from heart disease in persons with FH through early diagnosis and effective disease management. The goal of this article is to outline the available evidence on the clinical validity and utility of cascade screening for FH, while emphasizing the availability, usefulness, and recommendation for including DNA testing (if the disease-causing mutation has been identified).","author":[{"dropping-particle":"","family":"Ned","given":"Renée M","non-dropping-particle":"","parse-names":false,"suffix":""},{"dropping-particle":"","family":"Sijbrands","given":"Eric J G","non-dropping-particle":"","parse-names":false,"suffix":""}],"container-title":"PLoS currents","id":"ITEM-3","issued":{"date-parts":[["2011","5","23"]]},"language":"eng","page":"RRN1238-RRN1238","publisher":"Public Library of Science","title":"Cascade Screening for Familial Hypercholesterolemia (FH)","type":"article-journal","volume":"3"},"uris":["http://www.mendeley.com/documents/?uuid=a0f7a757-d4c5-4402-988b-53f48d34793d"]}],"mendeley":{"formattedCitation":"(Ned &amp; Sijbrands, 2011; Borge G Nordestgaard et al., 2013; Sturm et al., 2018)","plainTextFormattedCitation":"(Ned &amp; Sijbrands, 2011; Borge G Nordestgaard et al., 2013; Sturm et al., 2018)","previouslyFormattedCitation":"(Ned &amp; Sijbrands, 2011; Borge G Nordestgaard et al., 2013; Sturm et al., 2018)"},"properties":{"noteIndex":0},"schema":"https://github.com/citation-style-language/schema/raw/master/csl-citation.json"}</w:instrText>
      </w:r>
      <w:r w:rsidR="0023327D" w:rsidRPr="0023327D">
        <w:fldChar w:fldCharType="separate"/>
      </w:r>
      <w:r w:rsidR="0023327D" w:rsidRPr="0023327D">
        <w:rPr>
          <w:noProof/>
        </w:rPr>
        <w:t>(Ned &amp; Sijbrands, 2011; Borge G Nordestgaard et al., 2013; Sturm et al., 2018)</w:t>
      </w:r>
      <w:r w:rsidR="0023327D" w:rsidRPr="0023327D">
        <w:fldChar w:fldCharType="end"/>
      </w:r>
      <w:r>
        <w:t>; however,</w:t>
      </w:r>
      <w:r w:rsidR="0023327D" w:rsidRPr="0023327D">
        <w:t xml:space="preserve"> </w:t>
      </w:r>
      <w:r>
        <w:t>few</w:t>
      </w:r>
      <w:r w:rsidR="0023327D" w:rsidRPr="0023327D">
        <w:t xml:space="preserve"> countries have adopted this screening method. </w:t>
      </w:r>
      <w:r>
        <w:t>Although relatively few studies have been done on the effectiveness of cascade screening,</w:t>
      </w:r>
      <w:r w:rsidR="0023327D" w:rsidRPr="0023327D">
        <w:t xml:space="preserve"> a five-year study </w:t>
      </w:r>
      <w:r>
        <w:t>of</w:t>
      </w:r>
      <w:r w:rsidR="0023327D" w:rsidRPr="0023327D">
        <w:t xml:space="preserve"> cascade screening in the Netherlands reported 37% of blood relatives </w:t>
      </w:r>
      <w:r>
        <w:t>of an index case had</w:t>
      </w:r>
      <w:r w:rsidR="0023327D" w:rsidRPr="0023327D">
        <w:t xml:space="preserve"> an FH mutation. Of those with an FH mutation, 39% received lipid-lowering medication during the first year</w:t>
      </w:r>
      <w:r>
        <w:t xml:space="preserve">, and </w:t>
      </w:r>
      <w:r w:rsidR="0023327D" w:rsidRPr="0023327D">
        <w:t>93%</w:t>
      </w:r>
      <w:r>
        <w:t xml:space="preserve"> received medication</w:t>
      </w:r>
      <w:r w:rsidR="0023327D" w:rsidRPr="0023327D">
        <w:t xml:space="preserve"> the second year </w:t>
      </w:r>
      <w:r w:rsidR="0023327D" w:rsidRPr="0023327D">
        <w:fldChar w:fldCharType="begin" w:fldLock="1"/>
      </w:r>
      <w:r w:rsidR="00470FE7">
        <w:instrText>ADDIN CSL_CITATION {"citationItems":[{"id":"ITEM-1","itemData":{"DOI":"10.1016/S0140-6736(00)03587-X","ISSN":"0140-6736 (Print)","PMID":"11213091","abstract":"BACKGROUND: Familial hypercholesterolaemia is a common lipid disorder that predisposes for premature cardiovascular disease (CVD). We set up a screening programme in the Netherlands in 1994 to: establish the feasibility of active family screening supported by DNA diagnostics; assess whether or not active identification of these patients with familial hypercholesterolaemia would lead to more cholesterol-lowering treatment; and compare diagnosis by DNA analysis with that by cholesterol measurement. METHODS: Both DNA analysis and measurement of cholesterol concentrations were used to screen families in which a functional mutation in the LDL-receptor gene had been detected. FINDINGS: In the first 5 years, 5442 relatives of 237 people with familial hypercholesterolaemia were screened; 2039 individuals were identified as heterozygous by LDL-receptor gene mutation analysis. At the time of examination, 667 of these adults with familial hypercholesterolaemia (39%) received some form of lipid-lowering treatment; 1 year later, this percentage had increased to 93%. In addition, laboratory analysis showed that for carriers as well as non-carriers 18% would have been misdiagnosed by cholesterol measurement alone, with sex-specific and age-specific 90th percentiles of the general Dutch population as diagnostic criteria. INTERPRETATION: Targeted family screening with DNA analysis proved to be highly effective in identifying patients with hypercholesterolaemia. Most of the identified patients sought treatment and were successfully started on cholesterol-lowering treatment to lower the risk of premature CVD. Our findings could have wider relevance for the screening of other prevalent genetic disorders in the population at large.","author":[{"dropping-particle":"","family":"Umans-Eckenhausen","given":"M A","non-dropping-particle":"","parse-names":false,"suffix":""},{"dropping-particle":"","family":"Defesche","given":"J C","non-dropping-particle":"","parse-names":false,"suffix":""},{"dropping-particle":"","family":"Sijbrands","given":"E J","non-dropping-particle":"","parse-names":false,"suffix":""},{"dropping-particle":"","family":"Scheerder","given":"R L","non-dropping-particle":"","parse-names":false,"suffix":""},{"dropping-particle":"","family":"Kastelein","given":"J J","non-dropping-particle":"","parse-names":false,"suffix":""}],"container-title":"Lancet (London, England)","id":"ITEM-1","issue":"9251","issued":{"date-parts":[["2001","1"]]},"language":"eng","page":"165-168","publisher-place":"England","title":"Review of first 5 years of screening for familial hypercholesterolaemia in the Netherlands.","type":"article-journal","volume":"357"},"uris":["http://www.mendeley.com/documents/?uuid=60c13ad9-3355-4775-a66d-a37853e4203c"]}],"mendeley":{"formattedCitation":"(Umans-Eckenhausen, Defesche, Sijbrands, Scheerder, &amp; Kastelein, 2001)","plainTextFormattedCitation":"(Umans-Eckenhausen, Defesche, Sijbrands, Scheerder, &amp; Kastelein, 2001)","previouslyFormattedCitation":"(Umans-Eckenhausen, Defesche, Sijbrands, Scheerder, &amp; Kastelein, 2001)"},"properties":{"noteIndex":0},"schema":"https://github.com/citation-style-language/schema/raw/master/csl-citation.json"}</w:instrText>
      </w:r>
      <w:r w:rsidR="0023327D" w:rsidRPr="0023327D">
        <w:fldChar w:fldCharType="separate"/>
      </w:r>
      <w:r w:rsidR="0023327D" w:rsidRPr="0023327D">
        <w:rPr>
          <w:noProof/>
        </w:rPr>
        <w:t>(Umans-Eckenhausen, Defesche, Sijbrands, Scheerder, &amp; Kastelein, 2001)</w:t>
      </w:r>
      <w:r w:rsidR="0023327D" w:rsidRPr="0023327D">
        <w:fldChar w:fldCharType="end"/>
      </w:r>
      <w:r w:rsidR="0023327D" w:rsidRPr="0023327D">
        <w:t>.</w:t>
      </w:r>
    </w:p>
    <w:p w14:paraId="6AC014BF" w14:textId="700B8FC0" w:rsidR="0023327D" w:rsidRDefault="0023327D" w:rsidP="0023327D">
      <w:r w:rsidRPr="0023327D">
        <w:t xml:space="preserve">Other </w:t>
      </w:r>
      <w:r w:rsidR="00BF7494">
        <w:t>researchers</w:t>
      </w:r>
      <w:r w:rsidRPr="0023327D">
        <w:t xml:space="preserve"> have </w:t>
      </w:r>
      <w:r w:rsidR="00CE5674">
        <w:t>investigated</w:t>
      </w:r>
      <w:r w:rsidRPr="0023327D">
        <w:t xml:space="preserve"> cholesterol screening rates specifically among people with FH using National Health and Nutrition Examination Study (NHANES) data from 1999-2014. Of those included in the NHANES dataset, 58% did not report their cholesterol levels. For those </w:t>
      </w:r>
      <w:r w:rsidR="00CE5674">
        <w:t>who</w:t>
      </w:r>
      <w:r w:rsidRPr="0023327D">
        <w:t xml:space="preserve"> reported having FH, cholesterol screening rates were 91.3% compared to 69.9% of the general population. Prevalence of statin use in adults with FH were</w:t>
      </w:r>
      <w:r w:rsidR="00CE5674">
        <w:t xml:space="preserve"> reported</w:t>
      </w:r>
      <w:r w:rsidRPr="0023327D">
        <w:t xml:space="preserve"> to have increased over time; however in 2014, only 52.3% reported using statins to lower their LDL-cholesterol levels </w:t>
      </w:r>
      <w:r w:rsidRPr="0023327D">
        <w:fldChar w:fldCharType="begin" w:fldLock="1"/>
      </w:r>
      <w:r w:rsidRPr="0023327D">
        <w:instrText>ADDIN CSL_CITATION {"citationItems":[{"id":"ITEM-1","itemData":{"DOI":"10.1161/CIRCULATIONAHA.117.032321","ISSN":"1524-4539 (Electronic)","PMID":"29581125","abstract":"BACKGROUND: Familial hypercholesterolemia (FH) and other extreme elevations in low-density lipoprotein cholesterol significantly increase the risk of atherosclerotic cardiovascular disease; however, recent data suggest that prescription rates for statins remain low in these patients. National rates of screening, awareness, and treatment with statins among individuals with FH or severe dyslipidemia are unknown. METHODS: Data from the 1999 to 2014 National Health and Nutrition Examination Survey were used to estimate prevalence rates of self-reported screening, awareness, and statin therapy among US adults (n=42 471 weighted to represent 212 million US adults) with FH (defined using the Dutch Lipid Clinic criteria) and with severe dyslipidemia (defined as low-density lipoprotein cholesterol levels &gt;/=190 mg/dL). Logistic regression was used to identify sociodemographic and clinical correlates of hypercholesterolemia awareness and statin therapy. RESULTS: The estimated US prevalence of definite/probable FH was 0.47% (standard error, 0.03%) and of severe dyslipidemia was 6.6% (standard error, 0.2%). The frequency of cholesterol screening and awareness was high (&gt;80%) among adults with definite/probable FH or severe dyslipidemia; however, statin use was uniformly low (52.3% [standard error, 8.2%] of adults with definite/probable FH and 37.6% [standard error, 1.2%] of adults with severe dyslipidemia). Only 30.3% of patients with definite/probable FH on statins were taking a high-intensity statin. The prevalence of statin use in adults with severe dyslipidemia increased over time (from 29.4% to 47.7%) but not faster than trends in the general population (from 5.7% to 17.6%). Older age, health insurance status, having a usual source of care, diabetes mellitus, hypertension, and having a personal history of early atherosclerotic cardiovascular disease were associated with higher statin use. CONCLUSIONS: Despite the high prevalence of cholesterol screening and awareness, only approximately 50% of adults with FH are on statin therapy, with even fewer prescribed a high-intensity statin; young and uninsured patients are at the highest risk for lack of screening and for undertreatment. This study highlights an imperative to improve the frequency of cholesterol screening and statin prescription rates to better identify and treat this high-risk population. Additional studies are needed to better understand how to close these gaps in screening and treatment.","author":[{"dropping-particle":"","family":"Bucholz","given":"Emily M","non-dropping-particle":"","parse-names":false,"suffix":""},{"dropping-particle":"","family":"Rodday","given":"Angie Mae","non-dropping-particle":"","parse-names":false,"suffix":""},{"dropping-particle":"","family":"Kolor","given":"Katherine","non-dropping-particle":"","parse-names":false,"suffix":""},{"dropping-particle":"","family":"Khoury","given":"Muin J","non-dropping-particle":"","parse-names":false,"suffix":""},{"dropping-particle":"","family":"Ferranti","given":"Sarah D","non-dropping-particle":"de","parse-names":false,"suffix":""}],"container-title":"Circulation","id":"ITEM-1","issue":"21","issued":{"date-parts":[["2018","5"]]},"language":"eng","page":"2218-2230","publisher-place":"United States","title":"Prevalence and Predictors of Cholesterol Screening, Awareness, and Statin Treatment Among US Adults With Familial Hypercholesterolemia or Other Forms of Severe Dyslipidemia (1999-2014).","type":"article-journal","volume":"137"},"uris":["http://www.mendeley.com/documents/?uuid=5b885246-4e3a-4def-b809-23243a583608"]}],"mendeley":{"formattedCitation":"(Bucholz, Rodday, Kolor, Khoury, &amp; de Ferranti, 2018)","plainTextFormattedCitation":"(Bucholz, Rodday, Kolor, Khoury, &amp; de Ferranti, 2018)","previouslyFormattedCitation":"(Bucholz, Rodday, Kolor, Khoury, &amp; de Ferranti, 2018)"},"properties":{"noteIndex":0},"schema":"https://github.com/citation-style-language/schema/raw/master/csl-citation.json"}</w:instrText>
      </w:r>
      <w:r w:rsidRPr="0023327D">
        <w:fldChar w:fldCharType="separate"/>
      </w:r>
      <w:r w:rsidRPr="0023327D">
        <w:rPr>
          <w:noProof/>
        </w:rPr>
        <w:t>(Bucholz, Rodday, Kolor, Khoury, &amp; de Ferranti, 2018)</w:t>
      </w:r>
      <w:r w:rsidRPr="0023327D">
        <w:fldChar w:fldCharType="end"/>
      </w:r>
      <w:r w:rsidRPr="0023327D">
        <w:t xml:space="preserve">. </w:t>
      </w:r>
      <w:r w:rsidR="00CE5674">
        <w:t xml:space="preserve">These results revealed a large discrepancy in the number of individuals with FH who are screened and the number who are subsequently treated for it. </w:t>
      </w:r>
    </w:p>
    <w:p w14:paraId="65E8C6E4" w14:textId="7F917E0B" w:rsidR="0023327D" w:rsidRDefault="0023327D" w:rsidP="003B681C">
      <w:pPr>
        <w:pStyle w:val="Heading2"/>
      </w:pPr>
      <w:bookmarkStart w:id="21" w:name="_Toc39065929"/>
      <w:r>
        <w:lastRenderedPageBreak/>
        <w:t xml:space="preserve">Health Disparities </w:t>
      </w:r>
      <w:r w:rsidR="00E401C5">
        <w:t>in FH Diagnoses</w:t>
      </w:r>
      <w:bookmarkEnd w:id="21"/>
    </w:p>
    <w:p w14:paraId="2E22FB0F" w14:textId="1156A3BE" w:rsidR="0023327D" w:rsidRDefault="000F3DAF" w:rsidP="00C3400A">
      <w:r>
        <w:t>In addition to the disparity between identification of individuals with FH and subsequent treatment, other disparities exist for</w:t>
      </w:r>
      <w:r w:rsidR="0023327D" w:rsidRPr="0023327D">
        <w:t xml:space="preserve"> certain groups and populations. </w:t>
      </w:r>
      <w:r w:rsidR="00A928E3">
        <w:t>T</w:t>
      </w:r>
      <w:r w:rsidR="00A928E3" w:rsidRPr="0023327D">
        <w:t>he CASCADE-FH patient registry</w:t>
      </w:r>
      <w:r w:rsidR="00A928E3">
        <w:t xml:space="preserve"> is</w:t>
      </w:r>
      <w:r w:rsidR="00A928E3" w:rsidRPr="0023327D">
        <w:t xml:space="preserve"> the only active national registry for FH patients in the U</w:t>
      </w:r>
      <w:r w:rsidR="00A928E3">
        <w:t>S and between February 2014 to September 2016, it contained records from 3537 individuals of all races and ethnicities who were enrolled at 26 different sites throughout the entire US</w:t>
      </w:r>
      <w:r w:rsidR="00A928E3" w:rsidRPr="0023327D">
        <w:t xml:space="preserve">. </w:t>
      </w:r>
      <w:r w:rsidR="00A928E3">
        <w:t xml:space="preserve">With information from this registry, </w:t>
      </w:r>
      <w:proofErr w:type="spellStart"/>
      <w:r>
        <w:t>Amrock</w:t>
      </w:r>
      <w:proofErr w:type="spellEnd"/>
      <w:r>
        <w:t xml:space="preserve"> and colleagues (2017) showed that women were diagnosed, on average, four years after men and were 40% less likely to have a statin regimen after being diagnosed.</w:t>
      </w:r>
      <w:r w:rsidR="00A928E3">
        <w:t xml:space="preserve"> </w:t>
      </w:r>
      <w:r w:rsidR="00C47C09">
        <w:t>The investigators also reported that</w:t>
      </w:r>
      <w:r w:rsidR="00C47C09" w:rsidRPr="00C47C09">
        <w:t xml:space="preserve"> </w:t>
      </w:r>
      <w:r w:rsidR="00C47C09" w:rsidRPr="0023327D">
        <w:t>Blacks were diagnosed at a later age</w:t>
      </w:r>
      <w:r w:rsidR="00C47C09">
        <w:t xml:space="preserve"> </w:t>
      </w:r>
      <w:r w:rsidR="00C47C09" w:rsidRPr="0023327D">
        <w:t>compared to all other races and ethnicities, despite having prevalence rates that were comparable to Whites</w:t>
      </w:r>
      <w:r w:rsidR="00C47C09">
        <w:t>.</w:t>
      </w:r>
      <w:r w:rsidR="00C47C09" w:rsidRPr="0023327D">
        <w:t xml:space="preserve"> </w:t>
      </w:r>
      <w:r w:rsidR="00C47C09">
        <w:t xml:space="preserve">In addition, </w:t>
      </w:r>
      <w:r w:rsidR="00A928E3" w:rsidRPr="0023327D">
        <w:t>Blacks and Asians were also less likely to achieve 50% LDL-cholesterol reduction after being diagnosed</w:t>
      </w:r>
      <w:r w:rsidR="00C47C09">
        <w:t xml:space="preserve"> </w:t>
      </w:r>
      <w:r w:rsidR="00C47C09">
        <w:fldChar w:fldCharType="begin" w:fldLock="1"/>
      </w:r>
      <w:r w:rsidR="0094334A">
        <w:instrText>ADDIN CSL_CITATION {"citationItems":[{"id":"ITEM-1","itemData":{"DOI":"10.1016/j.atherosclerosis.2017.10.006","ISSN":"1879-1484 (Electronic)","PMID":"29080546","abstract":"BACKGROUND AND AIMS: Most familial hypercholesterolemia (FH) patients remain undertreated, and it is unclear what role health disparities may play for FH patients in the US. We sought to describe sex and racial/ethnic disparities in a national registry of US FH patients. METHODS: We analyzed data from 3167 adults enrolled in the CAscade SCreening for Awareness and DEtection of Familial Hypercholesterolemia (CASCADE-FH) registry. Logistic regression was used to evaluate for disparities in LDL-C goals and statin use, with adjustments for covariates including age, cardiovascular risk factors, and statin intolerance. RESULTS: In adjusted analyses, women were less likely than men to achieve treated LDL-C of &lt;100 mg/dL (OR 0.68, 95% CI, 0.57-0.82) or &gt;/=50% reduction from pretreatment LDL-C (OR 0.79, 95% CI, 0.65-0.96). Women were less likely than men to receive statin therapy (OR, 0.60, 95% CI, 0.50-0.73) and less likely to receive a high-intensity statin (OR, 0.60, 95% CI, 0.49-0.72). LDL-C goal achievement also varied by race/ethnicity: compared with whites, Asians and blacks were less likely to achieve LDL-C levels &lt;100 mg/dL (Asians, OR, 0.47, 95% CI, 0.24-0.94; blacks, OR, 0.49, 95% CI, 0.32-0.74) or &gt;/=50% reduction from pretreatment LDL-C (Asians, OR 0.56, 95% CI, 0.32-0.98; blacks, OR 0.62, 95% CI, 0.43-0.90). CONCLUSIONS: In a contemporary US population of FH patients, we identified differences in LDL-C goal attainment and statin usage after stratifying the population by either sex or race/ethnicity. Our findings suggest that health disparities contribute to the undertreatment of US FH patients. Increased efforts are warranted to raise awareness of these disparities.","author":[{"dropping-particle":"","family":"Amrock","given":"Stephen M","non-dropping-particle":"","parse-names":false,"suffix":""},{"dropping-particle":"","family":"Duell","given":"P Barton","non-dropping-particle":"","parse-names":false,"suffix":""},{"dropping-particle":"","family":"Knickelbine","given":"Thomas","non-dropping-particle":"","parse-names":false,"suffix":""},{"dropping-particle":"","family":"Martin","given":"Seth S","non-dropping-particle":"","parse-names":false,"suffix":""},{"dropping-particle":"","family":"O'Brien","given":"Emily C","non-dropping-particle":"","parse-names":false,"suffix":""},{"dropping-particle":"","family":"Watson","given":"Karol E","non-dropping-particle":"","parse-names":false,"suffix":""},{"dropping-particle":"","family":"Mitri","given":"Joanna","non-dropping-particle":"","parse-names":false,"suffix":""},{"dropping-particle":"","family":"Kindt","given":"Iris","non-dropping-particle":"","parse-names":false,"suffix":""},{"dropping-particle":"","family":"Shrader","given":"Peter","non-dropping-particle":"","parse-names":false,"suffix":""},{"dropping-particle":"","family":"Baum","given":"Seth J","non-dropping-particle":"","parse-names":false,"suffix":""},{"dropping-particle":"","family":"Hemphill","given":"Linda C","non-dropping-particle":"","parse-names":false,"suffix":""},{"dropping-particle":"","family":"Ahmed","given":"Catherine D","non-dropping-particle":"","parse-names":false,"suffix":""},{"dropping-particle":"","family":"Andersen","given":"Rolf L","non-dropping-particle":"","parse-names":false,"suffix":""},{"dropping-particle":"","family":"Kullo","given":"Iftikhar J","non-dropping-particle":"","parse-names":false,"suffix":""},{"dropping-particle":"","family":"McCann","given":"Dervilla","non-dropping-particle":"","parse-names":false,"suffix":""},{"dropping-particle":"","family":"Larry","given":"John A","non-dropping-particle":"","parse-names":false,"suffix":""},{"dropping-particle":"","family":"Murray","given":"Michael F","non-dropping-particle":"","parse-names":false,"suffix":""},{"dropping-particle":"","family":"Fishberg","given":"Robert","non-dropping-particle":"","parse-names":false,"suffix":""},{"dropping-particle":"","family":"Guyton","given":"John R","non-dropping-particle":"","parse-names":false,"suffix":""},{"dropping-particle":"","family":"Wilemon","given":"Katherine","non-dropping-particle":"","parse-names":false,"suffix":""},{"dropping-particle":"","family":"Roe","given":"Matthew T","non-dropping-particle":"","parse-names":false,"suffix":""},{"dropping-particle":"","family":"Rader","given":"Daniel J","non-dropping-particle":"","parse-names":false,"suffix":""},{"dropping-particle":"","family":"Ballantyne","given":"Christie M","non-dropping-particle":"","parse-names":false,"suffix":""},{"dropping-particle":"","family":"Underberg","given":"James A","non-dropping-particle":"","parse-names":false,"suffix":""},{"dropping-particle":"","family":"Thompson","given":"Paul","non-dropping-particle":"","parse-names":false,"suffix":""},{"dropping-particle":"","family":"Duffy","given":"Dannielle","non-dropping-particle":"","parse-names":false,"suffix":""},{"dropping-particle":"","family":"Linton","given":"MacRae F","non-dropping-particle":"","parse-names":false,"suffix":""},{"dropping-particle":"","family":"Shapiro","given":"Michael D","non-dropping-particle":"","parse-names":false,"suffix":""},{"dropping-particle":"","family":"Moriarty","given":"Patrick M","non-dropping-particle":"","parse-names":false,"suffix":""},{"dropping-particle":"","family":"Knowles","given":"Joshua W","non-dropping-particle":"","parse-names":false,"suffix":""},{"dropping-particle":"","family":"Ahmad","given":"Zahid S","non-dropping-particle":"","parse-names":false,"suffix":""}],"container-title":"Atherosclerosis","id":"ITEM-1","issued":{"date-parts":[["2017","12"]]},"language":"eng","page":"19-26","publisher-place":"Ireland","title":"Health disparities among adult patients with a phenotypic diagnosis of familial hypercholesterolemia in the CASCADE-FH patient registry.","type":"article-journal","volume":"267"},"uris":["http://www.mendeley.com/documents/?uuid=2c6eea26-de69-4e03-a84a-3c4469228fe8"]}],"mendeley":{"formattedCitation":"(Amrock et al., 2017)","plainTextFormattedCitation":"(Amrock et al., 2017)","previouslyFormattedCitation":"(Amrock et al., 2017)"},"properties":{"noteIndex":0},"schema":"https://github.com/citation-style-language/schema/raw/master/csl-citation.json"}</w:instrText>
      </w:r>
      <w:r w:rsidR="00C47C09">
        <w:fldChar w:fldCharType="separate"/>
      </w:r>
      <w:r w:rsidR="00C47C09" w:rsidRPr="00C47C09">
        <w:rPr>
          <w:noProof/>
        </w:rPr>
        <w:t>(Amrock et al., 2017)</w:t>
      </w:r>
      <w:r w:rsidR="00C47C09">
        <w:fldChar w:fldCharType="end"/>
      </w:r>
      <w:r w:rsidR="00C47C09">
        <w:t xml:space="preserve">. </w:t>
      </w:r>
    </w:p>
    <w:p w14:paraId="0F064D50" w14:textId="549FB49D" w:rsidR="00C3400A" w:rsidRPr="0023327D" w:rsidRDefault="00C3400A" w:rsidP="00C3400A"/>
    <w:p w14:paraId="7FD0A7E3" w14:textId="0D34F100" w:rsidR="00B917F0" w:rsidRDefault="00FC69F6" w:rsidP="00FA229B">
      <w:pPr>
        <w:pStyle w:val="Heading1"/>
      </w:pPr>
      <w:bookmarkStart w:id="22" w:name="_Toc39065930"/>
      <w:r>
        <w:lastRenderedPageBreak/>
        <w:t>Background on American Samoa and the Independent Nation of Samoa</w:t>
      </w:r>
      <w:bookmarkEnd w:id="22"/>
    </w:p>
    <w:p w14:paraId="73BD72A1" w14:textId="5A801029" w:rsidR="00C3400A" w:rsidRDefault="00E716AA" w:rsidP="00C3400A">
      <w:r>
        <w:t xml:space="preserve">American Samoa and the independent nation of Samoa </w:t>
      </w:r>
      <w:r w:rsidR="00C7390E">
        <w:t>have undergone an</w:t>
      </w:r>
      <w:r>
        <w:t xml:space="preserve"> epidemiologic transition as non-communicable diseases (NCD), such as CVD, diabetes, and obesity</w:t>
      </w:r>
      <w:r w:rsidR="00C7390E">
        <w:t>,</w:t>
      </w:r>
      <w:r>
        <w:t xml:space="preserve"> </w:t>
      </w:r>
      <w:r w:rsidR="00C7390E">
        <w:t>have increased</w:t>
      </w:r>
      <w:r>
        <w:t xml:space="preserve">, while infectious diseases and maternal, neonatal, and perinatal </w:t>
      </w:r>
      <w:r w:rsidR="00A572D1">
        <w:t>mortality</w:t>
      </w:r>
      <w:r w:rsidR="00C7390E">
        <w:t>,</w:t>
      </w:r>
      <w:r>
        <w:t xml:space="preserve"> </w:t>
      </w:r>
      <w:r w:rsidR="00C7390E">
        <w:t xml:space="preserve">have </w:t>
      </w:r>
      <w:r>
        <w:t xml:space="preserve">declined </w:t>
      </w:r>
      <w:r>
        <w:fldChar w:fldCharType="begin" w:fldLock="1"/>
      </w:r>
      <w:r w:rsidR="007424CB">
        <w:instrText>ADDIN CSL_CITATION {"citationItems":[{"id":"ITEM-1","itemData":{"DOI":"10.1002/ajhb.22269","ISSN":"1520-6300 (Electronic)","PMID":"22430949","abstract":"OBJECTIVE: To describe the prevalence of cardiometabolic risk factor clustering in  Samoan adolescents and to relate risk factor clustering to weight status and general modernization. METHODS: Anthropometric and biochemical data collected from adolescents aged 12-17.9 years who participated in the Samoan Family Study of Overweight and Diabetes were used to describe the prevalence of cardiometabolic risk factors (high waist circumference, high blood pressure, high triglyceride level, low-high-density lipoprotein cholesterol, and high fasting serum glucose). A total of 436 adolescents were included in this analysis; 237 (54.4%) from American Samoa (n = 123 males) and 199 (45.6%) from Samoa (n = 90 males). Risk factor clustering was indicated by the presence of ≥ 3 risk factors. RESULTS: Cardiometabolic risk factor clustering was greater in American Samoan adolescents (17.9% males, 21.9% females) than Samoan adolescents (1.1% males, 2.8% females). The frequency of risk factor clustering varied according to body mass index status. In males, risk factor clustering was entirely confined to obese adolescents, whereas female adolescents who were overweight or obese were at risk. CONCLUSIONS: Cardiometabolic risk factor clustering is prevalent in the young American Samoan population and is likely to become more prevalent with increasing modernization in Samoan youth. Screening and intervention should be targeted at this age group to reduce the non-communicable disease burden faced by these populations.","author":[{"dropping-particle":"","family":"Hawley","given":"Nicola L","non-dropping-particle":"","parse-names":false,"suffix":""},{"dropping-particle":"","family":"Wier","given":"Lauren M","non-dropping-particle":"","parse-names":false,"suffix":""},{"dropping-particle":"","family":"Cash","given":"Haley L","non-dropping-particle":"","parse-names":false,"suffix":""},{"dropping-particle":"","family":"Viali","given":"Satupaitea","non-dropping-particle":"","parse-names":false,"suffix":""},{"dropping-particle":"","family":"Tuitele","given":"John","non-dropping-particle":"","parse-names":false,"suffix":""},{"dropping-particle":"","family":"McGarvey","given":"Stephen T","non-dropping-particle":"","parse-names":false,"suffix":""}],"container-title":"American journal of human biology : the official journal of the Human Biology  Council","id":"ITEM-1","issue":"4","issued":{"date-parts":[["2012"]]},"language":"eng","page":"551-557","title":"Modernization and cardiometabolic risk in Samoan adolescents.","type":"article-journal","volume":"24"},"uris":["http://www.mendeley.com/documents/?uuid=586a9aa2-8ef2-4398-803c-c0c7e67f9b91"]}],"mendeley":{"formattedCitation":"(Hawley et al., 2012)","plainTextFormattedCitation":"(Hawley et al., 2012)","previouslyFormattedCitation":"(Hawley et al., 2012)"},"properties":{"noteIndex":0},"schema":"https://github.com/citation-style-language/schema/raw/master/csl-citation.json"}</w:instrText>
      </w:r>
      <w:r>
        <w:fldChar w:fldCharType="separate"/>
      </w:r>
      <w:r w:rsidRPr="00E716AA">
        <w:rPr>
          <w:noProof/>
        </w:rPr>
        <w:t>(Hawley et al., 2012)</w:t>
      </w:r>
      <w:r>
        <w:fldChar w:fldCharType="end"/>
      </w:r>
      <w:r>
        <w:t xml:space="preserve">. The increase in NCD is due in part to a shift in lifestyles and diet as these two nations experienced a rapid modernization, growing </w:t>
      </w:r>
      <w:r w:rsidR="00A572D1">
        <w:t xml:space="preserve">urbanization, and better healthcare access. However, there is also a shift towards a more sedentary lifestyle and increase in risk factors such as smoking, unhealthy eating habits, and alcohol consumption that has led to an increase in NCD rates. </w:t>
      </w:r>
    </w:p>
    <w:p w14:paraId="2CECBD20" w14:textId="60E764B2" w:rsidR="00FC69F6" w:rsidRDefault="007424CB" w:rsidP="00AE68AF">
      <w:r>
        <w:t>Although t</w:t>
      </w:r>
      <w:r w:rsidR="00F3034A">
        <w:t xml:space="preserve">he populations of American Samoa and the independent nation of Samoa are genetically homogenous due to continual interaction and migration, the two nations are under different stages of modernization </w:t>
      </w:r>
      <w:r w:rsidR="00F3034A">
        <w:fldChar w:fldCharType="begin" w:fldLock="1"/>
      </w:r>
      <w:r w:rsidR="00FC69F6">
        <w:instrText>ADDIN CSL_CITATION {"citationItems":[{"id":"ITEM-1","itemData":{"DOI":"10.1002/ajhb.22553","ISSN":"1042-0533","abstract":"ABSTRACT Objective To describe the prevalence of obesity-related noncommunicable diseases (NCDs) and associated risk factors in a sample of Samoan adults studied in 2010 as part of a genome-wide assocation study (GWAS) for obesity related traits. Methods Anthropometric and biochemical data collected from n = 3,475 participants (n = 1,437 male; n = 2,038 female) aged 24.5 to &lt;65 years were used to describe the prevalence of obesity, diabetes, hypertension, and dyslipidemia within the study sample. One way analysis of variance, ?2 tests, and binary logistic regression were used to identify differences in disease and risk factor prevalence by 10-year age group, gender, or by census region of residence. Results Obesity was highly prevalent among the study sample; 64.6% of females and 41.2% of males were obese according to Polynesian cutoffs (BMI ≥ 32 kg/m2). Females were less likely than males to have hypertension (31.7% vs. 36.7%) but equally likely to have diabetes (17.8% vs. 16.4%). With the exception of obesity and low HDL-cholesterol in females only, there were significant differences in the prevalence of all NCDs and associated risk factors by age group, with the oldest age group (55 to &lt;65 years) most affected. In both sexes, residents of the Apia Urban Area were at significantly greater risk of obesity, diabetes, low HDL-cholesterol, and high triglycerides than residents of the more rural Savaii region. Conclusions The phenotypic characteristics of this sample provide evidence of a continuation of previously reported temporal trends toward obesity and its associated disorders. Attention must be paid to the critical NCD situation in Samoa. Am. J. Hum. Biol. 26:491?501, 2014. ? 2014 Wiley Periodicals, Inc.","author":[{"dropping-particle":"","family":"Hawley","given":"Nicola L","non-dropping-particle":"","parse-names":false,"suffix":""},{"dropping-particle":"","family":"Minster","given":"Ryan L","non-dropping-particle":"","parse-names":false,"suffix":""},{"dropping-particle":"","family":"Weeks","given":"Daniel E","non-dropping-particle":"","parse-names":false,"suffix":""},{"dropping-particle":"","family":"Viali","given":"Satupaitea","non-dropping-particle":"","parse-names":false,"suffix":""},{"dropping-particle":"","family":"Reupena","given":"Muagututia Sefuiva","non-dropping-particle":"","parse-names":false,"suffix":""},{"dropping-particle":"","family":"Sun","given":"Guangyun","non-dropping-particle":"","parse-names":false,"suffix":""},{"dropping-particle":"","family":"Cheng","given":"Hong","non-dropping-particle":"","parse-names":false,"suffix":""},{"dropping-particle":"","family":"Deka","given":"Ranjan","non-dropping-particle":"","parse-names":false,"suffix":""},{"dropping-particle":"","family":"Mcgarvey","given":"Stephen T","non-dropping-particle":"","parse-names":false,"suffix":""}],"container-title":"American Journal of Human Biology","id":"ITEM-1","issue":"4","issued":{"date-parts":[["2014","7","1"]]},"note":"doi: 10.1002/ajhb.22553","page":"491-501","publisher":"John Wiley &amp; Sons, Ltd","title":"Prevalence of adiposity and associated cardiometabolic risk factors in the samoan genome-wide association study","type":"article-journal","volume":"26"},"uris":["http://www.mendeley.com/documents/?uuid=e7a73a49-e19a-4ec0-94e9-ac40343a20ad"]}],"mendeley":{"formattedCitation":"(Hawley et al., 2014)","plainTextFormattedCitation":"(Hawley et al., 2014)","previouslyFormattedCitation":"(Hawley et al., 2014)"},"properties":{"noteIndex":0},"schema":"https://github.com/citation-style-language/schema/raw/master/csl-citation.json"}</w:instrText>
      </w:r>
      <w:r w:rsidR="00F3034A">
        <w:fldChar w:fldCharType="separate"/>
      </w:r>
      <w:r w:rsidR="00F3034A" w:rsidRPr="00F3034A">
        <w:rPr>
          <w:noProof/>
        </w:rPr>
        <w:t>(Hawley et al., 2014)</w:t>
      </w:r>
      <w:r w:rsidR="00F3034A">
        <w:fldChar w:fldCharType="end"/>
      </w:r>
      <w:r w:rsidR="00F3034A">
        <w:t>. American Samoa is more modernized than independent Samoa, and as a result, lifestyles and diet</w:t>
      </w:r>
      <w:r w:rsidR="00C759A2">
        <w:t xml:space="preserve"> differ</w:t>
      </w:r>
      <w:r w:rsidR="00F3034A">
        <w:t xml:space="preserve">. </w:t>
      </w:r>
      <w:r w:rsidR="00FC69F6">
        <w:fldChar w:fldCharType="begin" w:fldLock="1"/>
      </w:r>
      <w:r w:rsidR="00383C76">
        <w:instrText>ADDIN CSL_CITATION {"citationItems":[{"id":"ITEM-1","itemData":{"DOI":"10.1016/s0002-8223(99)00044-9","ISSN":"0002-8223 (Print)","PMID":"9972185","abstract":"OBJECTIVE: To describe the dietary intake of American and Western Samoans, with emphasis on nutrients conventionally related to risk factors for cardiovascular disease. DESIGN: Cross-sectional dietary survey. Intake estimates were based on 24-hour recall interviews. SUBJECT: Community-based samples of 946 men and women (455 American Samoans, 491 Western Samoans) aged 25 to 55 years. STATISTICAL ANALYSES: Tests of differences in means (t tests) and proportions (chi 2 tests). Correlation and multivariate linear regression analyses were conducted to describe correlates of energy and nutrient intakes. RESULTS: Few differences were noted between the energy and nutrient intakes of men and women, but substantial differences were found between residents of American Samoa and those of the less modernized country of Western Samoa. American Samoans consumed significantly more energy as carbohydrate (47% vs 44%) and protein (18% vs 13%) and less as fat (36% vs 46%) and saturated fat (16% vs 30%). Energy-adjusted intakes of cholesterol and sodium were higher among American Samoans. These differences persisted after adjustment for age, gender, years of education, occupation, and categories of a 10-point material lifestyle score. Samoans in the lowest category of material lifestyle had significantly lower energy-adjusted intakes of protein, cholesterol, and sodium and higher intakes of saturated fat than those in the upper 2 categories. Additional analyses described the contribution of specific foods to the intakes of energy and macronutrients. CONCLUSIONS/APPLICATIONS: The observed energy and nutrient intake patterns are consistent with previously reported levels of obesity and risk factors for cardiovascular disease among Samoans and suggest dietary modification for those at highest risk. Dietetics practitioners who counsel Samoan and other Pacific Islander clients should be aware of these intake patterns, which seem particularly malleable to levels of personal income. More generally, results from this study illustrate that the food choices of certain ethnic groups may be profoundly affected by the process of modernization within a country or by migration to a more economically developed locale.","author":[{"dropping-particle":"","family":"Galanis","given":"D J","non-dropping-particle":"","parse-names":false,"suffix":""},{"dropping-particle":"","family":"McGarvey","given":"S T","non-dropping-particle":"","parse-names":false,"suffix":""},{"dropping-particle":"","family":"Quested","given":"C","non-dropping-particle":"","parse-names":false,"suffix":""},{"dropping-particle":"","family":"Sio","given":"B","non-dropping-particle":"","parse-names":false,"suffix":""},{"dropping-particle":"","family":"Afele-Fa'amuli","given":"S A","non-dropping-particle":"","parse-names":false,"suffix":""}],"container-title":"Journal of the American Dietetic Association","id":"ITEM-1","issue":"2","issued":{"date-parts":[["1999","2"]]},"language":"eng","page":"184-190","publisher-place":"United States","title":"Dietary intake of modernizing Samoans: implications for risk of cardiovascular disease.","type":"article-journal","volume":"99"},"uris":["http://www.mendeley.com/documents/?uuid=4ddd1b79-4eb2-49a4-aab4-73e60f234e7d"]}],"mendeley":{"formattedCitation":"(Galanis, McGarvey, Quested, Sio, &amp; Afele-Fa’amuli, 1999)","manualFormatting":"Galanis et al.","plainTextFormattedCitation":"(Galanis, McGarvey, Quested, Sio, &amp; Afele-Fa’amuli, 1999)","previouslyFormattedCitation":"(Galanis, McGarvey, Quested, Sio, &amp; Afele-Fa’amuli, 1999)"},"properties":{"noteIndex":0},"schema":"https://github.com/citation-style-language/schema/raw/master/csl-citation.json"}</w:instrText>
      </w:r>
      <w:r w:rsidR="00FC69F6">
        <w:fldChar w:fldCharType="separate"/>
      </w:r>
      <w:r w:rsidR="00FC69F6" w:rsidRPr="00FC69F6">
        <w:rPr>
          <w:noProof/>
        </w:rPr>
        <w:t>Galanis</w:t>
      </w:r>
      <w:r w:rsidR="00FC69F6">
        <w:rPr>
          <w:noProof/>
        </w:rPr>
        <w:t xml:space="preserve"> et al.</w:t>
      </w:r>
      <w:r w:rsidR="00FC69F6">
        <w:fldChar w:fldCharType="end"/>
      </w:r>
      <w:r w:rsidR="00FC69F6">
        <w:t xml:space="preserve"> (1999) found that in American Samoa, there was increased energy uptake in the form of carbohydrates and protein and less fat and saturated fat intake</w:t>
      </w:r>
      <w:r w:rsidR="000C704C">
        <w:t>,</w:t>
      </w:r>
      <w:r w:rsidR="00FC69F6">
        <w:t xml:space="preserve"> whereas in the lower socioeconomic status (SES) of Samoa, there was a higher intake of fat and lower energy intake of carbohydrates, sodium, and protein. </w:t>
      </w:r>
      <w:r w:rsidR="00383C76">
        <w:t xml:space="preserve">In addition to differences in diet, </w:t>
      </w:r>
      <w:r w:rsidR="00383C76">
        <w:fldChar w:fldCharType="begin" w:fldLock="1"/>
      </w:r>
      <w:r w:rsidR="00383C76">
        <w:instrText>ADDIN CSL_CITATION {"citationItems":[{"id":"ITEM-1","itemData":{"DOI":"10.1016/j.socscimed.2006.06.023","ISSN":"0277-9536 (Print)","PMID":"16876925","abstract":"Early in economic development there are positive associations between socioeconomic status (SES) and cardiovascular disease (CVD) risk factors, and in the most developed market economy societies there are negative associations. The purpose of this report is to describe cross-sectional and longitudinal associations between indicators of SES and CVD risk factors in a genetically homogenous population of Samoans at different levels of economic development. At baseline 1289 participants 25-58yrs, and at 4-year follow-up, 963 participants were studied in less economically developed Samoa and in more developed American Samoa. SES was assessed by education, occupation, and material lifestyle at baseline. The CVD risk factors, obesity, type-2 diabetes and hypertension were measured at baseline and 4-year follow-up, and an index of any incident CVD risk factor at follow-up was calculated. Sex and location (Samoa and American Samoa) specific multivariable logistic regression models were used to test for relationships between SES and CVD risk factors at baseline after adjustment for age and the other SES indicators. In addition an ordinal SES index was constructed for each individual based on all three SES indicators, and used in a multivariable model to estimate the predicted probability of CVD risk factors across the SES index for the two locations. In both the models using specific SES measures and CVD risk factor outcomes, and the models using the ordinal SES index and predicted probabilities of CVD risk factors, we detected a pattern of high SES associated with: (1) elevated odds of CVD risk factors in less developed Samoa, and (2) decreased odds of CVD risk factors in more developed American Samoa. We conclude that the pattern of inverse associations between SES and CVD risk factors in Samoa and direct associations in American Samoa is attributable to the heterogeneity across the Samoas in specific exposures to social processes of economic development and the natural history of individual CVD risk factors. The findings suggest that interventions on non-communicable diseases in the Samoas must be devised based on the level of economic development, the socio-economic context of risk factor exposures, and individual characteristics such as age, sex and education level.","author":[{"dropping-particle":"","family":"Ezeamama","given":"Amara E","non-dropping-particle":"","parse-names":false,"suffix":""},{"dropping-particle":"","family":"Viali","given":"Satupaitea","non-dropping-particle":"","parse-names":false,"suffix":""},{"dropping-particle":"","family":"Tuitele","given":"John","non-dropping-particle":"","parse-names":false,"suffix":""},{"dropping-particle":"","family":"McGarvey","given":"Stephen T","non-dropping-particle":"","parse-names":false,"suffix":""}],"container-title":"Social science &amp; medicine (1982)","id":"ITEM-1","issue":"10","issued":{"date-parts":[["2006","11"]]},"language":"eng","page":"2533-2545","publisher-place":"England","title":"The influence of socioeconomic factors on cardiovascular disease risk factors in  the context of economic development in the Samoan archipelago.","type":"article-journal","volume":"63"},"uris":["http://www.mendeley.com/documents/?uuid=42436bf6-b109-4704-94e3-b3978e2dacea"]}],"mendeley":{"formattedCitation":"(Ezeamama, Viali, Tuitele, &amp; McGarvey, 2006)","manualFormatting":"Ezeamama et al. (2006)","plainTextFormattedCitation":"(Ezeamama, Viali, Tuitele, &amp; McGarvey, 2006)","previouslyFormattedCitation":"(Ezeamama, Viali, Tuitele, &amp; McGarvey, 2006)"},"properties":{"noteIndex":0},"schema":"https://github.com/citation-style-language/schema/raw/master/csl-citation.json"}</w:instrText>
      </w:r>
      <w:r w:rsidR="00383C76">
        <w:fldChar w:fldCharType="separate"/>
      </w:r>
      <w:r w:rsidR="00383C76" w:rsidRPr="00383C76">
        <w:rPr>
          <w:noProof/>
        </w:rPr>
        <w:t>Ezeamama</w:t>
      </w:r>
      <w:r w:rsidR="00383C76">
        <w:rPr>
          <w:noProof/>
        </w:rPr>
        <w:t xml:space="preserve"> et al. (</w:t>
      </w:r>
      <w:r w:rsidR="00383C76" w:rsidRPr="00383C76">
        <w:rPr>
          <w:noProof/>
        </w:rPr>
        <w:t>2006)</w:t>
      </w:r>
      <w:r w:rsidR="00383C76">
        <w:fldChar w:fldCharType="end"/>
      </w:r>
      <w:r w:rsidR="00383C76">
        <w:t xml:space="preserve"> found that differences in SES also contributed to the presence of CVD risk factors. High SES correlated with higher odds of risk factors in American Samoa, but decreased odds of risk factors in independent Samoa </w:t>
      </w:r>
      <w:r w:rsidR="00383C76">
        <w:fldChar w:fldCharType="begin" w:fldLock="1"/>
      </w:r>
      <w:r w:rsidR="00AE68AF">
        <w:instrText>ADDIN CSL_CITATION {"citationItems":[{"id":"ITEM-1","itemData":{"DOI":"10.1016/j.socscimed.2006.06.023","ISSN":"0277-9536 (Print)","PMID":"16876925","abstract":"Early in economic development there are positive associations between socioeconomic status (SES) and cardiovascular disease (CVD) risk factors, and in the most developed market economy societies there are negative associations. The purpose of this report is to describe cross-sectional and longitudinal associations between indicators of SES and CVD risk factors in a genetically homogenous population of Samoans at different levels of economic development. At baseline 1289 participants 25-58yrs, and at 4-year follow-up, 963 participants were studied in less economically developed Samoa and in more developed American Samoa. SES was assessed by education, occupation, and material lifestyle at baseline. The CVD risk factors, obesity, type-2 diabetes and hypertension were measured at baseline and 4-year follow-up, and an index of any incident CVD risk factor at follow-up was calculated. Sex and location (Samoa and American Samoa) specific multivariable logistic regression models were used to test for relationships between SES and CVD risk factors at baseline after adjustment for age and the other SES indicators. In addition an ordinal SES index was constructed for each individual based on all three SES indicators, and used in a multivariable model to estimate the predicted probability of CVD risk factors across the SES index for the two locations. In both the models using specific SES measures and CVD risk factor outcomes, and the models using the ordinal SES index and predicted probabilities of CVD risk factors, we detected a pattern of high SES associated with: (1) elevated odds of CVD risk factors in less developed Samoa, and (2) decreased odds of CVD risk factors in more developed American Samoa. We conclude that the pattern of inverse associations between SES and CVD risk factors in Samoa and direct associations in American Samoa is attributable to the heterogeneity across the Samoas in specific exposures to social processes of economic development and the natural history of individual CVD risk factors. The findings suggest that interventions on non-communicable diseases in the Samoas must be devised based on the level of economic development, the socio-economic context of risk factor exposures, and individual characteristics such as age, sex and education level.","author":[{"dropping-particle":"","family":"Ezeamama","given":"Amara E","non-dropping-particle":"","parse-names":false,"suffix":""},{"dropping-particle":"","family":"Viali","given":"Satupaitea","non-dropping-particle":"","parse-names":false,"suffix":""},{"dropping-particle":"","family":"Tuitele","given":"John","non-dropping-particle":"","parse-names":false,"suffix":""},{"dropping-particle":"","family":"McGarvey","given":"Stephen T","non-dropping-particle":"","parse-names":false,"suffix":""}],"container-title":"Social science &amp; medicine (1982)","id":"ITEM-1","issue":"10","issued":{"date-parts":[["2006","11"]]},"language":"eng","page":"2533-2545","publisher-place":"England","title":"The influence of socioeconomic factors on cardiovascular disease risk factors in  the context of economic development in the Samoan archipelago.","type":"article-journal","volume":"63"},"uris":["http://www.mendeley.com/documents/?uuid=42436bf6-b109-4704-94e3-b3978e2dacea"]}],"mendeley":{"formattedCitation":"(Ezeamama et al., 2006)","plainTextFormattedCitation":"(Ezeamama et al., 2006)","previouslyFormattedCitation":"(Ezeamama et al., 2006)"},"properties":{"noteIndex":0},"schema":"https://github.com/citation-style-language/schema/raw/master/csl-citation.json"}</w:instrText>
      </w:r>
      <w:r w:rsidR="00383C76">
        <w:fldChar w:fldCharType="separate"/>
      </w:r>
      <w:r w:rsidR="00383C76" w:rsidRPr="00383C76">
        <w:rPr>
          <w:noProof/>
        </w:rPr>
        <w:t>(Ezeamama et al., 2006)</w:t>
      </w:r>
      <w:r w:rsidR="00383C76">
        <w:fldChar w:fldCharType="end"/>
      </w:r>
      <w:r w:rsidR="00383C76">
        <w:t xml:space="preserve">. </w:t>
      </w:r>
      <w:r w:rsidR="00AE68AF">
        <w:t xml:space="preserve"> </w:t>
      </w:r>
    </w:p>
    <w:p w14:paraId="530534FC" w14:textId="5A8D5AFF" w:rsidR="00541117" w:rsidRDefault="00541117" w:rsidP="00C3400A">
      <w:r>
        <w:t>The WHO reported that chronic diseases were responsible for 71% of deaths in Samoa in 2002</w:t>
      </w:r>
      <w:r w:rsidR="007424CB">
        <w:t xml:space="preserve"> with 37% due to CVD. </w:t>
      </w:r>
      <w:r w:rsidR="004A073C">
        <w:t>They</w:t>
      </w:r>
      <w:r w:rsidR="007424CB">
        <w:t xml:space="preserve"> also reported that the p</w:t>
      </w:r>
      <w:r w:rsidR="004A073C">
        <w:t>ercent of individuals who are</w:t>
      </w:r>
      <w:r w:rsidR="007424CB">
        <w:t xml:space="preserve"> overweight </w:t>
      </w:r>
      <w:r w:rsidR="007424CB">
        <w:lastRenderedPageBreak/>
        <w:t>has increased over the past few decades</w:t>
      </w:r>
      <w:r w:rsidR="004A073C">
        <w:t>; in 2005,</w:t>
      </w:r>
      <w:r w:rsidR="007424CB">
        <w:t xml:space="preserve"> 85% of men and 89% of women </w:t>
      </w:r>
      <w:r w:rsidR="004A073C">
        <w:t>are</w:t>
      </w:r>
      <w:r w:rsidR="007424CB">
        <w:t xml:space="preserve"> overweight </w:t>
      </w:r>
      <w:r w:rsidR="007424CB">
        <w:fldChar w:fldCharType="begin" w:fldLock="1"/>
      </w:r>
      <w:r w:rsidR="00F3034A">
        <w:instrText>ADDIN CSL_CITATION {"citationItems":[{"id":"ITEM-1","itemData":{"author":[{"dropping-particle":"","family":"World Health Organization","given":"","non-dropping-particle":"","parse-names":false,"suffix":""}],"id":"ITEM-1","issued":{"date-parts":[["2005"]]},"title":"The Impact of Chronic Disease in Samoa","type":"report"},"uris":["http://www.mendeley.com/documents/?uuid=463f9712-dd5b-4355-b4d9-6cb18129ac04"]}],"mendeley":{"formattedCitation":"(World Health Organization, 2005)","plainTextFormattedCitation":"(World Health Organization, 2005)","previouslyFormattedCitation":"(World Health Organization, 2005)"},"properties":{"noteIndex":0},"schema":"https://github.com/citation-style-language/schema/raw/master/csl-citation.json"}</w:instrText>
      </w:r>
      <w:r w:rsidR="007424CB">
        <w:fldChar w:fldCharType="separate"/>
      </w:r>
      <w:r w:rsidR="007424CB" w:rsidRPr="007424CB">
        <w:rPr>
          <w:noProof/>
        </w:rPr>
        <w:t>(World Health Organization, 2005)</w:t>
      </w:r>
      <w:r w:rsidR="007424CB">
        <w:fldChar w:fldCharType="end"/>
      </w:r>
      <w:r w:rsidR="007424CB">
        <w:t xml:space="preserve">. </w:t>
      </w:r>
      <w:r w:rsidR="00AE68AF">
        <w:t>In addition, cholesterol levels have changed over the past decades as well. Total cholesterol</w:t>
      </w:r>
      <w:r w:rsidR="00E22B09">
        <w:t xml:space="preserve"> and triglyceride</w:t>
      </w:r>
      <w:r w:rsidR="00AE68AF">
        <w:t xml:space="preserve"> levels have significantly increased,</w:t>
      </w:r>
      <w:r w:rsidR="004A073C">
        <w:t xml:space="preserve"> whereas</w:t>
      </w:r>
      <w:r w:rsidR="00AE68AF">
        <w:t xml:space="preserve"> HDL cholesterol levels have decreased</w:t>
      </w:r>
      <w:r w:rsidR="00E22B09">
        <w:t xml:space="preserve"> since </w:t>
      </w:r>
      <w:r w:rsidR="00AE68AF">
        <w:t xml:space="preserve">the 1990s compared to the 1970s and 1980s </w:t>
      </w:r>
      <w:r w:rsidR="00AE68AF">
        <w:fldChar w:fldCharType="begin" w:fldLock="1"/>
      </w:r>
      <w:r w:rsidR="008F16BC">
        <w:instrText>ADDIN CSL_CITATION {"citationItems":[{"id":"ITEM-1","itemData":{"DOI":"10.1002/ajhb.1310050106","ISSN":"1520-6300 (Electronic)","PMID":"28524431","abstract":"Obesity in American Samoan adults in 1990 was compared to that in 1976-1978 to evaluate population changes concomitant with modernization. Body weight, stature, the body mass index (BMI), and two skinfolds were measured in 1990 in 830 males and females 25-74 years old, and were compared to corresponding data from 1976 and 1978 for 1,621 adults. Mean BMI and skinfold thicknesses increased markedly from 1976-1978 to 1990 in males at all ages. Mean BMI for 45-54 year old males was approximately 3.6 kg/m(2) higher (P &lt; 0.0001) in 1990 than in 1976-1978, but was only 0.6 kg/m(2) higher in females of the same age. The prevalence of overweight increased significantly from 66% in 1976-1978 to 85% in 1990 (P &lt; 0.001) in 35-44 year old males, but remained about the same, 91%, in females of that age. Similar sex differences in temporal change were found in skinfolds. Fasting serum total and high density lipoprotein (HDL) cholesterol and triglycerides were obtained for a random subsample of 67 males 40-49 years old and were compared to lipid levels in a 1978 sample of American Samoan males of similar age and residence. Both total and HDL cholesterol were significantly different between 1978 and 1990, 178 vs. 205 mg/dl (P &lt; 0.02), and 43 vs. 37 mg/dl (P &lt; 0.01), respectively. Triglycerides were higher in 1990 than in 1978, 169 vs. 128 mg/dl. The results suggest that obesity and adiposity increased more over 12-14 years among adult males than among females, who in 1976-1978 were already massively overweight. (c) 1993 Wiley-Liss, Inc.","author":[{"dropping-particle":"","family":"McGarvey","given":"Stephen T","non-dropping-particle":"","parse-names":false,"suffix":""},{"dropping-particle":"","family":"Levinson","given":"Paul D","non-dropping-particle":"","parse-names":false,"suffix":""},{"dropping-particle":"","family":"Bausser-Man","given":"Linda","non-dropping-particle":"","parse-names":false,"suffix":""},{"dropping-particle":"","family":"Galanis","given":"Daniel J","non-dropping-particle":"","parse-names":false,"suffix":""},{"dropping-particle":"","family":"Hornick","given":"Conrad A","non-dropping-particle":"","parse-names":false,"suffix":""}],"container-title":"American journal of human biology : the official journal of the Human Biology Council","id":"ITEM-1","issue":"1","issued":{"date-parts":[["1993"]]},"language":"eng","page":"17-30","publisher-place":"United States","title":"Population change in adult obesity and blood lipids in American Samoa from 1976-1978 to 1990.","type":"article-journal","volume":"5"},"uris":["http://www.mendeley.com/documents/?uuid=f36fd7ad-bad2-450c-b75e-51d8c2e7cc53"]}],"mendeley":{"formattedCitation":"(McGarvey, Levinson, Bausser-Man, Galanis, &amp; Hornick, 1993)","manualFormatting":"(McGarvey et al., 1993)","plainTextFormattedCitation":"(McGarvey, Levinson, Bausser-Man, Galanis, &amp; Hornick, 1993)","previouslyFormattedCitation":"(McGarvey, Levinson, Bausser-Man, Galanis, &amp; Hornick, 1993)"},"properties":{"noteIndex":0},"schema":"https://github.com/citation-style-language/schema/raw/master/csl-citation.json"}</w:instrText>
      </w:r>
      <w:r w:rsidR="00AE68AF">
        <w:fldChar w:fldCharType="separate"/>
      </w:r>
      <w:r w:rsidR="00AE68AF" w:rsidRPr="00AE68AF">
        <w:rPr>
          <w:noProof/>
        </w:rPr>
        <w:t>(McGarvey</w:t>
      </w:r>
      <w:r w:rsidR="00AE68AF">
        <w:rPr>
          <w:noProof/>
        </w:rPr>
        <w:t xml:space="preserve"> et al.,</w:t>
      </w:r>
      <w:r w:rsidR="00AE68AF" w:rsidRPr="00AE68AF">
        <w:rPr>
          <w:noProof/>
        </w:rPr>
        <w:t xml:space="preserve"> 1993)</w:t>
      </w:r>
      <w:r w:rsidR="00AE68AF">
        <w:fldChar w:fldCharType="end"/>
      </w:r>
      <w:r w:rsidR="00E22B09">
        <w:t xml:space="preserve">. </w:t>
      </w:r>
    </w:p>
    <w:p w14:paraId="5594E69B" w14:textId="20EF063D" w:rsidR="008F16BC" w:rsidRDefault="008F16BC" w:rsidP="00C3400A">
      <w:r>
        <w:t>With the</w:t>
      </w:r>
      <w:r w:rsidR="004A073C">
        <w:t xml:space="preserve"> increase in </w:t>
      </w:r>
      <w:r>
        <w:t>obesity,</w:t>
      </w:r>
      <w:r w:rsidR="004A073C">
        <w:t xml:space="preserve"> percent</w:t>
      </w:r>
      <w:r>
        <w:t xml:space="preserve"> overweight, and NCD in American Samoa and the independent nation of Samoa, </w:t>
      </w:r>
      <w:r w:rsidR="004A073C">
        <w:t>developing and</w:t>
      </w:r>
      <w:r>
        <w:t xml:space="preserve"> implement</w:t>
      </w:r>
      <w:r w:rsidR="004A073C">
        <w:t>ing</w:t>
      </w:r>
      <w:r>
        <w:t xml:space="preserve"> interventions to decrease the burden of CVD and diabetes</w:t>
      </w:r>
      <w:r w:rsidR="004A073C">
        <w:t xml:space="preserve"> is critical</w:t>
      </w:r>
      <w:r>
        <w:t xml:space="preserve">. At least 80% of premature CVD, stroke, and diabetes can be prevented through behavioral interventions that emphasize a healthy diet, physical exercise, avoidance of alcohol and tobacco products </w:t>
      </w:r>
      <w:r>
        <w:fldChar w:fldCharType="begin" w:fldLock="1"/>
      </w:r>
      <w:r w:rsidR="00B20D75">
        <w:instrText>ADDIN CSL_CITATION {"citationItems":[{"id":"ITEM-1","itemData":{"author":[{"dropping-particle":"","family":"World Health Organization","given":"","non-dropping-particle":"","parse-names":false,"suffix":""}],"id":"ITEM-1","issued":{"date-parts":[["2005"]]},"title":"The Impact of Chronic Disease in Samoa","type":"report"},"uris":["http://www.mendeley.com/documents/?uuid=463f9712-dd5b-4355-b4d9-6cb18129ac04"]}],"mendeley":{"formattedCitation":"(World Health Organization, 2005)","plainTextFormattedCitation":"(World Health Organization, 2005)","previouslyFormattedCitation":"(World Health Organization, 2005)"},"properties":{"noteIndex":0},"schema":"https://github.com/citation-style-language/schema/raw/master/csl-citation.json"}</w:instrText>
      </w:r>
      <w:r>
        <w:fldChar w:fldCharType="separate"/>
      </w:r>
      <w:r w:rsidRPr="008F16BC">
        <w:rPr>
          <w:noProof/>
        </w:rPr>
        <w:t>(World Health Organization, 2005)</w:t>
      </w:r>
      <w:r>
        <w:fldChar w:fldCharType="end"/>
      </w:r>
      <w:r>
        <w:t xml:space="preserve">. </w:t>
      </w:r>
      <w:r w:rsidR="004A073C">
        <w:t>For</w:t>
      </w:r>
      <w:r>
        <w:t xml:space="preserve"> genetic risk factors, such as FH, implement</w:t>
      </w:r>
      <w:r w:rsidR="004A073C">
        <w:t>ing</w:t>
      </w:r>
      <w:r>
        <w:t xml:space="preserve"> programs that can identify, diagnose, and prescribe treatments</w:t>
      </w:r>
      <w:r w:rsidR="004A073C">
        <w:t>,</w:t>
      </w:r>
      <w:r>
        <w:t xml:space="preserve"> such as statins</w:t>
      </w:r>
      <w:r w:rsidR="004A073C">
        <w:t>, is important</w:t>
      </w:r>
      <w:r>
        <w:t xml:space="preserve">. </w:t>
      </w:r>
    </w:p>
    <w:p w14:paraId="05CF52EE" w14:textId="77777777" w:rsidR="00FA229B" w:rsidRPr="00F526C4" w:rsidRDefault="00FA229B" w:rsidP="00F526C4">
      <w:pPr>
        <w:pStyle w:val="Heading2"/>
      </w:pPr>
      <w:bookmarkStart w:id="23" w:name="_Toc39065931"/>
      <w:r w:rsidRPr="00F526C4">
        <w:t>Health Disparities in Samoan Populations</w:t>
      </w:r>
      <w:bookmarkEnd w:id="23"/>
    </w:p>
    <w:p w14:paraId="7DAD211D" w14:textId="77777777" w:rsidR="00FA229B" w:rsidRDefault="00FA229B" w:rsidP="00FA229B">
      <w:r>
        <w:t xml:space="preserve">Compared to other Asian and Pacific Islander populations, specific health disparities exist in Samoan populations. Juarez et al. (2010) reported that 50% of Samoan participants were obese, the highest rate among Asian and other Pacific Islander populations in the US; relative to whites, the odds ratio for developing obesity was 2.8. Samoans also reported the highest mean numbers of poor physical and mental health days in the past 30 days at 5.4 and 4.4 days, respectively. Based on self-reported answers of how often participants were able to receive an appointment for regular or urgent care as soon as they wanted, Samoans had some of the lowest access to health care. Conversely, Puerto Ricans and Native Hawaiians had greater access to care </w:t>
      </w:r>
      <w:r>
        <w:fldChar w:fldCharType="begin" w:fldLock="1"/>
      </w:r>
      <w:r>
        <w:instrText>ADDIN CSL_CITATION {"citationItems":[{"id":"ITEM-1","itemData":{"ISSN":"0017-8594 (Print)","PMID":"20358726","abstract":"OBJECTIVE: To examine differences in health status, obesity and access among Asian  and Pacific Islander Americans in Hawai'i using data from a 2007 health plan survey, including Caucasians, Puerto Ricans, American Indian and Alaska Natives, Chinese, Filipinos, Japanese, Koreans, Native Hawai'ians, Samoans, and Other Pacific Islanders. METHODS: Data were collected through a stratified random sample of adult members of a health plan in Hawai'i (n = 119,563) who saw a physician in the past 12 months. Multivariable logistic and ordinary least squares regression analyses were used to examine racial/ethnic differences in health status, access, and obesity and the impact of obesity and access on health status, after controlling for age, gender, and education. RESULTS: The highest obesity rates were found among Samoans (50%), Puerto Ricans (37%), Native Hawai'ians (36%), and Other Pacific Islanders (35%). Puerto Ricans and Samoans reported the highestnumber of poor physical health days (5.4). Samoans reported the highest number of poor mental health days (4.4). Obesity had a stronger impact than access on self-reported health status. CONCLUSION: Samoans had the highest rate of obesity, low health ratings, and a high number of days of poor health. Targeted interventions may be needed for this group.","author":[{"dropping-particle":"","family":"Juarez","given":"Deborah Taira","non-dropping-particle":"","parse-names":false,"suffix":""},{"dropping-particle":"","family":"Samoa","given":"Raynald A","non-dropping-particle":"","parse-names":false,"suffix":""},{"dropping-particle":"","family":"Chung","given":"Richard S","non-dropping-particle":"","parse-names":false,"suffix":""},{"dropping-particle":"","family":"Seto","given":"Todd B","non-dropping-particle":"","parse-names":false,"suffix":""}],"container-title":"Hawaii medical journal","id":"ITEM-1","issue":"2","issued":{"date-parts":[["2010","2"]]},"language":"eng","page":"42-46","title":"Disparities in health, obesity and access to care among an insured population of  Asian and Pacific Islander Americans in Hawai'i.","type":"article-journal","volume":"69"},"uris":["http://www.mendeley.com/documents/?uuid=cd84c70a-778a-4121-ab33-969007be5753"]}],"mendeley":{"formattedCitation":"(Juarez, Samoa, Chung, &amp; Seto, 2010)","manualFormatting":"(Juarez et al., 2010)","plainTextFormattedCitation":"(Juarez, Samoa, Chung, &amp; Seto, 2010)","previouslyFormattedCitation":"(Juarez, Samoa, Chung, &amp; Seto, 2010)"},"properties":{"noteIndex":0},"schema":"https://github.com/citation-style-language/schema/raw/master/csl-citation.json"}</w:instrText>
      </w:r>
      <w:r>
        <w:fldChar w:fldCharType="separate"/>
      </w:r>
      <w:r w:rsidRPr="002749AF">
        <w:rPr>
          <w:noProof/>
        </w:rPr>
        <w:t>(Juarez</w:t>
      </w:r>
      <w:r>
        <w:rPr>
          <w:noProof/>
        </w:rPr>
        <w:t xml:space="preserve"> et al.,</w:t>
      </w:r>
      <w:r w:rsidRPr="002749AF">
        <w:rPr>
          <w:noProof/>
        </w:rPr>
        <w:t xml:space="preserve"> 2010)</w:t>
      </w:r>
      <w:r>
        <w:fldChar w:fldCharType="end"/>
      </w:r>
      <w:r>
        <w:t xml:space="preserve">. </w:t>
      </w:r>
      <w:r>
        <w:lastRenderedPageBreak/>
        <w:t xml:space="preserve">Spending on health per capita in Samoa was $418 in 2014 and healthcare spending accounted for 7.2% of the GDP compared to a mean of $4018 for spending on health per capita and a mean of 11% of the GDP in healthcare spending in New Zealand, which also has a large proportion of Polynesian residents </w:t>
      </w:r>
      <w:r>
        <w:fldChar w:fldCharType="begin" w:fldLock="1"/>
      </w:r>
      <w:r>
        <w:instrText>ADDIN CSL_CITATION {"citationItems":[{"id":"ITEM-1","itemData":{"URL":"https://www.who.int/countries/wsm/en/","author":[{"dropping-particle":"","family":"World Health Organization","given":"","non-dropping-particle":"","parse-names":false,"suffix":""}],"id":"ITEM-1","issued":{"date-parts":[["2019"]]},"title":"Samoa","type":"webpage"},"uris":["http://www.mendeley.com/documents/?uuid=1cfa7121-f534-46f4-b668-9aabc7eda1f8"]}],"mendeley":{"formattedCitation":"(World Health Organization, 2019)","plainTextFormattedCitation":"(World Health Organization, 2019)","previouslyFormattedCitation":"(World Health Organization, 2019)"},"properties":{"noteIndex":0},"schema":"https://github.com/citation-style-language/schema/raw/master/csl-citation.json"}</w:instrText>
      </w:r>
      <w:r>
        <w:fldChar w:fldCharType="separate"/>
      </w:r>
      <w:r w:rsidRPr="00523E9F">
        <w:rPr>
          <w:noProof/>
        </w:rPr>
        <w:t>(World Health Organization, 2019)</w:t>
      </w:r>
      <w:r>
        <w:fldChar w:fldCharType="end"/>
      </w:r>
      <w:r>
        <w:t xml:space="preserve">. </w:t>
      </w:r>
    </w:p>
    <w:p w14:paraId="75DC5FA0" w14:textId="77777777" w:rsidR="00FA229B" w:rsidRDefault="00FA229B" w:rsidP="00FA229B">
      <w:pPr>
        <w:ind w:firstLine="718"/>
      </w:pPr>
      <w:proofErr w:type="spellStart"/>
      <w:r>
        <w:t>Kaholokula</w:t>
      </w:r>
      <w:proofErr w:type="spellEnd"/>
      <w:r>
        <w:t xml:space="preserve"> et al. (2008) also looked at perceived barriers to healthcare treatment. Samoan participants expressed a high degree of confidence in Western-trained physicians and medicine compared to traditional Samoan practices regarding treatment for heart failure. Although they trusted physicians, some of the barriers that were cited included belief that their healthcare provider did not spend enough time getting to know them, financial burden when purchasing medicine or healthier foods, and competing demands, such as childcare, work, or family obligations </w:t>
      </w:r>
      <w:r>
        <w:fldChar w:fldCharType="begin" w:fldLock="1"/>
      </w:r>
      <w:r>
        <w:instrText>ADDIN CSL_CITATION {"citationItems":[{"id":"ITEM-1","itemData":{"DOI":"10.1016/j.pec.2007.10.015","ISSN":"0738-3991 (Print)","PMID":"18068939","abstract":"OBJECTIVE: To identify the health beliefs, attitudes, practices, and social and family relations important in heart failure treatment among Pacific Islanders. METHODS: Four focus groups were convened with 36 Native Hawaiians and Samoans with heart failure and their family caregivers. Thematic data analysis was used to categorize data into four domains: health beliefs and attitudes, preferred health practices, social support systems, and barriers to heart failure care. RESULTS: Common coping styles and emotional experiences of heart failure in this population included avoidance or denial of illness, hopelessness and despair, and reliance on spiritual/religious beliefs as a means of support. Among study participants, more Samoans preferred to be treated by physicians whereas more Native Hawaiians preferred traditional Hawaiian methods of healing. Two types of social support (informational and tangible-instrumental) were identified as important in heart failure care. Barriers to heart failure care included poor knowledge of heart failure, lack of trust in physicians' care, poor physician-patient relations, finances, dietary changes, and competing demands on time. CONCLUSION: The recruitment, retention, and adherence of Pacific Islanders to heart failure interventions is affected by an array of psychosocial and socio-cultural factors. PRACTICE IMPLICATIONS: Interventions might be improved by offering participants accurate and detailed information about heart failure and its treatment, engaging the extended family in providing necessary supports, and providing tools to facilitate physician-patient relationships, among others, within the context of a larger socio-cultural system.","author":[{"dropping-particle":"","family":"Kaholokula","given":"Joseph Keawe'aimoku","non-dropping-particle":"","parse-names":false,"suffix":""},{"dropping-particle":"","family":"Saito","given":"Erin","non-dropping-particle":"","parse-names":false,"suffix":""},{"dropping-particle":"","family":"Mau","given":"Marjorie K","non-dropping-particle":"","parse-names":false,"suffix":""},{"dropping-particle":"","family":"Latimer","given":"Renee","non-dropping-particle":"","parse-names":false,"suffix":""},{"dropping-particle":"","family":"Seto","given":"Todd B","non-dropping-particle":"","parse-names":false,"suffix":""}],"container-title":"Patient education and counseling","id":"ITEM-1","issue":"2","issued":{"date-parts":[["2008","2"]]},"language":"eng","page":"281-291","publisher-place":"Ireland","title":"Pacific Islanders' perspectives on heart failure management.","type":"article-journal","volume":"70"},"uris":["http://www.mendeley.com/documents/?uuid=9c4cdc61-df99-441c-8330-e8732e5647cd"]}],"mendeley":{"formattedCitation":"(Kaholokula et al., 2008)","plainTextFormattedCitation":"(Kaholokula et al., 2008)","previouslyFormattedCitation":"(Kaholokula et al., 2008)"},"properties":{"noteIndex":0},"schema":"https://github.com/citation-style-language/schema/raw/master/csl-citation.json"}</w:instrText>
      </w:r>
      <w:r>
        <w:fldChar w:fldCharType="separate"/>
      </w:r>
      <w:r w:rsidRPr="00435B35">
        <w:rPr>
          <w:noProof/>
        </w:rPr>
        <w:t>(Kaholokula et al., 2008)</w:t>
      </w:r>
      <w:r>
        <w:fldChar w:fldCharType="end"/>
      </w:r>
      <w:r>
        <w:t xml:space="preserve">. </w:t>
      </w:r>
    </w:p>
    <w:p w14:paraId="224D7457" w14:textId="77777777" w:rsidR="00FA229B" w:rsidRPr="00E401C5" w:rsidRDefault="00FA229B" w:rsidP="00FA229B">
      <w:r>
        <w:t xml:space="preserve">Ninety percent of premature deaths due to chronic disease that occur in low- and middle-income countries are preventable. Thus, interventions to address health discrepancies and improve access to healthcare in Samoa are needed. As a result, the WHO has designed a set of interventions targeted at noncommunicable diseases for primary health practitioners in low-resource settings to prevent future burdens from these diseases </w:t>
      </w:r>
      <w:r>
        <w:fldChar w:fldCharType="begin" w:fldLock="1"/>
      </w:r>
      <w:r>
        <w:instrText>ADDIN CSL_CITATION {"citationItems":[{"id":"ITEM-1","itemData":{"DOI":"http://dx.doi.org/10.2471/BLT.17.203695","author":[{"dropping-particle":"","family":"Bollars","given":"Caroline","non-dropping-particle":"","parse-names":false,"suffix":""},{"dropping-particle":"","family":"Naseri","given":"Take","non-dropping-particle":"","parse-names":false,"suffix":""},{"dropping-particle":"","family":"Thomsen","given":"Robert","non-dropping-particle":"","parse-names":false,"suffix":""},{"dropping-particle":"","family":"Varghese","given":"Cherian","non-dropping-particle":"","parse-names":false,"suffix":""},{"dropping-particle":"","family":"Sørensen","given":"Kristine","non-dropping-particle":"","parse-names":false,"suffix":""},{"dropping-particle":"de","family":"Vriesa","given":"Nanne","non-dropping-particle":"","parse-names":false,"suffix":""},{"dropping-particle":"","family":"&amp;","given":"","non-dropping-particle":"","parse-names":false,"suffix":""},{"dropping-particle":"","family":"Meertens","given":"Ree","non-dropping-particle":"","parse-names":false,"suffix":""}],"id":"ITEM-1","issued":{"date-parts":[["2018"]]},"title":"Adapting the WHO package of essential noncommunicable interventions, Samoa","type":"report"},"uris":["http://www.mendeley.com/documents/?uuid=6e74caf8-d656-47be-8fd2-e1c33be89bf6"]}],"mendeley":{"formattedCitation":"(Bollars et al., 2018)","plainTextFormattedCitation":"(Bollars et al., 2018)","previouslyFormattedCitation":"(Bollars et al., 2018)"},"properties":{"noteIndex":0},"schema":"https://github.com/citation-style-language/schema/raw/master/csl-citation.json"}</w:instrText>
      </w:r>
      <w:r>
        <w:fldChar w:fldCharType="separate"/>
      </w:r>
      <w:r w:rsidRPr="00CC3DF3">
        <w:rPr>
          <w:noProof/>
        </w:rPr>
        <w:t>(Bollars et al., 2018)</w:t>
      </w:r>
      <w:r>
        <w:fldChar w:fldCharType="end"/>
      </w:r>
      <w:r>
        <w:t>. These steps include: identifying disease early, implementing protocols for referrals to health facilities for treatment and follow-up, and increasing knowledge of risk factors. The implementation process includes: contacting stakeholders to inform them of the specific intervention, creating training programs for health professionals, making screening results available to the community, and creating educational programs to teach risk management to the community.</w:t>
      </w:r>
    </w:p>
    <w:p w14:paraId="35F5AF40" w14:textId="77777777" w:rsidR="00FA229B" w:rsidRDefault="00FA229B" w:rsidP="00C3400A"/>
    <w:p w14:paraId="45E376D6" w14:textId="15474EC1" w:rsidR="004C39E1" w:rsidRDefault="00673CE4" w:rsidP="00FA229B">
      <w:pPr>
        <w:pStyle w:val="Heading2"/>
      </w:pPr>
      <w:bookmarkStart w:id="24" w:name="_Toc39065932"/>
      <w:r>
        <w:lastRenderedPageBreak/>
        <w:t>Prevention and Treatment for Heart Disease</w:t>
      </w:r>
      <w:r w:rsidR="004C39E1">
        <w:t xml:space="preserve"> in Samoa</w:t>
      </w:r>
      <w:bookmarkEnd w:id="24"/>
    </w:p>
    <w:p w14:paraId="49174E6E" w14:textId="35C4E2F6" w:rsidR="004E27CB" w:rsidRDefault="00A636F8" w:rsidP="004E27CB">
      <w:r>
        <w:t xml:space="preserve">In Samoa, cultural beliefs and perceived notions of risk </w:t>
      </w:r>
      <w:r w:rsidR="00A657AF">
        <w:t>need to be considered prior to developing prevention and/or treatment programs.</w:t>
      </w:r>
      <w:r>
        <w:t xml:space="preserve"> </w:t>
      </w:r>
      <w:proofErr w:type="spellStart"/>
      <w:r w:rsidR="0035556B">
        <w:t>Si</w:t>
      </w:r>
      <w:r w:rsidR="001D595D">
        <w:t>a</w:t>
      </w:r>
      <w:r w:rsidR="0035556B">
        <w:t>ki</w:t>
      </w:r>
      <w:proofErr w:type="spellEnd"/>
      <w:r w:rsidR="0035556B">
        <w:t xml:space="preserve"> et.</w:t>
      </w:r>
      <w:r w:rsidR="001D595D">
        <w:t xml:space="preserve"> </w:t>
      </w:r>
      <w:r w:rsidR="0035556B">
        <w:t>al (2012) looked at cultural beliefs and perceived risk for CVD and diabetes</w:t>
      </w:r>
      <w:r w:rsidR="00EA5EE5">
        <w:t xml:space="preserve"> using data from 28 women and 15 men, aged 18-55</w:t>
      </w:r>
      <w:r w:rsidR="0035556B">
        <w:t>. Their study showed that the Samoan participants</w:t>
      </w:r>
      <w:r w:rsidR="00AC268A">
        <w:t xml:space="preserve"> had knowledge about different CVD risks and</w:t>
      </w:r>
      <w:r w:rsidR="0035556B">
        <w:t xml:space="preserve"> believed themselves to be at </w:t>
      </w:r>
      <w:r w:rsidR="00E771B6">
        <w:t xml:space="preserve">moderate or </w:t>
      </w:r>
      <w:r w:rsidR="0035556B">
        <w:t>high risk for CVD based off of personal and family health history, health behaviors, and physical health</w:t>
      </w:r>
      <w:r w:rsidR="004375CB">
        <w:t>; however, 87.3% of participants did not report taking any prescription medicines</w:t>
      </w:r>
      <w:r w:rsidR="001D595D">
        <w:t xml:space="preserve"> </w:t>
      </w:r>
      <w:r w:rsidR="001D595D">
        <w:fldChar w:fldCharType="begin" w:fldLock="1"/>
      </w:r>
      <w:r w:rsidR="00611893">
        <w:instrText>ADDIN CSL_CITATION {"citationItems":[{"id":"ITEM-1","itemData":{"DOI":"10.1097/JCN.0b013e31822b9be3","ISSN":"1550-5049 (Electronic)","PMID":"21912273","abstract":"BACKGROUND: Cardiovascular disease (CVD) and diabetes, which are leading causes of morbidity and mortality in the United States, have a high incidence among Pacific Islanders. Risk of these conditions increases in the presence of metabolic syndrome. Risk-reducing behaviors for CVD and diabetes are driven partly by perceived risk of health threats and their consequences. Perceived risk is influenced by sociocultural beliefs and is a component of some health behavior models, yet it is understudied in Pacific Islanders. OBJECTIVE: This mixed-methods study explored the perceived risk of CVD and diabetes in at-risk Samoan Pacific Islanders. SUBJECTS AND METHODS: We used culturally sensitive strategies to recruit and enroll 43 adult Samoans from a community setting in Hawaii. Participants were obese with at least 1 other component of metabolic syndrome. Their objective risk was determined by the National Cholesterol Education Program Adult Treatment Program III risk categories. Participants provided demographic and health history information and answered 2 quantitative perceived risk questions. They also participated in 1 of 7 focus groups--the source of perceived risk qualitative data. Quantitative and qualitative data were analyzed using descriptive statistics and content analysis, respectively. The mixed-methods analysis targeted points of data convergence and complementarity for the 2 methods. RESULTS: More than 80% of participants who were at moderately high (10%-20%) objective risk for CVD and diabetes had high (&gt;20%) perceived risk of these conditions. There was high concordance of perceived risk for CVD and diabetes (P &lt; .05). Qualitative data revealed bidirectional codes that influenced and were influenced by perceived risk within the participants' cultural perspective: current and planned health behavior, physical health, and family history of CVD or diabetes. CONCLUSION: Using mixed methods facilitated better understanding of cultural perspectives of perceived risk of CVD and diabetes. These results provide a foundation for developing culturally appropriate interventions targeting CVD and diabetes risk reduction in Samoans.","author":[{"dropping-particle":"","family":"Siaki","given":"Leilani A","non-dropping-particle":"","parse-names":false,"suffix":""},{"dropping-particle":"","family":"Loescher","given":"Lois J","non-dropping-particle":"","parse-names":false,"suffix":""},{"dropping-particle":"","family":"Ritter","given":"Leslie","non-dropping-particle":"","parse-names":false,"suffix":""}],"container-title":"The Journal of cardiovascular nursing","id":"ITEM-1","issue":"6","issued":{"date-parts":[["2012"]]},"language":"eng","page":"468-475","publisher-place":"United States","title":"A cultural perspective of Samoans' perceived risk of cardiovascular disease and diabetes.","type":"article-journal","volume":"27"},"uris":["http://www.mendeley.com/documents/?uuid=f0b9d4fd-b750-4541-a580-9700a6dec1ec"]}],"mendeley":{"formattedCitation":"(Siaki, Loescher, &amp; Ritter, 2012)","manualFormatting":"(Siaki et. al, 2012)","plainTextFormattedCitation":"(Siaki, Loescher, &amp; Ritter, 2012)","previouslyFormattedCitation":"(Siaki, Loescher, &amp; Ritter, 2012)"},"properties":{"noteIndex":0},"schema":"https://github.com/citation-style-language/schema/raw/master/csl-citation.json"}</w:instrText>
      </w:r>
      <w:r w:rsidR="001D595D">
        <w:fldChar w:fldCharType="separate"/>
      </w:r>
      <w:r w:rsidR="001D595D" w:rsidRPr="001D595D">
        <w:rPr>
          <w:noProof/>
        </w:rPr>
        <w:t>(Siaki</w:t>
      </w:r>
      <w:r w:rsidR="001D595D">
        <w:rPr>
          <w:noProof/>
        </w:rPr>
        <w:t xml:space="preserve"> et. al</w:t>
      </w:r>
      <w:r w:rsidR="001D595D" w:rsidRPr="001D595D">
        <w:rPr>
          <w:noProof/>
        </w:rPr>
        <w:t>, 2012)</w:t>
      </w:r>
      <w:r w:rsidR="001D595D">
        <w:fldChar w:fldCharType="end"/>
      </w:r>
      <w:r w:rsidR="001D595D">
        <w:t xml:space="preserve">. </w:t>
      </w:r>
      <w:proofErr w:type="spellStart"/>
      <w:r w:rsidR="00E771B6">
        <w:t>Siaki</w:t>
      </w:r>
      <w:proofErr w:type="spellEnd"/>
      <w:r w:rsidR="00E771B6">
        <w:t xml:space="preserve"> et. al (2012) also </w:t>
      </w:r>
      <w:r w:rsidR="00EA5EE5">
        <w:t>reported</w:t>
      </w:r>
      <w:r w:rsidR="00E771B6">
        <w:t xml:space="preserve"> that the participants</w:t>
      </w:r>
      <w:r w:rsidR="00EA5EE5">
        <w:t>’</w:t>
      </w:r>
      <w:r w:rsidR="00E771B6">
        <w:t xml:space="preserve"> perceived risk </w:t>
      </w:r>
      <w:r w:rsidR="00EA5EE5">
        <w:t xml:space="preserve">of developing CVD or diabetes </w:t>
      </w:r>
      <w:r w:rsidR="00E771B6">
        <w:t>compared to their actual risk</w:t>
      </w:r>
      <w:r w:rsidR="00EA5EE5">
        <w:t xml:space="preserve"> was mostly accurate; </w:t>
      </w:r>
      <w:r w:rsidR="00E771B6">
        <w:t>over 50% of participants accurately categoriz</w:t>
      </w:r>
      <w:r w:rsidR="00EA5EE5">
        <w:t>ed</w:t>
      </w:r>
      <w:r w:rsidR="00E771B6">
        <w:t xml:space="preserve"> whether they were at low, moderate or high risk for developing the disease.</w:t>
      </w:r>
      <w:r w:rsidR="00611893">
        <w:t xml:space="preserve"> Participants also recognized that other factors outside of family and personal health history played a role in developing CVD or diabetes, with most knowing the importance of physical and healthy eating habits. However, their ideal weight goal tended to be higher than the national recommendations issued by the National Institutes of Health, which may be a result of their cultural perspectives </w:t>
      </w:r>
      <w:r w:rsidR="00611893">
        <w:fldChar w:fldCharType="begin" w:fldLock="1"/>
      </w:r>
      <w:r w:rsidR="007B54CC">
        <w:instrText>ADDIN CSL_CITATION {"citationItems":[{"id":"ITEM-1","itemData":{"DOI":"10.1097/JCN.0b013e31822b9be3","ISSN":"1550-5049 (Electronic)","PMID":"21912273","abstract":"BACKGROUND: Cardiovascular disease (CVD) and diabetes, which are leading causes of morbidity and mortality in the United States, have a high incidence among Pacific Islanders. Risk of these conditions increases in the presence of metabolic syndrome. Risk-reducing behaviors for CVD and diabetes are driven partly by perceived risk of health threats and their consequences. Perceived risk is influenced by sociocultural beliefs and is a component of some health behavior models, yet it is understudied in Pacific Islanders. OBJECTIVE: This mixed-methods study explored the perceived risk of CVD and diabetes in at-risk Samoan Pacific Islanders. SUBJECTS AND METHODS: We used culturally sensitive strategies to recruit and enroll 43 adult Samoans from a community setting in Hawaii. Participants were obese with at least 1 other component of metabolic syndrome. Their objective risk was determined by the National Cholesterol Education Program Adult Treatment Program III risk categories. Participants provided demographic and health history information and answered 2 quantitative perceived risk questions. They also participated in 1 of 7 focus groups--the source of perceived risk qualitative data. Quantitative and qualitative data were analyzed using descriptive statistics and content analysis, respectively. The mixed-methods analysis targeted points of data convergence and complementarity for the 2 methods. RESULTS: More than 80% of participants who were at moderately high (10%-20%) objective risk for CVD and diabetes had high (&gt;20%) perceived risk of these conditions. There was high concordance of perceived risk for CVD and diabetes (P &lt; .05). Qualitative data revealed bidirectional codes that influenced and were influenced by perceived risk within the participants' cultural perspective: current and planned health behavior, physical health, and family history of CVD or diabetes. CONCLUSION: Using mixed methods facilitated better understanding of cultural perspectives of perceived risk of CVD and diabetes. These results provide a foundation for developing culturally appropriate interventions targeting CVD and diabetes risk reduction in Samoans.","author":[{"dropping-particle":"","family":"Siaki","given":"Leilani A","non-dropping-particle":"","parse-names":false,"suffix":""},{"dropping-particle":"","family":"Loescher","given":"Lois J","non-dropping-particle":"","parse-names":false,"suffix":""},{"dropping-particle":"","family":"Ritter","given":"Leslie","non-dropping-particle":"","parse-names":false,"suffix":""}],"container-title":"The Journal of cardiovascular nursing","id":"ITEM-1","issue":"6","issued":{"date-parts":[["2012"]]},"language":"eng","page":"468-475","publisher-place":"United States","title":"A cultural perspective of Samoans' perceived risk of cardiovascular disease and diabetes.","type":"article-journal","volume":"27"},"uris":["http://www.mendeley.com/documents/?uuid=f0b9d4fd-b750-4541-a580-9700a6dec1ec"]}],"mendeley":{"formattedCitation":"(Siaki et al., 2012)","plainTextFormattedCitation":"(Siaki et al., 2012)","previouslyFormattedCitation":"(Siaki et al., 2012)"},"properties":{"noteIndex":0},"schema":"https://github.com/citation-style-language/schema/raw/master/csl-citation.json"}</w:instrText>
      </w:r>
      <w:r w:rsidR="00611893">
        <w:fldChar w:fldCharType="separate"/>
      </w:r>
      <w:r w:rsidR="00611893" w:rsidRPr="00611893">
        <w:rPr>
          <w:noProof/>
        </w:rPr>
        <w:t>(Siaki et al., 2012)</w:t>
      </w:r>
      <w:r w:rsidR="00611893">
        <w:fldChar w:fldCharType="end"/>
      </w:r>
      <w:r w:rsidR="00611893">
        <w:t xml:space="preserve">. </w:t>
      </w:r>
    </w:p>
    <w:p w14:paraId="6B56AD43" w14:textId="17EE5657" w:rsidR="00C617A8" w:rsidRDefault="00C617A8" w:rsidP="007B54CC">
      <w:pPr>
        <w:ind w:firstLine="718"/>
      </w:pPr>
      <w:r>
        <w:t>Another study</w:t>
      </w:r>
      <w:r w:rsidR="004375CB">
        <w:t xml:space="preserve"> utilizing focus groups recruited 36 participants (22 Hawaiians, </w:t>
      </w:r>
      <w:r w:rsidR="008668B2">
        <w:t>ten</w:t>
      </w:r>
      <w:r w:rsidR="004375CB">
        <w:t xml:space="preserve"> Samoans, and </w:t>
      </w:r>
      <w:r w:rsidR="008668B2">
        <w:t>four</w:t>
      </w:r>
      <w:r w:rsidR="004375CB">
        <w:t xml:space="preserve"> individuals who provided home care for a native Hawaiian or Samoan)</w:t>
      </w:r>
      <w:r>
        <w:t xml:space="preserve"> </w:t>
      </w:r>
      <w:r w:rsidR="004375CB">
        <w:t>investigated the perceptions</w:t>
      </w:r>
      <w:r>
        <w:t xml:space="preserve"> </w:t>
      </w:r>
      <w:r w:rsidR="007B54CC">
        <w:t>on heart failure and the healthcare system in Samoa</w:t>
      </w:r>
      <w:r w:rsidR="008668B2">
        <w:t>. The investigators</w:t>
      </w:r>
      <w:r w:rsidR="007B54CC">
        <w:t xml:space="preserve"> re</w:t>
      </w:r>
      <w:r w:rsidR="008668B2">
        <w:t>ported</w:t>
      </w:r>
      <w:r w:rsidR="007B54CC">
        <w:t xml:space="preserve"> that </w:t>
      </w:r>
      <w:r w:rsidR="008668B2">
        <w:t>although participants knew</w:t>
      </w:r>
      <w:r w:rsidR="007B54CC">
        <w:t xml:space="preserve"> the importance of managing risks and symptoms through healthy lifestyle habits, several barriers</w:t>
      </w:r>
      <w:r w:rsidR="008668B2">
        <w:t xml:space="preserve"> prevented them from achieving a healthy lifestyle.</w:t>
      </w:r>
      <w:r w:rsidR="007B54CC">
        <w:t xml:space="preserve"> One of the barriers was the change in traditional Samoan </w:t>
      </w:r>
      <w:r w:rsidR="008668B2">
        <w:t xml:space="preserve">lifestyle </w:t>
      </w:r>
      <w:r w:rsidR="007B54CC">
        <w:t xml:space="preserve">diets </w:t>
      </w:r>
      <w:r w:rsidR="008668B2">
        <w:t>(</w:t>
      </w:r>
      <w:r w:rsidR="007B54CC">
        <w:t xml:space="preserve">that were based </w:t>
      </w:r>
      <w:r w:rsidR="008668B2">
        <w:t>on</w:t>
      </w:r>
      <w:r w:rsidR="007B54CC">
        <w:t xml:space="preserve"> subsistence farming</w:t>
      </w:r>
      <w:r w:rsidR="008668B2">
        <w:t>)</w:t>
      </w:r>
      <w:r w:rsidR="007B54CC">
        <w:t xml:space="preserve"> to a more western lifestyle</w:t>
      </w:r>
      <w:r w:rsidR="008668B2">
        <w:t xml:space="preserve"> and diet</w:t>
      </w:r>
      <w:r w:rsidR="007B54CC">
        <w:t xml:space="preserve">. This </w:t>
      </w:r>
      <w:r w:rsidR="008668B2">
        <w:t>lifestyle change</w:t>
      </w:r>
      <w:r w:rsidR="007B54CC">
        <w:t xml:space="preserve"> made it difficult for the</w:t>
      </w:r>
      <w:r w:rsidR="008668B2">
        <w:t xml:space="preserve"> Pacific Islanders</w:t>
      </w:r>
      <w:r w:rsidR="007B54CC">
        <w:t xml:space="preserve"> to acquire land to grow their own food</w:t>
      </w:r>
      <w:r w:rsidR="008668B2">
        <w:t>; furthermore,</w:t>
      </w:r>
      <w:r w:rsidR="007B54CC">
        <w:t xml:space="preserve"> processed foods were less expensive </w:t>
      </w:r>
      <w:r w:rsidR="007B54CC">
        <w:lastRenderedPageBreak/>
        <w:t xml:space="preserve">to purchase </w:t>
      </w:r>
      <w:r w:rsidR="007B54CC">
        <w:fldChar w:fldCharType="begin" w:fldLock="1"/>
      </w:r>
      <w:r w:rsidR="007B54CC">
        <w:instrText>ADDIN CSL_CITATION {"citationItems":[{"id":"ITEM-1","itemData":{"DOI":"10.1016/j.pec.2007.10.015","ISSN":"0738-3991 (Print)","PMID":"18068939","abstract":"OBJECTIVE: To identify the health beliefs, attitudes, practices, and social and family relations important in heart failure treatment among Pacific Islanders. METHODS: Four focus groups were convened with 36 Native Hawaiians and Samoans with heart failure and their family caregivers. Thematic data analysis was used to categorize data into four domains: health beliefs and attitudes, preferred health practices, social support systems, and barriers to heart failure care. RESULTS: Common coping styles and emotional experiences of heart failure in this population included avoidance or denial of illness, hopelessness and despair, and reliance on spiritual/religious beliefs as a means of support. Among study participants, more Samoans preferred to be treated by physicians whereas more Native Hawaiians preferred traditional Hawaiian methods of healing. Two types of social support (informational and tangible-instrumental) were identified as important in heart failure care. Barriers to heart failure care included poor knowledge of heart failure, lack of trust in physicians' care, poor physician-patient relations, finances, dietary changes, and competing demands on time. CONCLUSION: The recruitment, retention, and adherence of Pacific Islanders to heart failure interventions is affected by an array of psychosocial and socio-cultural factors. PRACTICE IMPLICATIONS: Interventions might be improved by offering participants accurate and detailed information about heart failure and its treatment, engaging the extended family in providing necessary supports, and providing tools to facilitate physician-patient relationships, among others, within the context of a larger socio-cultural system.","author":[{"dropping-particle":"","family":"Kaholokula","given":"Joseph Keawe'aimoku","non-dropping-particle":"","parse-names":false,"suffix":""},{"dropping-particle":"","family":"Saito","given":"Erin","non-dropping-particle":"","parse-names":false,"suffix":""},{"dropping-particle":"","family":"Mau","given":"Marjorie K","non-dropping-particle":"","parse-names":false,"suffix":""},{"dropping-particle":"","family":"Latimer","given":"Renee","non-dropping-particle":"","parse-names":false,"suffix":""},{"dropping-particle":"","family":"Seto","given":"Todd B","non-dropping-particle":"","parse-names":false,"suffix":""}],"container-title":"Patient education and counseling","id":"ITEM-1","issue":"2","issued":{"date-parts":[["2008","2"]]},"language":"eng","page":"281-291","publisher-place":"Ireland","title":"Pacific Islanders' perspectives on heart failure management.","type":"article-journal","volume":"70"},"uris":["http://www.mendeley.com/documents/?uuid=9c4cdc61-df99-441c-8330-e8732e5647cd"]}],"mendeley":{"formattedCitation":"(Kaholokula, Saito, Mau, Latimer, &amp; Seto, 2008)","manualFormatting":"(Kaholokula et. al, 2008)","plainTextFormattedCitation":"(Kaholokula, Saito, Mau, Latimer, &amp; Seto, 2008)","previouslyFormattedCitation":"(Kaholokula, Saito, Mau, Latimer, &amp; Seto, 2008)"},"properties":{"noteIndex":0},"schema":"https://github.com/citation-style-language/schema/raw/master/csl-citation.json"}</w:instrText>
      </w:r>
      <w:r w:rsidR="007B54CC">
        <w:fldChar w:fldCharType="separate"/>
      </w:r>
      <w:r w:rsidR="007B54CC" w:rsidRPr="007B54CC">
        <w:rPr>
          <w:noProof/>
        </w:rPr>
        <w:t>(Kaholokula</w:t>
      </w:r>
      <w:r w:rsidR="007B54CC">
        <w:rPr>
          <w:noProof/>
        </w:rPr>
        <w:t xml:space="preserve"> et. al</w:t>
      </w:r>
      <w:r w:rsidR="007B54CC" w:rsidRPr="007B54CC">
        <w:rPr>
          <w:noProof/>
        </w:rPr>
        <w:t>, 2008)</w:t>
      </w:r>
      <w:r w:rsidR="007B54CC">
        <w:fldChar w:fldCharType="end"/>
      </w:r>
      <w:r w:rsidR="007B54CC">
        <w:t xml:space="preserve">. </w:t>
      </w:r>
      <w:r w:rsidR="008668B2">
        <w:t>Ano</w:t>
      </w:r>
      <w:r w:rsidR="007B54CC">
        <w:t xml:space="preserve">ther barrier </w:t>
      </w:r>
      <w:r w:rsidR="008668B2">
        <w:t>was</w:t>
      </w:r>
      <w:r w:rsidR="00673CE4">
        <w:t xml:space="preserve"> denying the presence of heart failure. </w:t>
      </w:r>
      <w:r w:rsidR="008668B2">
        <w:t xml:space="preserve">Older </w:t>
      </w:r>
      <w:r w:rsidR="00282791">
        <w:t xml:space="preserve">adult </w:t>
      </w:r>
      <w:r w:rsidR="008668B2">
        <w:t>Polynesians have traditional beliefs about the power behind spoken words</w:t>
      </w:r>
      <w:r w:rsidR="00282791">
        <w:t xml:space="preserve"> (</w:t>
      </w:r>
      <w:r w:rsidR="00282791">
        <w:rPr>
          <w:i/>
          <w:iCs/>
        </w:rPr>
        <w:t>mana</w:t>
      </w:r>
      <w:r w:rsidR="00282791">
        <w:t>)</w:t>
      </w:r>
      <w:r w:rsidR="008668B2">
        <w:t xml:space="preserve"> and believed that speaking of </w:t>
      </w:r>
      <w:r w:rsidR="00282791">
        <w:t>misfortunes, such as heart disease, gave it the ability to manifest or worsen</w:t>
      </w:r>
      <w:r w:rsidR="008668B2">
        <w:t>.</w:t>
      </w:r>
      <w:r w:rsidR="00D547A9">
        <w:t xml:space="preserve"> </w:t>
      </w:r>
      <w:r w:rsidR="0091289B">
        <w:t>Alternatively,</w:t>
      </w:r>
      <w:r w:rsidR="00D547A9">
        <w:t xml:space="preserve"> denying the</w:t>
      </w:r>
      <w:r w:rsidR="0091289B">
        <w:t xml:space="preserve"> presence</w:t>
      </w:r>
      <w:r w:rsidR="00D547A9">
        <w:t xml:space="preserve"> disease </w:t>
      </w:r>
      <w:r w:rsidR="0091289B">
        <w:t>may also have been a</w:t>
      </w:r>
      <w:r w:rsidR="00D547A9">
        <w:t xml:space="preserve"> coping</w:t>
      </w:r>
      <w:r w:rsidR="0091289B">
        <w:t xml:space="preserve"> mechanism</w:t>
      </w:r>
      <w:r w:rsidR="00D547A9">
        <w:t xml:space="preserve"> that enabled them to avoid negative psycho-social symptoms</w:t>
      </w:r>
      <w:r w:rsidR="00E84837">
        <w:t>,</w:t>
      </w:r>
      <w:r w:rsidR="0091289B">
        <w:t xml:space="preserve"> such as depression or anxiety</w:t>
      </w:r>
      <w:r w:rsidR="00D547A9">
        <w:t xml:space="preserve"> </w:t>
      </w:r>
      <w:r w:rsidR="00D547A9">
        <w:fldChar w:fldCharType="begin" w:fldLock="1"/>
      </w:r>
      <w:r w:rsidR="00435B35">
        <w:instrText>ADDIN CSL_CITATION {"citationItems":[{"id":"ITEM-1","itemData":{"DOI":"10.1016/j.pec.2007.10.015","ISSN":"0738-3991 (Print)","PMID":"18068939","abstract":"OBJECTIVE: To identify the health beliefs, attitudes, practices, and social and family relations important in heart failure treatment among Pacific Islanders. METHODS: Four focus groups were convened with 36 Native Hawaiians and Samoans with heart failure and their family caregivers. Thematic data analysis was used to categorize data into four domains: health beliefs and attitudes, preferred health practices, social support systems, and barriers to heart failure care. RESULTS: Common coping styles and emotional experiences of heart failure in this population included avoidance or denial of illness, hopelessness and despair, and reliance on spiritual/religious beliefs as a means of support. Among study participants, more Samoans preferred to be treated by physicians whereas more Native Hawaiians preferred traditional Hawaiian methods of healing. Two types of social support (informational and tangible-instrumental) were identified as important in heart failure care. Barriers to heart failure care included poor knowledge of heart failure, lack of trust in physicians' care, poor physician-patient relations, finances, dietary changes, and competing demands on time. CONCLUSION: The recruitment, retention, and adherence of Pacific Islanders to heart failure interventions is affected by an array of psychosocial and socio-cultural factors. PRACTICE IMPLICATIONS: Interventions might be improved by offering participants accurate and detailed information about heart failure and its treatment, engaging the extended family in providing necessary supports, and providing tools to facilitate physician-patient relationships, among others, within the context of a larger socio-cultural system.","author":[{"dropping-particle":"","family":"Kaholokula","given":"Joseph Keawe'aimoku","non-dropping-particle":"","parse-names":false,"suffix":""},{"dropping-particle":"","family":"Saito","given":"Erin","non-dropping-particle":"","parse-names":false,"suffix":""},{"dropping-particle":"","family":"Mau","given":"Marjorie K","non-dropping-particle":"","parse-names":false,"suffix":""},{"dropping-particle":"","family":"Latimer","given":"Renee","non-dropping-particle":"","parse-names":false,"suffix":""},{"dropping-particle":"","family":"Seto","given":"Todd B","non-dropping-particle":"","parse-names":false,"suffix":""}],"container-title":"Patient education and counseling","id":"ITEM-1","issue":"2","issued":{"date-parts":[["2008","2"]]},"language":"eng","page":"281-291","publisher-place":"Ireland","title":"Pacific Islanders' perspectives on heart failure management.","type":"article-journal","volume":"70"},"uris":["http://www.mendeley.com/documents/?uuid=9c4cdc61-df99-441c-8330-e8732e5647cd"]}],"mendeley":{"formattedCitation":"(Kaholokula et al., 2008)","plainTextFormattedCitation":"(Kaholokula et al., 2008)","previouslyFormattedCitation":"(Kaholokula et al., 2008)"},"properties":{"noteIndex":0},"schema":"https://github.com/citation-style-language/schema/raw/master/csl-citation.json"}</w:instrText>
      </w:r>
      <w:r w:rsidR="00D547A9">
        <w:fldChar w:fldCharType="separate"/>
      </w:r>
      <w:r w:rsidR="00D547A9" w:rsidRPr="00D547A9">
        <w:rPr>
          <w:noProof/>
        </w:rPr>
        <w:t>(Kaholokula et al., 2008)</w:t>
      </w:r>
      <w:r w:rsidR="00D547A9">
        <w:fldChar w:fldCharType="end"/>
      </w:r>
      <w:r w:rsidR="00D547A9">
        <w:t>.</w:t>
      </w:r>
    </w:p>
    <w:p w14:paraId="7E81D9FC" w14:textId="77777777" w:rsidR="00C3400A" w:rsidRPr="00F526C4" w:rsidRDefault="00C3400A" w:rsidP="00F526C4">
      <w:pPr>
        <w:pStyle w:val="Heading1"/>
      </w:pPr>
      <w:bookmarkStart w:id="25" w:name="_Toc39065933"/>
      <w:r w:rsidRPr="00F526C4">
        <w:lastRenderedPageBreak/>
        <w:t>Hypotheses and Aims</w:t>
      </w:r>
      <w:bookmarkEnd w:id="25"/>
    </w:p>
    <w:p w14:paraId="569499A6" w14:textId="77F6A66A" w:rsidR="00615809" w:rsidRDefault="0094334A" w:rsidP="00C3400A">
      <w:r>
        <w:t>CHD in Samoa is the number one cause of premature deaths in Samoa, accounting for 37% of deaths in 2002 and a mean of 3114.3 years of life lost (YLL) in 2017</w:t>
      </w:r>
      <w:r w:rsidR="00725584">
        <w:t xml:space="preserve"> </w:t>
      </w:r>
      <w:r>
        <w:t xml:space="preserve">compared to the mean of 3036.7 YLL in other low-middle socio-demographic index countries </w:t>
      </w:r>
      <w:r>
        <w:fldChar w:fldCharType="begin" w:fldLock="1"/>
      </w:r>
      <w:r w:rsidR="000A78C2">
        <w:instrText>ADDIN CSL_CITATION {"citationItems":[{"id":"ITEM-1","itemData":{"URL":"http://www.healthdata.org/samoa","author":[{"dropping-particle":"","family":"Institute of Health Metrics and Evaluation","given":"","non-dropping-particle":"","parse-names":false,"suffix":""}],"id":"ITEM-1","issued":{"date-parts":[["2019"]]},"title":"Samoa","type":"webpage"},"uris":["http://www.mendeley.com/documents/?uuid=8bef5229-1922-4e2d-aa14-2f31bca1a3b6"]},{"id":"ITEM-2","itemData":{"URL":"https://www.who.int/countries/wsm/en/","author":[{"dropping-particle":"","family":"World Health Organization","given":"","non-dropping-particle":"","parse-names":false,"suffix":""}],"id":"ITEM-2","issued":{"date-parts":[["2019"]]},"title":"Samoa","type":"webpage"},"uris":["http://www.mendeley.com/documents/?uuid=1cfa7121-f534-46f4-b668-9aabc7eda1f8"]}],"mendeley":{"formattedCitation":"(Institute of Health Metrics and Evaluation, 2019; World Health Organization, 2019)","manualFormatting":"(IHME, 2019; WHO, 2019)","plainTextFormattedCitation":"(Institute of Health Metrics and Evaluation, 2019; World Health Organization, 2019)","previouslyFormattedCitation":"(Institute of Health Metrics and Evaluation, 2019; World Health Organization, 2019)"},"properties":{"noteIndex":0},"schema":"https://github.com/citation-style-language/schema/raw/master/csl-citation.json"}</w:instrText>
      </w:r>
      <w:r>
        <w:fldChar w:fldCharType="separate"/>
      </w:r>
      <w:r w:rsidRPr="0094334A">
        <w:rPr>
          <w:noProof/>
        </w:rPr>
        <w:t>(I</w:t>
      </w:r>
      <w:r>
        <w:rPr>
          <w:noProof/>
        </w:rPr>
        <w:t>HME</w:t>
      </w:r>
      <w:r w:rsidRPr="0094334A">
        <w:rPr>
          <w:noProof/>
        </w:rPr>
        <w:t>, 2019; W</w:t>
      </w:r>
      <w:r>
        <w:rPr>
          <w:noProof/>
        </w:rPr>
        <w:t>HO</w:t>
      </w:r>
      <w:r w:rsidRPr="0094334A">
        <w:rPr>
          <w:noProof/>
        </w:rPr>
        <w:t>, 2019)</w:t>
      </w:r>
      <w:r>
        <w:fldChar w:fldCharType="end"/>
      </w:r>
      <w:r>
        <w:t xml:space="preserve">. However, </w:t>
      </w:r>
      <w:r w:rsidR="00725584">
        <w:t>the prevalence of FH</w:t>
      </w:r>
      <w:r>
        <w:t xml:space="preserve"> and subsequently, its effect on CHD,</w:t>
      </w:r>
      <w:r w:rsidR="00725584">
        <w:t xml:space="preserve"> in Samoa is unknown. Furthermore, the </w:t>
      </w:r>
      <w:r w:rsidR="00615809">
        <w:t>frequenc</w:t>
      </w:r>
      <w:r w:rsidR="00725584">
        <w:t>y of</w:t>
      </w:r>
      <w:r w:rsidR="00675A71">
        <w:t xml:space="preserve"> previously identified</w:t>
      </w:r>
      <w:r w:rsidR="00725584">
        <w:t xml:space="preserve"> risk alleles for FH in the Samoan population is unknown. As described </w:t>
      </w:r>
      <w:r>
        <w:t>in the Introduction</w:t>
      </w:r>
      <w:r w:rsidR="00725584">
        <w:t xml:space="preserve">, FH is treatable and, in other countries, implementation of screening programs </w:t>
      </w:r>
      <w:r>
        <w:t>has</w:t>
      </w:r>
      <w:r w:rsidR="00725584">
        <w:t xml:space="preserve"> identified at-risk individuals and enabled them to receive lipid-lowering medications. </w:t>
      </w:r>
      <w:r w:rsidR="00615809">
        <w:t>Although other studies</w:t>
      </w:r>
      <w:r>
        <w:t xml:space="preserve"> in Samoa</w:t>
      </w:r>
      <w:r w:rsidR="00615809">
        <w:t xml:space="preserve"> have </w:t>
      </w:r>
      <w:r>
        <w:t>estimated</w:t>
      </w:r>
      <w:r w:rsidR="00615809">
        <w:t xml:space="preserve"> the prevalence of obesity, diabetes, and adiposity, no study </w:t>
      </w:r>
      <w:r>
        <w:t xml:space="preserve">has been done to estimate </w:t>
      </w:r>
      <w:r w:rsidR="00615809">
        <w:t>the prevalence of FH risk alleles</w:t>
      </w:r>
      <w:r w:rsidR="00725584">
        <w:t xml:space="preserve"> and </w:t>
      </w:r>
      <w:r>
        <w:t>thus</w:t>
      </w:r>
      <w:r w:rsidR="00725584">
        <w:t xml:space="preserve">, </w:t>
      </w:r>
      <w:r>
        <w:t xml:space="preserve">determine </w:t>
      </w:r>
      <w:r w:rsidR="00725584">
        <w:t xml:space="preserve">the usefulness of </w:t>
      </w:r>
      <w:r>
        <w:t xml:space="preserve">implementing </w:t>
      </w:r>
      <w:r w:rsidR="00725584">
        <w:t>a screening program</w:t>
      </w:r>
      <w:r w:rsidR="00615809">
        <w:t xml:space="preserve">. </w:t>
      </w:r>
    </w:p>
    <w:p w14:paraId="1DD74DF3" w14:textId="191FDDD0" w:rsidR="00C3400A" w:rsidRDefault="00C3400A" w:rsidP="00C3400A">
      <w:r>
        <w:t>One aim of this p</w:t>
      </w:r>
      <w:r w:rsidR="00725584">
        <w:t>roject</w:t>
      </w:r>
      <w:r>
        <w:t xml:space="preserve"> is to determine the frequency of </w:t>
      </w:r>
      <w:r w:rsidR="0047592F">
        <w:t>832</w:t>
      </w:r>
      <w:r>
        <w:t xml:space="preserve"> known FH risk alleles in </w:t>
      </w:r>
      <w:r>
        <w:rPr>
          <w:i/>
          <w:iCs/>
        </w:rPr>
        <w:t>LDLR</w:t>
      </w:r>
      <w:r>
        <w:t xml:space="preserve">, </w:t>
      </w:r>
      <w:r>
        <w:rPr>
          <w:i/>
          <w:iCs/>
        </w:rPr>
        <w:t>APOB</w:t>
      </w:r>
      <w:r>
        <w:t xml:space="preserve">, and </w:t>
      </w:r>
      <w:r>
        <w:rPr>
          <w:i/>
          <w:iCs/>
        </w:rPr>
        <w:t>PCSK9</w:t>
      </w:r>
      <w:r>
        <w:t xml:space="preserve"> in the Samoan population. I hypothesized that a subset of </w:t>
      </w:r>
      <w:r w:rsidR="0047592F">
        <w:t>the population-based study sample</w:t>
      </w:r>
      <w:r>
        <w:t xml:space="preserve"> </w:t>
      </w:r>
      <w:r w:rsidR="0094334A">
        <w:t>will carry</w:t>
      </w:r>
      <w:r>
        <w:t xml:space="preserve"> a known risk allele, and that their cholesterol levels will be over 190 mg/dL. In order to test this hypothesis, I </w:t>
      </w:r>
      <w:r w:rsidR="00725584">
        <w:t>will use</w:t>
      </w:r>
      <w:r>
        <w:t xml:space="preserve"> data from a genome-wide association study</w:t>
      </w:r>
      <w:r w:rsidR="0047592F">
        <w:t xml:space="preserve"> of 3475 Samoan adults</w:t>
      </w:r>
      <w:r>
        <w:t>.</w:t>
      </w:r>
    </w:p>
    <w:p w14:paraId="67D6122E" w14:textId="1DD74930" w:rsidR="00C3400A" w:rsidRDefault="00C3400A" w:rsidP="00C3400A">
      <w:r>
        <w:t>A second aim of this p</w:t>
      </w:r>
      <w:r w:rsidR="00725584">
        <w:t>roject</w:t>
      </w:r>
      <w:r>
        <w:t xml:space="preserve"> is to determine </w:t>
      </w:r>
      <w:r>
        <w:tab/>
        <w:t xml:space="preserve">whether having a known FH risk allele correlates with </w:t>
      </w:r>
      <w:r w:rsidR="00E36210">
        <w:t>the</w:t>
      </w:r>
      <w:r>
        <w:t xml:space="preserve"> FH</w:t>
      </w:r>
      <w:r w:rsidR="00E36210">
        <w:t xml:space="preserve"> phenotype</w:t>
      </w:r>
      <w:r w:rsidR="0047592F">
        <w:t xml:space="preserve"> of</w:t>
      </w:r>
      <w:r>
        <w:t xml:space="preserve"> elevated LDL-cholesterol levels over 190 mg/dL. </w:t>
      </w:r>
      <w:r w:rsidR="00725584">
        <w:t xml:space="preserve">In addition, I will determine what </w:t>
      </w:r>
      <w:r w:rsidR="00264140">
        <w:t>proportions of individuals with elevated LDL-cholesterol levels have</w:t>
      </w:r>
      <w:r w:rsidR="00725584">
        <w:t xml:space="preserve"> an FH variant.</w:t>
      </w:r>
    </w:p>
    <w:p w14:paraId="05FDE042" w14:textId="671F6E55" w:rsidR="0016381D" w:rsidRDefault="00C3400A" w:rsidP="0047592F">
      <w:r>
        <w:t xml:space="preserve">Finally, the </w:t>
      </w:r>
      <w:r w:rsidR="00E36210">
        <w:t>third</w:t>
      </w:r>
      <w:r>
        <w:t xml:space="preserve"> aim of this paper is to </w:t>
      </w:r>
      <w:r w:rsidR="00E36210">
        <w:t>determine</w:t>
      </w:r>
      <w:r>
        <w:t xml:space="preserve">, based on the frequency of FH risk alleles and correlation to FH phenotypes, whether </w:t>
      </w:r>
      <w:r w:rsidR="00E36210">
        <w:t>a genetic</w:t>
      </w:r>
      <w:r w:rsidR="004C39E1">
        <w:t xml:space="preserve"> screening program</w:t>
      </w:r>
      <w:r w:rsidR="00E36210">
        <w:t xml:space="preserve"> for FH would be useful</w:t>
      </w:r>
      <w:r w:rsidR="004C39E1">
        <w:t xml:space="preserve"> in </w:t>
      </w:r>
      <w:r w:rsidR="004C39E1">
        <w:lastRenderedPageBreak/>
        <w:t xml:space="preserve">Samoa. </w:t>
      </w:r>
      <w:r w:rsidR="00725584">
        <w:t xml:space="preserve">If the frequency of FH is </w:t>
      </w:r>
      <w:r w:rsidR="00E36210">
        <w:t xml:space="preserve">relatively high, </w:t>
      </w:r>
      <w:r w:rsidR="00725584">
        <w:t xml:space="preserve">implementation of a screening program would benefit the Samoan population. If more </w:t>
      </w:r>
      <w:r w:rsidR="00E36210">
        <w:t>individuals</w:t>
      </w:r>
      <w:r w:rsidR="00725584">
        <w:t xml:space="preserve"> are diagnosed with FH </w:t>
      </w:r>
      <w:r w:rsidR="00E36210">
        <w:t>prior to experiencing</w:t>
      </w:r>
      <w:r w:rsidR="00725584">
        <w:t xml:space="preserve"> an adverse cardiac</w:t>
      </w:r>
      <w:r w:rsidR="00E36210">
        <w:t xml:space="preserve"> event</w:t>
      </w:r>
      <w:r w:rsidR="00725584">
        <w:t xml:space="preserve">, they could be placed on a statin regiment that would lower their risk of developing CVD. </w:t>
      </w:r>
    </w:p>
    <w:p w14:paraId="35B9F93C" w14:textId="7C917062" w:rsidR="0016381D" w:rsidRPr="00F526C4" w:rsidRDefault="0016381D" w:rsidP="00F526C4">
      <w:pPr>
        <w:pStyle w:val="Heading1"/>
      </w:pPr>
      <w:bookmarkStart w:id="26" w:name="_Toc39065934"/>
      <w:r w:rsidRPr="00F526C4">
        <w:lastRenderedPageBreak/>
        <w:t>D</w:t>
      </w:r>
      <w:r w:rsidR="00A11CEF" w:rsidRPr="00F526C4">
        <w:t>ata Sources</w:t>
      </w:r>
      <w:bookmarkEnd w:id="26"/>
    </w:p>
    <w:p w14:paraId="5AD8AB63" w14:textId="3AD56D46" w:rsidR="0016381D" w:rsidRDefault="0016381D" w:rsidP="0016381D">
      <w:r>
        <w:t xml:space="preserve">The dataset </w:t>
      </w:r>
      <w:r w:rsidR="008C13FE">
        <w:t>analyzed for this study came from participants recruited from</w:t>
      </w:r>
      <w:r w:rsidR="003B50C6">
        <w:t xml:space="preserve"> 33 villages within the four main census regions of</w:t>
      </w:r>
      <w:r w:rsidR="008C13FE">
        <w:t xml:space="preserve"> the </w:t>
      </w:r>
      <w:r w:rsidR="00E97B65">
        <w:t>I</w:t>
      </w:r>
      <w:r w:rsidR="008C13FE">
        <w:t xml:space="preserve">ndependent </w:t>
      </w:r>
      <w:r w:rsidR="00E97B65">
        <w:t>N</w:t>
      </w:r>
      <w:r w:rsidR="008C13FE">
        <w:t xml:space="preserve">ation of Samoa. </w:t>
      </w:r>
      <w:r w:rsidR="003B50C6">
        <w:t xml:space="preserve">Researchers </w:t>
      </w:r>
      <w:r w:rsidR="008C13FE">
        <w:t xml:space="preserve">were allowed by the Ministry of Health to spend two to three days in each village to complete their sample collection from participants. Recruitment and measurements were taken between February and July 2010. </w:t>
      </w:r>
      <w:r w:rsidR="006D4A9D">
        <w:t>This dataset was originally collected as part of a genome-wide association study</w:t>
      </w:r>
      <w:r w:rsidR="00FF75E4">
        <w:t xml:space="preserve"> (GWAS)</w:t>
      </w:r>
      <w:r w:rsidR="006D4A9D">
        <w:t xml:space="preserve"> looking at obesity-related traits. </w:t>
      </w:r>
    </w:p>
    <w:p w14:paraId="07F55505" w14:textId="0C32DFD8" w:rsidR="001A6B66" w:rsidRDefault="003A0EAA" w:rsidP="0016381D">
      <w:r>
        <w:t xml:space="preserve">Of the 3504 participants between the ages of 24.5 and 65 years old, 29 were excluded based </w:t>
      </w:r>
      <w:r w:rsidR="00FF75E4">
        <w:t xml:space="preserve">on not meeting the study inclusion criteria, which included </w:t>
      </w:r>
      <w:r>
        <w:t>age and pregnancy status</w:t>
      </w:r>
      <w:r w:rsidR="00FF75E4">
        <w:t xml:space="preserve"> since this may affect the original purpose of the GWAS study researching obesity traits. This</w:t>
      </w:r>
      <w:r w:rsidR="003B50C6">
        <w:t xml:space="preserve"> resul</w:t>
      </w:r>
      <w:r w:rsidR="00FF75E4">
        <w:t>ted</w:t>
      </w:r>
      <w:r w:rsidR="003B50C6">
        <w:t xml:space="preserve"> in</w:t>
      </w:r>
      <w:r>
        <w:t xml:space="preserve"> a total of 3475 eligible participants for the dataset. 99.4% completed questionnaires on socio-demographic information, medical health history, alcohol and tobacco consumption, physical activity, household assets inventory, and acculturation assessment. A food frequency </w:t>
      </w:r>
      <w:r w:rsidR="003B50C6">
        <w:t>questionnaire</w:t>
      </w:r>
      <w:r>
        <w:t xml:space="preserve"> was also administered to measure food intake, cooking habits, and fruit and vegetable consumption. In addition to these two questionnaires, biometric measurements were taken which included height, weight, body mass index (BMI), blood pressure, and blood glucose.</w:t>
      </w:r>
      <w:r w:rsidR="001A6B66" w:rsidRPr="001A6B66">
        <w:t xml:space="preserve"> </w:t>
      </w:r>
      <w:r w:rsidR="001A6B66">
        <w:t>84.6% gave a fasting serum sample after being asked to fast for ten hours overnight to measure cholesterol levels.</w:t>
      </w:r>
      <w:r>
        <w:t xml:space="preserve"> 91.1% gave</w:t>
      </w:r>
      <w:r w:rsidR="00EB4577">
        <w:t xml:space="preserve"> blood samples for DNA extraction</w:t>
      </w:r>
      <w:r w:rsidR="00814043">
        <w:t>,</w:t>
      </w:r>
      <w:r w:rsidR="00EB4577">
        <w:t xml:space="preserve"> with the first phase of genotyping being completed in November 2011. </w:t>
      </w:r>
      <w:r w:rsidR="001A6B66">
        <w:t xml:space="preserve">Genotype information was sequenced using different transcripts available from the </w:t>
      </w:r>
      <w:proofErr w:type="spellStart"/>
      <w:r w:rsidR="001A6B66">
        <w:t>gnomeAD</w:t>
      </w:r>
      <w:proofErr w:type="spellEnd"/>
      <w:r w:rsidR="001A6B66">
        <w:t xml:space="preserve"> browser. </w:t>
      </w:r>
      <w:r w:rsidR="001A6B66">
        <w:rPr>
          <w:i/>
          <w:iCs/>
        </w:rPr>
        <w:t xml:space="preserve">LDLR, APOB, </w:t>
      </w:r>
      <w:r w:rsidR="001A6B66">
        <w:t xml:space="preserve">and </w:t>
      </w:r>
      <w:r w:rsidR="001A6B66">
        <w:rPr>
          <w:i/>
          <w:iCs/>
        </w:rPr>
        <w:t>PCSK9</w:t>
      </w:r>
      <w:r w:rsidR="001A6B66">
        <w:t xml:space="preserve"> has multiple transcripts available and SNP</w:t>
      </w:r>
      <w:r w:rsidR="006D7538">
        <w:t>s</w:t>
      </w:r>
      <w:r w:rsidR="001A6B66">
        <w:t xml:space="preserve"> may vary </w:t>
      </w:r>
      <w:r w:rsidR="006D7538">
        <w:t>between</w:t>
      </w:r>
      <w:r w:rsidR="001A6B66">
        <w:t xml:space="preserve"> transcript</w:t>
      </w:r>
      <w:r w:rsidR="006D7538">
        <w:t>s for the same gene</w:t>
      </w:r>
      <w:r w:rsidR="001A6B66">
        <w:t xml:space="preserve"> depending on the differences in transcription and translation start sites and end sites, or differences in splicing that affect which </w:t>
      </w:r>
      <w:r w:rsidR="001A6B66">
        <w:lastRenderedPageBreak/>
        <w:t>exons are part of the transcript.</w:t>
      </w:r>
      <w:r w:rsidR="00913F27">
        <w:t xml:space="preserve"> Information on medication and treatment usage was unavailable from the dataset and all </w:t>
      </w:r>
      <w:r w:rsidR="00EE7454">
        <w:t xml:space="preserve">analyses performed was done irrespective of treatment. </w:t>
      </w:r>
    </w:p>
    <w:p w14:paraId="57DC60A5" w14:textId="16C209DC" w:rsidR="00EB4577" w:rsidRDefault="003B50C6" w:rsidP="00EB4577">
      <w:r>
        <w:t>The numbers of study participants broken down by age</w:t>
      </w:r>
      <w:r w:rsidR="009F15A5">
        <w:t xml:space="preserve">, </w:t>
      </w:r>
      <w:r>
        <w:t>sex</w:t>
      </w:r>
      <w:r w:rsidR="009F15A5">
        <w:t>, obesity, and other select characteristics</w:t>
      </w:r>
      <w:r>
        <w:t xml:space="preserve"> are presented in</w:t>
      </w:r>
      <w:r w:rsidR="00EB4577">
        <w:t xml:space="preserve"> Table </w:t>
      </w:r>
      <w:r w:rsidR="009F15A5">
        <w:t>3</w:t>
      </w:r>
      <w:r w:rsidR="00EB4577">
        <w:t xml:space="preserve">. Although efforts were made to </w:t>
      </w:r>
      <w:r>
        <w:t>recruit participants that were</w:t>
      </w:r>
      <w:r w:rsidR="00EB4577">
        <w:t xml:space="preserve"> representative of the entire Independent Nation of Samoa, the </w:t>
      </w:r>
      <w:r>
        <w:t xml:space="preserve">final </w:t>
      </w:r>
      <w:r w:rsidR="00EB4577">
        <w:t xml:space="preserve">study </w:t>
      </w:r>
      <w:r>
        <w:t>population</w:t>
      </w:r>
      <w:r w:rsidR="00EB4577">
        <w:t xml:space="preserve"> does not accurately re</w:t>
      </w:r>
      <w:r>
        <w:t>flect</w:t>
      </w:r>
      <w:r w:rsidR="00EB4577">
        <w:t xml:space="preserve"> the total population proportion </w:t>
      </w:r>
      <w:r>
        <w:t>based on</w:t>
      </w:r>
      <w:r w:rsidR="00EB4577">
        <w:t xml:space="preserve"> the 2011 census. </w:t>
      </w:r>
      <w:r>
        <w:t>The proportion of</w:t>
      </w:r>
      <w:r w:rsidR="00EB4577">
        <w:t xml:space="preserve"> women in the study </w:t>
      </w:r>
      <w:r>
        <w:t>(</w:t>
      </w:r>
      <w:r w:rsidR="00EB4577">
        <w:t>58.6%</w:t>
      </w:r>
      <w:r>
        <w:t>) was higher than that in the general</w:t>
      </w:r>
      <w:r w:rsidR="00EB4577">
        <w:t xml:space="preserve"> population proportion</w:t>
      </w:r>
      <w:r>
        <w:t xml:space="preserve"> (</w:t>
      </w:r>
      <w:r w:rsidR="00EB4577">
        <w:t>48%</w:t>
      </w:r>
      <w:r>
        <w:t>)</w:t>
      </w:r>
      <w:r w:rsidR="00EB4577">
        <w:t>. Older participants were also overrepresented</w:t>
      </w:r>
      <w:r>
        <w:t xml:space="preserve"> compared to younger participants;</w:t>
      </w:r>
      <w:r w:rsidR="00EB4577">
        <w:t xml:space="preserve"> 42.2% of participants </w:t>
      </w:r>
      <w:r>
        <w:t>were</w:t>
      </w:r>
      <w:r w:rsidR="00EB4577">
        <w:t xml:space="preserve"> 60 – 64 years of age</w:t>
      </w:r>
      <w:r>
        <w:t>, but</w:t>
      </w:r>
      <w:r w:rsidR="00EB4577">
        <w:t xml:space="preserve"> only 16.1% of participants</w:t>
      </w:r>
      <w:r>
        <w:t xml:space="preserve"> were</w:t>
      </w:r>
      <w:r w:rsidR="00EB4577">
        <w:t xml:space="preserve"> 24.5 – 29 years of age. Of the four main census regions, rural populations were overrepresented at 32.4% and 33.1% compared to the urban and semi-urban areas which represented 15.9% and 19.6% of the study. </w:t>
      </w:r>
    </w:p>
    <w:p w14:paraId="2D00ECBA" w14:textId="77777777" w:rsidR="00EE7454" w:rsidRDefault="00EE7454" w:rsidP="00EB4577"/>
    <w:p w14:paraId="3C7480F8" w14:textId="52C0F79B" w:rsidR="00EB4577" w:rsidRDefault="00EB4577" w:rsidP="00EB4577">
      <w:pPr>
        <w:pStyle w:val="Caption"/>
        <w:keepNext/>
      </w:pPr>
      <w:bookmarkStart w:id="27" w:name="_Toc39065949"/>
      <w:r>
        <w:t xml:space="preserve">Table </w:t>
      </w:r>
      <w:r>
        <w:fldChar w:fldCharType="begin"/>
      </w:r>
      <w:r>
        <w:instrText xml:space="preserve"> SEQ Table \* ARABIC </w:instrText>
      </w:r>
      <w:r>
        <w:fldChar w:fldCharType="separate"/>
      </w:r>
      <w:r w:rsidR="002A71A2">
        <w:t>3</w:t>
      </w:r>
      <w:r>
        <w:fldChar w:fldCharType="end"/>
      </w:r>
      <w:r>
        <w:t xml:space="preserve">. </w:t>
      </w:r>
      <w:r w:rsidR="000B06A4">
        <w:t>Select Characteristics of Samoan Sample Population Stratifed by BMI Categories</w:t>
      </w:r>
      <w:bookmarkEnd w:id="27"/>
    </w:p>
    <w:tbl>
      <w:tblPr>
        <w:tblStyle w:val="TableGrid"/>
        <w:tblW w:w="7560" w:type="dxa"/>
        <w:tblInd w:w="985" w:type="dxa"/>
        <w:tblLook w:val="04A0" w:firstRow="1" w:lastRow="0" w:firstColumn="1" w:lastColumn="0" w:noHBand="0" w:noVBand="1"/>
      </w:tblPr>
      <w:tblGrid>
        <w:gridCol w:w="2160"/>
        <w:gridCol w:w="1800"/>
        <w:gridCol w:w="1800"/>
        <w:gridCol w:w="1800"/>
      </w:tblGrid>
      <w:tr w:rsidR="008C0A01" w14:paraId="45FF52C8" w14:textId="77777777" w:rsidTr="008C0A01">
        <w:tc>
          <w:tcPr>
            <w:tcW w:w="2160" w:type="dxa"/>
            <w:shd w:val="clear" w:color="auto" w:fill="D9D9D9" w:themeFill="background1" w:themeFillShade="D9"/>
          </w:tcPr>
          <w:p w14:paraId="5C847A91" w14:textId="77777777" w:rsidR="000B06A4" w:rsidRDefault="000B06A4" w:rsidP="00794593">
            <w:pPr>
              <w:ind w:firstLine="0"/>
              <w:jc w:val="center"/>
            </w:pPr>
          </w:p>
        </w:tc>
        <w:tc>
          <w:tcPr>
            <w:tcW w:w="1800" w:type="dxa"/>
            <w:shd w:val="clear" w:color="auto" w:fill="D9D9D9" w:themeFill="background1" w:themeFillShade="D9"/>
          </w:tcPr>
          <w:p w14:paraId="615EE9A9" w14:textId="30AFA4D6" w:rsidR="000B06A4" w:rsidRDefault="000B06A4" w:rsidP="00794593">
            <w:pPr>
              <w:ind w:firstLine="0"/>
              <w:jc w:val="center"/>
            </w:pPr>
            <w:r>
              <w:t>Normal</w:t>
            </w:r>
          </w:p>
        </w:tc>
        <w:tc>
          <w:tcPr>
            <w:tcW w:w="1800" w:type="dxa"/>
            <w:shd w:val="clear" w:color="auto" w:fill="D9D9D9" w:themeFill="background1" w:themeFillShade="D9"/>
          </w:tcPr>
          <w:p w14:paraId="1136E232" w14:textId="0636A17D" w:rsidR="000B06A4" w:rsidRDefault="000B06A4" w:rsidP="00794593">
            <w:pPr>
              <w:ind w:firstLine="0"/>
              <w:jc w:val="center"/>
            </w:pPr>
            <w:r>
              <w:t>Overweight</w:t>
            </w:r>
          </w:p>
        </w:tc>
        <w:tc>
          <w:tcPr>
            <w:tcW w:w="1800" w:type="dxa"/>
            <w:shd w:val="clear" w:color="auto" w:fill="D9D9D9" w:themeFill="background1" w:themeFillShade="D9"/>
          </w:tcPr>
          <w:p w14:paraId="01905DED" w14:textId="26FF07A0" w:rsidR="000B06A4" w:rsidRDefault="000B06A4" w:rsidP="00794593">
            <w:pPr>
              <w:ind w:firstLine="0"/>
              <w:jc w:val="center"/>
            </w:pPr>
            <w:r>
              <w:t>Obese</w:t>
            </w:r>
          </w:p>
        </w:tc>
      </w:tr>
      <w:tr w:rsidR="008C0A01" w14:paraId="0938C9CC" w14:textId="77777777" w:rsidTr="00945C18">
        <w:trPr>
          <w:trHeight w:val="1088"/>
        </w:trPr>
        <w:tc>
          <w:tcPr>
            <w:tcW w:w="2160" w:type="dxa"/>
          </w:tcPr>
          <w:p w14:paraId="26996B7B" w14:textId="5EB2EFAF" w:rsidR="000B06A4" w:rsidRPr="00710434" w:rsidRDefault="000B06A4" w:rsidP="00945C18">
            <w:pPr>
              <w:spacing w:line="240" w:lineRule="auto"/>
              <w:ind w:firstLine="0"/>
              <w:jc w:val="center"/>
              <w:rPr>
                <w:u w:val="single"/>
              </w:rPr>
            </w:pPr>
            <w:r w:rsidRPr="00710434">
              <w:rPr>
                <w:u w:val="single"/>
              </w:rPr>
              <w:t>Sex</w:t>
            </w:r>
          </w:p>
          <w:p w14:paraId="192E14EE" w14:textId="77777777" w:rsidR="000B06A4" w:rsidRDefault="000B06A4" w:rsidP="00DF1A1B">
            <w:pPr>
              <w:spacing w:line="240" w:lineRule="auto"/>
              <w:ind w:firstLine="0"/>
              <w:jc w:val="right"/>
            </w:pPr>
            <w:r>
              <w:t>Male</w:t>
            </w:r>
          </w:p>
          <w:p w14:paraId="6F178DBB" w14:textId="17E5A709" w:rsidR="000B06A4" w:rsidRDefault="000B06A4" w:rsidP="00DF1A1B">
            <w:pPr>
              <w:spacing w:line="240" w:lineRule="auto"/>
              <w:jc w:val="right"/>
            </w:pPr>
            <w:r>
              <w:t>Female</w:t>
            </w:r>
          </w:p>
        </w:tc>
        <w:tc>
          <w:tcPr>
            <w:tcW w:w="1800" w:type="dxa"/>
          </w:tcPr>
          <w:p w14:paraId="7D01C6A1" w14:textId="77777777" w:rsidR="000B06A4" w:rsidRDefault="000B06A4" w:rsidP="00945C18">
            <w:pPr>
              <w:spacing w:line="240" w:lineRule="auto"/>
              <w:ind w:firstLine="0"/>
              <w:jc w:val="center"/>
            </w:pPr>
          </w:p>
          <w:p w14:paraId="67C1FA65" w14:textId="77777777" w:rsidR="000B06A4" w:rsidRDefault="000B06A4" w:rsidP="00945C18">
            <w:pPr>
              <w:spacing w:line="240" w:lineRule="auto"/>
              <w:ind w:firstLine="0"/>
              <w:jc w:val="center"/>
            </w:pPr>
            <w:r>
              <w:t>277</w:t>
            </w:r>
          </w:p>
          <w:p w14:paraId="75A53F48" w14:textId="17AFD799" w:rsidR="000B06A4" w:rsidRDefault="000B06A4" w:rsidP="00945C18">
            <w:pPr>
              <w:spacing w:line="240" w:lineRule="auto"/>
              <w:ind w:firstLine="0"/>
              <w:jc w:val="center"/>
            </w:pPr>
            <w:r>
              <w:t>177</w:t>
            </w:r>
          </w:p>
        </w:tc>
        <w:tc>
          <w:tcPr>
            <w:tcW w:w="1800" w:type="dxa"/>
          </w:tcPr>
          <w:p w14:paraId="2B609DC1" w14:textId="77777777" w:rsidR="000B06A4" w:rsidRDefault="000B06A4" w:rsidP="00945C18">
            <w:pPr>
              <w:spacing w:line="240" w:lineRule="auto"/>
              <w:ind w:firstLine="0"/>
              <w:jc w:val="center"/>
            </w:pPr>
          </w:p>
          <w:p w14:paraId="730F057D" w14:textId="77777777" w:rsidR="000B06A4" w:rsidRDefault="000B06A4" w:rsidP="00945C18">
            <w:pPr>
              <w:spacing w:line="240" w:lineRule="auto"/>
              <w:ind w:firstLine="0"/>
              <w:jc w:val="center"/>
            </w:pPr>
            <w:r>
              <w:t>561</w:t>
            </w:r>
          </w:p>
          <w:p w14:paraId="5F79B334" w14:textId="2252929C" w:rsidR="000B06A4" w:rsidRDefault="000B06A4" w:rsidP="00945C18">
            <w:pPr>
              <w:spacing w:line="240" w:lineRule="auto"/>
              <w:ind w:firstLine="0"/>
              <w:jc w:val="center"/>
            </w:pPr>
            <w:r>
              <w:t>546</w:t>
            </w:r>
          </w:p>
        </w:tc>
        <w:tc>
          <w:tcPr>
            <w:tcW w:w="1800" w:type="dxa"/>
          </w:tcPr>
          <w:p w14:paraId="3046B07F" w14:textId="77777777" w:rsidR="000B06A4" w:rsidRDefault="000B06A4" w:rsidP="00945C18">
            <w:pPr>
              <w:spacing w:line="240" w:lineRule="auto"/>
              <w:ind w:firstLine="0"/>
              <w:jc w:val="center"/>
            </w:pPr>
          </w:p>
          <w:p w14:paraId="784627E9" w14:textId="77777777" w:rsidR="000B06A4" w:rsidRDefault="000B06A4" w:rsidP="00945C18">
            <w:pPr>
              <w:spacing w:line="240" w:lineRule="auto"/>
              <w:ind w:firstLine="0"/>
              <w:jc w:val="center"/>
            </w:pPr>
            <w:r>
              <w:t>587</w:t>
            </w:r>
          </w:p>
          <w:p w14:paraId="5ADCAA14" w14:textId="36760CAB" w:rsidR="000B06A4" w:rsidRDefault="000B06A4" w:rsidP="00945C18">
            <w:pPr>
              <w:spacing w:line="240" w:lineRule="auto"/>
              <w:ind w:firstLine="0"/>
              <w:jc w:val="center"/>
            </w:pPr>
            <w:r>
              <w:t>1311</w:t>
            </w:r>
          </w:p>
        </w:tc>
      </w:tr>
      <w:tr w:rsidR="008C0A01" w14:paraId="5EB1BB99" w14:textId="77777777" w:rsidTr="008C0A01">
        <w:tc>
          <w:tcPr>
            <w:tcW w:w="2160" w:type="dxa"/>
          </w:tcPr>
          <w:p w14:paraId="3C03EBE0" w14:textId="77777777" w:rsidR="000B06A4" w:rsidRPr="00710434" w:rsidRDefault="000B06A4" w:rsidP="00945C18">
            <w:pPr>
              <w:spacing w:line="240" w:lineRule="auto"/>
              <w:ind w:firstLine="0"/>
              <w:jc w:val="center"/>
              <w:rPr>
                <w:u w:val="single"/>
              </w:rPr>
            </w:pPr>
            <w:r w:rsidRPr="00710434">
              <w:rPr>
                <w:u w:val="single"/>
              </w:rPr>
              <w:t>Age</w:t>
            </w:r>
          </w:p>
          <w:p w14:paraId="09F1847C" w14:textId="33904EDC" w:rsidR="000B06A4" w:rsidRDefault="000B06A4" w:rsidP="00DF1A1B">
            <w:pPr>
              <w:spacing w:line="240" w:lineRule="auto"/>
              <w:ind w:firstLine="0"/>
              <w:jc w:val="right"/>
            </w:pPr>
            <w:r>
              <w:t>24 – 33</w:t>
            </w:r>
          </w:p>
          <w:p w14:paraId="05AE75C1" w14:textId="32F52103" w:rsidR="000B06A4" w:rsidRDefault="000B06A4" w:rsidP="00DF1A1B">
            <w:pPr>
              <w:spacing w:line="240" w:lineRule="auto"/>
              <w:ind w:firstLine="0"/>
              <w:jc w:val="right"/>
            </w:pPr>
            <w:r>
              <w:t>34 – 43</w:t>
            </w:r>
          </w:p>
          <w:p w14:paraId="475927FE" w14:textId="58397AA9" w:rsidR="000B06A4" w:rsidRDefault="000B06A4" w:rsidP="00DF1A1B">
            <w:pPr>
              <w:spacing w:line="240" w:lineRule="auto"/>
              <w:ind w:firstLine="0"/>
              <w:jc w:val="right"/>
            </w:pPr>
            <w:r>
              <w:t>44 – 53</w:t>
            </w:r>
          </w:p>
          <w:p w14:paraId="501A8484" w14:textId="41FAC0E0" w:rsidR="000B06A4" w:rsidRDefault="000B06A4" w:rsidP="00DF1A1B">
            <w:pPr>
              <w:spacing w:line="240" w:lineRule="auto"/>
              <w:ind w:firstLine="0"/>
              <w:jc w:val="right"/>
            </w:pPr>
            <w:r>
              <w:t>54 – 63</w:t>
            </w:r>
          </w:p>
          <w:p w14:paraId="7121CF42" w14:textId="2CDA3B0F" w:rsidR="000B06A4" w:rsidRDefault="000B06A4" w:rsidP="00DF1A1B">
            <w:pPr>
              <w:spacing w:line="240" w:lineRule="auto"/>
              <w:ind w:firstLine="0"/>
              <w:jc w:val="right"/>
            </w:pPr>
            <w:r>
              <w:t>64 – 73</w:t>
            </w:r>
          </w:p>
        </w:tc>
        <w:tc>
          <w:tcPr>
            <w:tcW w:w="1800" w:type="dxa"/>
          </w:tcPr>
          <w:p w14:paraId="7C9E293F" w14:textId="77777777" w:rsidR="000B06A4" w:rsidRDefault="000B06A4" w:rsidP="00945C18">
            <w:pPr>
              <w:spacing w:line="240" w:lineRule="auto"/>
              <w:ind w:firstLine="0"/>
              <w:jc w:val="center"/>
            </w:pPr>
          </w:p>
          <w:p w14:paraId="43BF681A" w14:textId="77777777" w:rsidR="00E12FA3" w:rsidRDefault="00E12FA3" w:rsidP="00945C18">
            <w:pPr>
              <w:spacing w:line="240" w:lineRule="auto"/>
              <w:ind w:firstLine="0"/>
              <w:jc w:val="center"/>
            </w:pPr>
            <w:r>
              <w:t>143</w:t>
            </w:r>
          </w:p>
          <w:p w14:paraId="301450A9" w14:textId="77777777" w:rsidR="00E12FA3" w:rsidRDefault="00E12FA3" w:rsidP="00945C18">
            <w:pPr>
              <w:spacing w:line="240" w:lineRule="auto"/>
              <w:ind w:firstLine="0"/>
              <w:jc w:val="center"/>
            </w:pPr>
            <w:r>
              <w:t>111</w:t>
            </w:r>
          </w:p>
          <w:p w14:paraId="366842E8" w14:textId="77777777" w:rsidR="00E12FA3" w:rsidRDefault="00E12FA3" w:rsidP="00945C18">
            <w:pPr>
              <w:spacing w:line="240" w:lineRule="auto"/>
              <w:ind w:firstLine="0"/>
              <w:jc w:val="center"/>
            </w:pPr>
            <w:r>
              <w:t>101</w:t>
            </w:r>
          </w:p>
          <w:p w14:paraId="2212F052" w14:textId="77777777" w:rsidR="00E12FA3" w:rsidRDefault="00E12FA3" w:rsidP="00945C18">
            <w:pPr>
              <w:spacing w:line="240" w:lineRule="auto"/>
              <w:ind w:firstLine="0"/>
              <w:jc w:val="center"/>
            </w:pPr>
            <w:r>
              <w:t>93</w:t>
            </w:r>
          </w:p>
          <w:p w14:paraId="39191216" w14:textId="4B9A3D60" w:rsidR="00E12FA3" w:rsidRDefault="00E12FA3" w:rsidP="00945C18">
            <w:pPr>
              <w:spacing w:line="240" w:lineRule="auto"/>
              <w:ind w:firstLine="0"/>
              <w:jc w:val="center"/>
            </w:pPr>
            <w:r>
              <w:t>6</w:t>
            </w:r>
          </w:p>
        </w:tc>
        <w:tc>
          <w:tcPr>
            <w:tcW w:w="1800" w:type="dxa"/>
          </w:tcPr>
          <w:p w14:paraId="3C2C39C2" w14:textId="77777777" w:rsidR="000B06A4" w:rsidRDefault="000B06A4" w:rsidP="00945C18">
            <w:pPr>
              <w:spacing w:line="240" w:lineRule="auto"/>
              <w:ind w:firstLine="0"/>
              <w:jc w:val="center"/>
            </w:pPr>
          </w:p>
          <w:p w14:paraId="31B81A74" w14:textId="77777777" w:rsidR="00E12FA3" w:rsidRDefault="00E12FA3" w:rsidP="00945C18">
            <w:pPr>
              <w:spacing w:line="240" w:lineRule="auto"/>
              <w:ind w:firstLine="0"/>
              <w:jc w:val="center"/>
            </w:pPr>
            <w:r>
              <w:t>271</w:t>
            </w:r>
          </w:p>
          <w:p w14:paraId="205B89AD" w14:textId="77777777" w:rsidR="00E12FA3" w:rsidRDefault="00E12FA3" w:rsidP="00945C18">
            <w:pPr>
              <w:spacing w:line="240" w:lineRule="auto"/>
              <w:ind w:firstLine="0"/>
              <w:jc w:val="center"/>
            </w:pPr>
            <w:r>
              <w:t>273</w:t>
            </w:r>
          </w:p>
          <w:p w14:paraId="216900BE" w14:textId="77777777" w:rsidR="00E12FA3" w:rsidRDefault="00E12FA3" w:rsidP="00945C18">
            <w:pPr>
              <w:spacing w:line="240" w:lineRule="auto"/>
              <w:ind w:firstLine="0"/>
              <w:jc w:val="center"/>
            </w:pPr>
            <w:r>
              <w:t>295</w:t>
            </w:r>
          </w:p>
          <w:p w14:paraId="31AD1376" w14:textId="77777777" w:rsidR="00E12FA3" w:rsidRDefault="00E12FA3" w:rsidP="00945C18">
            <w:pPr>
              <w:spacing w:line="240" w:lineRule="auto"/>
              <w:ind w:firstLine="0"/>
              <w:jc w:val="center"/>
            </w:pPr>
            <w:r>
              <w:t>239</w:t>
            </w:r>
          </w:p>
          <w:p w14:paraId="11D79A41" w14:textId="704C4797" w:rsidR="00E12FA3" w:rsidRDefault="00E12FA3" w:rsidP="00945C18">
            <w:pPr>
              <w:spacing w:line="240" w:lineRule="auto"/>
              <w:ind w:firstLine="0"/>
              <w:jc w:val="center"/>
            </w:pPr>
            <w:r>
              <w:t>29</w:t>
            </w:r>
          </w:p>
        </w:tc>
        <w:tc>
          <w:tcPr>
            <w:tcW w:w="1800" w:type="dxa"/>
          </w:tcPr>
          <w:p w14:paraId="36606B55" w14:textId="77777777" w:rsidR="000B06A4" w:rsidRDefault="000B06A4" w:rsidP="00945C18">
            <w:pPr>
              <w:spacing w:line="240" w:lineRule="auto"/>
              <w:ind w:firstLine="0"/>
            </w:pPr>
          </w:p>
          <w:p w14:paraId="6D238DD6" w14:textId="77777777" w:rsidR="00E12FA3" w:rsidRDefault="00E12FA3" w:rsidP="00945C18">
            <w:pPr>
              <w:spacing w:line="240" w:lineRule="auto"/>
              <w:ind w:firstLine="0"/>
              <w:jc w:val="center"/>
            </w:pPr>
            <w:r>
              <w:t>332</w:t>
            </w:r>
          </w:p>
          <w:p w14:paraId="2023808C" w14:textId="77777777" w:rsidR="00E12FA3" w:rsidRDefault="00E12FA3" w:rsidP="00945C18">
            <w:pPr>
              <w:spacing w:line="240" w:lineRule="auto"/>
              <w:ind w:firstLine="0"/>
              <w:jc w:val="center"/>
            </w:pPr>
            <w:r>
              <w:t>517</w:t>
            </w:r>
          </w:p>
          <w:p w14:paraId="5A3DFEB5" w14:textId="77777777" w:rsidR="00E12FA3" w:rsidRDefault="00E12FA3" w:rsidP="00945C18">
            <w:pPr>
              <w:spacing w:line="240" w:lineRule="auto"/>
              <w:ind w:firstLine="0"/>
              <w:jc w:val="center"/>
            </w:pPr>
            <w:r>
              <w:t>544</w:t>
            </w:r>
          </w:p>
          <w:p w14:paraId="1832B944" w14:textId="77777777" w:rsidR="00E12FA3" w:rsidRDefault="00E12FA3" w:rsidP="00945C18">
            <w:pPr>
              <w:spacing w:line="240" w:lineRule="auto"/>
              <w:ind w:firstLine="0"/>
              <w:jc w:val="center"/>
            </w:pPr>
            <w:r>
              <w:t>465</w:t>
            </w:r>
          </w:p>
          <w:p w14:paraId="1745754D" w14:textId="51DE48CC" w:rsidR="00E12FA3" w:rsidRDefault="00E12FA3" w:rsidP="00945C18">
            <w:pPr>
              <w:spacing w:line="240" w:lineRule="auto"/>
              <w:ind w:firstLine="0"/>
              <w:jc w:val="center"/>
            </w:pPr>
            <w:r>
              <w:t>40</w:t>
            </w:r>
          </w:p>
        </w:tc>
      </w:tr>
      <w:tr w:rsidR="008C0A01" w14:paraId="67B7DC34" w14:textId="77777777" w:rsidTr="008C0A01">
        <w:tc>
          <w:tcPr>
            <w:tcW w:w="2160" w:type="dxa"/>
          </w:tcPr>
          <w:p w14:paraId="031B2FB1" w14:textId="77777777" w:rsidR="00E12FA3" w:rsidRPr="00DF1A1B" w:rsidRDefault="00E12FA3" w:rsidP="00945C18">
            <w:pPr>
              <w:spacing w:line="240" w:lineRule="auto"/>
              <w:ind w:firstLine="0"/>
              <w:jc w:val="center"/>
              <w:rPr>
                <w:u w:val="single"/>
              </w:rPr>
            </w:pPr>
            <w:r w:rsidRPr="00DF1A1B">
              <w:rPr>
                <w:u w:val="single"/>
              </w:rPr>
              <w:t>Experienced Heart Attack</w:t>
            </w:r>
          </w:p>
          <w:p w14:paraId="5F07D32A" w14:textId="77777777" w:rsidR="00E12FA3" w:rsidRDefault="00E12FA3" w:rsidP="00945C18">
            <w:pPr>
              <w:spacing w:line="240" w:lineRule="auto"/>
              <w:ind w:firstLine="0"/>
              <w:jc w:val="center"/>
            </w:pPr>
          </w:p>
          <w:p w14:paraId="7AA0CD40" w14:textId="0B44A907" w:rsidR="00E12FA3" w:rsidRDefault="00E12FA3" w:rsidP="00DF1A1B">
            <w:pPr>
              <w:spacing w:line="240" w:lineRule="auto"/>
              <w:ind w:firstLine="0"/>
              <w:jc w:val="right"/>
            </w:pPr>
            <w:r>
              <w:t>No</w:t>
            </w:r>
          </w:p>
          <w:p w14:paraId="3AC92373" w14:textId="77777777" w:rsidR="00E12FA3" w:rsidRDefault="00E12FA3" w:rsidP="00DF1A1B">
            <w:pPr>
              <w:spacing w:line="240" w:lineRule="auto"/>
              <w:ind w:firstLine="0"/>
              <w:jc w:val="right"/>
            </w:pPr>
            <w:r>
              <w:t>Yes</w:t>
            </w:r>
          </w:p>
          <w:p w14:paraId="6C7B8F90" w14:textId="5B96D8A2" w:rsidR="00E12FA3" w:rsidRDefault="00E12FA3" w:rsidP="00DF1A1B">
            <w:pPr>
              <w:spacing w:line="240" w:lineRule="auto"/>
              <w:ind w:firstLine="0"/>
              <w:jc w:val="right"/>
            </w:pPr>
            <w:r>
              <w:t>N/A</w:t>
            </w:r>
          </w:p>
        </w:tc>
        <w:tc>
          <w:tcPr>
            <w:tcW w:w="1800" w:type="dxa"/>
          </w:tcPr>
          <w:p w14:paraId="30F55E1F" w14:textId="77777777" w:rsidR="00E12FA3" w:rsidRDefault="00E12FA3" w:rsidP="00945C18">
            <w:pPr>
              <w:spacing w:line="240" w:lineRule="auto"/>
              <w:ind w:firstLine="0"/>
            </w:pPr>
          </w:p>
          <w:p w14:paraId="3FF42368" w14:textId="79BDA6D1" w:rsidR="00E12FA3" w:rsidRDefault="00E12FA3" w:rsidP="00945C18">
            <w:pPr>
              <w:spacing w:line="240" w:lineRule="auto"/>
              <w:ind w:firstLine="0"/>
            </w:pPr>
          </w:p>
          <w:p w14:paraId="7BB593D6" w14:textId="77777777" w:rsidR="00945C18" w:rsidRDefault="00945C18" w:rsidP="00945C18">
            <w:pPr>
              <w:spacing w:line="240" w:lineRule="auto"/>
              <w:ind w:firstLine="0"/>
            </w:pPr>
          </w:p>
          <w:p w14:paraId="2E77F49C" w14:textId="77777777" w:rsidR="00E12FA3" w:rsidRDefault="00E12FA3" w:rsidP="00945C18">
            <w:pPr>
              <w:spacing w:line="240" w:lineRule="auto"/>
              <w:ind w:firstLine="0"/>
              <w:jc w:val="center"/>
            </w:pPr>
            <w:r>
              <w:t>378</w:t>
            </w:r>
          </w:p>
          <w:p w14:paraId="50258A7D" w14:textId="77777777" w:rsidR="00E12FA3" w:rsidRDefault="00E12FA3" w:rsidP="00945C18">
            <w:pPr>
              <w:spacing w:line="240" w:lineRule="auto"/>
              <w:ind w:firstLine="0"/>
              <w:jc w:val="center"/>
            </w:pPr>
            <w:r>
              <w:t>0</w:t>
            </w:r>
          </w:p>
          <w:p w14:paraId="5B3F7874" w14:textId="6E3BC89B" w:rsidR="00E12FA3" w:rsidRDefault="00E12FA3" w:rsidP="00945C18">
            <w:pPr>
              <w:spacing w:line="240" w:lineRule="auto"/>
              <w:ind w:firstLine="0"/>
              <w:jc w:val="center"/>
            </w:pPr>
            <w:r>
              <w:t>76</w:t>
            </w:r>
          </w:p>
        </w:tc>
        <w:tc>
          <w:tcPr>
            <w:tcW w:w="1800" w:type="dxa"/>
          </w:tcPr>
          <w:p w14:paraId="6C9E69B1" w14:textId="77777777" w:rsidR="00E12FA3" w:rsidRDefault="00E12FA3" w:rsidP="00945C18">
            <w:pPr>
              <w:spacing w:line="240" w:lineRule="auto"/>
              <w:ind w:firstLine="0"/>
              <w:jc w:val="center"/>
            </w:pPr>
          </w:p>
          <w:p w14:paraId="69BA5785" w14:textId="7FF578F1" w:rsidR="00E12FA3" w:rsidRDefault="00E12FA3" w:rsidP="00945C18">
            <w:pPr>
              <w:spacing w:line="240" w:lineRule="auto"/>
              <w:ind w:firstLine="0"/>
            </w:pPr>
          </w:p>
          <w:p w14:paraId="072DADAA" w14:textId="77777777" w:rsidR="00945C18" w:rsidRDefault="00945C18" w:rsidP="00945C18">
            <w:pPr>
              <w:spacing w:line="240" w:lineRule="auto"/>
              <w:ind w:firstLine="0"/>
            </w:pPr>
          </w:p>
          <w:p w14:paraId="29FBE231" w14:textId="77777777" w:rsidR="00E12FA3" w:rsidRDefault="00E12FA3" w:rsidP="00945C18">
            <w:pPr>
              <w:spacing w:line="240" w:lineRule="auto"/>
              <w:ind w:firstLine="0"/>
              <w:jc w:val="center"/>
            </w:pPr>
            <w:r>
              <w:t>939</w:t>
            </w:r>
          </w:p>
          <w:p w14:paraId="7CD54CF7" w14:textId="77777777" w:rsidR="00E12FA3" w:rsidRDefault="00E12FA3" w:rsidP="00945C18">
            <w:pPr>
              <w:spacing w:line="240" w:lineRule="auto"/>
              <w:ind w:firstLine="0"/>
              <w:jc w:val="center"/>
            </w:pPr>
            <w:r>
              <w:t>10</w:t>
            </w:r>
          </w:p>
          <w:p w14:paraId="2CFCDEC5" w14:textId="506BD577" w:rsidR="00E12FA3" w:rsidRDefault="00E12FA3" w:rsidP="00945C18">
            <w:pPr>
              <w:spacing w:line="240" w:lineRule="auto"/>
              <w:ind w:firstLine="0"/>
              <w:jc w:val="center"/>
            </w:pPr>
            <w:r>
              <w:t>158</w:t>
            </w:r>
          </w:p>
        </w:tc>
        <w:tc>
          <w:tcPr>
            <w:tcW w:w="1800" w:type="dxa"/>
          </w:tcPr>
          <w:p w14:paraId="0C0D4429" w14:textId="77777777" w:rsidR="00E12FA3" w:rsidRDefault="00E12FA3" w:rsidP="00945C18">
            <w:pPr>
              <w:spacing w:line="240" w:lineRule="auto"/>
              <w:ind w:firstLine="0"/>
              <w:jc w:val="center"/>
            </w:pPr>
          </w:p>
          <w:p w14:paraId="5032AA71" w14:textId="7E6C0CD3" w:rsidR="008C0A01" w:rsidRDefault="008C0A01" w:rsidP="00945C18">
            <w:pPr>
              <w:spacing w:line="240" w:lineRule="auto"/>
              <w:ind w:firstLine="0"/>
            </w:pPr>
          </w:p>
          <w:p w14:paraId="1234F217" w14:textId="77777777" w:rsidR="00945C18" w:rsidRDefault="00945C18" w:rsidP="00945C18">
            <w:pPr>
              <w:spacing w:line="240" w:lineRule="auto"/>
              <w:ind w:firstLine="0"/>
            </w:pPr>
          </w:p>
          <w:p w14:paraId="0B2CBD58" w14:textId="77777777" w:rsidR="008C0A01" w:rsidRDefault="008C0A01" w:rsidP="00945C18">
            <w:pPr>
              <w:spacing w:line="240" w:lineRule="auto"/>
              <w:ind w:firstLine="0"/>
              <w:jc w:val="center"/>
            </w:pPr>
            <w:r>
              <w:t>1580</w:t>
            </w:r>
          </w:p>
          <w:p w14:paraId="4F3B35BE" w14:textId="77777777" w:rsidR="008C0A01" w:rsidRDefault="008C0A01" w:rsidP="00945C18">
            <w:pPr>
              <w:spacing w:line="240" w:lineRule="auto"/>
              <w:ind w:firstLine="0"/>
              <w:jc w:val="center"/>
            </w:pPr>
            <w:r>
              <w:t>26</w:t>
            </w:r>
          </w:p>
          <w:p w14:paraId="24B2C3F0" w14:textId="77777777" w:rsidR="008C0A01" w:rsidRDefault="008C0A01" w:rsidP="00945C18">
            <w:pPr>
              <w:spacing w:line="240" w:lineRule="auto"/>
              <w:ind w:firstLine="0"/>
              <w:jc w:val="center"/>
            </w:pPr>
            <w:r>
              <w:t>292</w:t>
            </w:r>
          </w:p>
          <w:p w14:paraId="7BFB033B" w14:textId="5630AEE7" w:rsidR="008C0A01" w:rsidRDefault="008C0A01" w:rsidP="00945C18">
            <w:pPr>
              <w:spacing w:line="240" w:lineRule="auto"/>
              <w:ind w:firstLine="0"/>
              <w:jc w:val="center"/>
            </w:pPr>
          </w:p>
        </w:tc>
      </w:tr>
      <w:tr w:rsidR="008C0A01" w14:paraId="1220A12F" w14:textId="77777777" w:rsidTr="008C0A01">
        <w:tc>
          <w:tcPr>
            <w:tcW w:w="2160" w:type="dxa"/>
          </w:tcPr>
          <w:p w14:paraId="13D0C5C7" w14:textId="7C44B135" w:rsidR="008C0A01" w:rsidRPr="00DF1A1B" w:rsidRDefault="008C0A01" w:rsidP="00945C18">
            <w:pPr>
              <w:spacing w:line="240" w:lineRule="auto"/>
              <w:ind w:firstLine="0"/>
              <w:jc w:val="center"/>
              <w:rPr>
                <w:u w:val="single"/>
              </w:rPr>
            </w:pPr>
            <w:r w:rsidRPr="00DF1A1B">
              <w:rPr>
                <w:u w:val="single"/>
              </w:rPr>
              <w:lastRenderedPageBreak/>
              <w:t>Previously Diagnosed with Heart Disease</w:t>
            </w:r>
          </w:p>
          <w:p w14:paraId="749F5645" w14:textId="791396DD" w:rsidR="008C0A01" w:rsidRDefault="008C0A01" w:rsidP="00945C18">
            <w:pPr>
              <w:spacing w:line="240" w:lineRule="auto"/>
              <w:ind w:firstLine="0"/>
              <w:jc w:val="center"/>
            </w:pPr>
          </w:p>
          <w:p w14:paraId="7F8FA3D4" w14:textId="0EC3EFAD" w:rsidR="008C0A01" w:rsidRDefault="008C0A01" w:rsidP="00DF1A1B">
            <w:pPr>
              <w:spacing w:line="240" w:lineRule="auto"/>
              <w:ind w:firstLine="0"/>
              <w:jc w:val="right"/>
            </w:pPr>
            <w:r>
              <w:t>No</w:t>
            </w:r>
          </w:p>
          <w:p w14:paraId="25E889DE" w14:textId="032DE623" w:rsidR="008C0A01" w:rsidRDefault="008C0A01" w:rsidP="00DF1A1B">
            <w:pPr>
              <w:spacing w:line="240" w:lineRule="auto"/>
              <w:ind w:firstLine="0"/>
              <w:jc w:val="right"/>
            </w:pPr>
            <w:r>
              <w:t>Yes</w:t>
            </w:r>
          </w:p>
          <w:p w14:paraId="1DC816D4" w14:textId="3EF1A99F" w:rsidR="008C0A01" w:rsidRDefault="008C0A01" w:rsidP="00DF1A1B">
            <w:pPr>
              <w:spacing w:line="240" w:lineRule="auto"/>
              <w:ind w:firstLine="0"/>
              <w:jc w:val="right"/>
            </w:pPr>
            <w:r>
              <w:t>N/A</w:t>
            </w:r>
          </w:p>
          <w:p w14:paraId="778D468B" w14:textId="4B40162B" w:rsidR="008C0A01" w:rsidRDefault="008C0A01" w:rsidP="00945C18">
            <w:pPr>
              <w:spacing w:line="240" w:lineRule="auto"/>
              <w:ind w:firstLine="0"/>
              <w:jc w:val="center"/>
            </w:pPr>
          </w:p>
        </w:tc>
        <w:tc>
          <w:tcPr>
            <w:tcW w:w="1800" w:type="dxa"/>
          </w:tcPr>
          <w:p w14:paraId="536E4939" w14:textId="77777777" w:rsidR="008C0A01" w:rsidRDefault="008C0A01" w:rsidP="00945C18">
            <w:pPr>
              <w:spacing w:line="240" w:lineRule="auto"/>
              <w:ind w:firstLine="0"/>
              <w:jc w:val="center"/>
            </w:pPr>
          </w:p>
          <w:p w14:paraId="04B6E077" w14:textId="14382484" w:rsidR="008C0A01" w:rsidRDefault="008C0A01" w:rsidP="00945C18">
            <w:pPr>
              <w:spacing w:line="240" w:lineRule="auto"/>
              <w:ind w:firstLine="0"/>
              <w:jc w:val="center"/>
            </w:pPr>
          </w:p>
          <w:p w14:paraId="48DD8C5B" w14:textId="765E65EF" w:rsidR="00945C18" w:rsidRDefault="00945C18" w:rsidP="00945C18">
            <w:pPr>
              <w:spacing w:line="240" w:lineRule="auto"/>
              <w:ind w:firstLine="0"/>
              <w:jc w:val="center"/>
            </w:pPr>
          </w:p>
          <w:p w14:paraId="1E796ABA" w14:textId="77777777" w:rsidR="00945C18" w:rsidRDefault="00945C18" w:rsidP="00945C18">
            <w:pPr>
              <w:spacing w:line="240" w:lineRule="auto"/>
              <w:ind w:firstLine="0"/>
              <w:jc w:val="center"/>
            </w:pPr>
          </w:p>
          <w:p w14:paraId="7437F5A0" w14:textId="33002070" w:rsidR="008C0A01" w:rsidRDefault="008C0A01" w:rsidP="00945C18">
            <w:pPr>
              <w:spacing w:line="240" w:lineRule="auto"/>
              <w:ind w:firstLine="0"/>
              <w:jc w:val="center"/>
            </w:pPr>
            <w:r>
              <w:t>450</w:t>
            </w:r>
          </w:p>
          <w:p w14:paraId="2A436F26" w14:textId="5A31CEAD" w:rsidR="008C0A01" w:rsidRDefault="008C0A01" w:rsidP="00945C18">
            <w:pPr>
              <w:spacing w:line="240" w:lineRule="auto"/>
              <w:ind w:firstLine="0"/>
              <w:jc w:val="center"/>
            </w:pPr>
            <w:r>
              <w:t>2</w:t>
            </w:r>
          </w:p>
          <w:p w14:paraId="01D84267" w14:textId="780BC29E" w:rsidR="008C0A01" w:rsidRDefault="008C0A01" w:rsidP="00945C18">
            <w:pPr>
              <w:spacing w:line="240" w:lineRule="auto"/>
              <w:ind w:firstLine="0"/>
              <w:jc w:val="center"/>
            </w:pPr>
            <w:r>
              <w:t>2</w:t>
            </w:r>
          </w:p>
        </w:tc>
        <w:tc>
          <w:tcPr>
            <w:tcW w:w="1800" w:type="dxa"/>
          </w:tcPr>
          <w:p w14:paraId="171942CA" w14:textId="77777777" w:rsidR="008C0A01" w:rsidRDefault="008C0A01" w:rsidP="00945C18">
            <w:pPr>
              <w:spacing w:line="240" w:lineRule="auto"/>
              <w:ind w:firstLine="0"/>
              <w:jc w:val="center"/>
            </w:pPr>
          </w:p>
          <w:p w14:paraId="6042BDF0" w14:textId="02DD3196" w:rsidR="008C0A01" w:rsidRDefault="008C0A01" w:rsidP="00945C18">
            <w:pPr>
              <w:spacing w:line="240" w:lineRule="auto"/>
              <w:ind w:firstLine="0"/>
              <w:jc w:val="center"/>
            </w:pPr>
          </w:p>
          <w:p w14:paraId="7AC3FAE4" w14:textId="4B7CEDE6" w:rsidR="00945C18" w:rsidRDefault="00945C18" w:rsidP="00945C18">
            <w:pPr>
              <w:spacing w:line="240" w:lineRule="auto"/>
              <w:ind w:firstLine="0"/>
              <w:jc w:val="center"/>
            </w:pPr>
          </w:p>
          <w:p w14:paraId="12BF5EB5" w14:textId="77777777" w:rsidR="00945C18" w:rsidRDefault="00945C18" w:rsidP="00945C18">
            <w:pPr>
              <w:spacing w:line="240" w:lineRule="auto"/>
              <w:ind w:firstLine="0"/>
              <w:jc w:val="center"/>
            </w:pPr>
          </w:p>
          <w:p w14:paraId="17FF4119" w14:textId="52A10A8A" w:rsidR="008C0A01" w:rsidRDefault="008C0A01" w:rsidP="00945C18">
            <w:pPr>
              <w:spacing w:line="240" w:lineRule="auto"/>
              <w:ind w:firstLine="0"/>
              <w:jc w:val="center"/>
            </w:pPr>
            <w:r>
              <w:t>1090</w:t>
            </w:r>
          </w:p>
          <w:p w14:paraId="3ED871BB" w14:textId="29C757F1" w:rsidR="008C0A01" w:rsidRDefault="008C0A01" w:rsidP="00945C18">
            <w:pPr>
              <w:spacing w:line="240" w:lineRule="auto"/>
              <w:ind w:firstLine="0"/>
              <w:jc w:val="center"/>
            </w:pPr>
            <w:r>
              <w:t>11</w:t>
            </w:r>
          </w:p>
          <w:p w14:paraId="60781F4A" w14:textId="108FE97B" w:rsidR="008C0A01" w:rsidRDefault="008C0A01" w:rsidP="00945C18">
            <w:pPr>
              <w:spacing w:line="240" w:lineRule="auto"/>
              <w:ind w:firstLine="0"/>
              <w:jc w:val="center"/>
            </w:pPr>
            <w:r>
              <w:t>6</w:t>
            </w:r>
          </w:p>
        </w:tc>
        <w:tc>
          <w:tcPr>
            <w:tcW w:w="1800" w:type="dxa"/>
          </w:tcPr>
          <w:p w14:paraId="54F4B358" w14:textId="77777777" w:rsidR="008C0A01" w:rsidRDefault="008C0A01" w:rsidP="00945C18">
            <w:pPr>
              <w:spacing w:line="240" w:lineRule="auto"/>
              <w:ind w:firstLine="0"/>
              <w:jc w:val="center"/>
            </w:pPr>
          </w:p>
          <w:p w14:paraId="3D3B4479" w14:textId="2208DB1B" w:rsidR="008C0A01" w:rsidRDefault="008C0A01" w:rsidP="00945C18">
            <w:pPr>
              <w:spacing w:line="240" w:lineRule="auto"/>
              <w:ind w:firstLine="0"/>
              <w:jc w:val="center"/>
            </w:pPr>
          </w:p>
          <w:p w14:paraId="48CA6403" w14:textId="176BB2B1" w:rsidR="00945C18" w:rsidRDefault="00945C18" w:rsidP="00945C18">
            <w:pPr>
              <w:spacing w:line="240" w:lineRule="auto"/>
              <w:ind w:firstLine="0"/>
              <w:jc w:val="center"/>
            </w:pPr>
          </w:p>
          <w:p w14:paraId="19B2DD7C" w14:textId="77777777" w:rsidR="00945C18" w:rsidRDefault="00945C18" w:rsidP="00945C18">
            <w:pPr>
              <w:spacing w:line="240" w:lineRule="auto"/>
              <w:ind w:firstLine="0"/>
              <w:jc w:val="center"/>
            </w:pPr>
          </w:p>
          <w:p w14:paraId="73308173" w14:textId="7DE7A5D3" w:rsidR="008C0A01" w:rsidRDefault="008C0A01" w:rsidP="00945C18">
            <w:pPr>
              <w:spacing w:line="240" w:lineRule="auto"/>
              <w:ind w:firstLine="0"/>
              <w:jc w:val="center"/>
            </w:pPr>
            <w:r>
              <w:t>1873</w:t>
            </w:r>
          </w:p>
          <w:p w14:paraId="001889B9" w14:textId="1499D588" w:rsidR="008C0A01" w:rsidRDefault="008C0A01" w:rsidP="00945C18">
            <w:pPr>
              <w:spacing w:line="240" w:lineRule="auto"/>
              <w:ind w:firstLine="0"/>
              <w:jc w:val="center"/>
            </w:pPr>
            <w:r>
              <w:t>19</w:t>
            </w:r>
          </w:p>
          <w:p w14:paraId="7B554AB9" w14:textId="48681BE1" w:rsidR="008C0A01" w:rsidRDefault="008C0A01" w:rsidP="00945C18">
            <w:pPr>
              <w:spacing w:line="240" w:lineRule="auto"/>
              <w:ind w:firstLine="0"/>
              <w:jc w:val="center"/>
            </w:pPr>
            <w:r>
              <w:t>6</w:t>
            </w:r>
          </w:p>
        </w:tc>
      </w:tr>
    </w:tbl>
    <w:p w14:paraId="7951B961" w14:textId="112DF0FF" w:rsidR="00847EE3" w:rsidRPr="00945C18" w:rsidRDefault="00205322" w:rsidP="00945C18">
      <w:pPr>
        <w:ind w:firstLine="990"/>
        <w:rPr>
          <w:sz w:val="22"/>
          <w:szCs w:val="22"/>
        </w:rPr>
      </w:pPr>
      <w:r>
        <w:rPr>
          <w:noProof/>
          <w:sz w:val="22"/>
          <w:szCs w:val="22"/>
        </w:rPr>
        <mc:AlternateContent>
          <mc:Choice Requires="wps">
            <w:drawing>
              <wp:anchor distT="0" distB="0" distL="114300" distR="114300" simplePos="0" relativeHeight="251674624" behindDoc="0" locked="0" layoutInCell="1" allowOverlap="1" wp14:anchorId="2A830F06" wp14:editId="180DCE34">
                <wp:simplePos x="0" y="0"/>
                <wp:positionH relativeFrom="column">
                  <wp:posOffset>581025</wp:posOffset>
                </wp:positionH>
                <wp:positionV relativeFrom="paragraph">
                  <wp:posOffset>-1691006</wp:posOffset>
                </wp:positionV>
                <wp:extent cx="2466975" cy="238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466975" cy="238125"/>
                        </a:xfrm>
                        <a:prstGeom prst="rect">
                          <a:avLst/>
                        </a:prstGeom>
                        <a:noFill/>
                        <a:ln w="6350">
                          <a:noFill/>
                        </a:ln>
                      </wps:spPr>
                      <wps:txbx>
                        <w:txbxContent>
                          <w:p w14:paraId="10EC0829" w14:textId="3E29527C" w:rsidR="003D7C36" w:rsidRPr="00205322" w:rsidRDefault="003D7C36" w:rsidP="00205322">
                            <w:pPr>
                              <w:ind w:firstLine="0"/>
                              <w:rPr>
                                <w:b/>
                                <w:sz w:val="20"/>
                                <w:szCs w:val="20"/>
                              </w:rPr>
                            </w:pPr>
                            <w:r w:rsidRPr="00205322">
                              <w:rPr>
                                <w:b/>
                                <w:sz w:val="20"/>
                                <w:szCs w:val="20"/>
                              </w:rPr>
                              <w:t>Table 3 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30F06" id="_x0000_t202" coordsize="21600,21600" o:spt="202" path="m,l,21600r21600,l21600,xe">
                <v:stroke joinstyle="miter"/>
                <v:path gradientshapeok="t" o:connecttype="rect"/>
              </v:shapetype>
              <v:shape id="Text Box 2" o:spid="_x0000_s1026" type="#_x0000_t202" style="position:absolute;left:0;text-align:left;margin-left:45.75pt;margin-top:-133.15pt;width:194.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" filled="f" stroked="f" strokeweight=".5pt">
                <v:textbox>
                  <w:txbxContent>
                    <w:p w14:paraId="10EC0829" w14:textId="3E29527C" w:rsidR="003D7C36" w:rsidRPr="00205322" w:rsidRDefault="003D7C36" w:rsidP="00205322">
                      <w:pPr>
                        <w:ind w:firstLine="0"/>
                        <w:rPr>
                          <w:b/>
                          <w:sz w:val="20"/>
                          <w:szCs w:val="20"/>
                        </w:rPr>
                      </w:pPr>
                      <w:r w:rsidRPr="00205322">
                        <w:rPr>
                          <w:b/>
                          <w:sz w:val="20"/>
                          <w:szCs w:val="20"/>
                        </w:rPr>
                        <w:t>Table 3 Continued</w:t>
                      </w:r>
                    </w:p>
                  </w:txbxContent>
                </v:textbox>
              </v:shape>
            </w:pict>
          </mc:Fallback>
        </mc:AlternateContent>
      </w:r>
      <w:r w:rsidR="00D67724" w:rsidRPr="00945C18">
        <w:rPr>
          <w:sz w:val="22"/>
          <w:szCs w:val="22"/>
        </w:rPr>
        <w:tab/>
      </w:r>
      <w:r w:rsidR="00D67724" w:rsidRPr="00945C18">
        <w:rPr>
          <w:sz w:val="22"/>
          <w:szCs w:val="22"/>
        </w:rPr>
        <w:tab/>
      </w:r>
      <w:r w:rsidR="00D67724" w:rsidRPr="00945C18">
        <w:rPr>
          <w:sz w:val="22"/>
          <w:szCs w:val="22"/>
        </w:rPr>
        <w:tab/>
        <w:t>Note: Polynesian cutoffs were used for BMI groupings</w:t>
      </w:r>
    </w:p>
    <w:p w14:paraId="4B240147" w14:textId="77777777" w:rsidR="00945C18" w:rsidRDefault="00945C18" w:rsidP="00945C18">
      <w:pPr>
        <w:spacing w:line="240" w:lineRule="auto"/>
      </w:pPr>
    </w:p>
    <w:p w14:paraId="77939650" w14:textId="42E0F501" w:rsidR="00EB4577" w:rsidRPr="00847EE3" w:rsidRDefault="00847EE3" w:rsidP="0016381D">
      <w:r>
        <w:t>The National Center for Biotechnology Information (NCBI) variation viewer was used to identify all pathogenic variants. The variation viewer catalogs biomedical and genomic information submitted from researchers</w:t>
      </w:r>
      <w:r w:rsidR="004472CD">
        <w:t xml:space="preserve"> who have uploaded information to </w:t>
      </w:r>
      <w:proofErr w:type="spellStart"/>
      <w:r w:rsidR="004472CD">
        <w:t>dbSNP</w:t>
      </w:r>
      <w:proofErr w:type="spellEnd"/>
      <w:r w:rsidR="004472CD">
        <w:t xml:space="preserve">, </w:t>
      </w:r>
      <w:proofErr w:type="spellStart"/>
      <w:r w:rsidR="004472CD">
        <w:t>dbVAR</w:t>
      </w:r>
      <w:proofErr w:type="spellEnd"/>
      <w:r w:rsidR="004472CD">
        <w:t xml:space="preserve">, and </w:t>
      </w:r>
      <w:proofErr w:type="spellStart"/>
      <w:r w:rsidR="004472CD">
        <w:t>ClinVar</w:t>
      </w:r>
      <w:proofErr w:type="spellEnd"/>
      <w:r w:rsidR="004472CD">
        <w:t xml:space="preserve"> from their peer-reviewed studies</w:t>
      </w:r>
      <w:r>
        <w:t xml:space="preserve">. </w:t>
      </w:r>
      <w:r w:rsidR="004472CD">
        <w:t>The variation viewer has software available that allow users to search and analyze the data compiled, as well as the primary literature source to provide more details and information for each variant.</w:t>
      </w:r>
    </w:p>
    <w:p w14:paraId="451BB2A0" w14:textId="2378C44B" w:rsidR="00E62850" w:rsidRPr="00DF1A1B" w:rsidRDefault="00E62850" w:rsidP="00DF1A1B">
      <w:pPr>
        <w:pStyle w:val="Heading1"/>
      </w:pPr>
      <w:bookmarkStart w:id="28" w:name="_Toc39065935"/>
      <w:r w:rsidRPr="00DF1A1B">
        <w:lastRenderedPageBreak/>
        <w:t>Methods</w:t>
      </w:r>
      <w:bookmarkEnd w:id="28"/>
    </w:p>
    <w:p w14:paraId="73D9B2E0" w14:textId="3B2E2DCC" w:rsidR="00794593" w:rsidRDefault="00E62850" w:rsidP="00CD63BA">
      <w:r>
        <w:t xml:space="preserve">This study uses the cholesterol levels measured from the fasting serum sample and genotyping data from the DNA samples in order to answer the proposed aims. </w:t>
      </w:r>
    </w:p>
    <w:p w14:paraId="5F07843D" w14:textId="3F944C4C" w:rsidR="00794593" w:rsidRPr="00DF1A1B" w:rsidRDefault="00794593" w:rsidP="00DF1A1B">
      <w:pPr>
        <w:pStyle w:val="Heading2"/>
      </w:pPr>
      <w:bookmarkStart w:id="29" w:name="_Toc39065936"/>
      <w:r w:rsidRPr="00DF1A1B">
        <w:t>FH Pathogenic Risk Variants</w:t>
      </w:r>
      <w:bookmarkEnd w:id="29"/>
      <w:r w:rsidRPr="00DF1A1B">
        <w:t xml:space="preserve"> </w:t>
      </w:r>
    </w:p>
    <w:p w14:paraId="76E7F895" w14:textId="1E210FE1" w:rsidR="004D7557" w:rsidRDefault="00675A71" w:rsidP="004D7557">
      <w:pPr>
        <w:ind w:left="3" w:firstLine="717"/>
      </w:pPr>
      <w:r>
        <w:t>I identified</w:t>
      </w:r>
      <w:r w:rsidR="00794593">
        <w:t xml:space="preserve"> a total of 28</w:t>
      </w:r>
      <w:r w:rsidR="00422A3F">
        <w:t xml:space="preserve"> potential</w:t>
      </w:r>
      <w:r w:rsidR="00794593">
        <w:t xml:space="preserve"> pathogenic</w:t>
      </w:r>
      <w:r w:rsidR="00422A3F">
        <w:t xml:space="preserve"> and pathogenic</w:t>
      </w:r>
      <w:r w:rsidR="00794593">
        <w:t xml:space="preserve"> variants</w:t>
      </w:r>
      <w:r w:rsidR="006D7538">
        <w:t xml:space="preserve"> that are related to FH</w:t>
      </w:r>
      <w:r w:rsidR="00794593">
        <w:t xml:space="preserve"> in </w:t>
      </w:r>
      <w:r w:rsidR="00794593">
        <w:rPr>
          <w:i/>
          <w:iCs/>
        </w:rPr>
        <w:t>PCSK9</w:t>
      </w:r>
      <w:r w:rsidR="00794593">
        <w:t>, 746</w:t>
      </w:r>
      <w:r w:rsidR="004D7557">
        <w:t xml:space="preserve"> variants</w:t>
      </w:r>
      <w:r w:rsidR="00794593">
        <w:t xml:space="preserve"> in </w:t>
      </w:r>
      <w:r w:rsidR="00794593">
        <w:rPr>
          <w:i/>
          <w:iCs/>
        </w:rPr>
        <w:t>LDLR</w:t>
      </w:r>
      <w:r w:rsidR="00794593">
        <w:t>, and 58</w:t>
      </w:r>
      <w:r w:rsidR="004D7557">
        <w:t xml:space="preserve"> variants</w:t>
      </w:r>
      <w:r w:rsidR="00794593">
        <w:t xml:space="preserve"> in </w:t>
      </w:r>
      <w:r w:rsidR="00794593">
        <w:rPr>
          <w:i/>
          <w:iCs/>
        </w:rPr>
        <w:t>APOB</w:t>
      </w:r>
      <w:r w:rsidR="00794593">
        <w:t xml:space="preserve"> (Table </w:t>
      </w:r>
      <w:r w:rsidR="00EF7A90">
        <w:t>4</w:t>
      </w:r>
      <w:r w:rsidR="00794593">
        <w:t>)</w:t>
      </w:r>
      <w:r w:rsidR="00847EE3">
        <w:t xml:space="preserve"> in the NCBI variation viewer</w:t>
      </w:r>
      <w:r w:rsidR="00794593">
        <w:t>.</w:t>
      </w:r>
      <w:r w:rsidR="00422A3F">
        <w:t xml:space="preserve"> As described above,</w:t>
      </w:r>
      <w:r w:rsidR="00794593">
        <w:t xml:space="preserve"> </w:t>
      </w:r>
      <w:r w:rsidR="008C1BD0">
        <w:t>I restricted variants to those</w:t>
      </w:r>
      <w:r w:rsidR="00422A3F">
        <w:t xml:space="preserve"> three genes</w:t>
      </w:r>
      <w:r w:rsidR="008C1BD0">
        <w:t xml:space="preserve"> that were implicated in FH and ha</w:t>
      </w:r>
      <w:r w:rsidR="00422A3F">
        <w:t>d</w:t>
      </w:r>
      <w:r w:rsidR="008C1BD0">
        <w:t xml:space="preserve"> pathogenic variants.</w:t>
      </w:r>
      <w:r w:rsidR="004D7557">
        <w:t xml:space="preserve"> The </w:t>
      </w:r>
      <w:proofErr w:type="spellStart"/>
      <w:r w:rsidR="004D7557">
        <w:t>dbSNP</w:t>
      </w:r>
      <w:proofErr w:type="spellEnd"/>
      <w:r w:rsidR="004D7557">
        <w:t xml:space="preserve"> name, position, variant type, coding change, and protein change were all recorded</w:t>
      </w:r>
      <w:r w:rsidR="009110C8">
        <w:t xml:space="preserve"> in an excel file</w:t>
      </w:r>
      <w:r w:rsidR="004D7557">
        <w:t xml:space="preserve"> for the pathogenic variants found in each gene. </w:t>
      </w:r>
      <w:r w:rsidR="004D7557">
        <w:tab/>
      </w:r>
    </w:p>
    <w:p w14:paraId="60E2245F" w14:textId="3FDC35AE" w:rsidR="00DC7F0A" w:rsidRDefault="004D7557" w:rsidP="00EF7A90">
      <w:r>
        <w:tab/>
      </w:r>
      <w:r>
        <w:tab/>
      </w:r>
      <w:r>
        <w:tab/>
        <w:t xml:space="preserve">All variants found in </w:t>
      </w:r>
      <w:r>
        <w:rPr>
          <w:i/>
          <w:iCs/>
        </w:rPr>
        <w:t xml:space="preserve">LDLR, APOB, </w:t>
      </w:r>
      <w:r>
        <w:t xml:space="preserve">and </w:t>
      </w:r>
      <w:r>
        <w:rPr>
          <w:i/>
          <w:iCs/>
        </w:rPr>
        <w:t>PCSK9</w:t>
      </w:r>
      <w:r>
        <w:t xml:space="preserve"> </w:t>
      </w:r>
      <w:r w:rsidR="00422A3F">
        <w:t xml:space="preserve">in the Samoan participants </w:t>
      </w:r>
      <w:r>
        <w:t xml:space="preserve">were pulled from </w:t>
      </w:r>
      <w:r w:rsidR="00814043">
        <w:t xml:space="preserve">the </w:t>
      </w:r>
      <w:r>
        <w:t xml:space="preserve">genotyping data </w:t>
      </w:r>
      <w:r w:rsidR="00814043">
        <w:t>of</w:t>
      </w:r>
      <w:r>
        <w:t xml:space="preserve"> the Samoan participants. Variants were detected by comparing the Samoan genotyp</w:t>
      </w:r>
      <w:r w:rsidR="0039132B">
        <w:t>es</w:t>
      </w:r>
      <w:r>
        <w:t xml:space="preserve"> against a reference allele to see if any participants had an alternative allele at certain positions in one of the three genes. </w:t>
      </w:r>
      <w:r w:rsidR="000D2621">
        <w:t>The position</w:t>
      </w:r>
      <w:r w:rsidR="00A5370E">
        <w:t xml:space="preserve"> and</w:t>
      </w:r>
      <w:r w:rsidR="000D2621">
        <w:t xml:space="preserve"> coding change</w:t>
      </w:r>
      <w:r w:rsidR="00DC7F0A">
        <w:t xml:space="preserve"> of the alternative allele </w:t>
      </w:r>
      <w:r w:rsidR="000D2621">
        <w:t xml:space="preserve">were recorded </w:t>
      </w:r>
      <w:r w:rsidR="009110C8">
        <w:t xml:space="preserve">in an excel file </w:t>
      </w:r>
      <w:r w:rsidR="000D2621">
        <w:t xml:space="preserve">for each variant found in each gene. </w:t>
      </w:r>
      <w:r w:rsidR="00DC7F0A">
        <w:t xml:space="preserve">In addition, based on the position and type of allele change, the presumed impact of the variant was also recorded, such as low impact for synonymous changes and high impact for insertions or deletions in a coding region (Table </w:t>
      </w:r>
      <w:r w:rsidR="00EF7A90">
        <w:t>5</w:t>
      </w:r>
      <w:r w:rsidR="00DC7F0A">
        <w:t>).</w:t>
      </w:r>
    </w:p>
    <w:p w14:paraId="0485BA0F" w14:textId="380A80B1" w:rsidR="008C1BD0" w:rsidRDefault="008C1BD0" w:rsidP="008C1BD0">
      <w:pPr>
        <w:pStyle w:val="Heading3"/>
      </w:pPr>
      <w:bookmarkStart w:id="30" w:name="_Toc39065937"/>
      <w:r>
        <w:lastRenderedPageBreak/>
        <w:t>Gene Analysis</w:t>
      </w:r>
      <w:bookmarkEnd w:id="30"/>
    </w:p>
    <w:p w14:paraId="4727DF03" w14:textId="77777777" w:rsidR="00EF7A90" w:rsidRDefault="008C1BD0" w:rsidP="00070A98">
      <w:r>
        <w:t>Using Microsoft Excel, known variants in the Samoan dataset were compared to the known FH pathogenic variants from NCBI Variation Viewer.</w:t>
      </w:r>
      <w:r w:rsidR="006C3C53">
        <w:t xml:space="preserve"> T</w:t>
      </w:r>
      <w:r w:rsidR="000D2621">
        <w:t>h</w:t>
      </w:r>
      <w:r>
        <w:t>e SNP names (</w:t>
      </w:r>
      <w:proofErr w:type="spellStart"/>
      <w:r>
        <w:t>rsID</w:t>
      </w:r>
      <w:proofErr w:type="spellEnd"/>
      <w:r>
        <w:t xml:space="preserve">) </w:t>
      </w:r>
      <w:r w:rsidR="006C3C53">
        <w:t>and</w:t>
      </w:r>
      <w:r w:rsidR="000D2621">
        <w:t xml:space="preserve"> </w:t>
      </w:r>
      <w:r>
        <w:t xml:space="preserve">chromosomal </w:t>
      </w:r>
      <w:r w:rsidR="000D2621">
        <w:t xml:space="preserve">positions </w:t>
      </w:r>
      <w:r>
        <w:t>in the</w:t>
      </w:r>
      <w:r w:rsidR="00814043">
        <w:t xml:space="preserve"> Samoan</w:t>
      </w:r>
      <w:r w:rsidR="000D2621">
        <w:t xml:space="preserve"> genotyping data </w:t>
      </w:r>
      <w:r w:rsidR="006C3C53">
        <w:t xml:space="preserve">were </w:t>
      </w:r>
      <w:r>
        <w:t>matched</w:t>
      </w:r>
      <w:r w:rsidR="006C3C53">
        <w:t xml:space="preserve"> to </w:t>
      </w:r>
      <w:r>
        <w:t>the</w:t>
      </w:r>
      <w:r w:rsidR="000D2621">
        <w:t xml:space="preserve"> list of known FH pathogenic variants. </w:t>
      </w:r>
      <w:r w:rsidR="006C3C53">
        <w:t xml:space="preserve">Once a match was located using either the SNP name or chromosomal position, I looked in further detail to ensure the allele change in the Samoan dataset correlated with the same allele change in the pathogenic variant, resulting in the same protein change, insertion, deletion, or frameshift. </w:t>
      </w:r>
      <w:r w:rsidR="003C23AF">
        <w:t xml:space="preserve">Afterwards, I gathered the genotypes for the matches and plotted the total and LDL-cholesterol levels by genotype groups using box and whisker plots to </w:t>
      </w:r>
      <w:r w:rsidR="00C26F3C">
        <w:t xml:space="preserve">determine whether there was an observed </w:t>
      </w:r>
    </w:p>
    <w:p w14:paraId="406B45E9" w14:textId="7911ECC5" w:rsidR="00EF7A90" w:rsidRDefault="00C26F3C" w:rsidP="006D7538">
      <w:pPr>
        <w:ind w:firstLine="0"/>
      </w:pPr>
      <w:r>
        <w:t xml:space="preserve">difference in cholesterol levels between those with a known pathogenic variant and whether or not the mean cholesterol levels for those with a pathogenic variant were ≥190 mg/dL for LDL-cholesterol or ≥310 mg/dL for total cholesterol. </w:t>
      </w:r>
    </w:p>
    <w:p w14:paraId="3FB541D8" w14:textId="77777777" w:rsidR="00EF7A90" w:rsidRDefault="00EF7A90" w:rsidP="00EF7A90"/>
    <w:p w14:paraId="3643F5F7" w14:textId="28E63B50" w:rsidR="00175627" w:rsidRDefault="00175627" w:rsidP="00175627">
      <w:pPr>
        <w:pStyle w:val="Caption"/>
        <w:keepNext/>
      </w:pPr>
      <w:bookmarkStart w:id="31" w:name="_Toc39065950"/>
      <w:r>
        <w:lastRenderedPageBreak/>
        <w:t xml:space="preserve">Table </w:t>
      </w:r>
      <w:r>
        <w:fldChar w:fldCharType="begin"/>
      </w:r>
      <w:r>
        <w:instrText xml:space="preserve"> SEQ Table \* ARABIC </w:instrText>
      </w:r>
      <w:r>
        <w:fldChar w:fldCharType="separate"/>
      </w:r>
      <w:r w:rsidR="002A71A2">
        <w:t>4</w:t>
      </w:r>
      <w:r>
        <w:fldChar w:fldCharType="end"/>
      </w:r>
      <w:r>
        <w:t xml:space="preserve">. </w:t>
      </w:r>
      <w:r w:rsidRPr="004476E3">
        <w:t>Known FH Pathogenic Risk Variants in PCSK9, APOB, and LDLR</w:t>
      </w:r>
      <w:r w:rsidR="007679F2">
        <w:t xml:space="preserve"> from NCBI Variation Viewer</w:t>
      </w:r>
      <w:bookmarkEnd w:id="31"/>
    </w:p>
    <w:tbl>
      <w:tblPr>
        <w:tblStyle w:val="TableGrid"/>
        <w:tblpPr w:leftFromText="180" w:rightFromText="180" w:vertAnchor="text" w:horzAnchor="page" w:tblpX="3016" w:tblpY="-38"/>
        <w:tblW w:w="0" w:type="auto"/>
        <w:tblLook w:val="04A0" w:firstRow="1" w:lastRow="0" w:firstColumn="1" w:lastColumn="0" w:noHBand="0" w:noVBand="1"/>
      </w:tblPr>
      <w:tblGrid>
        <w:gridCol w:w="3775"/>
        <w:gridCol w:w="2458"/>
      </w:tblGrid>
      <w:tr w:rsidR="00EF7A90" w14:paraId="437B67F9" w14:textId="77777777" w:rsidTr="00EF7A90">
        <w:tc>
          <w:tcPr>
            <w:tcW w:w="3775" w:type="dxa"/>
            <w:shd w:val="clear" w:color="auto" w:fill="E7E6E6" w:themeFill="background2"/>
          </w:tcPr>
          <w:p w14:paraId="5E451D64" w14:textId="77777777" w:rsidR="00EF7A90" w:rsidRDefault="00EF7A90" w:rsidP="00EF7A90">
            <w:pPr>
              <w:ind w:firstLine="0"/>
              <w:jc w:val="center"/>
            </w:pPr>
            <w:r>
              <w:t>Gene and Variant Type</w:t>
            </w:r>
          </w:p>
        </w:tc>
        <w:tc>
          <w:tcPr>
            <w:tcW w:w="2458" w:type="dxa"/>
            <w:shd w:val="clear" w:color="auto" w:fill="E7E6E6" w:themeFill="background2"/>
          </w:tcPr>
          <w:p w14:paraId="1C855E32" w14:textId="77777777" w:rsidR="00EF7A90" w:rsidRDefault="00EF7A90" w:rsidP="00EF7A90">
            <w:pPr>
              <w:ind w:firstLine="0"/>
              <w:jc w:val="center"/>
            </w:pPr>
            <w:r>
              <w:t>Number of Variants</w:t>
            </w:r>
          </w:p>
        </w:tc>
      </w:tr>
      <w:tr w:rsidR="00EF7A90" w14:paraId="64AE5FB2" w14:textId="77777777" w:rsidTr="00EF7A90">
        <w:tc>
          <w:tcPr>
            <w:tcW w:w="3775" w:type="dxa"/>
          </w:tcPr>
          <w:p w14:paraId="7050A40E" w14:textId="77777777" w:rsidR="00EF7A90" w:rsidRDefault="00EF7A90" w:rsidP="00EF7A90">
            <w:pPr>
              <w:spacing w:line="360" w:lineRule="auto"/>
              <w:ind w:firstLine="0"/>
              <w:jc w:val="left"/>
              <w:rPr>
                <w:i/>
                <w:iCs/>
              </w:rPr>
            </w:pPr>
            <w:r>
              <w:rPr>
                <w:i/>
                <w:iCs/>
              </w:rPr>
              <w:t>PCSK9</w:t>
            </w:r>
          </w:p>
          <w:p w14:paraId="60B29CCD" w14:textId="77777777" w:rsidR="00EF7A90" w:rsidRDefault="00EF7A90" w:rsidP="00EF7A90">
            <w:pPr>
              <w:pStyle w:val="ListParagraph"/>
              <w:numPr>
                <w:ilvl w:val="0"/>
                <w:numId w:val="35"/>
              </w:numPr>
              <w:spacing w:line="360" w:lineRule="auto"/>
              <w:jc w:val="left"/>
            </w:pPr>
            <w:r>
              <w:t>Single Nucleotide Variant</w:t>
            </w:r>
          </w:p>
          <w:p w14:paraId="3F365E15" w14:textId="77777777" w:rsidR="00EF7A90" w:rsidRDefault="00EF7A90" w:rsidP="00EF7A90">
            <w:pPr>
              <w:pStyle w:val="ListParagraph"/>
              <w:numPr>
                <w:ilvl w:val="0"/>
                <w:numId w:val="35"/>
              </w:numPr>
              <w:spacing w:line="360" w:lineRule="auto"/>
              <w:jc w:val="left"/>
            </w:pPr>
            <w:r>
              <w:t>Insertion</w:t>
            </w:r>
          </w:p>
          <w:p w14:paraId="23C41DE7" w14:textId="77777777" w:rsidR="00EF7A90" w:rsidRPr="00175627" w:rsidRDefault="00EF7A90" w:rsidP="00EF7A90">
            <w:pPr>
              <w:pStyle w:val="ListParagraph"/>
              <w:numPr>
                <w:ilvl w:val="0"/>
                <w:numId w:val="35"/>
              </w:numPr>
              <w:spacing w:line="360" w:lineRule="auto"/>
              <w:jc w:val="left"/>
            </w:pPr>
            <w:r>
              <w:t>Indel</w:t>
            </w:r>
          </w:p>
        </w:tc>
        <w:tc>
          <w:tcPr>
            <w:tcW w:w="2458" w:type="dxa"/>
          </w:tcPr>
          <w:p w14:paraId="35BBEB54" w14:textId="77777777" w:rsidR="00EF7A90" w:rsidRDefault="00EF7A90" w:rsidP="00EF7A90">
            <w:pPr>
              <w:spacing w:line="360" w:lineRule="auto"/>
              <w:ind w:firstLine="0"/>
              <w:jc w:val="center"/>
            </w:pPr>
            <w:r>
              <w:t>28</w:t>
            </w:r>
          </w:p>
          <w:p w14:paraId="053FC924" w14:textId="77777777" w:rsidR="00EF7A90" w:rsidRDefault="00EF7A90" w:rsidP="00EF7A90">
            <w:pPr>
              <w:spacing w:line="360" w:lineRule="auto"/>
              <w:ind w:firstLine="0"/>
              <w:jc w:val="center"/>
            </w:pPr>
            <w:r>
              <w:t>26</w:t>
            </w:r>
          </w:p>
          <w:p w14:paraId="7B141276" w14:textId="77777777" w:rsidR="00EF7A90" w:rsidRDefault="00EF7A90" w:rsidP="00EF7A90">
            <w:pPr>
              <w:spacing w:line="360" w:lineRule="auto"/>
              <w:ind w:firstLine="0"/>
              <w:jc w:val="center"/>
            </w:pPr>
            <w:r>
              <w:t>1</w:t>
            </w:r>
          </w:p>
          <w:p w14:paraId="4C153566" w14:textId="77777777" w:rsidR="00EF7A90" w:rsidRDefault="00EF7A90" w:rsidP="00EF7A90">
            <w:pPr>
              <w:spacing w:line="360" w:lineRule="auto"/>
              <w:ind w:firstLine="0"/>
              <w:jc w:val="center"/>
            </w:pPr>
            <w:r>
              <w:t>1</w:t>
            </w:r>
          </w:p>
        </w:tc>
      </w:tr>
      <w:tr w:rsidR="00EF7A90" w14:paraId="0B69AE7F" w14:textId="77777777" w:rsidTr="00EF7A90">
        <w:tc>
          <w:tcPr>
            <w:tcW w:w="3775" w:type="dxa"/>
          </w:tcPr>
          <w:p w14:paraId="109A211C" w14:textId="77777777" w:rsidR="00EF7A90" w:rsidRDefault="00EF7A90" w:rsidP="00EF7A90">
            <w:pPr>
              <w:spacing w:line="360" w:lineRule="auto"/>
              <w:ind w:firstLine="0"/>
            </w:pPr>
            <w:r>
              <w:rPr>
                <w:i/>
                <w:iCs/>
              </w:rPr>
              <w:t>LDLR</w:t>
            </w:r>
          </w:p>
          <w:p w14:paraId="03F4E2CD" w14:textId="77777777" w:rsidR="00EF7A90" w:rsidRDefault="00EF7A90" w:rsidP="00EF7A90">
            <w:pPr>
              <w:pStyle w:val="ListParagraph"/>
              <w:numPr>
                <w:ilvl w:val="0"/>
                <w:numId w:val="36"/>
              </w:numPr>
              <w:spacing w:line="360" w:lineRule="auto"/>
            </w:pPr>
            <w:r>
              <w:t>Single Nucleotide Variant</w:t>
            </w:r>
          </w:p>
          <w:p w14:paraId="64AD8BB7" w14:textId="77777777" w:rsidR="00EF7A90" w:rsidRDefault="00EF7A90" w:rsidP="00EF7A90">
            <w:pPr>
              <w:pStyle w:val="ListParagraph"/>
              <w:numPr>
                <w:ilvl w:val="0"/>
                <w:numId w:val="36"/>
              </w:numPr>
              <w:spacing w:line="360" w:lineRule="auto"/>
            </w:pPr>
            <w:r>
              <w:t>Deletion</w:t>
            </w:r>
          </w:p>
          <w:p w14:paraId="70D5E2FD" w14:textId="77777777" w:rsidR="00EF7A90" w:rsidRDefault="00EF7A90" w:rsidP="00EF7A90">
            <w:pPr>
              <w:pStyle w:val="ListParagraph"/>
              <w:numPr>
                <w:ilvl w:val="0"/>
                <w:numId w:val="36"/>
              </w:numPr>
              <w:spacing w:line="360" w:lineRule="auto"/>
            </w:pPr>
            <w:r>
              <w:t>Insertion</w:t>
            </w:r>
          </w:p>
          <w:p w14:paraId="5871F93F" w14:textId="77777777" w:rsidR="00EF7A90" w:rsidRPr="00175627" w:rsidRDefault="00EF7A90" w:rsidP="00EF7A90">
            <w:pPr>
              <w:pStyle w:val="ListParagraph"/>
              <w:numPr>
                <w:ilvl w:val="0"/>
                <w:numId w:val="36"/>
              </w:numPr>
              <w:spacing w:line="360" w:lineRule="auto"/>
            </w:pPr>
            <w:r>
              <w:t>Indel</w:t>
            </w:r>
          </w:p>
        </w:tc>
        <w:tc>
          <w:tcPr>
            <w:tcW w:w="2458" w:type="dxa"/>
          </w:tcPr>
          <w:p w14:paraId="2773D11C" w14:textId="77777777" w:rsidR="00EF7A90" w:rsidRDefault="00EF7A90" w:rsidP="00EF7A90">
            <w:pPr>
              <w:spacing w:line="360" w:lineRule="auto"/>
              <w:ind w:firstLine="0"/>
              <w:jc w:val="center"/>
            </w:pPr>
            <w:r>
              <w:t>746</w:t>
            </w:r>
          </w:p>
          <w:p w14:paraId="2129F63E" w14:textId="77777777" w:rsidR="00EF7A90" w:rsidRDefault="00EF7A90" w:rsidP="00EF7A90">
            <w:pPr>
              <w:spacing w:line="360" w:lineRule="auto"/>
              <w:ind w:firstLine="0"/>
              <w:jc w:val="center"/>
            </w:pPr>
            <w:r>
              <w:t>297</w:t>
            </w:r>
          </w:p>
          <w:p w14:paraId="61D85E8C" w14:textId="77777777" w:rsidR="00EF7A90" w:rsidRDefault="00EF7A90" w:rsidP="00EF7A90">
            <w:pPr>
              <w:spacing w:line="360" w:lineRule="auto"/>
              <w:ind w:firstLine="0"/>
              <w:jc w:val="center"/>
            </w:pPr>
            <w:r>
              <w:t>109</w:t>
            </w:r>
          </w:p>
          <w:p w14:paraId="44AFF946" w14:textId="77777777" w:rsidR="00EF7A90" w:rsidRDefault="00EF7A90" w:rsidP="00EF7A90">
            <w:pPr>
              <w:spacing w:line="360" w:lineRule="auto"/>
              <w:ind w:firstLine="0"/>
              <w:jc w:val="center"/>
            </w:pPr>
            <w:r>
              <w:t>26</w:t>
            </w:r>
          </w:p>
          <w:p w14:paraId="2DFAD928" w14:textId="77777777" w:rsidR="00EF7A90" w:rsidRDefault="00EF7A90" w:rsidP="00EF7A90">
            <w:pPr>
              <w:spacing w:line="360" w:lineRule="auto"/>
              <w:ind w:firstLine="0"/>
              <w:jc w:val="center"/>
            </w:pPr>
            <w:r>
              <w:t>309</w:t>
            </w:r>
          </w:p>
        </w:tc>
      </w:tr>
      <w:tr w:rsidR="00EF7A90" w14:paraId="0344A21B" w14:textId="77777777" w:rsidTr="00EF7A90">
        <w:tc>
          <w:tcPr>
            <w:tcW w:w="3775" w:type="dxa"/>
          </w:tcPr>
          <w:p w14:paraId="7058053E" w14:textId="77777777" w:rsidR="00EF7A90" w:rsidRDefault="00EF7A90" w:rsidP="00EF7A90">
            <w:pPr>
              <w:spacing w:line="360" w:lineRule="auto"/>
              <w:ind w:firstLine="0"/>
            </w:pPr>
            <w:r>
              <w:rPr>
                <w:i/>
                <w:iCs/>
              </w:rPr>
              <w:t>APOB</w:t>
            </w:r>
          </w:p>
          <w:p w14:paraId="7BCE03D2" w14:textId="77777777" w:rsidR="00EF7A90" w:rsidRDefault="00EF7A90" w:rsidP="00EF7A90">
            <w:pPr>
              <w:pStyle w:val="ListParagraph"/>
              <w:numPr>
                <w:ilvl w:val="0"/>
                <w:numId w:val="37"/>
              </w:numPr>
              <w:spacing w:line="360" w:lineRule="auto"/>
            </w:pPr>
            <w:r>
              <w:t>Single Nucleotide Variant</w:t>
            </w:r>
          </w:p>
          <w:p w14:paraId="29758980" w14:textId="77777777" w:rsidR="00EF7A90" w:rsidRDefault="00EF7A90" w:rsidP="00EF7A90">
            <w:pPr>
              <w:pStyle w:val="ListParagraph"/>
              <w:numPr>
                <w:ilvl w:val="0"/>
                <w:numId w:val="37"/>
              </w:numPr>
              <w:spacing w:line="360" w:lineRule="auto"/>
            </w:pPr>
            <w:r>
              <w:t>Deletion</w:t>
            </w:r>
          </w:p>
          <w:p w14:paraId="1D28B0DE" w14:textId="77777777" w:rsidR="00EF7A90" w:rsidRPr="00175627" w:rsidRDefault="00EF7A90" w:rsidP="00EF7A90">
            <w:pPr>
              <w:pStyle w:val="ListParagraph"/>
              <w:numPr>
                <w:ilvl w:val="0"/>
                <w:numId w:val="37"/>
              </w:numPr>
              <w:spacing w:line="360" w:lineRule="auto"/>
            </w:pPr>
            <w:r>
              <w:t>Indel</w:t>
            </w:r>
          </w:p>
        </w:tc>
        <w:tc>
          <w:tcPr>
            <w:tcW w:w="2458" w:type="dxa"/>
          </w:tcPr>
          <w:p w14:paraId="3D16056C" w14:textId="77777777" w:rsidR="00EF7A90" w:rsidRDefault="00EF7A90" w:rsidP="00EF7A90">
            <w:pPr>
              <w:spacing w:line="360" w:lineRule="auto"/>
              <w:ind w:firstLine="0"/>
              <w:jc w:val="center"/>
            </w:pPr>
            <w:r>
              <w:t>58</w:t>
            </w:r>
          </w:p>
          <w:p w14:paraId="10DAD2BC" w14:textId="77777777" w:rsidR="00EF7A90" w:rsidRDefault="00EF7A90" w:rsidP="00EF7A90">
            <w:pPr>
              <w:spacing w:line="360" w:lineRule="auto"/>
              <w:ind w:firstLine="0"/>
              <w:jc w:val="center"/>
            </w:pPr>
            <w:r>
              <w:t>33</w:t>
            </w:r>
          </w:p>
          <w:p w14:paraId="35D32940" w14:textId="77777777" w:rsidR="00EF7A90" w:rsidRDefault="00EF7A90" w:rsidP="00EF7A90">
            <w:pPr>
              <w:spacing w:line="360" w:lineRule="auto"/>
              <w:ind w:firstLine="0"/>
              <w:jc w:val="center"/>
            </w:pPr>
            <w:r>
              <w:t>8</w:t>
            </w:r>
          </w:p>
          <w:p w14:paraId="00E24383" w14:textId="77777777" w:rsidR="00EF7A90" w:rsidRDefault="00EF7A90" w:rsidP="00EF7A90">
            <w:pPr>
              <w:spacing w:line="360" w:lineRule="auto"/>
              <w:ind w:firstLine="0"/>
              <w:jc w:val="center"/>
            </w:pPr>
            <w:r>
              <w:t>17</w:t>
            </w:r>
          </w:p>
        </w:tc>
      </w:tr>
    </w:tbl>
    <w:p w14:paraId="48477C03" w14:textId="5E4FD255" w:rsidR="000D1332" w:rsidRDefault="000D1332" w:rsidP="00175627">
      <w:pPr>
        <w:pStyle w:val="Caption"/>
        <w:keepNext/>
        <w:jc w:val="both"/>
      </w:pPr>
    </w:p>
    <w:p w14:paraId="688BE7A9" w14:textId="3DF9443B" w:rsidR="00175627" w:rsidRDefault="00175627" w:rsidP="00F368B2">
      <w:pPr>
        <w:ind w:firstLine="0"/>
      </w:pPr>
    </w:p>
    <w:p w14:paraId="1EBB62E1" w14:textId="15CD043E" w:rsidR="00EF7A90" w:rsidRDefault="00EF7A90" w:rsidP="00F368B2">
      <w:pPr>
        <w:ind w:firstLine="0"/>
      </w:pPr>
    </w:p>
    <w:p w14:paraId="75288255" w14:textId="7E03C1CD" w:rsidR="00EF7A90" w:rsidRDefault="00EF7A90" w:rsidP="00F368B2">
      <w:pPr>
        <w:ind w:firstLine="0"/>
      </w:pPr>
    </w:p>
    <w:p w14:paraId="712EC723" w14:textId="77137BE8" w:rsidR="00EF7A90" w:rsidRDefault="00EF7A90" w:rsidP="00F368B2">
      <w:pPr>
        <w:ind w:firstLine="0"/>
      </w:pPr>
    </w:p>
    <w:p w14:paraId="418567CC" w14:textId="4AFAE748" w:rsidR="003D7C36" w:rsidRDefault="003D7C36" w:rsidP="00F368B2">
      <w:pPr>
        <w:ind w:firstLine="0"/>
      </w:pPr>
    </w:p>
    <w:p w14:paraId="16878D93" w14:textId="694F00C3" w:rsidR="003D7C36" w:rsidRDefault="003D7C36" w:rsidP="00F368B2">
      <w:pPr>
        <w:ind w:firstLine="0"/>
      </w:pPr>
    </w:p>
    <w:p w14:paraId="16DD3A2B" w14:textId="400D4ABA" w:rsidR="003D7C36" w:rsidRDefault="003D7C36" w:rsidP="00F368B2">
      <w:pPr>
        <w:ind w:firstLine="0"/>
      </w:pPr>
    </w:p>
    <w:p w14:paraId="58F8A9DF" w14:textId="5699A3DB" w:rsidR="003D7C36" w:rsidRDefault="003D7C36" w:rsidP="00F368B2">
      <w:pPr>
        <w:ind w:firstLine="0"/>
      </w:pPr>
    </w:p>
    <w:p w14:paraId="5F2FEC36" w14:textId="4C85C3C9" w:rsidR="003D7C36" w:rsidRDefault="003D7C36" w:rsidP="00F368B2">
      <w:pPr>
        <w:ind w:firstLine="0"/>
      </w:pPr>
    </w:p>
    <w:p w14:paraId="42B4CCA3" w14:textId="2D1B6228" w:rsidR="003D7C36" w:rsidRDefault="003D7C36" w:rsidP="00F368B2">
      <w:pPr>
        <w:ind w:firstLine="0"/>
      </w:pPr>
    </w:p>
    <w:p w14:paraId="0E916350" w14:textId="77777777" w:rsidR="003D7C36" w:rsidRDefault="003D7C36" w:rsidP="00F368B2">
      <w:pPr>
        <w:ind w:firstLine="0"/>
      </w:pPr>
    </w:p>
    <w:p w14:paraId="3A3E05BF" w14:textId="77777777" w:rsidR="00EF7A90" w:rsidRDefault="00EF7A90">
      <w:pPr>
        <w:spacing w:line="240" w:lineRule="auto"/>
        <w:ind w:firstLine="0"/>
        <w:jc w:val="left"/>
        <w:rPr>
          <w:rFonts w:cs="Arial"/>
          <w:b/>
          <w:iCs/>
        </w:rPr>
      </w:pPr>
      <w:r>
        <w:br w:type="page"/>
      </w:r>
    </w:p>
    <w:p w14:paraId="30B14906" w14:textId="26A097FB" w:rsidR="00EF7A90" w:rsidRDefault="00EF7A90" w:rsidP="00EF7A90">
      <w:pPr>
        <w:pStyle w:val="Caption"/>
        <w:keepNext/>
      </w:pPr>
      <w:bookmarkStart w:id="32" w:name="_Toc39065951"/>
      <w:r>
        <w:lastRenderedPageBreak/>
        <w:t xml:space="preserve">Table </w:t>
      </w:r>
      <w:r>
        <w:fldChar w:fldCharType="begin"/>
      </w:r>
      <w:r>
        <w:instrText xml:space="preserve"> SEQ Table \* ARABIC </w:instrText>
      </w:r>
      <w:r>
        <w:fldChar w:fldCharType="separate"/>
      </w:r>
      <w:r w:rsidR="002A71A2">
        <w:t>5</w:t>
      </w:r>
      <w:r>
        <w:fldChar w:fldCharType="end"/>
      </w:r>
      <w:r w:rsidR="00BF465B">
        <w:t>.</w:t>
      </w:r>
      <w:r w:rsidR="007679F2">
        <w:t xml:space="preserve"> </w:t>
      </w:r>
      <w:r w:rsidRPr="00AC7B59">
        <w:t>Impact of Variants Found in LDLR, APOB, and PCSK9 From Samoan Dataset</w:t>
      </w:r>
      <w:bookmarkEnd w:id="32"/>
    </w:p>
    <w:tbl>
      <w:tblPr>
        <w:tblStyle w:val="TableGrid"/>
        <w:tblW w:w="8862" w:type="dxa"/>
        <w:jc w:val="center"/>
        <w:tblLook w:val="04A0" w:firstRow="1" w:lastRow="0" w:firstColumn="1" w:lastColumn="0" w:noHBand="0" w:noVBand="1"/>
      </w:tblPr>
      <w:tblGrid>
        <w:gridCol w:w="4765"/>
        <w:gridCol w:w="4097"/>
      </w:tblGrid>
      <w:tr w:rsidR="00EF7A90" w:rsidRPr="00FE3E9A" w14:paraId="6FA0F2D7" w14:textId="77777777" w:rsidTr="00EC7CBB">
        <w:trPr>
          <w:trHeight w:val="446"/>
          <w:jc w:val="center"/>
        </w:trPr>
        <w:tc>
          <w:tcPr>
            <w:tcW w:w="4765" w:type="dxa"/>
            <w:shd w:val="clear" w:color="auto" w:fill="E7E6E6" w:themeFill="background2"/>
            <w:hideMark/>
          </w:tcPr>
          <w:p w14:paraId="1305577E" w14:textId="77777777" w:rsidR="00EF7A90" w:rsidRPr="00FE3E9A" w:rsidRDefault="00EF7A90" w:rsidP="008F6941">
            <w:pPr>
              <w:ind w:firstLine="0"/>
              <w:jc w:val="center"/>
            </w:pPr>
            <w:r w:rsidRPr="00FE3E9A">
              <w:rPr>
                <w:b/>
                <w:bCs/>
              </w:rPr>
              <w:t>Impact of Variant</w:t>
            </w:r>
          </w:p>
        </w:tc>
        <w:tc>
          <w:tcPr>
            <w:tcW w:w="4097" w:type="dxa"/>
            <w:shd w:val="clear" w:color="auto" w:fill="E7E6E6" w:themeFill="background2"/>
            <w:hideMark/>
          </w:tcPr>
          <w:p w14:paraId="4EFA33C5" w14:textId="77777777" w:rsidR="00EF7A90" w:rsidRPr="00FE3E9A" w:rsidRDefault="00EF7A90" w:rsidP="008F6941">
            <w:pPr>
              <w:ind w:firstLine="0"/>
              <w:jc w:val="center"/>
            </w:pPr>
            <w:r w:rsidRPr="00FE3E9A">
              <w:rPr>
                <w:b/>
                <w:bCs/>
              </w:rPr>
              <w:t>Number of Variants</w:t>
            </w:r>
          </w:p>
        </w:tc>
      </w:tr>
      <w:tr w:rsidR="00EF7A90" w:rsidRPr="00FE3E9A" w14:paraId="2386FD4B" w14:textId="77777777" w:rsidTr="00EC7CBB">
        <w:trPr>
          <w:trHeight w:val="446"/>
          <w:jc w:val="center"/>
        </w:trPr>
        <w:tc>
          <w:tcPr>
            <w:tcW w:w="4765" w:type="dxa"/>
          </w:tcPr>
          <w:p w14:paraId="0C911FFD" w14:textId="77777777" w:rsidR="00EF7A90" w:rsidRPr="00264140" w:rsidRDefault="00EF7A90" w:rsidP="003D7C36">
            <w:pPr>
              <w:spacing w:before="100" w:beforeAutospacing="1"/>
              <w:ind w:firstLine="0"/>
              <w:jc w:val="left"/>
              <w:rPr>
                <w:i/>
              </w:rPr>
            </w:pPr>
            <w:r>
              <w:rPr>
                <w:i/>
              </w:rPr>
              <w:t>LDLR</w:t>
            </w:r>
          </w:p>
        </w:tc>
        <w:tc>
          <w:tcPr>
            <w:tcW w:w="4097" w:type="dxa"/>
          </w:tcPr>
          <w:p w14:paraId="3684E662" w14:textId="77777777" w:rsidR="00EF7A90" w:rsidRDefault="00EF7A90" w:rsidP="003D7C36">
            <w:pPr>
              <w:spacing w:before="100" w:beforeAutospacing="1"/>
              <w:ind w:firstLine="0"/>
              <w:jc w:val="center"/>
            </w:pPr>
            <w:r>
              <w:t>5606</w:t>
            </w:r>
          </w:p>
        </w:tc>
      </w:tr>
      <w:tr w:rsidR="00EF7A90" w:rsidRPr="00FE3E9A" w14:paraId="313AA20B" w14:textId="77777777" w:rsidTr="00EC7CBB">
        <w:trPr>
          <w:trHeight w:val="446"/>
          <w:jc w:val="center"/>
        </w:trPr>
        <w:tc>
          <w:tcPr>
            <w:tcW w:w="4765" w:type="dxa"/>
            <w:hideMark/>
          </w:tcPr>
          <w:p w14:paraId="0CAFE8DC" w14:textId="77777777" w:rsidR="00EF7A90" w:rsidRPr="00FE3E9A" w:rsidRDefault="00EF7A90" w:rsidP="003D7C36">
            <w:pPr>
              <w:pStyle w:val="ListParagraph"/>
              <w:numPr>
                <w:ilvl w:val="0"/>
                <w:numId w:val="34"/>
              </w:numPr>
              <w:spacing w:before="100" w:beforeAutospacing="1"/>
              <w:jc w:val="left"/>
            </w:pPr>
            <w:r w:rsidRPr="00FE3E9A">
              <w:t>Modifier</w:t>
            </w:r>
          </w:p>
        </w:tc>
        <w:tc>
          <w:tcPr>
            <w:tcW w:w="4097" w:type="dxa"/>
            <w:hideMark/>
          </w:tcPr>
          <w:p w14:paraId="538505C1" w14:textId="77777777" w:rsidR="00EF7A90" w:rsidRPr="00FE3E9A" w:rsidRDefault="00EF7A90" w:rsidP="003D7C36">
            <w:pPr>
              <w:spacing w:before="100" w:beforeAutospacing="1"/>
              <w:ind w:firstLine="0"/>
              <w:jc w:val="center"/>
            </w:pPr>
            <w:r>
              <w:t>5486</w:t>
            </w:r>
          </w:p>
        </w:tc>
      </w:tr>
      <w:tr w:rsidR="00EF7A90" w:rsidRPr="00FE3E9A" w14:paraId="557B2C60" w14:textId="77777777" w:rsidTr="00EC7CBB">
        <w:trPr>
          <w:trHeight w:val="446"/>
          <w:jc w:val="center"/>
        </w:trPr>
        <w:tc>
          <w:tcPr>
            <w:tcW w:w="4765" w:type="dxa"/>
            <w:hideMark/>
          </w:tcPr>
          <w:p w14:paraId="31674D2C" w14:textId="77777777" w:rsidR="00EF7A90" w:rsidRPr="00FE3E9A" w:rsidRDefault="00EF7A90" w:rsidP="003D7C36">
            <w:pPr>
              <w:pStyle w:val="ListParagraph"/>
              <w:numPr>
                <w:ilvl w:val="0"/>
                <w:numId w:val="34"/>
              </w:numPr>
              <w:spacing w:before="100" w:beforeAutospacing="1"/>
              <w:jc w:val="left"/>
            </w:pPr>
            <w:r w:rsidRPr="00FE3E9A">
              <w:t>Low</w:t>
            </w:r>
          </w:p>
        </w:tc>
        <w:tc>
          <w:tcPr>
            <w:tcW w:w="4097" w:type="dxa"/>
            <w:hideMark/>
          </w:tcPr>
          <w:p w14:paraId="63086E45" w14:textId="77777777" w:rsidR="00EF7A90" w:rsidRPr="00FE3E9A" w:rsidRDefault="00EF7A90" w:rsidP="003D7C36">
            <w:pPr>
              <w:spacing w:before="100" w:beforeAutospacing="1"/>
              <w:ind w:firstLine="0"/>
              <w:jc w:val="center"/>
            </w:pPr>
            <w:r>
              <w:t>76</w:t>
            </w:r>
          </w:p>
        </w:tc>
      </w:tr>
      <w:tr w:rsidR="00EF7A90" w:rsidRPr="00FE3E9A" w14:paraId="19F51D16" w14:textId="77777777" w:rsidTr="00EC7CBB">
        <w:trPr>
          <w:trHeight w:val="446"/>
          <w:jc w:val="center"/>
        </w:trPr>
        <w:tc>
          <w:tcPr>
            <w:tcW w:w="4765" w:type="dxa"/>
            <w:hideMark/>
          </w:tcPr>
          <w:p w14:paraId="71623A82" w14:textId="77777777" w:rsidR="00EF7A90" w:rsidRPr="00FE3E9A" w:rsidRDefault="00EF7A90" w:rsidP="003D7C36">
            <w:pPr>
              <w:pStyle w:val="ListParagraph"/>
              <w:numPr>
                <w:ilvl w:val="0"/>
                <w:numId w:val="34"/>
              </w:numPr>
              <w:spacing w:before="100" w:beforeAutospacing="1"/>
              <w:jc w:val="left"/>
            </w:pPr>
            <w:r w:rsidRPr="00FE3E9A">
              <w:t>Moderate</w:t>
            </w:r>
          </w:p>
        </w:tc>
        <w:tc>
          <w:tcPr>
            <w:tcW w:w="4097" w:type="dxa"/>
            <w:hideMark/>
          </w:tcPr>
          <w:p w14:paraId="606B930C" w14:textId="77777777" w:rsidR="00EF7A90" w:rsidRPr="00FE3E9A" w:rsidRDefault="00EF7A90" w:rsidP="003D7C36">
            <w:pPr>
              <w:spacing w:before="100" w:beforeAutospacing="1"/>
              <w:ind w:firstLine="0"/>
              <w:jc w:val="center"/>
            </w:pPr>
            <w:r>
              <w:t>44</w:t>
            </w:r>
          </w:p>
        </w:tc>
      </w:tr>
      <w:tr w:rsidR="00EF7A90" w:rsidRPr="00FE3E9A" w14:paraId="4A81C0A8" w14:textId="77777777" w:rsidTr="00EC7CBB">
        <w:trPr>
          <w:trHeight w:val="446"/>
          <w:jc w:val="center"/>
        </w:trPr>
        <w:tc>
          <w:tcPr>
            <w:tcW w:w="4765" w:type="dxa"/>
            <w:hideMark/>
          </w:tcPr>
          <w:p w14:paraId="6B6993C8" w14:textId="77777777" w:rsidR="00EF7A90" w:rsidRPr="00FE3E9A" w:rsidRDefault="00EF7A90" w:rsidP="003D7C36">
            <w:pPr>
              <w:pStyle w:val="ListParagraph"/>
              <w:numPr>
                <w:ilvl w:val="0"/>
                <w:numId w:val="34"/>
              </w:numPr>
              <w:spacing w:before="100" w:beforeAutospacing="1"/>
              <w:jc w:val="left"/>
            </w:pPr>
            <w:r w:rsidRPr="00FE3E9A">
              <w:t>High</w:t>
            </w:r>
          </w:p>
        </w:tc>
        <w:tc>
          <w:tcPr>
            <w:tcW w:w="4097" w:type="dxa"/>
            <w:hideMark/>
          </w:tcPr>
          <w:p w14:paraId="4C5741BD" w14:textId="77777777" w:rsidR="00EF7A90" w:rsidRPr="00FE3E9A" w:rsidRDefault="00EF7A90" w:rsidP="003D7C36">
            <w:pPr>
              <w:spacing w:before="100" w:beforeAutospacing="1"/>
              <w:ind w:firstLine="0"/>
              <w:jc w:val="center"/>
            </w:pPr>
            <w:r w:rsidRPr="00FE3E9A">
              <w:t>0</w:t>
            </w:r>
          </w:p>
        </w:tc>
      </w:tr>
      <w:tr w:rsidR="00EF7A90" w:rsidRPr="00FE3E9A" w14:paraId="3F753340" w14:textId="77777777" w:rsidTr="00EC7CBB">
        <w:trPr>
          <w:trHeight w:val="446"/>
          <w:jc w:val="center"/>
        </w:trPr>
        <w:tc>
          <w:tcPr>
            <w:tcW w:w="4765" w:type="dxa"/>
          </w:tcPr>
          <w:p w14:paraId="6EC8D46E" w14:textId="77777777" w:rsidR="00EF7A90" w:rsidRPr="00264140" w:rsidRDefault="00EF7A90" w:rsidP="003D7C36">
            <w:pPr>
              <w:spacing w:before="100" w:beforeAutospacing="1"/>
              <w:ind w:firstLine="0"/>
              <w:jc w:val="left"/>
              <w:rPr>
                <w:i/>
              </w:rPr>
            </w:pPr>
            <w:r>
              <w:rPr>
                <w:bCs/>
                <w:i/>
              </w:rPr>
              <w:t>APOB</w:t>
            </w:r>
          </w:p>
        </w:tc>
        <w:tc>
          <w:tcPr>
            <w:tcW w:w="4097" w:type="dxa"/>
          </w:tcPr>
          <w:p w14:paraId="298A7347" w14:textId="77777777" w:rsidR="00EF7A90" w:rsidRPr="00FE3E9A" w:rsidRDefault="00EF7A90" w:rsidP="003D7C36">
            <w:pPr>
              <w:spacing w:before="100" w:beforeAutospacing="1"/>
              <w:ind w:firstLine="0"/>
              <w:jc w:val="center"/>
            </w:pPr>
            <w:r>
              <w:t>408</w:t>
            </w:r>
          </w:p>
        </w:tc>
      </w:tr>
      <w:tr w:rsidR="00EF7A90" w:rsidRPr="00FE3E9A" w14:paraId="5D7373B9" w14:textId="77777777" w:rsidTr="00EC7CBB">
        <w:trPr>
          <w:trHeight w:val="446"/>
          <w:jc w:val="center"/>
        </w:trPr>
        <w:tc>
          <w:tcPr>
            <w:tcW w:w="4765" w:type="dxa"/>
          </w:tcPr>
          <w:p w14:paraId="0E3BEA88" w14:textId="77777777" w:rsidR="00EF7A90" w:rsidRPr="00264140" w:rsidRDefault="00EF7A90" w:rsidP="003D7C36">
            <w:pPr>
              <w:pStyle w:val="ListParagraph"/>
              <w:numPr>
                <w:ilvl w:val="0"/>
                <w:numId w:val="34"/>
              </w:numPr>
              <w:spacing w:before="100" w:beforeAutospacing="1"/>
              <w:jc w:val="left"/>
              <w:rPr>
                <w:b/>
                <w:bCs/>
              </w:rPr>
            </w:pPr>
            <w:r>
              <w:t>Modifier</w:t>
            </w:r>
          </w:p>
        </w:tc>
        <w:tc>
          <w:tcPr>
            <w:tcW w:w="4097" w:type="dxa"/>
          </w:tcPr>
          <w:p w14:paraId="2BA11370" w14:textId="77777777" w:rsidR="00EF7A90" w:rsidRPr="1DC1FCD3" w:rsidRDefault="00EF7A90" w:rsidP="003D7C36">
            <w:pPr>
              <w:spacing w:before="100" w:beforeAutospacing="1"/>
              <w:ind w:firstLine="0"/>
              <w:jc w:val="center"/>
              <w:rPr>
                <w:b/>
                <w:bCs/>
              </w:rPr>
            </w:pPr>
            <w:r>
              <w:t>337</w:t>
            </w:r>
          </w:p>
        </w:tc>
      </w:tr>
      <w:tr w:rsidR="00EF7A90" w:rsidRPr="00FE3E9A" w14:paraId="5B66383B" w14:textId="77777777" w:rsidTr="00EC7CBB">
        <w:trPr>
          <w:trHeight w:val="446"/>
          <w:jc w:val="center"/>
        </w:trPr>
        <w:tc>
          <w:tcPr>
            <w:tcW w:w="4765" w:type="dxa"/>
          </w:tcPr>
          <w:p w14:paraId="312B575A" w14:textId="77777777" w:rsidR="00EF7A90" w:rsidRDefault="00EF7A90" w:rsidP="003D7C36">
            <w:pPr>
              <w:pStyle w:val="ListParagraph"/>
              <w:numPr>
                <w:ilvl w:val="0"/>
                <w:numId w:val="34"/>
              </w:numPr>
              <w:spacing w:before="100" w:beforeAutospacing="1"/>
              <w:jc w:val="left"/>
            </w:pPr>
            <w:r>
              <w:t>Low</w:t>
            </w:r>
          </w:p>
        </w:tc>
        <w:tc>
          <w:tcPr>
            <w:tcW w:w="4097" w:type="dxa"/>
          </w:tcPr>
          <w:p w14:paraId="66C2D4AF" w14:textId="77777777" w:rsidR="00EF7A90" w:rsidRDefault="00EF7A90" w:rsidP="003D7C36">
            <w:pPr>
              <w:spacing w:before="100" w:beforeAutospacing="1"/>
              <w:ind w:firstLine="0"/>
              <w:jc w:val="center"/>
            </w:pPr>
            <w:r>
              <w:t>23</w:t>
            </w:r>
          </w:p>
        </w:tc>
      </w:tr>
      <w:tr w:rsidR="00EF7A90" w:rsidRPr="00FE3E9A" w14:paraId="4A65B98F" w14:textId="77777777" w:rsidTr="00EC7CBB">
        <w:trPr>
          <w:trHeight w:val="446"/>
          <w:jc w:val="center"/>
        </w:trPr>
        <w:tc>
          <w:tcPr>
            <w:tcW w:w="4765" w:type="dxa"/>
          </w:tcPr>
          <w:p w14:paraId="7B881688" w14:textId="77777777" w:rsidR="00EF7A90" w:rsidRDefault="00EF7A90" w:rsidP="003D7C36">
            <w:pPr>
              <w:pStyle w:val="ListParagraph"/>
              <w:numPr>
                <w:ilvl w:val="0"/>
                <w:numId w:val="34"/>
              </w:numPr>
              <w:spacing w:before="100" w:beforeAutospacing="1"/>
              <w:jc w:val="left"/>
            </w:pPr>
            <w:r>
              <w:t>Moderate</w:t>
            </w:r>
          </w:p>
        </w:tc>
        <w:tc>
          <w:tcPr>
            <w:tcW w:w="4097" w:type="dxa"/>
          </w:tcPr>
          <w:p w14:paraId="2ED55D36" w14:textId="77777777" w:rsidR="00EF7A90" w:rsidRDefault="00EF7A90" w:rsidP="003D7C36">
            <w:pPr>
              <w:spacing w:before="100" w:beforeAutospacing="1"/>
              <w:ind w:firstLine="0"/>
              <w:jc w:val="center"/>
            </w:pPr>
            <w:r>
              <w:t>47</w:t>
            </w:r>
          </w:p>
        </w:tc>
      </w:tr>
      <w:tr w:rsidR="00EF7A90" w:rsidRPr="00FE3E9A" w14:paraId="46B08574" w14:textId="77777777" w:rsidTr="00EC7CBB">
        <w:trPr>
          <w:trHeight w:val="446"/>
          <w:jc w:val="center"/>
        </w:trPr>
        <w:tc>
          <w:tcPr>
            <w:tcW w:w="4765" w:type="dxa"/>
          </w:tcPr>
          <w:p w14:paraId="3B8C6DBA" w14:textId="77777777" w:rsidR="00EF7A90" w:rsidRDefault="00EF7A90" w:rsidP="003D7C36">
            <w:pPr>
              <w:pStyle w:val="ListParagraph"/>
              <w:numPr>
                <w:ilvl w:val="0"/>
                <w:numId w:val="34"/>
              </w:numPr>
              <w:spacing w:before="100" w:beforeAutospacing="1"/>
              <w:jc w:val="left"/>
            </w:pPr>
            <w:r>
              <w:t>High</w:t>
            </w:r>
          </w:p>
        </w:tc>
        <w:tc>
          <w:tcPr>
            <w:tcW w:w="4097" w:type="dxa"/>
          </w:tcPr>
          <w:p w14:paraId="155A5D0D" w14:textId="77777777" w:rsidR="00EF7A90" w:rsidRDefault="00EF7A90" w:rsidP="003D7C36">
            <w:pPr>
              <w:spacing w:before="100" w:beforeAutospacing="1"/>
              <w:ind w:firstLine="0"/>
              <w:jc w:val="center"/>
            </w:pPr>
            <w:r>
              <w:t>1</w:t>
            </w:r>
          </w:p>
        </w:tc>
      </w:tr>
      <w:tr w:rsidR="00EF7A90" w:rsidRPr="00FE3E9A" w14:paraId="6D114BF7" w14:textId="77777777" w:rsidTr="00EC7CBB">
        <w:trPr>
          <w:trHeight w:val="446"/>
          <w:jc w:val="center"/>
        </w:trPr>
        <w:tc>
          <w:tcPr>
            <w:tcW w:w="4765" w:type="dxa"/>
          </w:tcPr>
          <w:p w14:paraId="7CFC82C9" w14:textId="77777777" w:rsidR="00EF7A90" w:rsidRPr="00264140" w:rsidRDefault="00EF7A90" w:rsidP="003D7C36">
            <w:pPr>
              <w:spacing w:before="100" w:beforeAutospacing="1"/>
              <w:ind w:firstLine="0"/>
              <w:jc w:val="left"/>
              <w:rPr>
                <w:i/>
              </w:rPr>
            </w:pPr>
            <w:r>
              <w:rPr>
                <w:i/>
              </w:rPr>
              <w:t>PCSK9</w:t>
            </w:r>
          </w:p>
        </w:tc>
        <w:tc>
          <w:tcPr>
            <w:tcW w:w="4097" w:type="dxa"/>
          </w:tcPr>
          <w:p w14:paraId="7E325C71" w14:textId="77777777" w:rsidR="00EF7A90" w:rsidRDefault="00EF7A90" w:rsidP="003D7C36">
            <w:pPr>
              <w:spacing w:before="100" w:beforeAutospacing="1"/>
              <w:ind w:firstLine="0"/>
              <w:jc w:val="center"/>
            </w:pPr>
            <w:r>
              <w:t>280</w:t>
            </w:r>
          </w:p>
        </w:tc>
      </w:tr>
      <w:tr w:rsidR="00EF7A90" w:rsidRPr="00FE3E9A" w14:paraId="16DB2C45" w14:textId="77777777" w:rsidTr="00EC7CBB">
        <w:trPr>
          <w:trHeight w:val="446"/>
          <w:jc w:val="center"/>
        </w:trPr>
        <w:tc>
          <w:tcPr>
            <w:tcW w:w="4765" w:type="dxa"/>
          </w:tcPr>
          <w:p w14:paraId="4B9C38BE" w14:textId="77777777" w:rsidR="00EF7A90" w:rsidRDefault="00EF7A90" w:rsidP="003D7C36">
            <w:pPr>
              <w:pStyle w:val="ListParagraph"/>
              <w:numPr>
                <w:ilvl w:val="0"/>
                <w:numId w:val="34"/>
              </w:numPr>
              <w:spacing w:before="100" w:beforeAutospacing="1"/>
              <w:jc w:val="left"/>
            </w:pPr>
            <w:r w:rsidRPr="00FE3E9A">
              <w:t>Modifier</w:t>
            </w:r>
          </w:p>
        </w:tc>
        <w:tc>
          <w:tcPr>
            <w:tcW w:w="4097" w:type="dxa"/>
          </w:tcPr>
          <w:p w14:paraId="4339AE29" w14:textId="77777777" w:rsidR="00EF7A90" w:rsidRDefault="00EF7A90" w:rsidP="003D7C36">
            <w:pPr>
              <w:spacing w:before="100" w:beforeAutospacing="1"/>
              <w:ind w:firstLine="0"/>
              <w:jc w:val="center"/>
            </w:pPr>
            <w:r w:rsidRPr="00FE3E9A">
              <w:t>256</w:t>
            </w:r>
          </w:p>
        </w:tc>
      </w:tr>
      <w:tr w:rsidR="00EF7A90" w:rsidRPr="00FE3E9A" w14:paraId="5BECBC5C" w14:textId="77777777" w:rsidTr="00EC7CBB">
        <w:trPr>
          <w:trHeight w:val="446"/>
          <w:jc w:val="center"/>
        </w:trPr>
        <w:tc>
          <w:tcPr>
            <w:tcW w:w="4765" w:type="dxa"/>
          </w:tcPr>
          <w:p w14:paraId="713E1094" w14:textId="77777777" w:rsidR="00EF7A90" w:rsidRPr="00FE3E9A" w:rsidRDefault="00EF7A90" w:rsidP="003D7C36">
            <w:pPr>
              <w:pStyle w:val="ListParagraph"/>
              <w:numPr>
                <w:ilvl w:val="0"/>
                <w:numId w:val="34"/>
              </w:numPr>
              <w:spacing w:before="100" w:beforeAutospacing="1"/>
              <w:jc w:val="left"/>
            </w:pPr>
            <w:r w:rsidRPr="00FE3E9A">
              <w:t>Low</w:t>
            </w:r>
          </w:p>
        </w:tc>
        <w:tc>
          <w:tcPr>
            <w:tcW w:w="4097" w:type="dxa"/>
          </w:tcPr>
          <w:p w14:paraId="750F02D6" w14:textId="77777777" w:rsidR="00EF7A90" w:rsidRPr="00FE3E9A" w:rsidRDefault="00EF7A90" w:rsidP="003D7C36">
            <w:pPr>
              <w:spacing w:before="100" w:beforeAutospacing="1"/>
              <w:ind w:firstLine="0"/>
              <w:jc w:val="center"/>
            </w:pPr>
            <w:r w:rsidRPr="00FE3E9A">
              <w:t>10</w:t>
            </w:r>
          </w:p>
        </w:tc>
      </w:tr>
      <w:tr w:rsidR="00EF7A90" w:rsidRPr="00FE3E9A" w14:paraId="51DD870B" w14:textId="77777777" w:rsidTr="00EC7CBB">
        <w:trPr>
          <w:trHeight w:val="446"/>
          <w:jc w:val="center"/>
        </w:trPr>
        <w:tc>
          <w:tcPr>
            <w:tcW w:w="4765" w:type="dxa"/>
          </w:tcPr>
          <w:p w14:paraId="2402EF90" w14:textId="77777777" w:rsidR="00EF7A90" w:rsidRPr="00FE3E9A" w:rsidRDefault="00EF7A90" w:rsidP="003D7C36">
            <w:pPr>
              <w:pStyle w:val="ListParagraph"/>
              <w:numPr>
                <w:ilvl w:val="0"/>
                <w:numId w:val="34"/>
              </w:numPr>
              <w:spacing w:before="100" w:beforeAutospacing="1"/>
              <w:jc w:val="left"/>
            </w:pPr>
            <w:r w:rsidRPr="00FE3E9A">
              <w:t>Moderate</w:t>
            </w:r>
          </w:p>
        </w:tc>
        <w:tc>
          <w:tcPr>
            <w:tcW w:w="4097" w:type="dxa"/>
          </w:tcPr>
          <w:p w14:paraId="1FAD2E7F" w14:textId="77777777" w:rsidR="00EF7A90" w:rsidRPr="00FE3E9A" w:rsidRDefault="00EF7A90" w:rsidP="003D7C36">
            <w:pPr>
              <w:spacing w:before="100" w:beforeAutospacing="1"/>
              <w:ind w:firstLine="0"/>
              <w:jc w:val="center"/>
            </w:pPr>
            <w:r w:rsidRPr="00FE3E9A">
              <w:t>14</w:t>
            </w:r>
          </w:p>
        </w:tc>
      </w:tr>
      <w:tr w:rsidR="00EF7A90" w:rsidRPr="00FE3E9A" w14:paraId="1FEBB5A9" w14:textId="77777777" w:rsidTr="00EC7CBB">
        <w:trPr>
          <w:trHeight w:val="142"/>
          <w:jc w:val="center"/>
        </w:trPr>
        <w:tc>
          <w:tcPr>
            <w:tcW w:w="4765" w:type="dxa"/>
          </w:tcPr>
          <w:p w14:paraId="3A9280B8" w14:textId="77777777" w:rsidR="00EF7A90" w:rsidRPr="00FE3E9A" w:rsidRDefault="00EF7A90" w:rsidP="003D7C36">
            <w:pPr>
              <w:pStyle w:val="ListParagraph"/>
              <w:numPr>
                <w:ilvl w:val="0"/>
                <w:numId w:val="34"/>
              </w:numPr>
              <w:spacing w:before="100" w:beforeAutospacing="1"/>
              <w:jc w:val="left"/>
            </w:pPr>
            <w:r w:rsidRPr="00FE3E9A">
              <w:t>High</w:t>
            </w:r>
          </w:p>
        </w:tc>
        <w:tc>
          <w:tcPr>
            <w:tcW w:w="4097" w:type="dxa"/>
          </w:tcPr>
          <w:p w14:paraId="2160F6E0" w14:textId="77777777" w:rsidR="00EF7A90" w:rsidRPr="00FE3E9A" w:rsidRDefault="00EF7A90" w:rsidP="003D7C36">
            <w:pPr>
              <w:spacing w:before="100" w:beforeAutospacing="1"/>
              <w:ind w:firstLine="0"/>
              <w:jc w:val="center"/>
            </w:pPr>
            <w:r w:rsidRPr="00FE3E9A">
              <w:t>0</w:t>
            </w:r>
          </w:p>
        </w:tc>
      </w:tr>
    </w:tbl>
    <w:p w14:paraId="23028F0D" w14:textId="7E043DA2" w:rsidR="004D7557" w:rsidRDefault="000D2621" w:rsidP="000D2621">
      <w:pPr>
        <w:pStyle w:val="Heading2"/>
      </w:pPr>
      <w:bookmarkStart w:id="33" w:name="_Toc39065938"/>
      <w:r>
        <w:t>LDL-Cholesterol Levels and Covariates</w:t>
      </w:r>
      <w:bookmarkEnd w:id="33"/>
    </w:p>
    <w:p w14:paraId="2360265B" w14:textId="36826122" w:rsidR="00F46DD1" w:rsidRPr="00EC1A1B" w:rsidRDefault="000D2621" w:rsidP="00EF7A90">
      <w:r>
        <w:t xml:space="preserve">Biometric data </w:t>
      </w:r>
      <w:r w:rsidR="00F250FD">
        <w:t>in</w:t>
      </w:r>
      <w:r>
        <w:t xml:space="preserve"> the Samoan dataset was </w:t>
      </w:r>
      <w:r w:rsidR="00F250FD">
        <w:t>obtained</w:t>
      </w:r>
      <w:r>
        <w:t xml:space="preserve"> and coded in an excel file and subsequently </w:t>
      </w:r>
      <w:r w:rsidR="001C4683">
        <w:t>imported to Stata and R</w:t>
      </w:r>
      <w:r w:rsidR="00070A98">
        <w:t>-statistical package</w:t>
      </w:r>
      <w:r w:rsidR="001C4683">
        <w:t xml:space="preserve"> for analysis. LDL-cholesterol level</w:t>
      </w:r>
      <w:r w:rsidR="00814043">
        <w:t>s</w:t>
      </w:r>
      <w:r w:rsidR="001C4683">
        <w:t xml:space="preserve"> w</w:t>
      </w:r>
      <w:r w:rsidR="00814043">
        <w:t>ere</w:t>
      </w:r>
      <w:r w:rsidR="001C4683">
        <w:t xml:space="preserve"> </w:t>
      </w:r>
      <w:r w:rsidR="001C4683">
        <w:lastRenderedPageBreak/>
        <w:t xml:space="preserve">summarized </w:t>
      </w:r>
      <w:r w:rsidR="00EC1A1B">
        <w:t xml:space="preserve">in Stata </w:t>
      </w:r>
      <w:r w:rsidR="001C4683">
        <w:t>to investigate the distribution of cholesterol levels</w:t>
      </w:r>
      <w:r w:rsidR="00EC1A1B">
        <w:t>,</w:t>
      </w:r>
      <w:r w:rsidR="001C4683">
        <w:t xml:space="preserve"> and to </w:t>
      </w:r>
      <w:r w:rsidR="00F250FD">
        <w:t>determine</w:t>
      </w:r>
      <w:r w:rsidR="001C4683">
        <w:t xml:space="preserve"> how many participants had cholesterol levels over 190 mg/dL. This information was also </w:t>
      </w:r>
      <w:r w:rsidR="00B61171">
        <w:t>stratified</w:t>
      </w:r>
      <w:r w:rsidR="001C4683">
        <w:t xml:space="preserve"> by sex to </w:t>
      </w:r>
      <w:r w:rsidR="00EF628B">
        <w:t>assess</w:t>
      </w:r>
      <w:r w:rsidR="001C4683">
        <w:t xml:space="preserve"> any differences found between males and females. To </w:t>
      </w:r>
      <w:r w:rsidR="00EF628B">
        <w:t>assess</w:t>
      </w:r>
      <w:r w:rsidR="001C4683">
        <w:t xml:space="preserve"> </w:t>
      </w:r>
      <w:r w:rsidR="00B61171">
        <w:t>an</w:t>
      </w:r>
      <w:r w:rsidR="005846F1">
        <w:t>y potential effects of covariates on LDL-cholesterol levels, a</w:t>
      </w:r>
      <w:r w:rsidR="001C4683">
        <w:t xml:space="preserve"> linear regression analysis was performed</w:t>
      </w:r>
      <w:r w:rsidR="009110C8">
        <w:t xml:space="preserve"> in R. Covariates</w:t>
      </w:r>
      <w:r w:rsidR="00EF628B">
        <w:t xml:space="preserve"> previously reported</w:t>
      </w:r>
      <w:r w:rsidR="009110C8">
        <w:t xml:space="preserve"> to affect LDL-cholesterol levels include</w:t>
      </w:r>
      <w:r w:rsidR="001C4683">
        <w:t xml:space="preserve"> age, sex, and obesity. Obesity levels using Polynesian BMI cutoffs were used</w:t>
      </w:r>
      <w:r w:rsidR="00EF628B">
        <w:t>.</w:t>
      </w:r>
      <w:r w:rsidR="001C4683">
        <w:t xml:space="preserve"> Polynesian populations have a higher cutoff</w:t>
      </w:r>
      <w:r w:rsidR="00EF628B">
        <w:t xml:space="preserve"> for BMI categories</w:t>
      </w:r>
      <w:r w:rsidR="001C4683">
        <w:t xml:space="preserve"> due to having a higher proportion of lean body mass for a given BMI. </w:t>
      </w:r>
      <w:r w:rsidR="00EC1A1B">
        <w:t>Using these cutoffs, overweight is defined as BMI = 26-32 kg/m</w:t>
      </w:r>
      <w:r w:rsidR="00EC1A1B">
        <w:rPr>
          <w:vertAlign w:val="superscript"/>
        </w:rPr>
        <w:t>2</w:t>
      </w:r>
      <w:r w:rsidR="00EC1A1B">
        <w:t xml:space="preserve"> and obesity is defined as BMI &gt; 32 kg/m</w:t>
      </w:r>
      <w:r w:rsidR="00EC1A1B">
        <w:rPr>
          <w:vertAlign w:val="superscript"/>
        </w:rPr>
        <w:t>2</w:t>
      </w:r>
      <w:r w:rsidR="00EC1A1B">
        <w:t xml:space="preserve">. </w:t>
      </w:r>
    </w:p>
    <w:p w14:paraId="7B0D95E7" w14:textId="0DDFD7EF" w:rsidR="00142372" w:rsidRPr="00DF1A1B" w:rsidRDefault="00B61171" w:rsidP="00DF1A1B">
      <w:pPr>
        <w:pStyle w:val="Heading1"/>
      </w:pPr>
      <w:bookmarkStart w:id="34" w:name="_Toc39065939"/>
      <w:r w:rsidRPr="00DF1A1B">
        <w:lastRenderedPageBreak/>
        <w:t>Results</w:t>
      </w:r>
      <w:bookmarkEnd w:id="34"/>
    </w:p>
    <w:p w14:paraId="5F6BAEBC" w14:textId="136FB386" w:rsidR="00F171EE" w:rsidRDefault="004216B4" w:rsidP="00506516">
      <w:pPr>
        <w:spacing w:after="240"/>
      </w:pPr>
      <w:r>
        <w:t>I assessed the proportion of individuals with elevated LDL-cholesterols, as well as the effects of comorbidities, such as obesity, on LDL- and total cholesterol levels.</w:t>
      </w:r>
      <w:r w:rsidR="006751CB">
        <w:t xml:space="preserve"> </w:t>
      </w:r>
      <w:r w:rsidR="00506516">
        <w:t xml:space="preserve">Next, I compared variants in the Samoan genotyping dataset and the list of known FH pathogenic variants to obtain a list of possible pathogenic variants for FH among Samoan participants. </w:t>
      </w:r>
    </w:p>
    <w:p w14:paraId="1904D489" w14:textId="77777777" w:rsidR="00506516" w:rsidRPr="00DF1A1B" w:rsidRDefault="00506516" w:rsidP="00DF1A1B">
      <w:pPr>
        <w:pStyle w:val="Heading2"/>
      </w:pPr>
      <w:bookmarkStart w:id="35" w:name="_Toc39065940"/>
      <w:r w:rsidRPr="00DF1A1B">
        <w:t>LDL-Cholesterol Level Analysis</w:t>
      </w:r>
      <w:bookmarkEnd w:id="35"/>
    </w:p>
    <w:p w14:paraId="695A4DEE" w14:textId="3D442B0B" w:rsidR="00506516" w:rsidRDefault="00506516" w:rsidP="00506516">
      <w:r>
        <w:t xml:space="preserve">The average LDL-cholesterol levels among the 2937 participants were stratified by Polynesian BMI cutoffs. The mean LDL-cholesterol levels were higher among participants who were obese and overweight compared to normal BMI. Inversely, HDL-cholesterol levels were highest among participants who were of normal BMI compared to overweight and obese (Table </w:t>
      </w:r>
      <w:r w:rsidR="008F37A1">
        <w:t>6</w:t>
      </w:r>
      <w:r>
        <w:t xml:space="preserve">). LDL-cholesterol levels were approximately normally distributed (Figure </w:t>
      </w:r>
      <w:r w:rsidR="008F37A1">
        <w:t>1</w:t>
      </w:r>
      <w:r>
        <w:t xml:space="preserve">). The mean LDL-cholesterol level was 130 mg/dL, with a minimum of 21 mg/dL and a maximum of 324 mg/dL and 135 individuals had LDL-cholesterol levels over 190 mg/dL. Thus, 4.6% of the population would meet the LDL-cholesterol cutoff for FH. I observed no differences in mean LDL-cholesterol levels by sex: the LDL-cholesterols means were 129.5 mg/dL in males and 130.13 mg/dL in females (Figure </w:t>
      </w:r>
      <w:r w:rsidR="008F37A1">
        <w:t>2</w:t>
      </w:r>
      <w:r>
        <w:t xml:space="preserve">). </w:t>
      </w:r>
    </w:p>
    <w:p w14:paraId="7B342BDF" w14:textId="1B83F2EA" w:rsidR="00DF1A1B" w:rsidRDefault="00DF1A1B" w:rsidP="00506516"/>
    <w:p w14:paraId="300AB9E0" w14:textId="343722D8" w:rsidR="00DF1A1B" w:rsidRDefault="00DF1A1B" w:rsidP="00506516"/>
    <w:p w14:paraId="42408605" w14:textId="41F76DE4" w:rsidR="00DF1A1B" w:rsidRDefault="00DF1A1B" w:rsidP="00506516"/>
    <w:p w14:paraId="1715704C" w14:textId="369F9C7D" w:rsidR="00506516" w:rsidRDefault="00506516" w:rsidP="00506516">
      <w:pPr>
        <w:pStyle w:val="Caption"/>
        <w:keepNext/>
      </w:pPr>
      <w:bookmarkStart w:id="36" w:name="_Toc39065952"/>
      <w:r>
        <w:lastRenderedPageBreak/>
        <w:t xml:space="preserve">Table </w:t>
      </w:r>
      <w:r>
        <w:fldChar w:fldCharType="begin"/>
      </w:r>
      <w:r>
        <w:instrText xml:space="preserve"> SEQ Table \* ARABIC </w:instrText>
      </w:r>
      <w:r>
        <w:fldChar w:fldCharType="separate"/>
      </w:r>
      <w:r w:rsidR="002A71A2">
        <w:t>6</w:t>
      </w:r>
      <w:r>
        <w:fldChar w:fldCharType="end"/>
      </w:r>
      <w:r>
        <w:t>. Mean Cholesterol Levels Between BMI Categories</w:t>
      </w:r>
      <w:bookmarkEnd w:id="36"/>
    </w:p>
    <w:tbl>
      <w:tblPr>
        <w:tblStyle w:val="TableGrid"/>
        <w:tblW w:w="8640" w:type="dxa"/>
        <w:tblInd w:w="714" w:type="dxa"/>
        <w:tblLook w:val="04A0" w:firstRow="1" w:lastRow="0" w:firstColumn="1" w:lastColumn="0" w:noHBand="0" w:noVBand="1"/>
      </w:tblPr>
      <w:tblGrid>
        <w:gridCol w:w="2880"/>
        <w:gridCol w:w="2880"/>
        <w:gridCol w:w="2880"/>
      </w:tblGrid>
      <w:tr w:rsidR="00506516" w14:paraId="0DE46A80" w14:textId="77777777" w:rsidTr="00F526C4">
        <w:tc>
          <w:tcPr>
            <w:tcW w:w="2880" w:type="dxa"/>
            <w:shd w:val="clear" w:color="auto" w:fill="E7E6E6" w:themeFill="background2"/>
          </w:tcPr>
          <w:p w14:paraId="35C38372" w14:textId="77777777" w:rsidR="00506516" w:rsidRDefault="00506516" w:rsidP="00F526C4">
            <w:pPr>
              <w:ind w:firstLine="0"/>
              <w:jc w:val="center"/>
            </w:pPr>
          </w:p>
        </w:tc>
        <w:tc>
          <w:tcPr>
            <w:tcW w:w="2880" w:type="dxa"/>
            <w:shd w:val="clear" w:color="auto" w:fill="E7E6E6" w:themeFill="background2"/>
          </w:tcPr>
          <w:p w14:paraId="28968CB3" w14:textId="77777777" w:rsidR="00506516" w:rsidRDefault="00506516" w:rsidP="00F526C4">
            <w:pPr>
              <w:spacing w:line="276" w:lineRule="auto"/>
              <w:ind w:firstLine="0"/>
              <w:jc w:val="center"/>
            </w:pPr>
            <w:r>
              <w:t xml:space="preserve">Mean </w:t>
            </w:r>
          </w:p>
          <w:p w14:paraId="32A0722A" w14:textId="77777777" w:rsidR="00506516" w:rsidRDefault="00506516" w:rsidP="00F526C4">
            <w:pPr>
              <w:spacing w:line="276" w:lineRule="auto"/>
              <w:ind w:firstLine="0"/>
              <w:jc w:val="center"/>
            </w:pPr>
            <w:r>
              <w:t>(mg/dL)</w:t>
            </w:r>
          </w:p>
        </w:tc>
        <w:tc>
          <w:tcPr>
            <w:tcW w:w="2880" w:type="dxa"/>
            <w:shd w:val="clear" w:color="auto" w:fill="E7E6E6" w:themeFill="background2"/>
          </w:tcPr>
          <w:p w14:paraId="50488581" w14:textId="77777777" w:rsidR="00506516" w:rsidRDefault="00506516" w:rsidP="00F526C4">
            <w:pPr>
              <w:spacing w:line="276" w:lineRule="auto"/>
              <w:ind w:firstLine="0"/>
              <w:jc w:val="center"/>
            </w:pPr>
            <w:r>
              <w:t>Standard Deviation</w:t>
            </w:r>
          </w:p>
          <w:p w14:paraId="09369450" w14:textId="77777777" w:rsidR="00506516" w:rsidRDefault="00506516" w:rsidP="00F526C4">
            <w:pPr>
              <w:spacing w:line="276" w:lineRule="auto"/>
              <w:ind w:firstLine="0"/>
              <w:jc w:val="center"/>
            </w:pPr>
            <w:r>
              <w:t>(mg/dL)</w:t>
            </w:r>
          </w:p>
        </w:tc>
      </w:tr>
      <w:tr w:rsidR="00506516" w14:paraId="5F98B882" w14:textId="77777777" w:rsidTr="00551645">
        <w:trPr>
          <w:trHeight w:val="1583"/>
        </w:trPr>
        <w:tc>
          <w:tcPr>
            <w:tcW w:w="2880" w:type="dxa"/>
          </w:tcPr>
          <w:p w14:paraId="0ED67523" w14:textId="2F640628" w:rsidR="00506516" w:rsidRDefault="00506516" w:rsidP="00551645">
            <w:pPr>
              <w:spacing w:line="240" w:lineRule="auto"/>
              <w:ind w:firstLine="0"/>
              <w:jc w:val="center"/>
            </w:pPr>
            <w:r>
              <w:t>Total Cholesterol Levels</w:t>
            </w:r>
          </w:p>
          <w:p w14:paraId="2B4CFAE8" w14:textId="77777777" w:rsidR="00551645" w:rsidRDefault="00551645" w:rsidP="00551645">
            <w:pPr>
              <w:spacing w:line="240" w:lineRule="auto"/>
              <w:ind w:firstLine="0"/>
              <w:jc w:val="center"/>
            </w:pPr>
          </w:p>
          <w:p w14:paraId="545881E0" w14:textId="77777777" w:rsidR="00506516" w:rsidRDefault="00506516" w:rsidP="00551645">
            <w:pPr>
              <w:spacing w:line="240" w:lineRule="auto"/>
              <w:ind w:firstLine="0"/>
              <w:jc w:val="right"/>
            </w:pPr>
            <w:r>
              <w:t>Normal</w:t>
            </w:r>
          </w:p>
          <w:p w14:paraId="627B571F" w14:textId="77777777" w:rsidR="00506516" w:rsidRDefault="00506516" w:rsidP="00551645">
            <w:pPr>
              <w:spacing w:line="240" w:lineRule="auto"/>
              <w:jc w:val="right"/>
            </w:pPr>
            <w:r>
              <w:t>Overweight</w:t>
            </w:r>
          </w:p>
          <w:p w14:paraId="30CA3DEB" w14:textId="77777777" w:rsidR="00506516" w:rsidRDefault="00506516" w:rsidP="00551645">
            <w:pPr>
              <w:spacing w:line="240" w:lineRule="auto"/>
              <w:jc w:val="right"/>
            </w:pPr>
            <w:r>
              <w:t>Obese</w:t>
            </w:r>
          </w:p>
        </w:tc>
        <w:tc>
          <w:tcPr>
            <w:tcW w:w="2880" w:type="dxa"/>
          </w:tcPr>
          <w:p w14:paraId="59B62B4C" w14:textId="43426FF8" w:rsidR="00506516" w:rsidRDefault="00506516" w:rsidP="00551645">
            <w:pPr>
              <w:spacing w:line="240" w:lineRule="auto"/>
              <w:ind w:firstLine="0"/>
              <w:jc w:val="center"/>
            </w:pPr>
          </w:p>
          <w:p w14:paraId="66CE6731" w14:textId="77777777" w:rsidR="00551645" w:rsidRDefault="00551645" w:rsidP="00551645">
            <w:pPr>
              <w:spacing w:line="240" w:lineRule="auto"/>
              <w:ind w:firstLine="0"/>
              <w:jc w:val="center"/>
            </w:pPr>
          </w:p>
          <w:p w14:paraId="3CA7F507" w14:textId="77777777" w:rsidR="00506516" w:rsidRDefault="00506516" w:rsidP="00551645">
            <w:pPr>
              <w:spacing w:line="240" w:lineRule="auto"/>
              <w:ind w:firstLine="0"/>
              <w:jc w:val="center"/>
            </w:pPr>
            <w:r>
              <w:t>185.26</w:t>
            </w:r>
          </w:p>
          <w:p w14:paraId="126FCF09" w14:textId="77777777" w:rsidR="00506516" w:rsidRDefault="00506516" w:rsidP="00551645">
            <w:pPr>
              <w:spacing w:line="240" w:lineRule="auto"/>
              <w:ind w:firstLine="0"/>
              <w:jc w:val="center"/>
            </w:pPr>
            <w:r>
              <w:t xml:space="preserve">198.64 </w:t>
            </w:r>
          </w:p>
          <w:p w14:paraId="6666364D" w14:textId="77777777" w:rsidR="00506516" w:rsidRDefault="00506516" w:rsidP="00551645">
            <w:pPr>
              <w:spacing w:line="240" w:lineRule="auto"/>
              <w:ind w:firstLine="0"/>
              <w:jc w:val="center"/>
            </w:pPr>
            <w:r>
              <w:t>203.86</w:t>
            </w:r>
          </w:p>
        </w:tc>
        <w:tc>
          <w:tcPr>
            <w:tcW w:w="2880" w:type="dxa"/>
          </w:tcPr>
          <w:p w14:paraId="7A3E245A" w14:textId="1759A46F" w:rsidR="00506516" w:rsidRDefault="00506516" w:rsidP="00551645">
            <w:pPr>
              <w:spacing w:line="240" w:lineRule="auto"/>
              <w:ind w:firstLine="0"/>
              <w:jc w:val="center"/>
            </w:pPr>
          </w:p>
          <w:p w14:paraId="650603CC" w14:textId="77777777" w:rsidR="00551645" w:rsidRDefault="00551645" w:rsidP="00551645">
            <w:pPr>
              <w:spacing w:line="240" w:lineRule="auto"/>
              <w:ind w:firstLine="0"/>
              <w:jc w:val="center"/>
            </w:pPr>
          </w:p>
          <w:p w14:paraId="3D057E9E" w14:textId="77777777" w:rsidR="00506516" w:rsidRDefault="00506516" w:rsidP="00551645">
            <w:pPr>
              <w:spacing w:line="240" w:lineRule="auto"/>
              <w:ind w:firstLine="0"/>
              <w:jc w:val="center"/>
            </w:pPr>
            <w:r>
              <w:t>37.29</w:t>
            </w:r>
          </w:p>
          <w:p w14:paraId="16D738DC" w14:textId="77777777" w:rsidR="00506516" w:rsidRDefault="00506516" w:rsidP="00551645">
            <w:pPr>
              <w:spacing w:line="240" w:lineRule="auto"/>
              <w:ind w:firstLine="0"/>
              <w:jc w:val="center"/>
            </w:pPr>
            <w:r>
              <w:t>39.62</w:t>
            </w:r>
          </w:p>
          <w:p w14:paraId="59AD1202" w14:textId="77777777" w:rsidR="00506516" w:rsidRDefault="00506516" w:rsidP="00551645">
            <w:pPr>
              <w:spacing w:line="240" w:lineRule="auto"/>
              <w:ind w:firstLine="0"/>
              <w:jc w:val="center"/>
            </w:pPr>
            <w:r>
              <w:t>35.48</w:t>
            </w:r>
          </w:p>
        </w:tc>
      </w:tr>
      <w:tr w:rsidR="00506516" w14:paraId="574A9AFB" w14:textId="77777777" w:rsidTr="00551645">
        <w:trPr>
          <w:trHeight w:val="1520"/>
        </w:trPr>
        <w:tc>
          <w:tcPr>
            <w:tcW w:w="2880" w:type="dxa"/>
          </w:tcPr>
          <w:p w14:paraId="00EB2EA5" w14:textId="32CCA245" w:rsidR="00506516" w:rsidRDefault="00506516" w:rsidP="00551645">
            <w:pPr>
              <w:spacing w:line="240" w:lineRule="auto"/>
              <w:ind w:firstLine="0"/>
              <w:jc w:val="center"/>
            </w:pPr>
            <w:r>
              <w:t>LDL-Cholesterol Levels</w:t>
            </w:r>
          </w:p>
          <w:p w14:paraId="6F79FFE3" w14:textId="77777777" w:rsidR="00551645" w:rsidRDefault="00551645" w:rsidP="00551645">
            <w:pPr>
              <w:spacing w:line="240" w:lineRule="auto"/>
              <w:ind w:firstLine="0"/>
              <w:jc w:val="center"/>
            </w:pPr>
          </w:p>
          <w:p w14:paraId="59691421" w14:textId="77777777" w:rsidR="00506516" w:rsidRDefault="00506516" w:rsidP="00551645">
            <w:pPr>
              <w:spacing w:line="240" w:lineRule="auto"/>
              <w:ind w:firstLine="0"/>
              <w:jc w:val="right"/>
            </w:pPr>
            <w:r>
              <w:t>Normal</w:t>
            </w:r>
          </w:p>
          <w:p w14:paraId="2F362BEE" w14:textId="77777777" w:rsidR="00506516" w:rsidRDefault="00506516" w:rsidP="00551645">
            <w:pPr>
              <w:spacing w:line="240" w:lineRule="auto"/>
              <w:ind w:firstLine="0"/>
              <w:jc w:val="right"/>
            </w:pPr>
            <w:r>
              <w:t>Overweight</w:t>
            </w:r>
          </w:p>
          <w:p w14:paraId="4C4004A7" w14:textId="77777777" w:rsidR="00506516" w:rsidRDefault="00506516" w:rsidP="00551645">
            <w:pPr>
              <w:spacing w:line="240" w:lineRule="auto"/>
              <w:ind w:firstLine="0"/>
              <w:jc w:val="right"/>
            </w:pPr>
            <w:r>
              <w:t>Obese</w:t>
            </w:r>
          </w:p>
        </w:tc>
        <w:tc>
          <w:tcPr>
            <w:tcW w:w="2880" w:type="dxa"/>
          </w:tcPr>
          <w:p w14:paraId="4EFF678A" w14:textId="365AAAF7" w:rsidR="00506516" w:rsidRDefault="00506516" w:rsidP="00551645">
            <w:pPr>
              <w:spacing w:line="240" w:lineRule="auto"/>
              <w:ind w:firstLine="0"/>
              <w:jc w:val="center"/>
            </w:pPr>
          </w:p>
          <w:p w14:paraId="4F5D972D" w14:textId="77777777" w:rsidR="00551645" w:rsidRDefault="00551645" w:rsidP="00551645">
            <w:pPr>
              <w:spacing w:line="240" w:lineRule="auto"/>
              <w:ind w:firstLine="0"/>
              <w:jc w:val="center"/>
            </w:pPr>
          </w:p>
          <w:p w14:paraId="3733F00D" w14:textId="77777777" w:rsidR="00506516" w:rsidRDefault="00506516" w:rsidP="00551645">
            <w:pPr>
              <w:spacing w:line="240" w:lineRule="auto"/>
              <w:ind w:firstLine="0"/>
              <w:jc w:val="center"/>
            </w:pPr>
            <w:r>
              <w:t>115.67</w:t>
            </w:r>
          </w:p>
          <w:p w14:paraId="5E8CF12C" w14:textId="77777777" w:rsidR="00506516" w:rsidRDefault="00506516" w:rsidP="00551645">
            <w:pPr>
              <w:spacing w:line="240" w:lineRule="auto"/>
              <w:ind w:firstLine="0"/>
              <w:jc w:val="center"/>
            </w:pPr>
            <w:r>
              <w:t>129.00</w:t>
            </w:r>
          </w:p>
          <w:p w14:paraId="600D05A4" w14:textId="77777777" w:rsidR="00506516" w:rsidRDefault="00506516" w:rsidP="00551645">
            <w:pPr>
              <w:spacing w:line="240" w:lineRule="auto"/>
              <w:ind w:firstLine="0"/>
              <w:jc w:val="center"/>
            </w:pPr>
            <w:r>
              <w:t>133.82</w:t>
            </w:r>
          </w:p>
        </w:tc>
        <w:tc>
          <w:tcPr>
            <w:tcW w:w="2880" w:type="dxa"/>
          </w:tcPr>
          <w:p w14:paraId="6E9E4A8E" w14:textId="547D8432" w:rsidR="00506516" w:rsidRDefault="00506516" w:rsidP="00551645">
            <w:pPr>
              <w:spacing w:line="240" w:lineRule="auto"/>
              <w:ind w:firstLine="0"/>
              <w:jc w:val="center"/>
            </w:pPr>
          </w:p>
          <w:p w14:paraId="6E454CC0" w14:textId="77777777" w:rsidR="00551645" w:rsidRDefault="00551645" w:rsidP="00551645">
            <w:pPr>
              <w:spacing w:line="240" w:lineRule="auto"/>
              <w:ind w:firstLine="0"/>
              <w:jc w:val="center"/>
            </w:pPr>
          </w:p>
          <w:p w14:paraId="499F0B98" w14:textId="77777777" w:rsidR="00506516" w:rsidRDefault="00506516" w:rsidP="00551645">
            <w:pPr>
              <w:spacing w:line="240" w:lineRule="auto"/>
              <w:ind w:firstLine="0"/>
              <w:jc w:val="center"/>
            </w:pPr>
            <w:r>
              <w:t>32.99</w:t>
            </w:r>
          </w:p>
          <w:p w14:paraId="758C902C" w14:textId="77777777" w:rsidR="00506516" w:rsidRDefault="00506516" w:rsidP="00551645">
            <w:pPr>
              <w:spacing w:line="240" w:lineRule="auto"/>
              <w:ind w:firstLine="0"/>
              <w:jc w:val="center"/>
            </w:pPr>
            <w:r>
              <w:t>35.55</w:t>
            </w:r>
          </w:p>
          <w:p w14:paraId="2C83CC8A" w14:textId="77777777" w:rsidR="00506516" w:rsidRDefault="00506516" w:rsidP="00551645">
            <w:pPr>
              <w:spacing w:line="240" w:lineRule="auto"/>
              <w:ind w:firstLine="0"/>
              <w:jc w:val="center"/>
            </w:pPr>
            <w:r>
              <w:t>32.75</w:t>
            </w:r>
          </w:p>
        </w:tc>
      </w:tr>
      <w:tr w:rsidR="00506516" w14:paraId="22D3E008" w14:textId="77777777" w:rsidTr="00551645">
        <w:trPr>
          <w:trHeight w:val="1610"/>
        </w:trPr>
        <w:tc>
          <w:tcPr>
            <w:tcW w:w="2880" w:type="dxa"/>
          </w:tcPr>
          <w:p w14:paraId="642868A5" w14:textId="739E52BD" w:rsidR="00506516" w:rsidRDefault="00506516" w:rsidP="00551645">
            <w:pPr>
              <w:spacing w:line="240" w:lineRule="auto"/>
              <w:ind w:firstLine="0"/>
              <w:jc w:val="center"/>
            </w:pPr>
            <w:r>
              <w:t>HDL-Cholesterol Levels</w:t>
            </w:r>
          </w:p>
          <w:p w14:paraId="1BD91991" w14:textId="77777777" w:rsidR="00551645" w:rsidRDefault="00551645" w:rsidP="00551645">
            <w:pPr>
              <w:spacing w:line="240" w:lineRule="auto"/>
              <w:ind w:firstLine="0"/>
              <w:jc w:val="center"/>
            </w:pPr>
          </w:p>
          <w:p w14:paraId="7D437D7F" w14:textId="77777777" w:rsidR="00506516" w:rsidRDefault="00506516" w:rsidP="00551645">
            <w:pPr>
              <w:spacing w:line="240" w:lineRule="auto"/>
              <w:ind w:firstLine="0"/>
              <w:jc w:val="right"/>
            </w:pPr>
            <w:r>
              <w:t>Normal</w:t>
            </w:r>
          </w:p>
          <w:p w14:paraId="21325F22" w14:textId="77777777" w:rsidR="00506516" w:rsidRDefault="00506516" w:rsidP="00551645">
            <w:pPr>
              <w:spacing w:line="240" w:lineRule="auto"/>
              <w:ind w:firstLine="0"/>
              <w:jc w:val="right"/>
            </w:pPr>
            <w:r>
              <w:t>Overweight</w:t>
            </w:r>
          </w:p>
          <w:p w14:paraId="247867B5" w14:textId="77777777" w:rsidR="00506516" w:rsidRDefault="00506516" w:rsidP="00551645">
            <w:pPr>
              <w:spacing w:line="240" w:lineRule="auto"/>
              <w:ind w:firstLine="0"/>
              <w:jc w:val="right"/>
            </w:pPr>
            <w:r>
              <w:t>Obese</w:t>
            </w:r>
          </w:p>
        </w:tc>
        <w:tc>
          <w:tcPr>
            <w:tcW w:w="2880" w:type="dxa"/>
          </w:tcPr>
          <w:p w14:paraId="3A2F41C1" w14:textId="72B6A1B8" w:rsidR="00506516" w:rsidRDefault="00506516" w:rsidP="00551645">
            <w:pPr>
              <w:spacing w:line="240" w:lineRule="auto"/>
              <w:ind w:firstLine="0"/>
              <w:jc w:val="center"/>
            </w:pPr>
          </w:p>
          <w:p w14:paraId="63670C13" w14:textId="77777777" w:rsidR="00551645" w:rsidRDefault="00551645" w:rsidP="00551645">
            <w:pPr>
              <w:spacing w:line="240" w:lineRule="auto"/>
              <w:ind w:firstLine="0"/>
              <w:jc w:val="center"/>
            </w:pPr>
          </w:p>
          <w:p w14:paraId="41FA4907" w14:textId="77777777" w:rsidR="00506516" w:rsidRDefault="00506516" w:rsidP="00551645">
            <w:pPr>
              <w:spacing w:line="240" w:lineRule="auto"/>
              <w:ind w:firstLine="0"/>
              <w:jc w:val="center"/>
            </w:pPr>
            <w:r>
              <w:t>52.04</w:t>
            </w:r>
          </w:p>
          <w:p w14:paraId="39D0690F" w14:textId="77777777" w:rsidR="00506516" w:rsidRDefault="00506516" w:rsidP="00551645">
            <w:pPr>
              <w:spacing w:line="240" w:lineRule="auto"/>
              <w:ind w:firstLine="0"/>
              <w:jc w:val="center"/>
            </w:pPr>
            <w:r>
              <w:t>46.41</w:t>
            </w:r>
          </w:p>
          <w:p w14:paraId="0B5B4449" w14:textId="77777777" w:rsidR="00506516" w:rsidRDefault="00506516" w:rsidP="00551645">
            <w:pPr>
              <w:spacing w:line="240" w:lineRule="auto"/>
              <w:ind w:firstLine="0"/>
              <w:jc w:val="center"/>
            </w:pPr>
            <w:r>
              <w:t>43.19</w:t>
            </w:r>
          </w:p>
        </w:tc>
        <w:tc>
          <w:tcPr>
            <w:tcW w:w="2880" w:type="dxa"/>
          </w:tcPr>
          <w:p w14:paraId="47576435" w14:textId="0347150A" w:rsidR="00506516" w:rsidRDefault="00506516" w:rsidP="00551645">
            <w:pPr>
              <w:spacing w:line="240" w:lineRule="auto"/>
              <w:ind w:firstLine="0"/>
              <w:jc w:val="center"/>
            </w:pPr>
          </w:p>
          <w:p w14:paraId="58FED5D5" w14:textId="77777777" w:rsidR="00551645" w:rsidRDefault="00551645" w:rsidP="00551645">
            <w:pPr>
              <w:spacing w:line="240" w:lineRule="auto"/>
              <w:ind w:firstLine="0"/>
              <w:jc w:val="center"/>
            </w:pPr>
          </w:p>
          <w:p w14:paraId="7EAC2E3A" w14:textId="77777777" w:rsidR="00506516" w:rsidRDefault="00506516" w:rsidP="00551645">
            <w:pPr>
              <w:spacing w:line="240" w:lineRule="auto"/>
              <w:ind w:firstLine="0"/>
              <w:jc w:val="center"/>
            </w:pPr>
            <w:r>
              <w:t>12.44</w:t>
            </w:r>
          </w:p>
          <w:p w14:paraId="2E765345" w14:textId="77777777" w:rsidR="00506516" w:rsidRDefault="00506516" w:rsidP="00551645">
            <w:pPr>
              <w:spacing w:line="240" w:lineRule="auto"/>
              <w:ind w:firstLine="0"/>
              <w:jc w:val="center"/>
            </w:pPr>
            <w:r>
              <w:t>11.00</w:t>
            </w:r>
          </w:p>
          <w:p w14:paraId="0C653CA3" w14:textId="77777777" w:rsidR="00506516" w:rsidRDefault="00506516" w:rsidP="00551645">
            <w:pPr>
              <w:spacing w:line="240" w:lineRule="auto"/>
              <w:ind w:firstLine="0"/>
              <w:jc w:val="center"/>
            </w:pPr>
            <w:r>
              <w:t>10.06</w:t>
            </w:r>
          </w:p>
        </w:tc>
      </w:tr>
    </w:tbl>
    <w:p w14:paraId="648B2953" w14:textId="2E930EA0" w:rsidR="00506516" w:rsidRDefault="00506516" w:rsidP="00506516">
      <w:pPr>
        <w:rPr>
          <w:sz w:val="22"/>
          <w:szCs w:val="22"/>
        </w:rPr>
      </w:pPr>
      <w:r w:rsidRPr="007E5AA3">
        <w:rPr>
          <w:sz w:val="22"/>
          <w:szCs w:val="22"/>
        </w:rPr>
        <w:t>Note: Polynesian cutoffs were used for BMI groupings</w:t>
      </w:r>
    </w:p>
    <w:p w14:paraId="3B3C8ED8" w14:textId="38810034" w:rsidR="007E5AA3" w:rsidRDefault="007E5AA3" w:rsidP="007E5AA3">
      <w:pPr>
        <w:ind w:firstLine="810"/>
        <w:rPr>
          <w:sz w:val="22"/>
          <w:szCs w:val="22"/>
        </w:rPr>
      </w:pPr>
      <w:r w:rsidRPr="007E5AA3">
        <w:rPr>
          <w:noProof/>
          <w:sz w:val="22"/>
          <w:szCs w:val="22"/>
        </w:rPr>
        <w:drawing>
          <wp:anchor distT="0" distB="0" distL="114300" distR="114300" simplePos="0" relativeHeight="251679744" behindDoc="0" locked="0" layoutInCell="1" allowOverlap="1" wp14:anchorId="08981C01" wp14:editId="21F6DC23">
            <wp:simplePos x="0" y="0"/>
            <wp:positionH relativeFrom="margin">
              <wp:posOffset>857250</wp:posOffset>
            </wp:positionH>
            <wp:positionV relativeFrom="paragraph">
              <wp:posOffset>292100</wp:posOffset>
            </wp:positionV>
            <wp:extent cx="4347845" cy="3162300"/>
            <wp:effectExtent l="0" t="0" r="0" b="0"/>
            <wp:wrapTopAndBottom/>
            <wp:docPr id="7" name="Picture 6">
              <a:extLst xmlns:a="http://schemas.openxmlformats.org/drawingml/2006/main">
                <a:ext uri="{FF2B5EF4-FFF2-40B4-BE49-F238E27FC236}">
                  <a16:creationId xmlns:a16="http://schemas.microsoft.com/office/drawing/2014/main" id="{5525CB35-E35A-4D3C-941A-541486319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525CB35-E35A-4D3C-941A-54148631911B}"/>
                        </a:ext>
                      </a:extLst>
                    </pic:cNvPr>
                    <pic:cNvPicPr>
                      <a:picLocks noChangeAspect="1"/>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4347845" cy="3162300"/>
                    </a:xfrm>
                    <a:prstGeom prst="rect">
                      <a:avLst/>
                    </a:prstGeom>
                  </pic:spPr>
                </pic:pic>
              </a:graphicData>
            </a:graphic>
            <wp14:sizeRelH relativeFrom="margin">
              <wp14:pctWidth>0</wp14:pctWidth>
            </wp14:sizeRelH>
            <wp14:sizeRelV relativeFrom="margin">
              <wp14:pctHeight>0</wp14:pctHeight>
            </wp14:sizeRelV>
          </wp:anchor>
        </w:drawing>
      </w:r>
      <w:r w:rsidRPr="007E5AA3">
        <w:rPr>
          <w:noProof/>
          <w:sz w:val="22"/>
          <w:szCs w:val="22"/>
        </w:rPr>
        <mc:AlternateContent>
          <mc:Choice Requires="wps">
            <w:drawing>
              <wp:anchor distT="0" distB="0" distL="114300" distR="114300" simplePos="0" relativeHeight="251671552" behindDoc="0" locked="0" layoutInCell="1" allowOverlap="1" wp14:anchorId="3876F1F7" wp14:editId="779DC3B2">
                <wp:simplePos x="0" y="0"/>
                <wp:positionH relativeFrom="column">
                  <wp:posOffset>1371600</wp:posOffset>
                </wp:positionH>
                <wp:positionV relativeFrom="paragraph">
                  <wp:posOffset>3597910</wp:posOffset>
                </wp:positionV>
                <wp:extent cx="4419600" cy="28575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4419600" cy="285750"/>
                        </a:xfrm>
                        <a:prstGeom prst="rect">
                          <a:avLst/>
                        </a:prstGeom>
                        <a:solidFill>
                          <a:prstClr val="white"/>
                        </a:solidFill>
                        <a:ln>
                          <a:noFill/>
                        </a:ln>
                      </wps:spPr>
                      <wps:txbx>
                        <w:txbxContent>
                          <w:p w14:paraId="24570F81" w14:textId="3F38298A" w:rsidR="003D7C36" w:rsidRPr="007B47FD" w:rsidRDefault="003D7C36" w:rsidP="00791217">
                            <w:pPr>
                              <w:pStyle w:val="Caption"/>
                              <w:jc w:val="left"/>
                              <w:rPr>
                                <w:sz w:val="24"/>
                                <w:szCs w:val="24"/>
                              </w:rPr>
                            </w:pPr>
                            <w:bookmarkStart w:id="37" w:name="_Toc39065957"/>
                            <w:r>
                              <w:t xml:space="preserve">Figure </w:t>
                            </w:r>
                            <w:r>
                              <w:fldChar w:fldCharType="begin"/>
                            </w:r>
                            <w:r>
                              <w:instrText xml:space="preserve"> SEQ Figure \* ARABIC </w:instrText>
                            </w:r>
                            <w:r>
                              <w:fldChar w:fldCharType="separate"/>
                            </w:r>
                            <w:r w:rsidR="002A71A2">
                              <w:t>1</w:t>
                            </w:r>
                            <w:r>
                              <w:fldChar w:fldCharType="end"/>
                            </w:r>
                            <w:r w:rsidR="00BF465B">
                              <w:t>.</w:t>
                            </w:r>
                            <w:r>
                              <w:t xml:space="preserve"> </w:t>
                            </w:r>
                            <w:r w:rsidRPr="001A2F38">
                              <w:t>Distribution of LDL-Cholesterol Levels (mg/dL)</w:t>
                            </w:r>
                            <w:bookmarkEnd w:id="3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6F1F7" id="Text Box 1" o:spid="_x0000_s1027" type="#_x0000_t202" style="position:absolute;left:0;text-align:left;margin-left:108pt;margin-top:283.3pt;width:348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" stroked="f">
                <v:textbox inset="0,0,0,0">
                  <w:txbxContent>
                    <w:p w14:paraId="24570F81" w14:textId="3F38298A" w:rsidR="003D7C36" w:rsidRPr="007B47FD" w:rsidRDefault="003D7C36" w:rsidP="00791217">
                      <w:pPr>
                        <w:pStyle w:val="Caption"/>
                        <w:jc w:val="left"/>
                        <w:rPr>
                          <w:sz w:val="24"/>
                          <w:szCs w:val="24"/>
                        </w:rPr>
                      </w:pPr>
                      <w:bookmarkStart w:id="38" w:name="_Toc39065957"/>
                      <w:r>
                        <w:t xml:space="preserve">Figure </w:t>
                      </w:r>
                      <w:r>
                        <w:fldChar w:fldCharType="begin"/>
                      </w:r>
                      <w:r>
                        <w:instrText xml:space="preserve"> SEQ Figure \* ARABIC </w:instrText>
                      </w:r>
                      <w:r>
                        <w:fldChar w:fldCharType="separate"/>
                      </w:r>
                      <w:r w:rsidR="002A71A2">
                        <w:t>1</w:t>
                      </w:r>
                      <w:r>
                        <w:fldChar w:fldCharType="end"/>
                      </w:r>
                      <w:r w:rsidR="00BF465B">
                        <w:t>.</w:t>
                      </w:r>
                      <w:r>
                        <w:t xml:space="preserve"> </w:t>
                      </w:r>
                      <w:r w:rsidRPr="001A2F38">
                        <w:t>Distribution of LDL-Cholesterol Levels (mg/dL)</w:t>
                      </w:r>
                      <w:bookmarkEnd w:id="38"/>
                    </w:p>
                  </w:txbxContent>
                </v:textbox>
                <w10:wrap type="topAndBottom"/>
              </v:shape>
            </w:pict>
          </mc:Fallback>
        </mc:AlternateContent>
      </w:r>
    </w:p>
    <w:p w14:paraId="5AE3F69C" w14:textId="688F434D" w:rsidR="007E5AA3" w:rsidRDefault="007E5AA3" w:rsidP="00506516">
      <w:pPr>
        <w:rPr>
          <w:sz w:val="22"/>
          <w:szCs w:val="22"/>
        </w:rPr>
      </w:pPr>
    </w:p>
    <w:p w14:paraId="2BC9AB7B" w14:textId="4D58187A" w:rsidR="00791217" w:rsidRDefault="00791217" w:rsidP="00565F1D">
      <w:pPr>
        <w:keepNext/>
        <w:ind w:hanging="720"/>
        <w:jc w:val="center"/>
      </w:pPr>
      <w:r w:rsidRPr="006957AA">
        <w:rPr>
          <w:noProof/>
        </w:rPr>
        <w:lastRenderedPageBreak/>
        <w:drawing>
          <wp:inline distT="0" distB="0" distL="0" distR="0" wp14:anchorId="1767D68E" wp14:editId="059EC2BB">
            <wp:extent cx="4314825" cy="3137672"/>
            <wp:effectExtent l="0" t="0" r="0" b="5715"/>
            <wp:docPr id="5" name="Content Placeholder 3">
              <a:extLst xmlns:a="http://schemas.openxmlformats.org/drawingml/2006/main">
                <a:ext uri="{FF2B5EF4-FFF2-40B4-BE49-F238E27FC236}">
                  <a16:creationId xmlns:a16="http://schemas.microsoft.com/office/drawing/2014/main" id="{59FD4274-00E8-47EB-80D5-2D6F8627417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59FD4274-00E8-47EB-80D5-2D6F86274175}"/>
                        </a:ext>
                      </a:extLst>
                    </pic:cNvPr>
                    <pic:cNvPicPr>
                      <a:picLocks noGrp="1" noChangeAspect="1"/>
                    </pic:cNvPicPr>
                  </pic:nvPicPr>
                  <pic:blipFill>
                    <a:blip r:embed="rId15"/>
                    <a:stretch>
                      <a:fillRect/>
                    </a:stretch>
                  </pic:blipFill>
                  <pic:spPr>
                    <a:xfrm>
                      <a:off x="0" y="0"/>
                      <a:ext cx="4326347" cy="3146050"/>
                    </a:xfrm>
                    <a:prstGeom prst="rect">
                      <a:avLst/>
                    </a:prstGeom>
                  </pic:spPr>
                </pic:pic>
              </a:graphicData>
            </a:graphic>
          </wp:inline>
        </w:drawing>
      </w:r>
    </w:p>
    <w:p w14:paraId="38A5BDC9" w14:textId="4F92B5F9" w:rsidR="00791217" w:rsidRDefault="00791217" w:rsidP="00551645">
      <w:pPr>
        <w:pStyle w:val="Caption"/>
        <w:ind w:firstLine="2610"/>
        <w:jc w:val="left"/>
      </w:pPr>
      <w:bookmarkStart w:id="39" w:name="_Toc39065958"/>
      <w:r>
        <w:t xml:space="preserve">Figure </w:t>
      </w:r>
      <w:r>
        <w:fldChar w:fldCharType="begin"/>
      </w:r>
      <w:r>
        <w:instrText xml:space="preserve"> SEQ Figure \* ARABIC </w:instrText>
      </w:r>
      <w:r>
        <w:fldChar w:fldCharType="separate"/>
      </w:r>
      <w:r w:rsidR="002A71A2">
        <w:t>2</w:t>
      </w:r>
      <w:r>
        <w:fldChar w:fldCharType="end"/>
      </w:r>
      <w:r w:rsidR="00BF465B">
        <w:t>.</w:t>
      </w:r>
      <w:r>
        <w:t xml:space="preserve"> </w:t>
      </w:r>
      <w:r w:rsidRPr="00242640">
        <w:t>LDL-Cholesterol Levels by Sex</w:t>
      </w:r>
      <w:bookmarkEnd w:id="39"/>
    </w:p>
    <w:p w14:paraId="55153C92" w14:textId="77777777" w:rsidR="00913F27" w:rsidRPr="00DF1A1B" w:rsidRDefault="00913F27" w:rsidP="00DF1A1B">
      <w:pPr>
        <w:pStyle w:val="Heading2"/>
      </w:pPr>
      <w:bookmarkStart w:id="40" w:name="_Toc39065941"/>
      <w:r w:rsidRPr="00DF1A1B">
        <w:t>Association Between LDL-Cholesterol and Covariates</w:t>
      </w:r>
      <w:bookmarkEnd w:id="40"/>
    </w:p>
    <w:p w14:paraId="1D86460F" w14:textId="0016E7B1" w:rsidR="00913F27" w:rsidRDefault="00913F27" w:rsidP="00913F27">
      <w:r>
        <w:t xml:space="preserve">I performed a linear regression analysis on the combined effects of age, sex, and obesity on LDL-cholesterol levels (Table </w:t>
      </w:r>
      <w:r w:rsidR="008F37A1">
        <w:t>7</w:t>
      </w:r>
      <w:r>
        <w:t xml:space="preserve">). Age, being overweight, and being obese had a statistically significant effect on LDL-cholesterol levels. Every one-year increase in age was associated with a 0.906 mg/dL increase in LDL-cholesterol levels (p = 2e-16). Being overweight was associated with an 11.507 mg/dL increase in LDL-cholesterol levels (p = 7.71e-09), while being obese was associated with a 15.444 mg/dL increase (p = 7.26e-16). Sex was not associated with LDL-cholesterol levels. </w:t>
      </w:r>
    </w:p>
    <w:p w14:paraId="3B493534" w14:textId="77777777" w:rsidR="00913F27" w:rsidRDefault="00913F27" w:rsidP="00913F27"/>
    <w:p w14:paraId="39661821" w14:textId="47002EF4" w:rsidR="00913F27" w:rsidRDefault="00913F27" w:rsidP="00913F27">
      <w:pPr>
        <w:pStyle w:val="Caption"/>
        <w:keepNext/>
      </w:pPr>
      <w:bookmarkStart w:id="41" w:name="_Toc39065953"/>
      <w:r>
        <w:lastRenderedPageBreak/>
        <w:t xml:space="preserve">Table </w:t>
      </w:r>
      <w:r>
        <w:fldChar w:fldCharType="begin"/>
      </w:r>
      <w:r>
        <w:instrText xml:space="preserve"> SEQ Table \* ARABIC </w:instrText>
      </w:r>
      <w:r>
        <w:fldChar w:fldCharType="separate"/>
      </w:r>
      <w:r w:rsidR="002A71A2">
        <w:t>7</w:t>
      </w:r>
      <w:r>
        <w:fldChar w:fldCharType="end"/>
      </w:r>
      <w:r w:rsidR="00BF465B">
        <w:t>.</w:t>
      </w:r>
      <w:r>
        <w:t xml:space="preserve"> </w:t>
      </w:r>
      <w:r w:rsidRPr="00705C8A">
        <w:t>Linear Regression Analysis of Covariates on LDL-Cholesterol Levels</w:t>
      </w:r>
      <w:bookmarkEnd w:id="41"/>
    </w:p>
    <w:tbl>
      <w:tblPr>
        <w:tblStyle w:val="TableGrid"/>
        <w:tblW w:w="9350" w:type="dxa"/>
        <w:tblLook w:val="04A0" w:firstRow="1" w:lastRow="0" w:firstColumn="1" w:lastColumn="0" w:noHBand="0" w:noVBand="1"/>
      </w:tblPr>
      <w:tblGrid>
        <w:gridCol w:w="3116"/>
        <w:gridCol w:w="3117"/>
        <w:gridCol w:w="3117"/>
      </w:tblGrid>
      <w:tr w:rsidR="00913F27" w:rsidRPr="004E21DB" w14:paraId="3066C221" w14:textId="77777777" w:rsidTr="00F526C4">
        <w:trPr>
          <w:trHeight w:val="242"/>
        </w:trPr>
        <w:tc>
          <w:tcPr>
            <w:tcW w:w="3116" w:type="dxa"/>
            <w:shd w:val="clear" w:color="auto" w:fill="D9D9D9" w:themeFill="background1" w:themeFillShade="D9"/>
            <w:hideMark/>
          </w:tcPr>
          <w:p w14:paraId="433A5F02" w14:textId="77777777" w:rsidR="00913F27" w:rsidRPr="004E21DB" w:rsidRDefault="00913F27" w:rsidP="00F526C4">
            <w:pPr>
              <w:ind w:firstLine="0"/>
              <w:jc w:val="center"/>
            </w:pPr>
            <w:r w:rsidRPr="004E21DB">
              <w:rPr>
                <w:b/>
                <w:bCs/>
              </w:rPr>
              <w:t>Covariate</w:t>
            </w:r>
          </w:p>
        </w:tc>
        <w:tc>
          <w:tcPr>
            <w:tcW w:w="3117" w:type="dxa"/>
            <w:shd w:val="clear" w:color="auto" w:fill="D9D9D9" w:themeFill="background1" w:themeFillShade="D9"/>
            <w:hideMark/>
          </w:tcPr>
          <w:p w14:paraId="315BBB10" w14:textId="77777777" w:rsidR="00913F27" w:rsidRPr="004E21DB" w:rsidRDefault="00913F27" w:rsidP="00F526C4">
            <w:pPr>
              <w:ind w:firstLine="0"/>
              <w:jc w:val="center"/>
            </w:pPr>
            <w:r w:rsidRPr="004E21DB">
              <w:rPr>
                <w:b/>
                <w:bCs/>
              </w:rPr>
              <w:t>Coefficient</w:t>
            </w:r>
          </w:p>
        </w:tc>
        <w:tc>
          <w:tcPr>
            <w:tcW w:w="3117" w:type="dxa"/>
            <w:shd w:val="clear" w:color="auto" w:fill="D9D9D9" w:themeFill="background1" w:themeFillShade="D9"/>
            <w:hideMark/>
          </w:tcPr>
          <w:p w14:paraId="27242330" w14:textId="77777777" w:rsidR="00913F27" w:rsidRPr="004E21DB" w:rsidRDefault="00913F27" w:rsidP="00F526C4">
            <w:pPr>
              <w:ind w:firstLine="0"/>
              <w:jc w:val="center"/>
            </w:pPr>
            <w:r w:rsidRPr="004E21DB">
              <w:rPr>
                <w:b/>
                <w:bCs/>
              </w:rPr>
              <w:t>P-value</w:t>
            </w:r>
          </w:p>
        </w:tc>
      </w:tr>
      <w:tr w:rsidR="00913F27" w:rsidRPr="004E21DB" w14:paraId="0384ACCD" w14:textId="77777777" w:rsidTr="00F526C4">
        <w:trPr>
          <w:trHeight w:val="440"/>
        </w:trPr>
        <w:tc>
          <w:tcPr>
            <w:tcW w:w="3116" w:type="dxa"/>
            <w:hideMark/>
          </w:tcPr>
          <w:p w14:paraId="71322FB9" w14:textId="77777777" w:rsidR="00913F27" w:rsidRPr="004E21DB" w:rsidRDefault="00913F27" w:rsidP="00F526C4">
            <w:pPr>
              <w:ind w:firstLine="0"/>
            </w:pPr>
            <w:r w:rsidRPr="004E21DB">
              <w:t>Age</w:t>
            </w:r>
          </w:p>
        </w:tc>
        <w:tc>
          <w:tcPr>
            <w:tcW w:w="3117" w:type="dxa"/>
            <w:hideMark/>
          </w:tcPr>
          <w:p w14:paraId="2D5DADD7" w14:textId="77777777" w:rsidR="00913F27" w:rsidRPr="004E21DB" w:rsidRDefault="00913F27" w:rsidP="00F526C4">
            <w:pPr>
              <w:ind w:firstLine="0"/>
            </w:pPr>
            <w:r w:rsidRPr="004E21DB">
              <w:t>0.906</w:t>
            </w:r>
          </w:p>
        </w:tc>
        <w:tc>
          <w:tcPr>
            <w:tcW w:w="3117" w:type="dxa"/>
            <w:hideMark/>
          </w:tcPr>
          <w:p w14:paraId="7DE2DEA7" w14:textId="77777777" w:rsidR="00913F27" w:rsidRPr="004E21DB" w:rsidRDefault="00913F27" w:rsidP="00F526C4">
            <w:pPr>
              <w:ind w:firstLine="0"/>
            </w:pPr>
            <w:r w:rsidRPr="004E21DB">
              <w:t>2e-16*</w:t>
            </w:r>
          </w:p>
        </w:tc>
      </w:tr>
      <w:tr w:rsidR="00913F27" w:rsidRPr="004E21DB" w14:paraId="548AF2DE" w14:textId="77777777" w:rsidTr="00F526C4">
        <w:trPr>
          <w:trHeight w:val="368"/>
        </w:trPr>
        <w:tc>
          <w:tcPr>
            <w:tcW w:w="3116" w:type="dxa"/>
            <w:hideMark/>
          </w:tcPr>
          <w:p w14:paraId="13E5D8F7" w14:textId="77777777" w:rsidR="00913F27" w:rsidRPr="004E21DB" w:rsidRDefault="00913F27" w:rsidP="00F526C4">
            <w:pPr>
              <w:ind w:firstLine="0"/>
            </w:pPr>
            <w:r w:rsidRPr="004E21DB">
              <w:t>Sex</w:t>
            </w:r>
          </w:p>
        </w:tc>
        <w:tc>
          <w:tcPr>
            <w:tcW w:w="3117" w:type="dxa"/>
            <w:hideMark/>
          </w:tcPr>
          <w:p w14:paraId="73C140D0" w14:textId="77777777" w:rsidR="00913F27" w:rsidRPr="004E21DB" w:rsidRDefault="00913F27" w:rsidP="00F526C4">
            <w:pPr>
              <w:ind w:firstLine="0"/>
            </w:pPr>
            <w:r w:rsidRPr="004E21DB">
              <w:t>-0.586</w:t>
            </w:r>
          </w:p>
        </w:tc>
        <w:tc>
          <w:tcPr>
            <w:tcW w:w="3117" w:type="dxa"/>
            <w:hideMark/>
          </w:tcPr>
          <w:p w14:paraId="57E05788" w14:textId="77777777" w:rsidR="00913F27" w:rsidRPr="004E21DB" w:rsidRDefault="00913F27" w:rsidP="00F526C4">
            <w:pPr>
              <w:ind w:firstLine="0"/>
            </w:pPr>
            <w:r w:rsidRPr="004E21DB">
              <w:t>0.639</w:t>
            </w:r>
          </w:p>
        </w:tc>
      </w:tr>
      <w:tr w:rsidR="00913F27" w:rsidRPr="004E21DB" w14:paraId="3544CFF6" w14:textId="77777777" w:rsidTr="00F526C4">
        <w:trPr>
          <w:trHeight w:val="278"/>
        </w:trPr>
        <w:tc>
          <w:tcPr>
            <w:tcW w:w="3116" w:type="dxa"/>
            <w:hideMark/>
          </w:tcPr>
          <w:p w14:paraId="71940F27" w14:textId="77777777" w:rsidR="00913F27" w:rsidRPr="004E21DB" w:rsidRDefault="00913F27" w:rsidP="00F526C4">
            <w:pPr>
              <w:ind w:firstLine="0"/>
            </w:pPr>
            <w:r w:rsidRPr="004E21DB">
              <w:t>Overweight</w:t>
            </w:r>
          </w:p>
        </w:tc>
        <w:tc>
          <w:tcPr>
            <w:tcW w:w="3117" w:type="dxa"/>
            <w:hideMark/>
          </w:tcPr>
          <w:p w14:paraId="58164992" w14:textId="77777777" w:rsidR="00913F27" w:rsidRPr="004E21DB" w:rsidRDefault="00913F27" w:rsidP="00F526C4">
            <w:pPr>
              <w:ind w:firstLine="0"/>
            </w:pPr>
            <w:r w:rsidRPr="004E21DB">
              <w:t>11.507</w:t>
            </w:r>
          </w:p>
        </w:tc>
        <w:tc>
          <w:tcPr>
            <w:tcW w:w="3117" w:type="dxa"/>
            <w:hideMark/>
          </w:tcPr>
          <w:p w14:paraId="6A11505C" w14:textId="77777777" w:rsidR="00913F27" w:rsidRPr="004E21DB" w:rsidRDefault="00913F27" w:rsidP="00F526C4">
            <w:pPr>
              <w:ind w:firstLine="0"/>
            </w:pPr>
            <w:r w:rsidRPr="004E21DB">
              <w:t>7.71e-09*</w:t>
            </w:r>
          </w:p>
        </w:tc>
      </w:tr>
      <w:tr w:rsidR="00913F27" w:rsidRPr="004E21DB" w14:paraId="7E0CD3B8" w14:textId="77777777" w:rsidTr="00F526C4">
        <w:trPr>
          <w:trHeight w:val="332"/>
        </w:trPr>
        <w:tc>
          <w:tcPr>
            <w:tcW w:w="3116" w:type="dxa"/>
            <w:hideMark/>
          </w:tcPr>
          <w:p w14:paraId="2BEAD17B" w14:textId="77777777" w:rsidR="00913F27" w:rsidRPr="004E21DB" w:rsidRDefault="00913F27" w:rsidP="00F526C4">
            <w:pPr>
              <w:ind w:firstLine="0"/>
            </w:pPr>
            <w:r w:rsidRPr="004E21DB">
              <w:t>Obese</w:t>
            </w:r>
          </w:p>
        </w:tc>
        <w:tc>
          <w:tcPr>
            <w:tcW w:w="3117" w:type="dxa"/>
            <w:hideMark/>
          </w:tcPr>
          <w:p w14:paraId="6A732F9A" w14:textId="77777777" w:rsidR="00913F27" w:rsidRPr="004E21DB" w:rsidRDefault="00913F27" w:rsidP="00F526C4">
            <w:pPr>
              <w:ind w:firstLine="0"/>
            </w:pPr>
            <w:r w:rsidRPr="004E21DB">
              <w:t>15.444</w:t>
            </w:r>
          </w:p>
        </w:tc>
        <w:tc>
          <w:tcPr>
            <w:tcW w:w="3117" w:type="dxa"/>
            <w:hideMark/>
          </w:tcPr>
          <w:p w14:paraId="5FF61191" w14:textId="77777777" w:rsidR="00913F27" w:rsidRPr="004E21DB" w:rsidRDefault="00913F27" w:rsidP="00F526C4">
            <w:pPr>
              <w:ind w:firstLine="0"/>
            </w:pPr>
            <w:r w:rsidRPr="004E21DB">
              <w:t>7.26e-16*</w:t>
            </w:r>
          </w:p>
        </w:tc>
      </w:tr>
    </w:tbl>
    <w:p w14:paraId="3B1BB55F" w14:textId="391EBF8D" w:rsidR="002C195C" w:rsidRPr="00551645" w:rsidRDefault="00913F27" w:rsidP="00913F27">
      <w:pPr>
        <w:ind w:firstLine="0"/>
        <w:rPr>
          <w:sz w:val="22"/>
          <w:szCs w:val="22"/>
        </w:rPr>
      </w:pPr>
      <w:r w:rsidRPr="00551645">
        <w:rPr>
          <w:sz w:val="22"/>
          <w:szCs w:val="22"/>
        </w:rPr>
        <w:t>Note: *Statistically significant</w:t>
      </w:r>
    </w:p>
    <w:p w14:paraId="31F79E69" w14:textId="5D59D161" w:rsidR="003272EE" w:rsidRPr="00DF1A1B" w:rsidRDefault="003272EE" w:rsidP="00DF1A1B">
      <w:pPr>
        <w:pStyle w:val="Heading2"/>
      </w:pPr>
      <w:bookmarkStart w:id="42" w:name="_Toc39065942"/>
      <w:r w:rsidRPr="00DF1A1B">
        <w:t>LDLR</w:t>
      </w:r>
      <w:r w:rsidR="00264140" w:rsidRPr="00DF1A1B">
        <w:t>, APOB, and PCSK9</w:t>
      </w:r>
      <w:r w:rsidRPr="00DF1A1B">
        <w:t xml:space="preserve"> Analysis</w:t>
      </w:r>
      <w:bookmarkEnd w:id="42"/>
    </w:p>
    <w:p w14:paraId="31EE8EAA" w14:textId="77777777" w:rsidR="001671B7" w:rsidRDefault="00264140" w:rsidP="00D91469">
      <w:r>
        <w:t xml:space="preserve">In the Samoan genotyping data, </w:t>
      </w:r>
      <w:r w:rsidR="001671B7">
        <w:t xml:space="preserve">different variants were pulled from the genotyping data and </w:t>
      </w:r>
      <w:r w:rsidR="003C23AF">
        <w:t xml:space="preserve">the </w:t>
      </w:r>
      <w:r>
        <w:t>i</w:t>
      </w:r>
      <w:r w:rsidR="1DC1FCD3">
        <w:t xml:space="preserve">mpact of </w:t>
      </w:r>
      <w:r w:rsidR="001671B7">
        <w:t>each</w:t>
      </w:r>
      <w:r w:rsidR="1DC1FCD3">
        <w:t xml:space="preserve"> variant was determined based on the position of the variant and the subsequent protein or sequence change that occurred (nonsynonymous protein change, frameshifts, null changes, </w:t>
      </w:r>
      <w:proofErr w:type="spellStart"/>
      <w:r w:rsidR="1DC1FCD3">
        <w:t>etc</w:t>
      </w:r>
      <w:proofErr w:type="spellEnd"/>
      <w:r w:rsidR="1DC1FCD3">
        <w:t>). These variants were</w:t>
      </w:r>
      <w:r w:rsidR="001671B7">
        <w:t xml:space="preserve"> then</w:t>
      </w:r>
      <w:r w:rsidR="1DC1FCD3">
        <w:t xml:space="preserve"> compared to known FH pathogenic variants</w:t>
      </w:r>
      <w:r>
        <w:t xml:space="preserve"> </w:t>
      </w:r>
      <w:r w:rsidR="1DC1FCD3">
        <w:t xml:space="preserve">listed in the NCBI variation viewer. Based on chromosomal position and </w:t>
      </w:r>
      <w:proofErr w:type="spellStart"/>
      <w:r w:rsidR="1DC1FCD3">
        <w:t>rsID</w:t>
      </w:r>
      <w:proofErr w:type="spellEnd"/>
      <w:r w:rsidR="1DC1FCD3">
        <w:t xml:space="preserve"> SNP name, </w:t>
      </w:r>
      <w:r w:rsidR="004216B4">
        <w:t>I detected</w:t>
      </w:r>
      <w:r w:rsidR="001671B7">
        <w:t xml:space="preserve"> </w:t>
      </w:r>
      <w:r w:rsidR="00692DB8">
        <w:t>fifteen</w:t>
      </w:r>
      <w:r w:rsidR="1DC1FCD3">
        <w:t xml:space="preserve"> </w:t>
      </w:r>
      <w:r w:rsidR="001671B7">
        <w:t>matches</w:t>
      </w:r>
      <w:r w:rsidR="1DC1FCD3">
        <w:t xml:space="preserve"> </w:t>
      </w:r>
      <w:r w:rsidR="001671B7">
        <w:t xml:space="preserve">in </w:t>
      </w:r>
      <w:r w:rsidR="001671B7">
        <w:rPr>
          <w:i/>
        </w:rPr>
        <w:t>LDLR</w:t>
      </w:r>
      <w:r w:rsidR="001671B7">
        <w:t xml:space="preserve">, one match in </w:t>
      </w:r>
      <w:r w:rsidR="001671B7">
        <w:rPr>
          <w:i/>
        </w:rPr>
        <w:t>APOB</w:t>
      </w:r>
      <w:r w:rsidR="001671B7">
        <w:t xml:space="preserve">, and three matches in </w:t>
      </w:r>
      <w:r w:rsidR="001671B7">
        <w:rPr>
          <w:i/>
        </w:rPr>
        <w:t>PCSK9</w:t>
      </w:r>
      <w:r w:rsidR="1DC1FCD3">
        <w:t xml:space="preserve">. </w:t>
      </w:r>
    </w:p>
    <w:p w14:paraId="17F35B8A" w14:textId="615B6E62" w:rsidR="00913F27" w:rsidRDefault="001671B7" w:rsidP="00D91469">
      <w:r>
        <w:t xml:space="preserve">In </w:t>
      </w:r>
      <w:r w:rsidRPr="001671B7">
        <w:rPr>
          <w:i/>
        </w:rPr>
        <w:t>LDLR</w:t>
      </w:r>
      <w:r>
        <w:t>, of the</w:t>
      </w:r>
      <w:r w:rsidR="1DC1FCD3">
        <w:t xml:space="preserve"> </w:t>
      </w:r>
      <w:r w:rsidR="006D7538">
        <w:t>fifteen</w:t>
      </w:r>
      <w:r>
        <w:t xml:space="preserve"> matched</w:t>
      </w:r>
      <w:r w:rsidR="1DC1FCD3">
        <w:t xml:space="preserve"> variants, only two unique </w:t>
      </w:r>
      <w:proofErr w:type="spellStart"/>
      <w:r w:rsidR="1DC1FCD3">
        <w:t>rsID</w:t>
      </w:r>
      <w:proofErr w:type="spellEnd"/>
      <w:r w:rsidR="1DC1FCD3">
        <w:t xml:space="preserve"> numbers and chromosomal positions were observed.</w:t>
      </w:r>
      <w:r w:rsidR="006D7538">
        <w:t xml:space="preserve"> </w:t>
      </w:r>
      <w:r w:rsidR="00506516">
        <w:t xml:space="preserve">Several of the matched variants have the same coding and protein changes due to the fact that </w:t>
      </w:r>
      <w:r w:rsidR="00506516">
        <w:rPr>
          <w:i/>
          <w:iCs/>
        </w:rPr>
        <w:t xml:space="preserve">LDLR </w:t>
      </w:r>
      <w:r w:rsidR="00506516">
        <w:t xml:space="preserve">has at least 8 different sequence transcripts available and all transcripts were included in the Samoan genotype dataset. </w:t>
      </w:r>
      <w:r w:rsidR="1DC1FCD3">
        <w:t xml:space="preserve">All </w:t>
      </w:r>
      <w:r w:rsidR="004216B4">
        <w:t xml:space="preserve">of </w:t>
      </w:r>
      <w:r>
        <w:t xml:space="preserve">the </w:t>
      </w:r>
      <w:r w:rsidR="1DC1FCD3">
        <w:t>observed variants result in a</w:t>
      </w:r>
      <w:r w:rsidR="00913F27">
        <w:t xml:space="preserve"> </w:t>
      </w:r>
      <w:r w:rsidR="1DC1FCD3">
        <w:t>synonymous</w:t>
      </w:r>
      <w:r w:rsidR="004216B4">
        <w:t xml:space="preserve"> amino acid</w:t>
      </w:r>
      <w:r w:rsidR="1DC1FCD3">
        <w:t xml:space="preserve"> change</w:t>
      </w:r>
      <w:r w:rsidR="00230153">
        <w:t xml:space="preserve"> and are listed as benign in NCBI</w:t>
      </w:r>
      <w:r>
        <w:t xml:space="preserve"> (Table </w:t>
      </w:r>
      <w:r w:rsidR="008F37A1">
        <w:t>8</w:t>
      </w:r>
      <w:r>
        <w:t>)</w:t>
      </w:r>
      <w:r w:rsidR="1DC1FCD3">
        <w:t xml:space="preserve">. </w:t>
      </w:r>
      <w:r>
        <w:t xml:space="preserve">In </w:t>
      </w:r>
      <w:r>
        <w:rPr>
          <w:i/>
        </w:rPr>
        <w:t>APOB</w:t>
      </w:r>
      <w:r>
        <w:t>, the one ma</w:t>
      </w:r>
      <w:r w:rsidR="001A7375">
        <w:t>tched variant</w:t>
      </w:r>
      <w:r w:rsidR="00506516">
        <w:t xml:space="preserve"> (rs760832994)</w:t>
      </w:r>
      <w:r w:rsidR="001A7375">
        <w:t xml:space="preserve"> </w:t>
      </w:r>
      <w:r w:rsidR="004216B4">
        <w:t>is</w:t>
      </w:r>
      <w:r>
        <w:t xml:space="preserve"> a frameshift mutation and is known to be pathogenic for FH (Table </w:t>
      </w:r>
      <w:r w:rsidR="008F37A1">
        <w:t>9</w:t>
      </w:r>
      <w:r>
        <w:t>).</w:t>
      </w:r>
      <w:r w:rsidR="00530E85">
        <w:t xml:space="preserve"> In </w:t>
      </w:r>
      <w:r w:rsidR="00530E85">
        <w:rPr>
          <w:i/>
        </w:rPr>
        <w:t>PCSK9</w:t>
      </w:r>
      <w:r w:rsidR="00530E85">
        <w:t xml:space="preserve">, rs371488778 and rs1159114 result in a pathogenic in-frame insertion and </w:t>
      </w:r>
      <w:r w:rsidR="00530E85">
        <w:lastRenderedPageBreak/>
        <w:t>missense variant, respectively. The third match, rs11583680, is also a missense variant; however, it is listed as likely benign</w:t>
      </w:r>
      <w:r w:rsidR="008F37A1">
        <w:t xml:space="preserve"> (Table 10)</w:t>
      </w:r>
      <w:r w:rsidR="00530E85">
        <w:t>.</w:t>
      </w:r>
    </w:p>
    <w:p w14:paraId="0BA68A15" w14:textId="77777777" w:rsidR="00B72D9E" w:rsidRDefault="00B72D9E" w:rsidP="00D91469"/>
    <w:p w14:paraId="6BB9D71E" w14:textId="06C96BB9" w:rsidR="00913F27" w:rsidRDefault="00913F27" w:rsidP="00913F27">
      <w:pPr>
        <w:pStyle w:val="Caption"/>
        <w:keepNext/>
        <w:spacing w:line="240" w:lineRule="auto"/>
      </w:pPr>
      <w:bookmarkStart w:id="43" w:name="_Toc39065954"/>
      <w:r>
        <w:t xml:space="preserve">Table </w:t>
      </w:r>
      <w:r>
        <w:fldChar w:fldCharType="begin"/>
      </w:r>
      <w:r>
        <w:instrText xml:space="preserve"> SEQ Table \* ARABIC </w:instrText>
      </w:r>
      <w:r>
        <w:fldChar w:fldCharType="separate"/>
      </w:r>
      <w:r w:rsidR="002A71A2">
        <w:t>8</w:t>
      </w:r>
      <w:r>
        <w:fldChar w:fldCharType="end"/>
      </w:r>
      <w:r>
        <w:t xml:space="preserve">. </w:t>
      </w:r>
      <w:r w:rsidRPr="000034B2">
        <w:t>Matched Variants in LDLR</w:t>
      </w:r>
      <w:bookmarkEnd w:id="43"/>
    </w:p>
    <w:p w14:paraId="0C60475A" w14:textId="77777777" w:rsidR="00B72D9E" w:rsidRPr="00B72D9E" w:rsidRDefault="00B72D9E" w:rsidP="00B72D9E">
      <w:pPr>
        <w:spacing w:line="240" w:lineRule="auto"/>
      </w:pPr>
    </w:p>
    <w:tbl>
      <w:tblPr>
        <w:tblStyle w:val="TableGrid"/>
        <w:tblW w:w="0" w:type="auto"/>
        <w:tblLayout w:type="fixed"/>
        <w:tblLook w:val="04A0" w:firstRow="1" w:lastRow="0" w:firstColumn="1" w:lastColumn="0" w:noHBand="0" w:noVBand="1"/>
      </w:tblPr>
      <w:tblGrid>
        <w:gridCol w:w="2090"/>
        <w:gridCol w:w="1691"/>
        <w:gridCol w:w="1642"/>
        <w:gridCol w:w="1530"/>
        <w:gridCol w:w="2340"/>
      </w:tblGrid>
      <w:tr w:rsidR="00913F27" w14:paraId="1B5220D4" w14:textId="77777777" w:rsidTr="00B72D9E">
        <w:trPr>
          <w:trHeight w:val="728"/>
        </w:trPr>
        <w:tc>
          <w:tcPr>
            <w:tcW w:w="2090" w:type="dxa"/>
            <w:shd w:val="clear" w:color="auto" w:fill="D9D9D9" w:themeFill="background1" w:themeFillShade="D9"/>
          </w:tcPr>
          <w:p w14:paraId="7BC73E1C" w14:textId="77777777" w:rsidR="00913F27" w:rsidRDefault="00913F27" w:rsidP="00B72D9E">
            <w:pPr>
              <w:spacing w:line="240" w:lineRule="auto"/>
              <w:ind w:firstLine="0"/>
              <w:rPr>
                <w:b/>
                <w:bCs/>
              </w:rPr>
            </w:pPr>
            <w:r>
              <w:rPr>
                <w:b/>
                <w:bCs/>
              </w:rPr>
              <w:t>SNP Name</w:t>
            </w:r>
          </w:p>
          <w:p w14:paraId="25A6A57F" w14:textId="77777777" w:rsidR="00913F27" w:rsidRPr="003F669E" w:rsidRDefault="00913F27" w:rsidP="00B72D9E">
            <w:pPr>
              <w:spacing w:line="240" w:lineRule="auto"/>
              <w:ind w:firstLine="0"/>
              <w:rPr>
                <w:b/>
                <w:bCs/>
              </w:rPr>
            </w:pPr>
            <w:r>
              <w:rPr>
                <w:b/>
                <w:bCs/>
              </w:rPr>
              <w:t>(# of Individuals)</w:t>
            </w:r>
          </w:p>
        </w:tc>
        <w:tc>
          <w:tcPr>
            <w:tcW w:w="1691" w:type="dxa"/>
            <w:shd w:val="clear" w:color="auto" w:fill="D9D9D9" w:themeFill="background1" w:themeFillShade="D9"/>
          </w:tcPr>
          <w:p w14:paraId="0527AD37" w14:textId="77777777" w:rsidR="00913F27" w:rsidRPr="003F669E" w:rsidRDefault="00913F27" w:rsidP="00B72D9E">
            <w:pPr>
              <w:spacing w:line="240" w:lineRule="auto"/>
              <w:ind w:firstLine="0"/>
              <w:jc w:val="center"/>
              <w:rPr>
                <w:b/>
                <w:bCs/>
              </w:rPr>
            </w:pPr>
            <w:r>
              <w:rPr>
                <w:b/>
                <w:bCs/>
              </w:rPr>
              <w:t>Chromosomal Position</w:t>
            </w:r>
          </w:p>
        </w:tc>
        <w:tc>
          <w:tcPr>
            <w:tcW w:w="1642" w:type="dxa"/>
            <w:shd w:val="clear" w:color="auto" w:fill="D9D9D9" w:themeFill="background1" w:themeFillShade="D9"/>
          </w:tcPr>
          <w:p w14:paraId="5E2CD3AC" w14:textId="77777777" w:rsidR="00913F27" w:rsidRDefault="00913F27" w:rsidP="00B72D9E">
            <w:pPr>
              <w:spacing w:line="240" w:lineRule="auto"/>
              <w:ind w:firstLine="0"/>
              <w:jc w:val="center"/>
              <w:rPr>
                <w:b/>
                <w:bCs/>
              </w:rPr>
            </w:pPr>
            <w:r>
              <w:rPr>
                <w:b/>
                <w:bCs/>
              </w:rPr>
              <w:t>Coding Change</w:t>
            </w:r>
          </w:p>
        </w:tc>
        <w:tc>
          <w:tcPr>
            <w:tcW w:w="1530" w:type="dxa"/>
            <w:shd w:val="clear" w:color="auto" w:fill="D9D9D9" w:themeFill="background1" w:themeFillShade="D9"/>
          </w:tcPr>
          <w:p w14:paraId="78C14C44" w14:textId="77777777" w:rsidR="00913F27" w:rsidRDefault="00913F27" w:rsidP="00B72D9E">
            <w:pPr>
              <w:spacing w:line="240" w:lineRule="auto"/>
              <w:ind w:firstLine="0"/>
              <w:jc w:val="center"/>
              <w:rPr>
                <w:b/>
                <w:bCs/>
              </w:rPr>
            </w:pPr>
            <w:r>
              <w:rPr>
                <w:b/>
                <w:bCs/>
              </w:rPr>
              <w:t>Protein Change</w:t>
            </w:r>
          </w:p>
        </w:tc>
        <w:tc>
          <w:tcPr>
            <w:tcW w:w="2340" w:type="dxa"/>
            <w:shd w:val="clear" w:color="auto" w:fill="D9D9D9" w:themeFill="background1" w:themeFillShade="D9"/>
          </w:tcPr>
          <w:p w14:paraId="2A97C44A" w14:textId="77777777" w:rsidR="00913F27" w:rsidRDefault="00913F27" w:rsidP="00B72D9E">
            <w:pPr>
              <w:spacing w:line="240" w:lineRule="auto"/>
              <w:ind w:firstLine="0"/>
              <w:jc w:val="center"/>
              <w:rPr>
                <w:b/>
                <w:bCs/>
              </w:rPr>
            </w:pPr>
            <w:r>
              <w:rPr>
                <w:b/>
                <w:bCs/>
              </w:rPr>
              <w:t>Molecular Consequence</w:t>
            </w:r>
          </w:p>
        </w:tc>
      </w:tr>
      <w:tr w:rsidR="00913F27" w:rsidRPr="003F669E" w14:paraId="223E0B76" w14:textId="77777777" w:rsidTr="00B72D9E">
        <w:trPr>
          <w:trHeight w:val="857"/>
        </w:trPr>
        <w:tc>
          <w:tcPr>
            <w:tcW w:w="2090" w:type="dxa"/>
          </w:tcPr>
          <w:p w14:paraId="38C2259B" w14:textId="77777777" w:rsidR="00913F27" w:rsidRDefault="00913F27" w:rsidP="00B72D9E">
            <w:pPr>
              <w:spacing w:line="360" w:lineRule="auto"/>
              <w:ind w:firstLine="0"/>
            </w:pPr>
            <w:r w:rsidRPr="00C935F3">
              <w:t>rs2228671</w:t>
            </w:r>
          </w:p>
          <w:p w14:paraId="0B2974D1" w14:textId="77777777" w:rsidR="00913F27" w:rsidRDefault="00913F27" w:rsidP="00B72D9E">
            <w:pPr>
              <w:spacing w:line="360" w:lineRule="auto"/>
              <w:ind w:firstLine="0"/>
            </w:pPr>
            <w:r>
              <w:t>(n = 20)</w:t>
            </w:r>
          </w:p>
        </w:tc>
        <w:tc>
          <w:tcPr>
            <w:tcW w:w="1691" w:type="dxa"/>
          </w:tcPr>
          <w:p w14:paraId="507330AB" w14:textId="77777777" w:rsidR="00913F27" w:rsidRDefault="00913F27" w:rsidP="00B72D9E">
            <w:pPr>
              <w:spacing w:line="360" w:lineRule="auto"/>
              <w:ind w:firstLine="0"/>
            </w:pPr>
            <w:r w:rsidRPr="00C935F3">
              <w:t>11,100,236</w:t>
            </w:r>
          </w:p>
        </w:tc>
        <w:tc>
          <w:tcPr>
            <w:tcW w:w="1642" w:type="dxa"/>
          </w:tcPr>
          <w:p w14:paraId="6E1EF98B" w14:textId="77777777" w:rsidR="00913F27" w:rsidRPr="00C935F3" w:rsidRDefault="00913F27" w:rsidP="00B72D9E">
            <w:pPr>
              <w:spacing w:line="360" w:lineRule="auto"/>
              <w:ind w:firstLine="0"/>
            </w:pPr>
            <w:r w:rsidRPr="00996F5F">
              <w:t>c.333C&gt;T</w:t>
            </w:r>
          </w:p>
          <w:p w14:paraId="35583924" w14:textId="77777777" w:rsidR="00913F27" w:rsidRDefault="00913F27" w:rsidP="00B72D9E">
            <w:pPr>
              <w:spacing w:line="360" w:lineRule="auto"/>
              <w:ind w:firstLine="0"/>
            </w:pPr>
            <w:r w:rsidRPr="00C935F3">
              <w:t>c.81C&gt;T</w:t>
            </w:r>
          </w:p>
          <w:p w14:paraId="1494E66F" w14:textId="77777777" w:rsidR="00913F27" w:rsidRDefault="00913F27" w:rsidP="00B72D9E">
            <w:pPr>
              <w:spacing w:line="360" w:lineRule="auto"/>
              <w:ind w:firstLine="0"/>
            </w:pPr>
            <w:r w:rsidRPr="00C935F3">
              <w:t>c.81C&gt;T</w:t>
            </w:r>
          </w:p>
          <w:p w14:paraId="2F58E753" w14:textId="77777777" w:rsidR="00913F27" w:rsidRDefault="00913F27" w:rsidP="00B72D9E">
            <w:pPr>
              <w:spacing w:line="360" w:lineRule="auto"/>
              <w:ind w:firstLine="0"/>
            </w:pPr>
            <w:r w:rsidRPr="00C935F3">
              <w:t>c.81C&gt;T</w:t>
            </w:r>
          </w:p>
          <w:p w14:paraId="00AF1B12" w14:textId="77777777" w:rsidR="00913F27" w:rsidRDefault="00913F27" w:rsidP="00B72D9E">
            <w:pPr>
              <w:spacing w:line="360" w:lineRule="auto"/>
              <w:ind w:firstLine="0"/>
            </w:pPr>
            <w:r w:rsidRPr="00C935F3">
              <w:t>c.81C&gt;T</w:t>
            </w:r>
          </w:p>
          <w:p w14:paraId="58AE32B1" w14:textId="77777777" w:rsidR="00913F27" w:rsidRDefault="00913F27" w:rsidP="00B72D9E">
            <w:pPr>
              <w:spacing w:line="360" w:lineRule="auto"/>
              <w:ind w:firstLine="0"/>
            </w:pPr>
            <w:r w:rsidRPr="00C935F3">
              <w:t>c.81C&gt;T</w:t>
            </w:r>
          </w:p>
          <w:p w14:paraId="2DDB9023" w14:textId="77777777" w:rsidR="00913F27" w:rsidRDefault="00913F27" w:rsidP="00B72D9E">
            <w:pPr>
              <w:spacing w:line="360" w:lineRule="auto"/>
              <w:ind w:firstLine="0"/>
            </w:pPr>
            <w:r w:rsidRPr="00C935F3">
              <w:t>c.81C&gt;T</w:t>
            </w:r>
          </w:p>
        </w:tc>
        <w:tc>
          <w:tcPr>
            <w:tcW w:w="1530" w:type="dxa"/>
          </w:tcPr>
          <w:p w14:paraId="5B3559DE" w14:textId="77777777" w:rsidR="00913F27" w:rsidRPr="00C935F3" w:rsidRDefault="00913F27" w:rsidP="00B72D9E">
            <w:pPr>
              <w:spacing w:line="360" w:lineRule="auto"/>
              <w:ind w:firstLine="0"/>
            </w:pPr>
            <w:proofErr w:type="gramStart"/>
            <w:r w:rsidRPr="00996F5F">
              <w:t>p.Cys</w:t>
            </w:r>
            <w:proofErr w:type="gramEnd"/>
            <w:r w:rsidRPr="00996F5F">
              <w:t>111Cys</w:t>
            </w:r>
          </w:p>
          <w:p w14:paraId="28C57A9B" w14:textId="77777777" w:rsidR="00913F27" w:rsidRDefault="00913F27" w:rsidP="00B72D9E">
            <w:pPr>
              <w:spacing w:line="360" w:lineRule="auto"/>
              <w:ind w:firstLine="0"/>
            </w:pPr>
            <w:proofErr w:type="gramStart"/>
            <w:r w:rsidRPr="00C935F3">
              <w:t>p.Cys</w:t>
            </w:r>
            <w:proofErr w:type="gramEnd"/>
            <w:r w:rsidRPr="00C935F3">
              <w:t>27Cys</w:t>
            </w:r>
          </w:p>
          <w:p w14:paraId="3AFD67CC" w14:textId="77777777" w:rsidR="00913F27" w:rsidRDefault="00913F27" w:rsidP="00B72D9E">
            <w:pPr>
              <w:spacing w:line="360" w:lineRule="auto"/>
              <w:ind w:firstLine="0"/>
            </w:pPr>
            <w:proofErr w:type="gramStart"/>
            <w:r w:rsidRPr="00C935F3">
              <w:t>p.Cys</w:t>
            </w:r>
            <w:proofErr w:type="gramEnd"/>
            <w:r w:rsidRPr="00C935F3">
              <w:t>27Cys</w:t>
            </w:r>
          </w:p>
          <w:p w14:paraId="2683CEA2" w14:textId="77777777" w:rsidR="00913F27" w:rsidRDefault="00913F27" w:rsidP="00B72D9E">
            <w:pPr>
              <w:spacing w:line="360" w:lineRule="auto"/>
              <w:ind w:firstLine="0"/>
            </w:pPr>
            <w:proofErr w:type="gramStart"/>
            <w:r w:rsidRPr="00C935F3">
              <w:t>p.Cys</w:t>
            </w:r>
            <w:proofErr w:type="gramEnd"/>
            <w:r w:rsidRPr="00C935F3">
              <w:t>27Cys</w:t>
            </w:r>
          </w:p>
          <w:p w14:paraId="299AE84E" w14:textId="77777777" w:rsidR="00913F27" w:rsidRDefault="00913F27" w:rsidP="00B72D9E">
            <w:pPr>
              <w:spacing w:line="360" w:lineRule="auto"/>
              <w:ind w:firstLine="0"/>
            </w:pPr>
            <w:proofErr w:type="gramStart"/>
            <w:r w:rsidRPr="00C935F3">
              <w:t>p.Cys</w:t>
            </w:r>
            <w:proofErr w:type="gramEnd"/>
            <w:r w:rsidRPr="00C935F3">
              <w:t>27Cys</w:t>
            </w:r>
          </w:p>
          <w:p w14:paraId="36CECECE" w14:textId="77777777" w:rsidR="00913F27" w:rsidRDefault="00913F27" w:rsidP="00B72D9E">
            <w:pPr>
              <w:spacing w:line="360" w:lineRule="auto"/>
              <w:ind w:firstLine="0"/>
            </w:pPr>
            <w:proofErr w:type="gramStart"/>
            <w:r w:rsidRPr="00C935F3">
              <w:t>p.Cys</w:t>
            </w:r>
            <w:proofErr w:type="gramEnd"/>
            <w:r w:rsidRPr="00C935F3">
              <w:t>27Cys</w:t>
            </w:r>
          </w:p>
          <w:p w14:paraId="36E07FD7" w14:textId="77777777" w:rsidR="00913F27" w:rsidRDefault="00913F27" w:rsidP="00B72D9E">
            <w:pPr>
              <w:spacing w:line="360" w:lineRule="auto"/>
              <w:ind w:firstLine="0"/>
            </w:pPr>
            <w:proofErr w:type="gramStart"/>
            <w:r w:rsidRPr="00C935F3">
              <w:t>p.Cys</w:t>
            </w:r>
            <w:proofErr w:type="gramEnd"/>
            <w:r w:rsidRPr="00C935F3">
              <w:t>27Cys</w:t>
            </w:r>
          </w:p>
        </w:tc>
        <w:tc>
          <w:tcPr>
            <w:tcW w:w="2340" w:type="dxa"/>
          </w:tcPr>
          <w:p w14:paraId="5D952E20" w14:textId="77777777" w:rsidR="00913F27" w:rsidRDefault="00913F27" w:rsidP="00B72D9E">
            <w:pPr>
              <w:spacing w:line="360" w:lineRule="auto"/>
              <w:ind w:firstLine="0"/>
            </w:pPr>
            <w:r>
              <w:t>Synonymous Variant</w:t>
            </w:r>
          </w:p>
          <w:p w14:paraId="3F17655B" w14:textId="77777777" w:rsidR="00913F27" w:rsidRDefault="00913F27" w:rsidP="00B72D9E">
            <w:pPr>
              <w:spacing w:line="360" w:lineRule="auto"/>
              <w:ind w:firstLine="0"/>
            </w:pPr>
            <w:r>
              <w:t>Synonymous Variant</w:t>
            </w:r>
          </w:p>
          <w:p w14:paraId="7F9824D4" w14:textId="77777777" w:rsidR="00913F27" w:rsidRDefault="00913F27" w:rsidP="00B72D9E">
            <w:pPr>
              <w:spacing w:line="360" w:lineRule="auto"/>
              <w:ind w:firstLine="0"/>
            </w:pPr>
            <w:r>
              <w:t>Synonymous Variant</w:t>
            </w:r>
          </w:p>
          <w:p w14:paraId="0AC9D1E1" w14:textId="77777777" w:rsidR="00913F27" w:rsidRDefault="00913F27" w:rsidP="00B72D9E">
            <w:pPr>
              <w:spacing w:line="360" w:lineRule="auto"/>
              <w:ind w:firstLine="0"/>
            </w:pPr>
            <w:r>
              <w:t>Synonymous Variant</w:t>
            </w:r>
          </w:p>
          <w:p w14:paraId="7B8557C3" w14:textId="77777777" w:rsidR="00913F27" w:rsidRDefault="00913F27" w:rsidP="00B72D9E">
            <w:pPr>
              <w:spacing w:line="360" w:lineRule="auto"/>
              <w:ind w:firstLine="0"/>
            </w:pPr>
            <w:r>
              <w:t>Synonymous Variant</w:t>
            </w:r>
          </w:p>
          <w:p w14:paraId="4584C86E" w14:textId="77777777" w:rsidR="00913F27" w:rsidRDefault="00913F27" w:rsidP="00B72D9E">
            <w:pPr>
              <w:spacing w:line="360" w:lineRule="auto"/>
              <w:ind w:firstLine="0"/>
            </w:pPr>
            <w:r>
              <w:t>Synonymous Variant</w:t>
            </w:r>
          </w:p>
          <w:p w14:paraId="1209EFB7" w14:textId="77777777" w:rsidR="00913F27" w:rsidRPr="003F669E" w:rsidRDefault="00913F27" w:rsidP="00B72D9E">
            <w:pPr>
              <w:spacing w:line="360" w:lineRule="auto"/>
              <w:ind w:firstLine="0"/>
            </w:pPr>
            <w:r>
              <w:t>Synonymous Variant</w:t>
            </w:r>
          </w:p>
        </w:tc>
      </w:tr>
      <w:tr w:rsidR="00913F27" w14:paraId="72A47882" w14:textId="77777777" w:rsidTr="00B72D9E">
        <w:trPr>
          <w:trHeight w:val="3590"/>
        </w:trPr>
        <w:tc>
          <w:tcPr>
            <w:tcW w:w="2090" w:type="dxa"/>
          </w:tcPr>
          <w:p w14:paraId="414A6863" w14:textId="77777777" w:rsidR="00913F27" w:rsidRDefault="00913F27" w:rsidP="00B72D9E">
            <w:pPr>
              <w:spacing w:line="360" w:lineRule="auto"/>
              <w:ind w:firstLine="0"/>
            </w:pPr>
            <w:r w:rsidRPr="00996F5F">
              <w:t>rs140241383</w:t>
            </w:r>
          </w:p>
          <w:p w14:paraId="5E93727B" w14:textId="77777777" w:rsidR="00913F27" w:rsidRPr="00C935F3" w:rsidRDefault="00913F27" w:rsidP="00B72D9E">
            <w:pPr>
              <w:spacing w:line="360" w:lineRule="auto"/>
              <w:ind w:firstLine="0"/>
            </w:pPr>
            <w:r>
              <w:t>(n = 1)</w:t>
            </w:r>
          </w:p>
        </w:tc>
        <w:tc>
          <w:tcPr>
            <w:tcW w:w="1691" w:type="dxa"/>
          </w:tcPr>
          <w:p w14:paraId="599BD4B0" w14:textId="77777777" w:rsidR="00913F27" w:rsidRPr="00C935F3" w:rsidRDefault="00913F27" w:rsidP="00B72D9E">
            <w:pPr>
              <w:spacing w:line="360" w:lineRule="auto"/>
              <w:ind w:firstLine="0"/>
            </w:pPr>
            <w:r w:rsidRPr="00C935F3">
              <w:t>11,100,236</w:t>
            </w:r>
          </w:p>
        </w:tc>
        <w:tc>
          <w:tcPr>
            <w:tcW w:w="1642" w:type="dxa"/>
          </w:tcPr>
          <w:p w14:paraId="4A3B5561" w14:textId="77777777" w:rsidR="00913F27" w:rsidRPr="00C935F3" w:rsidRDefault="00913F27" w:rsidP="00B72D9E">
            <w:pPr>
              <w:spacing w:line="360" w:lineRule="auto"/>
              <w:ind w:firstLine="0"/>
            </w:pPr>
            <w:r w:rsidRPr="00A26E11">
              <w:t>c.1110C&gt;T</w:t>
            </w:r>
          </w:p>
          <w:p w14:paraId="6147443A" w14:textId="77777777" w:rsidR="00913F27" w:rsidRPr="00C935F3" w:rsidRDefault="00913F27" w:rsidP="00B72D9E">
            <w:pPr>
              <w:spacing w:line="360" w:lineRule="auto"/>
              <w:ind w:firstLine="0"/>
            </w:pPr>
            <w:r w:rsidRPr="00A26E11">
              <w:t>c.354C&gt;T</w:t>
            </w:r>
          </w:p>
          <w:p w14:paraId="061144AF" w14:textId="77777777" w:rsidR="00913F27" w:rsidRPr="00C935F3" w:rsidRDefault="00913F27" w:rsidP="00B72D9E">
            <w:pPr>
              <w:spacing w:line="360" w:lineRule="auto"/>
              <w:ind w:firstLine="0"/>
            </w:pPr>
            <w:r w:rsidRPr="00A26E11">
              <w:t>c.735C&gt;T</w:t>
            </w:r>
          </w:p>
          <w:p w14:paraId="5F84985B" w14:textId="77777777" w:rsidR="00913F27" w:rsidRPr="00C935F3" w:rsidRDefault="00913F27" w:rsidP="00B72D9E">
            <w:pPr>
              <w:spacing w:line="360" w:lineRule="auto"/>
              <w:ind w:firstLine="0"/>
            </w:pPr>
            <w:r w:rsidRPr="00A26E11">
              <w:t>c.477C&gt;T</w:t>
            </w:r>
          </w:p>
          <w:p w14:paraId="7CD5D065" w14:textId="77777777" w:rsidR="00913F27" w:rsidRPr="00C935F3" w:rsidRDefault="00913F27" w:rsidP="00B72D9E">
            <w:pPr>
              <w:spacing w:line="360" w:lineRule="auto"/>
              <w:ind w:firstLine="0"/>
            </w:pPr>
            <w:r w:rsidRPr="00A26E11">
              <w:t>c.858C&gt;T</w:t>
            </w:r>
          </w:p>
          <w:p w14:paraId="31A89DC4" w14:textId="77777777" w:rsidR="00913F27" w:rsidRPr="00C935F3" w:rsidRDefault="00913F27" w:rsidP="00B72D9E">
            <w:pPr>
              <w:spacing w:line="360" w:lineRule="auto"/>
              <w:ind w:firstLine="0"/>
            </w:pPr>
            <w:r w:rsidRPr="00A26E11">
              <w:t>c.858C&gt;T</w:t>
            </w:r>
          </w:p>
          <w:p w14:paraId="2CB93169" w14:textId="77777777" w:rsidR="00913F27" w:rsidRPr="00C935F3" w:rsidRDefault="00913F27" w:rsidP="00B72D9E">
            <w:pPr>
              <w:spacing w:line="360" w:lineRule="auto"/>
              <w:ind w:firstLine="0"/>
            </w:pPr>
            <w:r w:rsidRPr="00A26E11">
              <w:t>c.858C&gt;T</w:t>
            </w:r>
          </w:p>
          <w:p w14:paraId="57A94E61" w14:textId="77777777" w:rsidR="00913F27" w:rsidRPr="00C935F3" w:rsidRDefault="00913F27" w:rsidP="00B72D9E">
            <w:pPr>
              <w:spacing w:line="360" w:lineRule="auto"/>
              <w:ind w:firstLine="0"/>
            </w:pPr>
            <w:r w:rsidRPr="00A26E11">
              <w:t>c.456C&gt;T</w:t>
            </w:r>
          </w:p>
        </w:tc>
        <w:tc>
          <w:tcPr>
            <w:tcW w:w="1530" w:type="dxa"/>
          </w:tcPr>
          <w:p w14:paraId="1530B2C9" w14:textId="77777777" w:rsidR="00913F27" w:rsidRPr="00C935F3" w:rsidRDefault="00913F27" w:rsidP="00B72D9E">
            <w:pPr>
              <w:spacing w:line="360" w:lineRule="auto"/>
              <w:ind w:firstLine="0"/>
            </w:pPr>
            <w:proofErr w:type="gramStart"/>
            <w:r w:rsidRPr="00C36658">
              <w:t>p.Ser</w:t>
            </w:r>
            <w:proofErr w:type="gramEnd"/>
            <w:r w:rsidRPr="00C36658">
              <w:t>370Ser</w:t>
            </w:r>
          </w:p>
          <w:p w14:paraId="084790CE" w14:textId="77777777" w:rsidR="00913F27" w:rsidRPr="00C935F3" w:rsidRDefault="00913F27" w:rsidP="00B72D9E">
            <w:pPr>
              <w:spacing w:line="360" w:lineRule="auto"/>
              <w:ind w:firstLine="0"/>
            </w:pPr>
            <w:proofErr w:type="gramStart"/>
            <w:r w:rsidRPr="00C36658">
              <w:t>p.Ser</w:t>
            </w:r>
            <w:proofErr w:type="gramEnd"/>
            <w:r w:rsidRPr="00C36658">
              <w:t>118Ser</w:t>
            </w:r>
          </w:p>
          <w:p w14:paraId="3C8AE2C3" w14:textId="77777777" w:rsidR="00913F27" w:rsidRPr="00C935F3" w:rsidRDefault="00913F27" w:rsidP="00B72D9E">
            <w:pPr>
              <w:spacing w:line="360" w:lineRule="auto"/>
              <w:ind w:firstLine="0"/>
            </w:pPr>
            <w:proofErr w:type="gramStart"/>
            <w:r w:rsidRPr="00C36658">
              <w:t>p.Ser</w:t>
            </w:r>
            <w:proofErr w:type="gramEnd"/>
            <w:r w:rsidRPr="00C36658">
              <w:t>245Ser</w:t>
            </w:r>
          </w:p>
          <w:p w14:paraId="372A27F6" w14:textId="77777777" w:rsidR="00913F27" w:rsidRPr="00C935F3" w:rsidRDefault="00913F27" w:rsidP="00B72D9E">
            <w:pPr>
              <w:spacing w:line="360" w:lineRule="auto"/>
              <w:ind w:firstLine="0"/>
            </w:pPr>
            <w:proofErr w:type="gramStart"/>
            <w:r w:rsidRPr="00C36658">
              <w:t>p.Ser</w:t>
            </w:r>
            <w:proofErr w:type="gramEnd"/>
            <w:r w:rsidRPr="00C36658">
              <w:t>159Ser</w:t>
            </w:r>
          </w:p>
          <w:p w14:paraId="674BC907" w14:textId="77777777" w:rsidR="00913F27" w:rsidRPr="009C6F3C" w:rsidRDefault="00913F27" w:rsidP="00B72D9E">
            <w:pPr>
              <w:spacing w:line="360" w:lineRule="auto"/>
              <w:ind w:firstLine="0"/>
            </w:pPr>
            <w:proofErr w:type="gramStart"/>
            <w:r w:rsidRPr="00C36658">
              <w:t>p.Ser</w:t>
            </w:r>
            <w:proofErr w:type="gramEnd"/>
            <w:r w:rsidRPr="00C36658">
              <w:t>286Ser</w:t>
            </w:r>
          </w:p>
          <w:p w14:paraId="616C0861" w14:textId="77777777" w:rsidR="00913F27" w:rsidRPr="00C935F3" w:rsidRDefault="00913F27" w:rsidP="00B72D9E">
            <w:pPr>
              <w:spacing w:line="360" w:lineRule="auto"/>
              <w:ind w:firstLine="0"/>
            </w:pPr>
            <w:proofErr w:type="gramStart"/>
            <w:r w:rsidRPr="00C36658">
              <w:t>p.Ser</w:t>
            </w:r>
            <w:proofErr w:type="gramEnd"/>
            <w:r w:rsidRPr="00C36658">
              <w:t>286Ser</w:t>
            </w:r>
          </w:p>
          <w:p w14:paraId="088A4E3A" w14:textId="77777777" w:rsidR="00913F27" w:rsidRPr="00C935F3" w:rsidRDefault="00913F27" w:rsidP="00B72D9E">
            <w:pPr>
              <w:spacing w:line="360" w:lineRule="auto"/>
              <w:ind w:firstLine="0"/>
            </w:pPr>
            <w:proofErr w:type="gramStart"/>
            <w:r w:rsidRPr="00C36658">
              <w:t>p.Ser</w:t>
            </w:r>
            <w:proofErr w:type="gramEnd"/>
            <w:r w:rsidRPr="00C36658">
              <w:t>286Ser</w:t>
            </w:r>
          </w:p>
          <w:p w14:paraId="3CE7CA82" w14:textId="77777777" w:rsidR="00913F27" w:rsidRPr="00C935F3" w:rsidRDefault="00913F27" w:rsidP="00B72D9E">
            <w:pPr>
              <w:spacing w:line="360" w:lineRule="auto"/>
              <w:ind w:firstLine="0"/>
            </w:pPr>
            <w:proofErr w:type="gramStart"/>
            <w:r w:rsidRPr="00C36658">
              <w:t>p.Ser</w:t>
            </w:r>
            <w:proofErr w:type="gramEnd"/>
            <w:r w:rsidRPr="00C36658">
              <w:t>152Ser</w:t>
            </w:r>
          </w:p>
        </w:tc>
        <w:tc>
          <w:tcPr>
            <w:tcW w:w="2340" w:type="dxa"/>
          </w:tcPr>
          <w:p w14:paraId="2350A2FD" w14:textId="77777777" w:rsidR="00913F27" w:rsidRDefault="00913F27" w:rsidP="00B72D9E">
            <w:pPr>
              <w:spacing w:line="360" w:lineRule="auto"/>
              <w:ind w:firstLine="0"/>
            </w:pPr>
            <w:r w:rsidRPr="00D933ED">
              <w:t>Synonymous Variant</w:t>
            </w:r>
          </w:p>
          <w:p w14:paraId="67897B81" w14:textId="77777777" w:rsidR="00913F27" w:rsidRDefault="00913F27" w:rsidP="00B72D9E">
            <w:pPr>
              <w:spacing w:line="360" w:lineRule="auto"/>
              <w:ind w:firstLine="0"/>
            </w:pPr>
            <w:r w:rsidRPr="00D933ED">
              <w:t>Synonymous Variant</w:t>
            </w:r>
          </w:p>
          <w:p w14:paraId="2053FB87" w14:textId="77777777" w:rsidR="00913F27" w:rsidRDefault="00913F27" w:rsidP="00B72D9E">
            <w:pPr>
              <w:spacing w:line="360" w:lineRule="auto"/>
              <w:ind w:firstLine="0"/>
            </w:pPr>
            <w:r w:rsidRPr="00D933ED">
              <w:t>Synonymous Variant</w:t>
            </w:r>
          </w:p>
          <w:p w14:paraId="50E52097" w14:textId="77777777" w:rsidR="00913F27" w:rsidRDefault="00913F27" w:rsidP="00B72D9E">
            <w:pPr>
              <w:spacing w:line="360" w:lineRule="auto"/>
              <w:ind w:firstLine="0"/>
            </w:pPr>
            <w:r w:rsidRPr="00D933ED">
              <w:t>Synonymous Variant</w:t>
            </w:r>
          </w:p>
          <w:p w14:paraId="012023B1" w14:textId="77777777" w:rsidR="00913F27" w:rsidRDefault="00913F27" w:rsidP="00B72D9E">
            <w:pPr>
              <w:spacing w:line="360" w:lineRule="auto"/>
              <w:ind w:firstLine="0"/>
            </w:pPr>
            <w:r w:rsidRPr="00D933ED">
              <w:t>Synonymous Variant</w:t>
            </w:r>
          </w:p>
          <w:p w14:paraId="4905E0D1" w14:textId="77777777" w:rsidR="00913F27" w:rsidRDefault="00913F27" w:rsidP="00B72D9E">
            <w:pPr>
              <w:spacing w:line="360" w:lineRule="auto"/>
              <w:ind w:firstLine="0"/>
            </w:pPr>
            <w:r w:rsidRPr="00D933ED">
              <w:t>Synonymous Variant</w:t>
            </w:r>
          </w:p>
          <w:p w14:paraId="018E8F84" w14:textId="77777777" w:rsidR="00913F27" w:rsidRDefault="00913F27" w:rsidP="00B72D9E">
            <w:pPr>
              <w:spacing w:line="360" w:lineRule="auto"/>
              <w:ind w:firstLine="0"/>
            </w:pPr>
            <w:r w:rsidRPr="00D933ED">
              <w:t>Synonymous Variant</w:t>
            </w:r>
          </w:p>
          <w:p w14:paraId="552474DF" w14:textId="77777777" w:rsidR="00913F27" w:rsidRDefault="00913F27" w:rsidP="00B72D9E">
            <w:pPr>
              <w:spacing w:line="360" w:lineRule="auto"/>
              <w:ind w:firstLine="0"/>
            </w:pPr>
            <w:r w:rsidRPr="00D933ED">
              <w:t>Synonymous Variant</w:t>
            </w:r>
          </w:p>
        </w:tc>
      </w:tr>
    </w:tbl>
    <w:p w14:paraId="7129CAD4" w14:textId="5BCC60B2" w:rsidR="00D91469" w:rsidRDefault="00D91469" w:rsidP="00056108">
      <w:pPr>
        <w:pStyle w:val="NormalWeb"/>
        <w:spacing w:line="240" w:lineRule="auto"/>
      </w:pPr>
    </w:p>
    <w:p w14:paraId="4AA675A3" w14:textId="77777777" w:rsidR="00565F1D" w:rsidRDefault="00565F1D" w:rsidP="00056108">
      <w:pPr>
        <w:pStyle w:val="NormalWeb"/>
        <w:spacing w:line="240" w:lineRule="auto"/>
      </w:pPr>
    </w:p>
    <w:p w14:paraId="0D0534A8" w14:textId="6D69229C" w:rsidR="00530E85" w:rsidRDefault="00530E85" w:rsidP="00530E85">
      <w:pPr>
        <w:pStyle w:val="Caption"/>
        <w:keepNext/>
      </w:pPr>
      <w:bookmarkStart w:id="44" w:name="_Toc39065955"/>
      <w:r>
        <w:t xml:space="preserve">Table </w:t>
      </w:r>
      <w:r>
        <w:fldChar w:fldCharType="begin"/>
      </w:r>
      <w:r>
        <w:instrText xml:space="preserve"> SEQ Table \* ARABIC </w:instrText>
      </w:r>
      <w:r>
        <w:fldChar w:fldCharType="separate"/>
      </w:r>
      <w:r w:rsidR="002A71A2">
        <w:t>9</w:t>
      </w:r>
      <w:r>
        <w:fldChar w:fldCharType="end"/>
      </w:r>
      <w:r>
        <w:t xml:space="preserve">. Matched Variant in </w:t>
      </w:r>
      <w:r>
        <w:rPr>
          <w:i/>
        </w:rPr>
        <w:t>APOB</w:t>
      </w:r>
      <w:bookmarkEnd w:id="44"/>
    </w:p>
    <w:tbl>
      <w:tblPr>
        <w:tblStyle w:val="TableGrid"/>
        <w:tblW w:w="9391" w:type="dxa"/>
        <w:tblInd w:w="-5" w:type="dxa"/>
        <w:tblLook w:val="04A0" w:firstRow="1" w:lastRow="0" w:firstColumn="1" w:lastColumn="0" w:noHBand="0" w:noVBand="1"/>
      </w:tblPr>
      <w:tblGrid>
        <w:gridCol w:w="1597"/>
        <w:gridCol w:w="1710"/>
        <w:gridCol w:w="2430"/>
        <w:gridCol w:w="2070"/>
        <w:gridCol w:w="1584"/>
      </w:tblGrid>
      <w:tr w:rsidR="00050A0F" w14:paraId="349B1C28" w14:textId="77777777" w:rsidTr="0068504E">
        <w:trPr>
          <w:trHeight w:val="728"/>
        </w:trPr>
        <w:tc>
          <w:tcPr>
            <w:tcW w:w="1597" w:type="dxa"/>
            <w:shd w:val="clear" w:color="auto" w:fill="D9D9D9" w:themeFill="background1" w:themeFillShade="D9"/>
          </w:tcPr>
          <w:p w14:paraId="2A7FAC98" w14:textId="3A28897D" w:rsidR="00C26F3C" w:rsidRDefault="00050A0F" w:rsidP="00D91469">
            <w:pPr>
              <w:spacing w:line="240" w:lineRule="auto"/>
              <w:ind w:firstLine="0"/>
              <w:jc w:val="center"/>
              <w:rPr>
                <w:b/>
                <w:bCs/>
              </w:rPr>
            </w:pPr>
            <w:r>
              <w:rPr>
                <w:b/>
                <w:bCs/>
              </w:rPr>
              <w:t xml:space="preserve">SNP </w:t>
            </w:r>
            <w:r w:rsidRPr="1DC1FCD3">
              <w:rPr>
                <w:b/>
                <w:bCs/>
              </w:rPr>
              <w:t>Name (</w:t>
            </w:r>
            <w:r w:rsidR="00C26F3C">
              <w:rPr>
                <w:b/>
                <w:bCs/>
              </w:rPr>
              <w:t># of individuals</w:t>
            </w:r>
            <w:r w:rsidRPr="1DC1FCD3">
              <w:rPr>
                <w:b/>
                <w:bCs/>
              </w:rPr>
              <w:t>)</w:t>
            </w:r>
          </w:p>
        </w:tc>
        <w:tc>
          <w:tcPr>
            <w:tcW w:w="1710" w:type="dxa"/>
            <w:shd w:val="clear" w:color="auto" w:fill="D9D9D9" w:themeFill="background1" w:themeFillShade="D9"/>
          </w:tcPr>
          <w:p w14:paraId="110DA1A1" w14:textId="0DE7A0D2" w:rsidR="00050A0F" w:rsidRDefault="00050A0F" w:rsidP="00D91469">
            <w:pPr>
              <w:spacing w:line="240" w:lineRule="auto"/>
              <w:ind w:firstLine="0"/>
              <w:jc w:val="center"/>
              <w:rPr>
                <w:b/>
                <w:bCs/>
              </w:rPr>
            </w:pPr>
            <w:r w:rsidRPr="1DC1FCD3">
              <w:rPr>
                <w:b/>
                <w:bCs/>
              </w:rPr>
              <w:t>Chromosomal Position</w:t>
            </w:r>
          </w:p>
        </w:tc>
        <w:tc>
          <w:tcPr>
            <w:tcW w:w="2430" w:type="dxa"/>
            <w:shd w:val="clear" w:color="auto" w:fill="D9D9D9" w:themeFill="background1" w:themeFillShade="D9"/>
          </w:tcPr>
          <w:p w14:paraId="624EBF68" w14:textId="6B5AEC1F" w:rsidR="00050A0F" w:rsidRDefault="00050A0F" w:rsidP="00D91469">
            <w:pPr>
              <w:spacing w:line="240" w:lineRule="auto"/>
              <w:ind w:firstLine="0"/>
              <w:jc w:val="center"/>
              <w:rPr>
                <w:b/>
                <w:bCs/>
              </w:rPr>
            </w:pPr>
            <w:r w:rsidRPr="1DC1FCD3">
              <w:rPr>
                <w:b/>
                <w:bCs/>
              </w:rPr>
              <w:t>Coding Change</w:t>
            </w:r>
          </w:p>
        </w:tc>
        <w:tc>
          <w:tcPr>
            <w:tcW w:w="2070" w:type="dxa"/>
            <w:shd w:val="clear" w:color="auto" w:fill="D9D9D9" w:themeFill="background1" w:themeFillShade="D9"/>
          </w:tcPr>
          <w:p w14:paraId="441A801D" w14:textId="558F1729" w:rsidR="00050A0F" w:rsidRDefault="00050A0F" w:rsidP="00D91469">
            <w:pPr>
              <w:spacing w:line="240" w:lineRule="auto"/>
              <w:ind w:firstLine="0"/>
              <w:jc w:val="center"/>
              <w:rPr>
                <w:b/>
                <w:bCs/>
              </w:rPr>
            </w:pPr>
            <w:r w:rsidRPr="1DC1FCD3">
              <w:rPr>
                <w:b/>
                <w:bCs/>
              </w:rPr>
              <w:t>Protein Change</w:t>
            </w:r>
          </w:p>
        </w:tc>
        <w:tc>
          <w:tcPr>
            <w:tcW w:w="1584" w:type="dxa"/>
            <w:shd w:val="clear" w:color="auto" w:fill="D9D9D9" w:themeFill="background1" w:themeFillShade="D9"/>
          </w:tcPr>
          <w:p w14:paraId="338E0699" w14:textId="43F7D663" w:rsidR="00050A0F" w:rsidRDefault="00050A0F" w:rsidP="00D91469">
            <w:pPr>
              <w:spacing w:line="240" w:lineRule="auto"/>
              <w:ind w:firstLine="0"/>
              <w:jc w:val="center"/>
              <w:rPr>
                <w:b/>
                <w:bCs/>
              </w:rPr>
            </w:pPr>
            <w:r w:rsidRPr="1DC1FCD3">
              <w:rPr>
                <w:b/>
                <w:bCs/>
              </w:rPr>
              <w:t>Molecular Consequence</w:t>
            </w:r>
          </w:p>
        </w:tc>
      </w:tr>
      <w:tr w:rsidR="00050A0F" w14:paraId="3A0A2C92" w14:textId="77777777" w:rsidTr="0068504E">
        <w:trPr>
          <w:trHeight w:val="944"/>
        </w:trPr>
        <w:tc>
          <w:tcPr>
            <w:tcW w:w="1597" w:type="dxa"/>
          </w:tcPr>
          <w:p w14:paraId="1630C6FB" w14:textId="0FE4A095" w:rsidR="00050A0F" w:rsidRDefault="00050A0F" w:rsidP="00B72D9E">
            <w:pPr>
              <w:spacing w:line="360" w:lineRule="auto"/>
              <w:ind w:firstLine="0"/>
            </w:pPr>
            <w:r>
              <w:t>rs760832994 (n = 2)</w:t>
            </w:r>
          </w:p>
        </w:tc>
        <w:tc>
          <w:tcPr>
            <w:tcW w:w="1710" w:type="dxa"/>
          </w:tcPr>
          <w:p w14:paraId="20EEEC60" w14:textId="5529E926" w:rsidR="00050A0F" w:rsidRDefault="00050A0F" w:rsidP="00B72D9E">
            <w:pPr>
              <w:spacing w:line="360" w:lineRule="auto"/>
              <w:ind w:firstLine="0"/>
            </w:pPr>
            <w:r>
              <w:t>21,002,393- 21,002,397</w:t>
            </w:r>
          </w:p>
          <w:p w14:paraId="1F7ABB02" w14:textId="21A0CABE" w:rsidR="00050A0F" w:rsidRDefault="00050A0F" w:rsidP="00B72D9E">
            <w:pPr>
              <w:spacing w:line="360" w:lineRule="auto"/>
              <w:ind w:firstLine="0"/>
            </w:pPr>
          </w:p>
        </w:tc>
        <w:tc>
          <w:tcPr>
            <w:tcW w:w="2430" w:type="dxa"/>
          </w:tcPr>
          <w:p w14:paraId="32AE01DC" w14:textId="3BC24D42" w:rsidR="00050A0F" w:rsidRDefault="00050A0F" w:rsidP="00B72D9E">
            <w:pPr>
              <w:spacing w:line="360" w:lineRule="auto"/>
              <w:ind w:firstLine="0"/>
            </w:pPr>
            <w:r>
              <w:t>c.13028_13029delAT</w:t>
            </w:r>
          </w:p>
          <w:p w14:paraId="283BD13F" w14:textId="15FB661F" w:rsidR="00050A0F" w:rsidRDefault="00050A0F" w:rsidP="00B72D9E">
            <w:pPr>
              <w:spacing w:line="360" w:lineRule="auto"/>
              <w:ind w:firstLine="0"/>
            </w:pPr>
          </w:p>
        </w:tc>
        <w:tc>
          <w:tcPr>
            <w:tcW w:w="2070" w:type="dxa"/>
          </w:tcPr>
          <w:p w14:paraId="3E8EE0EE" w14:textId="7C7BDB00" w:rsidR="00050A0F" w:rsidRDefault="00050A0F" w:rsidP="00B72D9E">
            <w:pPr>
              <w:spacing w:line="360" w:lineRule="auto"/>
              <w:ind w:firstLine="0"/>
            </w:pPr>
            <w:proofErr w:type="gramStart"/>
            <w:r>
              <w:t>p.Tyr</w:t>
            </w:r>
            <w:proofErr w:type="gramEnd"/>
            <w:r>
              <w:t>4343fs</w:t>
            </w:r>
          </w:p>
          <w:p w14:paraId="08C886F9" w14:textId="5805ACCF" w:rsidR="00050A0F" w:rsidRDefault="00050A0F" w:rsidP="00B72D9E">
            <w:pPr>
              <w:spacing w:line="360" w:lineRule="auto"/>
              <w:ind w:firstLine="0"/>
            </w:pPr>
          </w:p>
        </w:tc>
        <w:tc>
          <w:tcPr>
            <w:tcW w:w="1584" w:type="dxa"/>
          </w:tcPr>
          <w:p w14:paraId="07601302" w14:textId="6CB12A62" w:rsidR="00050A0F" w:rsidRDefault="00050A0F" w:rsidP="00B72D9E">
            <w:pPr>
              <w:spacing w:line="360" w:lineRule="auto"/>
              <w:ind w:firstLine="0"/>
            </w:pPr>
            <w:r>
              <w:t>Frameshift</w:t>
            </w:r>
          </w:p>
        </w:tc>
      </w:tr>
    </w:tbl>
    <w:p w14:paraId="2AD9C064" w14:textId="77777777" w:rsidR="00056108" w:rsidRDefault="00056108" w:rsidP="00D91469">
      <w:pPr>
        <w:spacing w:line="240" w:lineRule="auto"/>
      </w:pPr>
    </w:p>
    <w:p w14:paraId="14229F7F" w14:textId="6E66844D" w:rsidR="00056108" w:rsidRDefault="00056108" w:rsidP="00056108">
      <w:pPr>
        <w:pStyle w:val="Caption"/>
        <w:keepNext/>
      </w:pPr>
      <w:bookmarkStart w:id="45" w:name="_Toc39065956"/>
      <w:r>
        <w:lastRenderedPageBreak/>
        <w:t xml:space="preserve">Table </w:t>
      </w:r>
      <w:r>
        <w:fldChar w:fldCharType="begin"/>
      </w:r>
      <w:r>
        <w:instrText xml:space="preserve"> SEQ Table \* ARABIC </w:instrText>
      </w:r>
      <w:r>
        <w:fldChar w:fldCharType="separate"/>
      </w:r>
      <w:r w:rsidR="002A71A2">
        <w:t>10</w:t>
      </w:r>
      <w:r>
        <w:fldChar w:fldCharType="end"/>
      </w:r>
      <w:r>
        <w:t xml:space="preserve">. Matched Variants in </w:t>
      </w:r>
      <w:r>
        <w:rPr>
          <w:i/>
          <w:iCs/>
        </w:rPr>
        <w:t>PCSK9</w:t>
      </w:r>
      <w:bookmarkEnd w:id="45"/>
    </w:p>
    <w:tbl>
      <w:tblPr>
        <w:tblStyle w:val="TableGrid"/>
        <w:tblW w:w="9446" w:type="dxa"/>
        <w:tblInd w:w="-5" w:type="dxa"/>
        <w:tblLook w:val="04A0" w:firstRow="1" w:lastRow="0" w:firstColumn="1" w:lastColumn="0" w:noHBand="0" w:noVBand="1"/>
      </w:tblPr>
      <w:tblGrid>
        <w:gridCol w:w="1620"/>
        <w:gridCol w:w="1710"/>
        <w:gridCol w:w="2429"/>
        <w:gridCol w:w="2103"/>
        <w:gridCol w:w="1584"/>
      </w:tblGrid>
      <w:tr w:rsidR="00056108" w14:paraId="0B1F1ED2" w14:textId="77777777" w:rsidTr="003D7C36">
        <w:trPr>
          <w:trHeight w:val="728"/>
        </w:trPr>
        <w:tc>
          <w:tcPr>
            <w:tcW w:w="1620" w:type="dxa"/>
            <w:shd w:val="clear" w:color="auto" w:fill="D9D9D9" w:themeFill="background1" w:themeFillShade="D9"/>
          </w:tcPr>
          <w:p w14:paraId="2EB7D0D9" w14:textId="77777777" w:rsidR="00056108" w:rsidRPr="00D91469" w:rsidRDefault="00056108" w:rsidP="003D7C36">
            <w:pPr>
              <w:spacing w:line="240" w:lineRule="auto"/>
              <w:ind w:firstLine="0"/>
              <w:jc w:val="center"/>
              <w:rPr>
                <w:b/>
                <w:bCs/>
                <w:sz w:val="22"/>
                <w:szCs w:val="22"/>
              </w:rPr>
            </w:pPr>
            <w:r w:rsidRPr="00D91469">
              <w:rPr>
                <w:b/>
                <w:bCs/>
                <w:sz w:val="22"/>
                <w:szCs w:val="22"/>
              </w:rPr>
              <w:t>SNP Name (# of individuals)</w:t>
            </w:r>
          </w:p>
        </w:tc>
        <w:tc>
          <w:tcPr>
            <w:tcW w:w="1710" w:type="dxa"/>
            <w:shd w:val="clear" w:color="auto" w:fill="D9D9D9" w:themeFill="background1" w:themeFillShade="D9"/>
          </w:tcPr>
          <w:p w14:paraId="5CD3D4D2" w14:textId="77777777" w:rsidR="00056108" w:rsidRPr="00D91469" w:rsidRDefault="00056108" w:rsidP="003D7C36">
            <w:pPr>
              <w:spacing w:line="240" w:lineRule="auto"/>
              <w:ind w:firstLine="0"/>
              <w:jc w:val="center"/>
              <w:rPr>
                <w:b/>
                <w:bCs/>
                <w:sz w:val="22"/>
                <w:szCs w:val="22"/>
              </w:rPr>
            </w:pPr>
            <w:r w:rsidRPr="00D91469">
              <w:rPr>
                <w:b/>
                <w:bCs/>
                <w:sz w:val="22"/>
                <w:szCs w:val="22"/>
              </w:rPr>
              <w:t>Chromosomal Position</w:t>
            </w:r>
          </w:p>
        </w:tc>
        <w:tc>
          <w:tcPr>
            <w:tcW w:w="2429" w:type="dxa"/>
            <w:shd w:val="clear" w:color="auto" w:fill="D9D9D9" w:themeFill="background1" w:themeFillShade="D9"/>
          </w:tcPr>
          <w:p w14:paraId="45985AC6" w14:textId="77777777" w:rsidR="00056108" w:rsidRPr="00D91469" w:rsidRDefault="00056108" w:rsidP="003D7C36">
            <w:pPr>
              <w:spacing w:line="240" w:lineRule="auto"/>
              <w:ind w:firstLine="0"/>
              <w:jc w:val="center"/>
              <w:rPr>
                <w:b/>
                <w:bCs/>
                <w:sz w:val="22"/>
                <w:szCs w:val="22"/>
              </w:rPr>
            </w:pPr>
            <w:r w:rsidRPr="00D91469">
              <w:rPr>
                <w:b/>
                <w:bCs/>
                <w:sz w:val="22"/>
                <w:szCs w:val="22"/>
              </w:rPr>
              <w:t>Coding Change</w:t>
            </w:r>
          </w:p>
        </w:tc>
        <w:tc>
          <w:tcPr>
            <w:tcW w:w="2103" w:type="dxa"/>
            <w:shd w:val="clear" w:color="auto" w:fill="D9D9D9" w:themeFill="background1" w:themeFillShade="D9"/>
          </w:tcPr>
          <w:p w14:paraId="00DF39A5" w14:textId="77777777" w:rsidR="00056108" w:rsidRPr="00D91469" w:rsidRDefault="00056108" w:rsidP="003D7C36">
            <w:pPr>
              <w:spacing w:line="240" w:lineRule="auto"/>
              <w:ind w:firstLine="0"/>
              <w:jc w:val="center"/>
              <w:rPr>
                <w:b/>
                <w:bCs/>
                <w:sz w:val="22"/>
                <w:szCs w:val="22"/>
              </w:rPr>
            </w:pPr>
            <w:r w:rsidRPr="00D91469">
              <w:rPr>
                <w:b/>
                <w:bCs/>
                <w:sz w:val="22"/>
                <w:szCs w:val="22"/>
              </w:rPr>
              <w:t>Protein Change</w:t>
            </w:r>
          </w:p>
        </w:tc>
        <w:tc>
          <w:tcPr>
            <w:tcW w:w="1584" w:type="dxa"/>
            <w:shd w:val="clear" w:color="auto" w:fill="D9D9D9" w:themeFill="background1" w:themeFillShade="D9"/>
          </w:tcPr>
          <w:p w14:paraId="0EB32F02" w14:textId="77777777" w:rsidR="00056108" w:rsidRPr="00D91469" w:rsidRDefault="00056108" w:rsidP="003D7C36">
            <w:pPr>
              <w:spacing w:line="240" w:lineRule="auto"/>
              <w:ind w:firstLine="0"/>
              <w:jc w:val="center"/>
              <w:rPr>
                <w:b/>
                <w:bCs/>
                <w:sz w:val="22"/>
                <w:szCs w:val="22"/>
              </w:rPr>
            </w:pPr>
            <w:r w:rsidRPr="00D91469">
              <w:rPr>
                <w:b/>
                <w:bCs/>
                <w:sz w:val="22"/>
                <w:szCs w:val="22"/>
              </w:rPr>
              <w:t>Molecular Consequence</w:t>
            </w:r>
          </w:p>
        </w:tc>
      </w:tr>
      <w:tr w:rsidR="00056108" w14:paraId="04884BC8" w14:textId="77777777" w:rsidTr="003D7C36">
        <w:tc>
          <w:tcPr>
            <w:tcW w:w="1620" w:type="dxa"/>
          </w:tcPr>
          <w:p w14:paraId="43EE1B05" w14:textId="77777777" w:rsidR="00056108" w:rsidRPr="00D91469" w:rsidRDefault="00056108" w:rsidP="003D7C36">
            <w:pPr>
              <w:spacing w:line="360" w:lineRule="auto"/>
              <w:ind w:firstLine="0"/>
              <w:rPr>
                <w:sz w:val="22"/>
                <w:szCs w:val="22"/>
              </w:rPr>
            </w:pPr>
            <w:r w:rsidRPr="00D91469">
              <w:rPr>
                <w:sz w:val="22"/>
                <w:szCs w:val="22"/>
              </w:rPr>
              <w:t>rs371488778</w:t>
            </w:r>
          </w:p>
          <w:p w14:paraId="208F5DE8" w14:textId="77777777" w:rsidR="00056108" w:rsidRPr="00D91469" w:rsidRDefault="00056108" w:rsidP="003D7C36">
            <w:pPr>
              <w:spacing w:line="360" w:lineRule="auto"/>
              <w:ind w:firstLine="0"/>
              <w:rPr>
                <w:sz w:val="22"/>
                <w:szCs w:val="22"/>
              </w:rPr>
            </w:pPr>
            <w:r w:rsidRPr="00D91469">
              <w:rPr>
                <w:sz w:val="22"/>
                <w:szCs w:val="22"/>
              </w:rPr>
              <w:t>(n = 1)</w:t>
            </w:r>
          </w:p>
        </w:tc>
        <w:tc>
          <w:tcPr>
            <w:tcW w:w="1710" w:type="dxa"/>
          </w:tcPr>
          <w:p w14:paraId="3712493A" w14:textId="77777777" w:rsidR="00056108" w:rsidRPr="00D91469" w:rsidRDefault="00056108" w:rsidP="003D7C36">
            <w:pPr>
              <w:spacing w:line="360" w:lineRule="auto"/>
              <w:ind w:firstLine="0"/>
              <w:rPr>
                <w:sz w:val="22"/>
                <w:szCs w:val="22"/>
              </w:rPr>
            </w:pPr>
            <w:r w:rsidRPr="00D91469">
              <w:rPr>
                <w:sz w:val="22"/>
                <w:szCs w:val="22"/>
              </w:rPr>
              <w:t>55,039,880</w:t>
            </w:r>
          </w:p>
        </w:tc>
        <w:tc>
          <w:tcPr>
            <w:tcW w:w="2429" w:type="dxa"/>
          </w:tcPr>
          <w:p w14:paraId="538FF589" w14:textId="77777777" w:rsidR="00056108" w:rsidRPr="00D91469" w:rsidRDefault="00056108" w:rsidP="003D7C36">
            <w:pPr>
              <w:spacing w:line="360" w:lineRule="auto"/>
              <w:ind w:firstLine="0"/>
              <w:rPr>
                <w:sz w:val="22"/>
                <w:szCs w:val="22"/>
              </w:rPr>
            </w:pPr>
            <w:r w:rsidRPr="00D91469">
              <w:rPr>
                <w:sz w:val="22"/>
                <w:szCs w:val="22"/>
              </w:rPr>
              <w:t>c.60_65dupGCTGCT</w:t>
            </w:r>
          </w:p>
        </w:tc>
        <w:tc>
          <w:tcPr>
            <w:tcW w:w="2103" w:type="dxa"/>
          </w:tcPr>
          <w:p w14:paraId="54CB5CD7" w14:textId="77777777" w:rsidR="00056108" w:rsidRPr="00D91469" w:rsidRDefault="00056108" w:rsidP="003D7C36">
            <w:pPr>
              <w:spacing w:line="360" w:lineRule="auto"/>
              <w:ind w:firstLine="0"/>
              <w:rPr>
                <w:sz w:val="22"/>
                <w:szCs w:val="22"/>
              </w:rPr>
            </w:pPr>
            <w:proofErr w:type="gramStart"/>
            <w:r w:rsidRPr="00D91469">
              <w:rPr>
                <w:sz w:val="22"/>
                <w:szCs w:val="22"/>
              </w:rPr>
              <w:t>p.Leu</w:t>
            </w:r>
            <w:proofErr w:type="gramEnd"/>
            <w:r w:rsidRPr="00D91469">
              <w:rPr>
                <w:sz w:val="22"/>
                <w:szCs w:val="22"/>
              </w:rPr>
              <w:t>21_Leu22dup</w:t>
            </w:r>
          </w:p>
        </w:tc>
        <w:tc>
          <w:tcPr>
            <w:tcW w:w="1584" w:type="dxa"/>
          </w:tcPr>
          <w:p w14:paraId="18B5764E" w14:textId="77777777" w:rsidR="00056108" w:rsidRPr="00D91469" w:rsidRDefault="00056108" w:rsidP="003D7C36">
            <w:pPr>
              <w:spacing w:line="360" w:lineRule="auto"/>
              <w:ind w:firstLine="0"/>
              <w:rPr>
                <w:sz w:val="22"/>
                <w:szCs w:val="22"/>
              </w:rPr>
            </w:pPr>
            <w:r w:rsidRPr="00D91469">
              <w:rPr>
                <w:sz w:val="22"/>
                <w:szCs w:val="22"/>
              </w:rPr>
              <w:t>In-frame Insertion</w:t>
            </w:r>
          </w:p>
        </w:tc>
      </w:tr>
      <w:tr w:rsidR="00056108" w14:paraId="0D1F992F" w14:textId="77777777" w:rsidTr="003D7C36">
        <w:tc>
          <w:tcPr>
            <w:tcW w:w="1620" w:type="dxa"/>
          </w:tcPr>
          <w:p w14:paraId="7BCFE908" w14:textId="77777777" w:rsidR="00056108" w:rsidRPr="00D91469" w:rsidRDefault="00056108" w:rsidP="003D7C36">
            <w:pPr>
              <w:spacing w:line="360" w:lineRule="auto"/>
              <w:ind w:firstLine="0"/>
              <w:rPr>
                <w:sz w:val="22"/>
                <w:szCs w:val="22"/>
              </w:rPr>
            </w:pPr>
            <w:r w:rsidRPr="00D91469">
              <w:rPr>
                <w:sz w:val="22"/>
                <w:szCs w:val="22"/>
              </w:rPr>
              <w:t>rs11591147</w:t>
            </w:r>
          </w:p>
          <w:p w14:paraId="722BCCA4" w14:textId="77777777" w:rsidR="00056108" w:rsidRPr="00D91469" w:rsidRDefault="00056108" w:rsidP="003D7C36">
            <w:pPr>
              <w:spacing w:line="360" w:lineRule="auto"/>
              <w:ind w:firstLine="0"/>
              <w:rPr>
                <w:sz w:val="22"/>
                <w:szCs w:val="22"/>
              </w:rPr>
            </w:pPr>
            <w:r w:rsidRPr="00D91469">
              <w:rPr>
                <w:sz w:val="22"/>
                <w:szCs w:val="22"/>
              </w:rPr>
              <w:t>(n = 3)</w:t>
            </w:r>
          </w:p>
        </w:tc>
        <w:tc>
          <w:tcPr>
            <w:tcW w:w="1710" w:type="dxa"/>
          </w:tcPr>
          <w:p w14:paraId="1556AFC9" w14:textId="77777777" w:rsidR="00056108" w:rsidRPr="00D91469" w:rsidRDefault="00056108" w:rsidP="003D7C36">
            <w:pPr>
              <w:spacing w:line="360" w:lineRule="auto"/>
              <w:ind w:firstLine="0"/>
              <w:rPr>
                <w:sz w:val="22"/>
                <w:szCs w:val="22"/>
              </w:rPr>
            </w:pPr>
            <w:r w:rsidRPr="00D91469">
              <w:rPr>
                <w:sz w:val="22"/>
                <w:szCs w:val="22"/>
              </w:rPr>
              <w:t>55,039,974</w:t>
            </w:r>
          </w:p>
        </w:tc>
        <w:tc>
          <w:tcPr>
            <w:tcW w:w="2429" w:type="dxa"/>
          </w:tcPr>
          <w:p w14:paraId="39A25D67" w14:textId="77777777" w:rsidR="00056108" w:rsidRPr="00D91469" w:rsidRDefault="00056108" w:rsidP="003D7C36">
            <w:pPr>
              <w:spacing w:line="360" w:lineRule="auto"/>
              <w:ind w:firstLine="0"/>
              <w:rPr>
                <w:sz w:val="22"/>
                <w:szCs w:val="22"/>
              </w:rPr>
            </w:pPr>
            <w:r w:rsidRPr="00D91469">
              <w:rPr>
                <w:sz w:val="22"/>
                <w:szCs w:val="22"/>
              </w:rPr>
              <w:t>c.137G&gt;T</w:t>
            </w:r>
          </w:p>
        </w:tc>
        <w:tc>
          <w:tcPr>
            <w:tcW w:w="2103" w:type="dxa"/>
          </w:tcPr>
          <w:p w14:paraId="24E618C7" w14:textId="77777777" w:rsidR="00056108" w:rsidRPr="00D91469" w:rsidRDefault="00056108" w:rsidP="003D7C36">
            <w:pPr>
              <w:spacing w:line="360" w:lineRule="auto"/>
              <w:ind w:firstLine="0"/>
              <w:rPr>
                <w:sz w:val="22"/>
                <w:szCs w:val="22"/>
              </w:rPr>
            </w:pPr>
            <w:proofErr w:type="gramStart"/>
            <w:r w:rsidRPr="00D91469">
              <w:rPr>
                <w:sz w:val="22"/>
                <w:szCs w:val="22"/>
              </w:rPr>
              <w:t>p.Arg</w:t>
            </w:r>
            <w:proofErr w:type="gramEnd"/>
            <w:r w:rsidRPr="00D91469">
              <w:rPr>
                <w:sz w:val="22"/>
                <w:szCs w:val="22"/>
              </w:rPr>
              <w:t>46Leu</w:t>
            </w:r>
          </w:p>
        </w:tc>
        <w:tc>
          <w:tcPr>
            <w:tcW w:w="1584" w:type="dxa"/>
          </w:tcPr>
          <w:p w14:paraId="2A515466" w14:textId="77777777" w:rsidR="00056108" w:rsidRPr="00D91469" w:rsidRDefault="00056108" w:rsidP="003D7C36">
            <w:pPr>
              <w:spacing w:line="360" w:lineRule="auto"/>
              <w:ind w:firstLine="0"/>
              <w:rPr>
                <w:sz w:val="22"/>
                <w:szCs w:val="22"/>
              </w:rPr>
            </w:pPr>
            <w:r w:rsidRPr="00D91469">
              <w:rPr>
                <w:sz w:val="22"/>
                <w:szCs w:val="22"/>
              </w:rPr>
              <w:t>Missense Variant</w:t>
            </w:r>
          </w:p>
        </w:tc>
      </w:tr>
      <w:tr w:rsidR="00056108" w14:paraId="2954EC44" w14:textId="77777777" w:rsidTr="003D7C36">
        <w:tc>
          <w:tcPr>
            <w:tcW w:w="1620" w:type="dxa"/>
          </w:tcPr>
          <w:p w14:paraId="10446888" w14:textId="77777777" w:rsidR="00056108" w:rsidRPr="00D91469" w:rsidRDefault="00056108" w:rsidP="003D7C36">
            <w:pPr>
              <w:spacing w:line="360" w:lineRule="auto"/>
              <w:ind w:firstLine="0"/>
              <w:rPr>
                <w:sz w:val="22"/>
                <w:szCs w:val="22"/>
              </w:rPr>
            </w:pPr>
            <w:r w:rsidRPr="00D91469">
              <w:rPr>
                <w:sz w:val="22"/>
                <w:szCs w:val="22"/>
              </w:rPr>
              <w:t>rs11583680</w:t>
            </w:r>
          </w:p>
          <w:p w14:paraId="2B6AF5AF" w14:textId="77777777" w:rsidR="00056108" w:rsidRPr="00D91469" w:rsidRDefault="00056108" w:rsidP="003D7C36">
            <w:pPr>
              <w:spacing w:line="360" w:lineRule="auto"/>
              <w:ind w:firstLine="0"/>
              <w:rPr>
                <w:sz w:val="22"/>
                <w:szCs w:val="22"/>
              </w:rPr>
            </w:pPr>
            <w:r w:rsidRPr="00D91469">
              <w:rPr>
                <w:sz w:val="22"/>
                <w:szCs w:val="22"/>
              </w:rPr>
              <w:t>(n = 366)</w:t>
            </w:r>
          </w:p>
        </w:tc>
        <w:tc>
          <w:tcPr>
            <w:tcW w:w="1710" w:type="dxa"/>
          </w:tcPr>
          <w:p w14:paraId="416010F7" w14:textId="77777777" w:rsidR="00056108" w:rsidRPr="00D91469" w:rsidRDefault="00056108" w:rsidP="003D7C36">
            <w:pPr>
              <w:spacing w:line="360" w:lineRule="auto"/>
              <w:ind w:firstLine="0"/>
              <w:rPr>
                <w:sz w:val="22"/>
                <w:szCs w:val="22"/>
              </w:rPr>
            </w:pPr>
            <w:r w:rsidRPr="00D91469">
              <w:rPr>
                <w:sz w:val="22"/>
                <w:szCs w:val="22"/>
              </w:rPr>
              <w:t>55,039,995</w:t>
            </w:r>
          </w:p>
        </w:tc>
        <w:tc>
          <w:tcPr>
            <w:tcW w:w="2429" w:type="dxa"/>
          </w:tcPr>
          <w:p w14:paraId="1D77BE22" w14:textId="77777777" w:rsidR="00056108" w:rsidRPr="00D91469" w:rsidRDefault="00056108" w:rsidP="003D7C36">
            <w:pPr>
              <w:spacing w:line="360" w:lineRule="auto"/>
              <w:ind w:firstLine="0"/>
              <w:rPr>
                <w:sz w:val="22"/>
                <w:szCs w:val="22"/>
              </w:rPr>
            </w:pPr>
            <w:r w:rsidRPr="00D91469">
              <w:rPr>
                <w:sz w:val="22"/>
                <w:szCs w:val="22"/>
              </w:rPr>
              <w:t>c.158C&gt;T</w:t>
            </w:r>
          </w:p>
        </w:tc>
        <w:tc>
          <w:tcPr>
            <w:tcW w:w="2103" w:type="dxa"/>
          </w:tcPr>
          <w:p w14:paraId="15C5CF22" w14:textId="77777777" w:rsidR="00056108" w:rsidRPr="00D91469" w:rsidRDefault="00056108" w:rsidP="003D7C36">
            <w:pPr>
              <w:spacing w:line="360" w:lineRule="auto"/>
              <w:ind w:firstLine="0"/>
              <w:rPr>
                <w:sz w:val="22"/>
                <w:szCs w:val="22"/>
              </w:rPr>
            </w:pPr>
            <w:proofErr w:type="gramStart"/>
            <w:r w:rsidRPr="00D91469">
              <w:rPr>
                <w:sz w:val="22"/>
                <w:szCs w:val="22"/>
              </w:rPr>
              <w:t>p.Ala</w:t>
            </w:r>
            <w:proofErr w:type="gramEnd"/>
            <w:r w:rsidRPr="00D91469">
              <w:rPr>
                <w:sz w:val="22"/>
                <w:szCs w:val="22"/>
              </w:rPr>
              <w:t>53Val</w:t>
            </w:r>
          </w:p>
        </w:tc>
        <w:tc>
          <w:tcPr>
            <w:tcW w:w="1584" w:type="dxa"/>
          </w:tcPr>
          <w:p w14:paraId="60A80857" w14:textId="77777777" w:rsidR="00056108" w:rsidRPr="00D91469" w:rsidRDefault="00056108" w:rsidP="003D7C36">
            <w:pPr>
              <w:spacing w:line="360" w:lineRule="auto"/>
              <w:ind w:firstLine="0"/>
              <w:rPr>
                <w:sz w:val="22"/>
                <w:szCs w:val="22"/>
              </w:rPr>
            </w:pPr>
            <w:r w:rsidRPr="00D91469">
              <w:rPr>
                <w:sz w:val="22"/>
                <w:szCs w:val="22"/>
              </w:rPr>
              <w:t>Missense Variant</w:t>
            </w:r>
          </w:p>
        </w:tc>
      </w:tr>
    </w:tbl>
    <w:p w14:paraId="0A182370" w14:textId="507EE827" w:rsidR="00056108" w:rsidRDefault="00056108" w:rsidP="00D91469">
      <w:pPr>
        <w:spacing w:line="240" w:lineRule="auto"/>
      </w:pPr>
    </w:p>
    <w:p w14:paraId="073EB609" w14:textId="6B9A8749" w:rsidR="00384509" w:rsidRPr="00DF1A1B" w:rsidRDefault="00384509" w:rsidP="00DF1A1B">
      <w:pPr>
        <w:pStyle w:val="Heading2"/>
      </w:pPr>
      <w:bookmarkStart w:id="46" w:name="_Toc39065943"/>
      <w:r w:rsidRPr="00DF1A1B">
        <w:t>Matc</w:t>
      </w:r>
      <w:r w:rsidRPr="00B72D9E">
        <w:t xml:space="preserve">hed Variants and </w:t>
      </w:r>
      <w:r w:rsidR="00C01DE6" w:rsidRPr="00B72D9E">
        <w:t>LD</w:t>
      </w:r>
      <w:r w:rsidR="00506516" w:rsidRPr="00B72D9E">
        <w:t>L</w:t>
      </w:r>
      <w:r w:rsidR="00C01DE6" w:rsidRPr="00B72D9E">
        <w:t>-</w:t>
      </w:r>
      <w:r w:rsidRPr="00B72D9E">
        <w:t>Cholesterol Levels</w:t>
      </w:r>
      <w:bookmarkEnd w:id="46"/>
    </w:p>
    <w:p w14:paraId="7A1E9DD0" w14:textId="3FDEF807" w:rsidR="00384509" w:rsidRDefault="00C01DE6" w:rsidP="00B72D9E">
      <w:r>
        <w:t xml:space="preserve">Further analysis was performed on the matched results to see if the allele change corresponds with having total cholesterol levels over 310 mg/dL or LDL-cholesterol levels over 190 mg/dL (Figures </w:t>
      </w:r>
      <w:r w:rsidR="00913F27">
        <w:t>3</w:t>
      </w:r>
      <w:r>
        <w:t xml:space="preserve"> and </w:t>
      </w:r>
      <w:r w:rsidR="00913F27">
        <w:t>4</w:t>
      </w:r>
      <w:r>
        <w:t xml:space="preserve">). The number of Samoan participants with any of the known variants is too small to be definitive regarding the relationship between genotype and cholesterol, with the exception of the </w:t>
      </w:r>
      <w:r w:rsidRPr="00C01DE6">
        <w:rPr>
          <w:i/>
          <w:iCs/>
        </w:rPr>
        <w:t>LDLR</w:t>
      </w:r>
      <w:r>
        <w:rPr>
          <w:i/>
          <w:iCs/>
        </w:rPr>
        <w:t xml:space="preserve"> </w:t>
      </w:r>
      <w:r>
        <w:t xml:space="preserve">rs2228671 and the </w:t>
      </w:r>
      <w:r>
        <w:rPr>
          <w:i/>
          <w:iCs/>
        </w:rPr>
        <w:t>PCSK9</w:t>
      </w:r>
      <w:r>
        <w:t xml:space="preserve"> rs11583680 variants. Neither of these latter two variants were associated with an increase in total or LDL-cholesterol levels. The one individual heterozygous for </w:t>
      </w:r>
      <w:r>
        <w:rPr>
          <w:i/>
          <w:iCs/>
        </w:rPr>
        <w:t>PCSK9</w:t>
      </w:r>
      <w:r>
        <w:t xml:space="preserve"> rs</w:t>
      </w:r>
      <w:r w:rsidR="00950C7F">
        <w:t xml:space="preserve">371488778 variant, as well as the two individuals heterozygous for the </w:t>
      </w:r>
      <w:r w:rsidR="00950C7F">
        <w:rPr>
          <w:i/>
          <w:iCs/>
        </w:rPr>
        <w:t>APOB</w:t>
      </w:r>
      <w:r w:rsidR="00950C7F">
        <w:t xml:space="preserve"> rs760832994 variant, had higher total and LDL-cholesterol levels than the remaining Samoan participants. </w:t>
      </w:r>
      <w:r w:rsidR="00506516">
        <w:t xml:space="preserve">The three individuals with the </w:t>
      </w:r>
      <w:r w:rsidR="00506516">
        <w:rPr>
          <w:i/>
          <w:iCs/>
        </w:rPr>
        <w:t>PCSK9</w:t>
      </w:r>
      <w:r w:rsidR="00506516">
        <w:t xml:space="preserve"> </w:t>
      </w:r>
      <w:r w:rsidR="00506516" w:rsidRPr="003F669E">
        <w:t>rs11591147</w:t>
      </w:r>
      <w:r w:rsidR="00506516">
        <w:t xml:space="preserve"> variant have lower total and LDL-cholesterol levels compared to individuals without this variant.</w:t>
      </w:r>
    </w:p>
    <w:p w14:paraId="72088ED0" w14:textId="4D5BC5E3" w:rsidR="00B72D9E" w:rsidRDefault="00B72D9E" w:rsidP="00B72D9E"/>
    <w:p w14:paraId="54C366E9" w14:textId="674FE37D" w:rsidR="00B72D9E" w:rsidRDefault="00B72D9E" w:rsidP="00B72D9E"/>
    <w:p w14:paraId="7ED7335C" w14:textId="20DA416A" w:rsidR="00B72D9E" w:rsidRDefault="00B72D9E" w:rsidP="00B72D9E"/>
    <w:p w14:paraId="3E80AB15" w14:textId="5414BD56" w:rsidR="00056108" w:rsidRDefault="00565F1D" w:rsidP="00B72D9E">
      <w:r>
        <w:rPr>
          <w:noProof/>
        </w:rPr>
        <w:lastRenderedPageBreak/>
        <w:drawing>
          <wp:anchor distT="0" distB="0" distL="114300" distR="114300" simplePos="0" relativeHeight="251677696" behindDoc="0" locked="0" layoutInCell="1" allowOverlap="1" wp14:anchorId="3C88BB88" wp14:editId="3EDD5C42">
            <wp:simplePos x="0" y="0"/>
            <wp:positionH relativeFrom="margin">
              <wp:posOffset>476250</wp:posOffset>
            </wp:positionH>
            <wp:positionV relativeFrom="paragraph">
              <wp:posOffset>501015</wp:posOffset>
            </wp:positionV>
            <wp:extent cx="5124450" cy="511429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9232" t="17244" r="37179" b="5359"/>
                    <a:stretch/>
                  </pic:blipFill>
                  <pic:spPr bwMode="auto">
                    <a:xfrm>
                      <a:off x="0" y="0"/>
                      <a:ext cx="5124450" cy="5114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1C69A3" w14:textId="6882EFD2" w:rsidR="00056108" w:rsidRDefault="00056108" w:rsidP="00B72D9E"/>
    <w:p w14:paraId="566B774E" w14:textId="5BD64AA3" w:rsidR="00B72D9E" w:rsidRDefault="00056108" w:rsidP="00565F1D">
      <w:pPr>
        <w:pStyle w:val="Caption"/>
        <w:ind w:firstLine="630"/>
      </w:pPr>
      <w:bookmarkStart w:id="47" w:name="_Toc39065959"/>
      <w:r>
        <w:t xml:space="preserve">Figure </w:t>
      </w:r>
      <w:r>
        <w:fldChar w:fldCharType="begin"/>
      </w:r>
      <w:r>
        <w:instrText xml:space="preserve"> SEQ Figure \* ARABIC </w:instrText>
      </w:r>
      <w:r>
        <w:fldChar w:fldCharType="separate"/>
      </w:r>
      <w:r w:rsidR="002A71A2">
        <w:t>3</w:t>
      </w:r>
      <w:r>
        <w:fldChar w:fldCharType="end"/>
      </w:r>
      <w:r w:rsidR="00BF465B">
        <w:t>.</w:t>
      </w:r>
      <w:r>
        <w:t xml:space="preserve"> Total Cholesterol Levels Grouped by Genotype</w:t>
      </w:r>
      <w:bookmarkEnd w:id="47"/>
      <w:r>
        <w:t xml:space="preserve"> </w:t>
      </w:r>
    </w:p>
    <w:p w14:paraId="1FAFA8A5" w14:textId="30E57DA9" w:rsidR="00B72D9E" w:rsidRDefault="00B72D9E" w:rsidP="00B72D9E"/>
    <w:p w14:paraId="6F128D51" w14:textId="35C43CDC" w:rsidR="00B72D9E" w:rsidRDefault="00B72D9E" w:rsidP="00B72D9E"/>
    <w:p w14:paraId="445F9512" w14:textId="21E6A284" w:rsidR="00B72D9E" w:rsidRDefault="00B72D9E" w:rsidP="00B72D9E"/>
    <w:p w14:paraId="27F566AA" w14:textId="555BB1B9" w:rsidR="00B72D9E" w:rsidRDefault="00B72D9E" w:rsidP="00B72D9E"/>
    <w:p w14:paraId="39BDD987" w14:textId="1053DB65" w:rsidR="00B72D9E" w:rsidRDefault="00B72D9E" w:rsidP="00B72D9E"/>
    <w:p w14:paraId="7C147340" w14:textId="37965BFB" w:rsidR="00B72D9E" w:rsidRDefault="00B72D9E" w:rsidP="00B72D9E"/>
    <w:p w14:paraId="1E537E3C" w14:textId="041E734E" w:rsidR="00B72D9E" w:rsidRDefault="00B72D9E" w:rsidP="00B72D9E"/>
    <w:p w14:paraId="1F3A30F5" w14:textId="22DD8289" w:rsidR="00B72D9E" w:rsidRDefault="00565F1D" w:rsidP="00B72D9E">
      <w:r>
        <w:rPr>
          <w:noProof/>
        </w:rPr>
        <w:drawing>
          <wp:anchor distT="0" distB="0" distL="114300" distR="114300" simplePos="0" relativeHeight="251662336" behindDoc="0" locked="0" layoutInCell="1" allowOverlap="1" wp14:anchorId="415A573A" wp14:editId="26CD5C89">
            <wp:simplePos x="0" y="0"/>
            <wp:positionH relativeFrom="margin">
              <wp:posOffset>266700</wp:posOffset>
            </wp:positionH>
            <wp:positionV relativeFrom="paragraph">
              <wp:posOffset>283845</wp:posOffset>
            </wp:positionV>
            <wp:extent cx="5248275" cy="5228590"/>
            <wp:effectExtent l="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9233" t="17388" r="37338" b="5644"/>
                    <a:stretch/>
                  </pic:blipFill>
                  <pic:spPr bwMode="auto">
                    <a:xfrm>
                      <a:off x="0" y="0"/>
                      <a:ext cx="5248275" cy="5228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6E8F39" w14:textId="766885AF" w:rsidR="00BB655B" w:rsidRDefault="00B85753" w:rsidP="00791217">
      <w:pPr>
        <w:ind w:firstLine="0"/>
      </w:pPr>
      <w:r>
        <w:rPr>
          <w:noProof/>
        </w:rPr>
        <mc:AlternateContent>
          <mc:Choice Requires="wps">
            <w:drawing>
              <wp:anchor distT="0" distB="0" distL="114300" distR="114300" simplePos="0" relativeHeight="251667456" behindDoc="0" locked="0" layoutInCell="1" allowOverlap="1" wp14:anchorId="70DDE6D7" wp14:editId="1793504A">
                <wp:simplePos x="0" y="0"/>
                <wp:positionH relativeFrom="column">
                  <wp:posOffset>342900</wp:posOffset>
                </wp:positionH>
                <wp:positionV relativeFrom="paragraph">
                  <wp:posOffset>5304790</wp:posOffset>
                </wp:positionV>
                <wp:extent cx="5248275" cy="635"/>
                <wp:effectExtent l="0" t="0" r="0" b="0"/>
                <wp:wrapTopAndBottom/>
                <wp:docPr id="13" name="Text Box 13"/>
                <wp:cNvGraphicFramePr/>
                <a:graphic xmlns:a="http://schemas.openxmlformats.org/drawingml/2006/main">
                  <a:graphicData uri="http://schemas.microsoft.com/office/word/2010/wordprocessingShape">
                    <wps:wsp>
                      <wps:cNvSpPr txBox="1"/>
                      <wps:spPr>
                        <a:xfrm>
                          <a:off x="0" y="0"/>
                          <a:ext cx="5248275" cy="635"/>
                        </a:xfrm>
                        <a:prstGeom prst="rect">
                          <a:avLst/>
                        </a:prstGeom>
                        <a:solidFill>
                          <a:prstClr val="white"/>
                        </a:solidFill>
                        <a:ln>
                          <a:noFill/>
                        </a:ln>
                      </wps:spPr>
                      <wps:txbx>
                        <w:txbxContent>
                          <w:p w14:paraId="1541AD7B" w14:textId="02D2FB1A" w:rsidR="003D7C36" w:rsidRPr="00224174" w:rsidRDefault="003D7C36" w:rsidP="00B85753">
                            <w:pPr>
                              <w:pStyle w:val="Caption"/>
                              <w:rPr>
                                <w:sz w:val="24"/>
                                <w:szCs w:val="24"/>
                              </w:rPr>
                            </w:pPr>
                            <w:bookmarkStart w:id="48" w:name="_Toc39065960"/>
                            <w:r>
                              <w:t xml:space="preserve">Figure </w:t>
                            </w:r>
                            <w:r>
                              <w:fldChar w:fldCharType="begin"/>
                            </w:r>
                            <w:r>
                              <w:instrText xml:space="preserve"> SEQ Figure \* ARABIC </w:instrText>
                            </w:r>
                            <w:r>
                              <w:fldChar w:fldCharType="separate"/>
                            </w:r>
                            <w:r w:rsidR="002A71A2">
                              <w:t>4</w:t>
                            </w:r>
                            <w:r>
                              <w:fldChar w:fldCharType="end"/>
                            </w:r>
                            <w:r>
                              <w:t>. LDL-Cholesterol Levels Grouped by Genotype</w:t>
                            </w:r>
                            <w:bookmarkEnd w:id="4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0DDE6D7" id="Text Box 13" o:spid="_x0000_s1028" type="#_x0000_t202" style="position:absolute;left:0;text-align:left;margin-left:27pt;margin-top:417.7pt;width:413.2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" stroked="f">
                <v:textbox style="mso-fit-shape-to-text:t" inset="0,0,0,0">
                  <w:txbxContent>
                    <w:p w14:paraId="1541AD7B" w14:textId="02D2FB1A" w:rsidR="003D7C36" w:rsidRPr="00224174" w:rsidRDefault="003D7C36" w:rsidP="00B85753">
                      <w:pPr>
                        <w:pStyle w:val="Caption"/>
                        <w:rPr>
                          <w:sz w:val="24"/>
                          <w:szCs w:val="24"/>
                        </w:rPr>
                      </w:pPr>
                      <w:bookmarkStart w:id="49" w:name="_Toc39065960"/>
                      <w:r>
                        <w:t xml:space="preserve">Figure </w:t>
                      </w:r>
                      <w:r>
                        <w:fldChar w:fldCharType="begin"/>
                      </w:r>
                      <w:r>
                        <w:instrText xml:space="preserve"> SEQ Figure \* ARABIC </w:instrText>
                      </w:r>
                      <w:r>
                        <w:fldChar w:fldCharType="separate"/>
                      </w:r>
                      <w:r w:rsidR="002A71A2">
                        <w:t>4</w:t>
                      </w:r>
                      <w:r>
                        <w:fldChar w:fldCharType="end"/>
                      </w:r>
                      <w:r>
                        <w:t>. LDL-Cholesterol Levels Grouped by Genotype</w:t>
                      </w:r>
                      <w:bookmarkEnd w:id="49"/>
                    </w:p>
                  </w:txbxContent>
                </v:textbox>
                <w10:wrap type="topAndBottom"/>
              </v:shape>
            </w:pict>
          </mc:Fallback>
        </mc:AlternateContent>
      </w:r>
    </w:p>
    <w:p w14:paraId="11068351" w14:textId="42C083BF" w:rsidR="00A618CD" w:rsidRPr="00DF1A1B" w:rsidRDefault="00FC5AB8" w:rsidP="00DF1A1B">
      <w:pPr>
        <w:pStyle w:val="Heading1"/>
      </w:pPr>
      <w:bookmarkStart w:id="50" w:name="_Toc39065944"/>
      <w:r w:rsidRPr="00DF1A1B">
        <w:lastRenderedPageBreak/>
        <w:t>Conclusion</w:t>
      </w:r>
      <w:bookmarkEnd w:id="50"/>
    </w:p>
    <w:p w14:paraId="75F6360B" w14:textId="0025D6C3" w:rsidR="00606BB8" w:rsidRDefault="000A78C2" w:rsidP="003F2A88">
      <w:pPr>
        <w:tabs>
          <w:tab w:val="left" w:pos="8610"/>
        </w:tabs>
      </w:pPr>
      <w:r>
        <w:t xml:space="preserve">CVD affects an estimated 128 million people worldwide and is a leading cause of death in many developed countries </w:t>
      </w:r>
      <w:r>
        <w:fldChar w:fldCharType="begin" w:fldLock="1"/>
      </w:r>
      <w:r w:rsidR="00001BFC">
        <w:instrText>ADDIN CSL_CITATION {"citationItems":[{"id":"ITEM-1","itemData":{"DOI":"10.1016/j.amjcard.2009.10.007","ISSN":"1879-1913 (Electronic)","PMID":"20102968","abstract":"Current epidemiologic predictions show that the world is heading for a vascular tsunami of pandemic proportions. The number of people at high risk from cardiovascular disease is increasing; recent cohort studies suggest that only 2%-7% of the general population have no risk factors at all, and &gt;70% of at-risk individuals have multiple risk factors. The recently published Ongoing Telmisartan Alone and in Combination with Ramipril Global Endpoint Trial (ONTARGET) study, which showed that telmisartan was as effective as ramipril in the prevention of a range of cardiovascular outcomes, enrolled a broad cross section of high-risk patients. This population was chosen to reflect the type of patients encountered in general practice, and because the proportion of high-risk individuals is increasing worldwide, the ONTARGET results will be relevant for most at-risk patients. Further analysis of the ONTARGET results may also aid in the development of risk estimation scores populated with real-life data and could also determine the impact of treatment on the long-term reduction of total cardiovascular burden (ie, absolute risk reduction). This may be a particularly useful exercise because current risk estimation charts have limitations in their scope, sensitivity, and the ability to reflect changes in risk.","author":[{"dropping-particle":"","family":"Dahlof","given":"Bjorn","non-dropping-particle":"","parse-names":false,"suffix":""}],"container-title":"The American journal of cardiology","id":"ITEM-1","issue":"1 Suppl","issued":{"date-parts":[["2010","1"]]},"language":"eng","page":"3A-9A","publisher-place":"United States","title":"Cardiovascular disease risk factors: epidemiology and risk assessment.","type":"article-journal","volume":"105"},"uris":["http://www.mendeley.com/documents/?uuid=e0e8305b-71ef-42aa-aa97-f86c80f9c38a"]}],"mendeley":{"formattedCitation":"(Dahlof, 2010)","plainTextFormattedCitation":"(Dahlof, 2010)","previouslyFormattedCitation":"(Dahlof, 2010)"},"properties":{"noteIndex":0},"schema":"https://github.com/citation-style-language/schema/raw/master/csl-citation.json"}</w:instrText>
      </w:r>
      <w:r>
        <w:fldChar w:fldCharType="separate"/>
      </w:r>
      <w:r w:rsidRPr="000A78C2">
        <w:rPr>
          <w:noProof/>
        </w:rPr>
        <w:t>(Dahlof, 2010)</w:t>
      </w:r>
      <w:r>
        <w:fldChar w:fldCharType="end"/>
      </w:r>
      <w:r>
        <w:t xml:space="preserve">. </w:t>
      </w:r>
      <w:r w:rsidR="00001BFC">
        <w:t xml:space="preserve">Several contributing factors to CVD </w:t>
      </w:r>
      <w:proofErr w:type="gramStart"/>
      <w:r w:rsidR="00001BFC">
        <w:t>is</w:t>
      </w:r>
      <w:proofErr w:type="gramEnd"/>
      <w:r w:rsidR="00001BFC">
        <w:t xml:space="preserve"> genetic susceptibility, hypertension, abnormal lipid profiles, obesity, stress, and lack of physical activity. FH is an autosomal dominant condition where excess LDL-cholesterol is unable to be removed from blood, resulting in adults having LDL-cholesterol levels over 190 mg</w:t>
      </w:r>
      <w:r w:rsidR="003F2A88">
        <w:t>/</w:t>
      </w:r>
      <w:r w:rsidR="00001BFC">
        <w:t xml:space="preserve">dL, or total cholesterol levels over 310 mg/dL. </w:t>
      </w:r>
      <w:r w:rsidR="003F2A88">
        <w:t xml:space="preserve">If cholesterol levels remain untreated, this increases an individual’s risk of developing premature CVD or CAD up 20-fold </w:t>
      </w:r>
      <w:r w:rsidR="003F2A88">
        <w:fldChar w:fldCharType="begin" w:fldLock="1"/>
      </w:r>
      <w:r w:rsidR="003F2A88">
        <w:instrText>ADDIN CSL_CITATION {"citationItems":[{"id":"ITEM-1","itemData":{"DOI":"10.1016/j.jacl.2015.03.068","ISSN":"1933-2874","author":[{"dropping-particle":"","family":"Ahmad","given":"Zahid","non-dropping-particle":"","parse-names":false,"suffix":""},{"dropping-particle":"","family":"Newman","given":"Connie B","non-dropping-particle":"","parse-names":false,"suffix":""},{"dropping-particle":"","family":"O'Brien","given":"Emily C","non-dropping-particle":"","parse-names":false,"suffix":""},{"dropping-particle":"","family":"Shrader","given":"Peter","non-dropping-particle":"","parse-names":false,"suffix":""},{"dropping-particle":"","family":"deGoma","given":"Emil M","non-dropping-particle":"","parse-names":false,"suffix":""},{"dropping-particle":"","family":"Ahmed","given":"Catherine","non-dropping-particle":"","parse-names":false,"suffix":""},{"dropping-particle":"","family":"Moriarty","given":"Patrick M","non-dropping-particle":"","parse-names":false,"suffix":""},{"dropping-particle":"","family":"Linton","given":"MacRae F","non-dropping-particle":"","parse-names":false,"suffix":""},{"dropping-particle":"","family":"Shapiro","given":"Michael D","non-dropping-particle":"","parse-names":false,"suffix":""},{"dropping-particle":"","family":"Duell","given":"Barton","non-dropping-particle":"","parse-names":false,"suffix":""},{"dropping-particle":"","family":"Ballantyne","given":"Christie M","non-dropping-particle":"","parse-names":false,"suffix":""},{"dropping-particle":"","family":"Neal","given":"William","non-dropping-particle":"","parse-names":false,"suffix":""},{"dropping-particle":"","family":"Duffy","given":"Danielle","non-dropping-particle":"","parse-names":false,"suffix":""},{"dropping-particle":"","family":"Hudgins","given":"Lisa C","non-dropping-particle":"","parse-names":false,"suffix":""},{"dropping-particle":"","family":"Hemphill","given":"Linda C","non-dropping-particle":"","parse-names":false,"suffix":""},{"dropping-particle":"","family":"Underberg","given":"James A","non-dropping-particle":"","parse-names":false,"suffix":""},{"dropping-particle":"","family":"Watson","given":"Karol E","non-dropping-particle":"","parse-names":false,"suffix":""},{"dropping-particle":"","family":"Gidding","given":"Samuel S","non-dropping-particle":"","parse-names":false,"suffix":""},{"dropping-particle":"","family":"Baum","given":"Seth J","non-dropping-particle":"","parse-names":false,"suffix":""},{"dropping-particle":"","family":"Wilemon","given":"Katherine","non-dropping-particle":"","parse-names":false,"suffix":""},{"dropping-particle":"","family":"Pickhardt","given":"Dave","non-dropping-particle":"","parse-names":false,"suffix":""},{"dropping-particle":"","family":"Kindt","given":"Iris","non-dropping-particle":"","parse-names":false,"suffix":""},{"dropping-particle":"","family":"Rader","given":"Daniel J","non-dropping-particle":"","parse-names":false,"suffix":""},{"dropping-particle":"","family":"Roe","given":"Matthew T","non-dropping-particle":"","parse-names":false,"suffix":""},{"dropping-particle":"","family":"Knowles","given":"Joshua W","non-dropping-particle":"","parse-names":false,"suffix":""}],"container-title":"Journal of Clinical Lipidology","id":"ITEM-1","issue":"3","issued":{"date-parts":[["2015","5","1"]]},"note":"doi: 10.1016/j.jacl.2015.03.068","page":"451-452","publisher":"Elsevier","title":"Diagnosing Familial Hypercholesterolemia (FH) in the United States: Results from the CASCADE FH Patient Registry*&lt;sup&gt;&amp;#x2020;&lt;/sup&gt;","type":"article-journal","volume":"9"},"uris":["http://www.mendeley.com/documents/?uuid=900cf363-de61-427b-85be-20596c54597b"]},{"id":"ITEM-2","itemData":{"DOI":"10.1093/eurheartj/eht273","ISSN":"1522-9645 (Electronic)","PMID":"23956253","abstract":"AIMS: The first aim was to critically evaluate the extent to which familial hypercholesterolaemia (FH) is underdiagnosed and undertreated. The second aim was to provide guidance for screening and treatment of FH, in order to prevent coronary heart disease (CHD). METHODS AND RESULTS: Of the theoretical estimated prevalence of 1/500 for heterozygous FH, &lt;1% are diagnosed in most countries. Recently, direct screening in a Northern European general population diagnosed approximately 1/200 with heterozygous FH. All reported studies document failure to achieve recommended LDL cholesterol targets in a large proportion of individuals with FH, and up to 13-fold increased risk of CHD. Based on prevalences between 1/500 and 1/200, between 14 and 34 million individuals worldwide have FH. We recommend that children, adults, and families should be screened for FH if a person or family member presents with FH, a plasma cholesterol level in an adult &gt;/=8 mmol/L(&gt;/=310 mg/dL) or a child &gt;/=6 mmol/L(&gt;/=230 mg/dL), premature CHD, tendon xanthomas, or sudden premature cardiac death. In FH, low-density lipoprotein cholesterol targets are &lt;3.5 mmol/L(&lt;135 mg/dL) for children, &lt;2.5 mmol/L(&lt;100 mg/dL) for adults, and &lt;1.8 mmol/L(&lt;70 mg/dL) for adults with known CHD or diabetes. In addition to lifestyle and dietary counselling, treatment priorities are (i) in children, statins, ezetimibe, and bile acid binding resins, and (ii) in adults, maximal potent statin dose, ezetimibe, and bile acid binding resins. Lipoprotein apheresis can be offered in homozygotes and in treatment-resistant heterozygotes with CHD. CONCLUSION: Owing to severe underdiagnosis and undertreatment of FH, there is an urgent worldwide need for diagnostic screening together with early and aggressive treatment of this extremely high-risk condition.","author":[{"dropping-particle":"","family":"Nordestgaard","given":"Borge G","non-dropping-particle":"","parse-names":false,"suffix":""},{"dropping-particle":"","family":"Chapman","given":"M John","non-dropping-particle":"","parse-names":false,"suffix":""},{"dropping-particle":"","family":"Humphries","given":"Steve E","non-dropping-particle":"","parse-names":false,"suffix":""},{"dropping-particle":"","family":"Ginsberg","given":"Henry N","non-dropping-particle":"","parse-names":false,"suffix":""},{"dropping-particle":"","family":"Masana","given":"Luis","non-dropping-particle":"","parse-names":false,"suffix":""},{"dropping-particle":"","family":"Descamps","given":"Olivier S","non-dropping-particle":"","parse-names":false,"suffix":""},{"dropping-particle":"","family":"Wiklund","given":"Olov","non-dropping-particle":"","parse-names":false,"suffix":""},{"dropping-particle":"","family":"Hegele","given":"Robert A","non-dropping-particle":"","parse-names":false,"suffix":""},{"dropping-particle":"","family":"Raal","given":"Frederick J","non-dropping-particle":"","parse-names":false,"suffix":""},{"dropping-particle":"","family":"Defesche","given":"Joep C","non-dropping-particle":"","parse-names":false,"suffix":""},{"dropping-particle":"","family":"Wiegman","given":"Albert","non-dropping-particle":"","parse-names":false,"suffix":""},{"dropping-particle":"","family":"Santos","given":"Raul D","non-dropping-particle":"","parse-names":false,"suffix":""},{"dropping-particle":"","family":"Watts","given":"Gerald F","non-dropping-particle":"","parse-names":false,"suffix":""},{"dropping-particle":"","family":"Parhofer","given":"Klaus G","non-dropping-particle":"","parse-names":false,"suffix":""},{"dropping-particle":"","family":"Hovingh","given":"G Kees","non-dropping-particle":"","parse-names":false,"suffix":""},{"dropping-particle":"","family":"Kovanen","given":"Petri T","non-dropping-particle":"","parse-names":false,"suffix":""},{"dropping-particle":"","family":"Boileau","given":"Catherine","non-dropping-particle":"","parse-names":false,"suffix":""},{"dropping-particle":"","family":"Averna","given":"Maurizio","non-dropping-particle":"","parse-names":false,"suffix":""},{"dropping-particle":"","family":"Boren","given":"Jan","non-dropping-particle":"","parse-names":false,"suffix":""},{"dropping-particle":"","family":"Bruckert","given":"Eric","non-dropping-particle":"","parse-names":false,"suffix":""},{"dropping-particle":"","family":"Catapano","given":"Alberico L","non-dropping-particle":"","parse-names":false,"suffix":""},{"dropping-particle":"","family":"Kuivenhoven","given":"Jan Albert","non-dropping-particle":"","parse-names":false,"suffix":""},{"dropping-particle":"","family":"Pajukanta","given":"Paivi","non-dropping-particle":"","parse-names":false,"suffix":""},{"dropping-particle":"","family":"Ray","given":"Kausik","non-dropping-particle":"","parse-names":false,"suffix":""},{"dropping-particle":"","family":"Stalenhoef","given":"Anton F H","non-dropping-particle":"","parse-names":false,"suffix":""},{"dropping-particle":"","family":"Stroes","given":"Erik","non-dropping-particle":"","parse-names":false,"suffix":""},{"dropping-particle":"","family":"Taskinen","given":"Marja-Riitta","non-dropping-particle":"","parse-names":false,"suffix":""},{"dropping-particle":"","family":"Tybjaerg-Hansen","given":"Anne","non-dropping-particle":"","parse-names":false,"suffix":""}],"container-title":"European heart journal","id":"ITEM-2","issue":"45","issued":{"date-parts":[["2013","12"]]},"language":"eng","page":"3478-90a","publisher-place":"England","title":"Familial hypercholesterolaemia is underdiagnosed and undertreated in the general  population: guidance for clinicians to prevent coronary heart disease: consensus statement of the European Atherosclerosis Society.","type":"article-journal","volume":"34"},"uris":["http://www.mendeley.com/documents/?uuid=cd8cf69f-b669-4d5d-b3a0-821498944406"]}],"mendeley":{"formattedCitation":"(Ahmad et al., 2015; Borge G Nordestgaard et al., 2013)","plainTextFormattedCitation":"(Ahmad et al., 2015; Borge G Nordestgaard et al., 2013)","previouslyFormattedCitation":"(Ahmad et al., 2015; Borge G Nordestgaard et al., 2013)"},"properties":{"noteIndex":0},"schema":"https://github.com/citation-style-language/schema/raw/master/csl-citation.json"}</w:instrText>
      </w:r>
      <w:r w:rsidR="003F2A88">
        <w:fldChar w:fldCharType="separate"/>
      </w:r>
      <w:r w:rsidR="003F2A88" w:rsidRPr="00001BFC">
        <w:rPr>
          <w:noProof/>
        </w:rPr>
        <w:t>(Ahmad et al., 2015; Borge G Nordestgaard et al., 2013)</w:t>
      </w:r>
      <w:r w:rsidR="003F2A88">
        <w:fldChar w:fldCharType="end"/>
      </w:r>
      <w:r w:rsidR="003F2A88">
        <w:t xml:space="preserve">. Treatments, such as statins, ezetimibe, and bile acid-binding resin, have decreased LDL-cholesterol concentrations by 60-70% </w:t>
      </w:r>
      <w:r w:rsidR="003F2A88">
        <w:fldChar w:fldCharType="begin" w:fldLock="1"/>
      </w:r>
      <w:r w:rsidR="00606BB8">
        <w:instrText>ADDIN CSL_CITATION {"citationItems":[{"id":"ITEM-1","itemData":{"DOI":"10.1093/eurheartj/eht273","ISSN":"1522-9645 (Electronic)","PMID":"23956253","abstract":"AIMS: The first aim was to critically evaluate the extent to which familial hypercholesterolaemia (FH) is underdiagnosed and undertreated. The second aim was to provide guidance for screening and treatment of FH, in order to prevent coronary heart disease (CHD). METHODS AND RESULTS: Of the theoretical estimated prevalence of 1/500 for heterozygous FH, &lt;1% are diagnosed in most countries. Recently, direct screening in a Northern European general population diagnosed approximately 1/200 with heterozygous FH. All reported studies document failure to achieve recommended LDL cholesterol targets in a large proportion of individuals with FH, and up to 13-fold increased risk of CHD. Based on prevalences between 1/500 and 1/200, between 14 and 34 million individuals worldwide have FH. We recommend that children, adults, and families should be screened for FH if a person or family member presents with FH, a plasma cholesterol level in an adult &gt;/=8 mmol/L(&gt;/=310 mg/dL) or a child &gt;/=6 mmol/L(&gt;/=230 mg/dL), premature CHD, tendon xanthomas, or sudden premature cardiac death. In FH, low-density lipoprotein cholesterol targets are &lt;3.5 mmol/L(&lt;135 mg/dL) for children, &lt;2.5 mmol/L(&lt;100 mg/dL) for adults, and &lt;1.8 mmol/L(&lt;70 mg/dL) for adults with known CHD or diabetes. In addition to lifestyle and dietary counselling, treatment priorities are (i) in children, statins, ezetimibe, and bile acid binding resins, and (ii) in adults, maximal potent statin dose, ezetimibe, and bile acid binding resins. Lipoprotein apheresis can be offered in homozygotes and in treatment-resistant heterozygotes with CHD. CONCLUSION: Owing to severe underdiagnosis and undertreatment of FH, there is an urgent worldwide need for diagnostic screening together with early and aggressive treatment of this extremely high-risk condition.","author":[{"dropping-particle":"","family":"Nordestgaard","given":"Borge G","non-dropping-particle":"","parse-names":false,"suffix":""},{"dropping-particle":"","family":"Chapman","given":"M John","non-dropping-particle":"","parse-names":false,"suffix":""},{"dropping-particle":"","family":"Humphries","given":"Steve E","non-dropping-particle":"","parse-names":false,"suffix":""},{"dropping-particle":"","family":"Ginsberg","given":"Henry N","non-dropping-particle":"","parse-names":false,"suffix":""},{"dropping-particle":"","family":"Masana","given":"Luis","non-dropping-particle":"","parse-names":false,"suffix":""},{"dropping-particle":"","family":"Descamps","given":"Olivier S","non-dropping-particle":"","parse-names":false,"suffix":""},{"dropping-particle":"","family":"Wiklund","given":"Olov","non-dropping-particle":"","parse-names":false,"suffix":""},{"dropping-particle":"","family":"Hegele","given":"Robert A","non-dropping-particle":"","parse-names":false,"suffix":""},{"dropping-particle":"","family":"Raal","given":"Frederick J","non-dropping-particle":"","parse-names":false,"suffix":""},{"dropping-particle":"","family":"Defesche","given":"Joep C","non-dropping-particle":"","parse-names":false,"suffix":""},{"dropping-particle":"","family":"Wiegman","given":"Albert","non-dropping-particle":"","parse-names":false,"suffix":""},{"dropping-particle":"","family":"Santos","given":"Raul D","non-dropping-particle":"","parse-names":false,"suffix":""},{"dropping-particle":"","family":"Watts","given":"Gerald F","non-dropping-particle":"","parse-names":false,"suffix":""},{"dropping-particle":"","family":"Parhofer","given":"Klaus G","non-dropping-particle":"","parse-names":false,"suffix":""},{"dropping-particle":"","family":"Hovingh","given":"G Kees","non-dropping-particle":"","parse-names":false,"suffix":""},{"dropping-particle":"","family":"Kovanen","given":"Petri T","non-dropping-particle":"","parse-names":false,"suffix":""},{"dropping-particle":"","family":"Boileau","given":"Catherine","non-dropping-particle":"","parse-names":false,"suffix":""},{"dropping-particle":"","family":"Averna","given":"Maurizio","non-dropping-particle":"","parse-names":false,"suffix":""},{"dropping-particle":"","family":"Boren","given":"Jan","non-dropping-particle":"","parse-names":false,"suffix":""},{"dropping-particle":"","family":"Bruckert","given":"Eric","non-dropping-particle":"","parse-names":false,"suffix":""},{"dropping-particle":"","family":"Catapano","given":"Alberico L","non-dropping-particle":"","parse-names":false,"suffix":""},{"dropping-particle":"","family":"Kuivenhoven","given":"Jan Albert","non-dropping-particle":"","parse-names":false,"suffix":""},{"dropping-particle":"","family":"Pajukanta","given":"Paivi","non-dropping-particle":"","parse-names":false,"suffix":""},{"dropping-particle":"","family":"Ray","given":"Kausik","non-dropping-particle":"","parse-names":false,"suffix":""},{"dropping-particle":"","family":"Stalenhoef","given":"Anton F H","non-dropping-particle":"","parse-names":false,"suffix":""},{"dropping-particle":"","family":"Stroes","given":"Erik","non-dropping-particle":"","parse-names":false,"suffix":""},{"dropping-particle":"","family":"Taskinen","given":"Marja-Riitta","non-dropping-particle":"","parse-names":false,"suffix":""},{"dropping-particle":"","family":"Tybjaerg-Hansen","given":"Anne","non-dropping-particle":"","parse-names":false,"suffix":""}],"container-title":"European heart journal","id":"ITEM-1","issue":"45","issued":{"date-parts":[["2013","12"]]},"language":"eng","page":"3478-90a","publisher-place":"England","title":"Familial hypercholesterolaemia is underdiagnosed and undertreated in the general  population: guidance for clinicians to prevent coronary heart disease: consensus statement of the European Atherosclerosis Society.","type":"article-journal","volume":"34"},"uris":["http://www.mendeley.com/documents/?uuid=cd8cf69f-b669-4d5d-b3a0-821498944406"]}],"mendeley":{"formattedCitation":"(Borge G Nordestgaard et al., 2013)","plainTextFormattedCitation":"(Borge G Nordestgaard et al., 2013)","previouslyFormattedCitation":"(Borge G Nordestgaard et al., 2013)"},"properties":{"noteIndex":0},"schema":"https://github.com/citation-style-language/schema/raw/master/csl-citation.json"}</w:instrText>
      </w:r>
      <w:r w:rsidR="003F2A88">
        <w:fldChar w:fldCharType="separate"/>
      </w:r>
      <w:r w:rsidR="003F2A88" w:rsidRPr="003F2A88">
        <w:rPr>
          <w:noProof/>
        </w:rPr>
        <w:t>(Borge G Nordestgaard et al., 2013)</w:t>
      </w:r>
      <w:r w:rsidR="003F2A88">
        <w:fldChar w:fldCharType="end"/>
      </w:r>
      <w:r w:rsidR="003F2A88">
        <w:t>. Therefore, it is imperative that individuals with FH are screened and detected early to lower their risk of premature CVD and an adverse cardiac event. Compared to traditional cholesterol screening methods, genetic and cascade screening have been shown to be effective ways of increasing diagnoses of FH.</w:t>
      </w:r>
    </w:p>
    <w:p w14:paraId="732E3446" w14:textId="46ACA512" w:rsidR="003F2A88" w:rsidRDefault="00606BB8" w:rsidP="003F2A88">
      <w:pPr>
        <w:tabs>
          <w:tab w:val="left" w:pos="8610"/>
        </w:tabs>
      </w:pPr>
      <w:r>
        <w:t>Samoa</w:t>
      </w:r>
      <w:r w:rsidR="00C93C40">
        <w:t>n</w:t>
      </w:r>
      <w:r>
        <w:t xml:space="preserve"> and other Polynesian populations have undergone an epidemiological transition</w:t>
      </w:r>
      <w:r w:rsidR="000A78C2">
        <w:tab/>
      </w:r>
      <w:r>
        <w:t xml:space="preserve"> where CVD, diabetes, and obesity have increased due to a shift towards modernization and growing urbanization. Thirty-seven percent of deaths in Samoa were due to CVD and in 2005, 85% of men and 89% of women are overweight </w:t>
      </w:r>
      <w:r>
        <w:fldChar w:fldCharType="begin" w:fldLock="1"/>
      </w:r>
      <w:r>
        <w:instrText>ADDIN CSL_CITATION {"citationItems":[{"id":"ITEM-1","itemData":{"author":[{"dropping-particle":"","family":"World Health Organization","given":"","non-dropping-particle":"","parse-names":false,"suffix":""}],"id":"ITEM-1","issued":{"date-parts":[["2005"]]},"title":"The Impact of Chronic Disease in Samoa","type":"report"},"uris":["http://www.mendeley.com/documents/?uuid=463f9712-dd5b-4355-b4d9-6cb18129ac04"]}],"mendeley":{"formattedCitation":"(World Health Organization, 2005)","plainTextFormattedCitation":"(World Health Organization, 2005)"},"properties":{"noteIndex":0},"schema":"https://github.com/citation-style-language/schema/raw/master/csl-citation.json"}</w:instrText>
      </w:r>
      <w:r>
        <w:fldChar w:fldCharType="separate"/>
      </w:r>
      <w:r w:rsidRPr="00606BB8">
        <w:rPr>
          <w:noProof/>
        </w:rPr>
        <w:t>(World Health Organization, 2005)</w:t>
      </w:r>
      <w:r>
        <w:fldChar w:fldCharType="end"/>
      </w:r>
      <w:r>
        <w:t>.</w:t>
      </w:r>
      <w:r w:rsidR="00395AE9">
        <w:t xml:space="preserve"> However, there</w:t>
      </w:r>
      <w:r>
        <w:t xml:space="preserve"> </w:t>
      </w:r>
      <w:r w:rsidR="00395AE9">
        <w:t>have been no studies looking at the prevalence of FH in the Independent Nation of Samoa or the frequency of FH risk alleles which may be contributing to the prevalence of heart disease in this country.</w:t>
      </w:r>
    </w:p>
    <w:p w14:paraId="4C30161D" w14:textId="4F2FBDE5" w:rsidR="000A78C2" w:rsidRDefault="000A78C2" w:rsidP="00FC5AB8">
      <w:r>
        <w:t xml:space="preserve">This study aimed to identify any known FH pathogenic risk variants in a Samoan population and whether or not it correlates with having an FH phenotype of LDL-cholesterol levels </w:t>
      </w:r>
      <w:r>
        <w:lastRenderedPageBreak/>
        <w:t xml:space="preserve">over 190 mg/dL. These aims were created in order to ascertain whether or not a screening program is necessary in Samoa. Another aim of this study was to observe comorbidities, such as obesity, to see if it has an interacting effect with FH variants on cholesterol levels.  </w:t>
      </w:r>
    </w:p>
    <w:p w14:paraId="61D5E4C0" w14:textId="36453F00" w:rsidR="001B250B" w:rsidRDefault="002E3532" w:rsidP="00FC5AB8">
      <w:r>
        <w:t xml:space="preserve">Of the participants </w:t>
      </w:r>
      <w:r w:rsidR="00C93C40">
        <w:t>for whom</w:t>
      </w:r>
      <w:r>
        <w:t xml:space="preserve"> genotype information</w:t>
      </w:r>
      <w:r w:rsidR="00C93C40">
        <w:t xml:space="preserve"> was available</w:t>
      </w:r>
      <w:r>
        <w:t xml:space="preserve">, 393 had a </w:t>
      </w:r>
      <w:r w:rsidR="00C93C40">
        <w:t xml:space="preserve">potential </w:t>
      </w:r>
      <w:r>
        <w:t xml:space="preserve">pathogenic variant for FH based on information from the NCBI. </w:t>
      </w:r>
      <w:r w:rsidR="001B250B">
        <w:t xml:space="preserve">In </w:t>
      </w:r>
      <w:r w:rsidR="001B250B">
        <w:rPr>
          <w:i/>
          <w:iCs/>
        </w:rPr>
        <w:t xml:space="preserve">LDLR, </w:t>
      </w:r>
      <w:r w:rsidR="008E7962">
        <w:t>21</w:t>
      </w:r>
      <w:r>
        <w:t xml:space="preserve"> </w:t>
      </w:r>
      <w:r w:rsidR="008E7962">
        <w:t>individuals</w:t>
      </w:r>
      <w:r>
        <w:t xml:space="preserve"> had variant</w:t>
      </w:r>
      <w:r w:rsidR="00C93C40">
        <w:t>s</w:t>
      </w:r>
      <w:r>
        <w:t xml:space="preserve"> in</w:t>
      </w:r>
      <w:r>
        <w:rPr>
          <w:i/>
          <w:iCs/>
        </w:rPr>
        <w:t xml:space="preserve"> </w:t>
      </w:r>
      <w:r w:rsidRPr="002E3532">
        <w:t>rs2228671</w:t>
      </w:r>
      <w:r>
        <w:t xml:space="preserve"> </w:t>
      </w:r>
      <w:r w:rsidR="00C93C40">
        <w:t>or</w:t>
      </w:r>
      <w:r>
        <w:t xml:space="preserve"> </w:t>
      </w:r>
      <w:r w:rsidRPr="00C26F3C">
        <w:t>rs140241383</w:t>
      </w:r>
      <w:r>
        <w:t xml:space="preserve">; however, their cholesterol levels did not </w:t>
      </w:r>
      <w:r w:rsidR="00C93C40">
        <w:t>differ from the mean cholesterol levels of individuals who did not have these variants. The less frequent allele for both of these variants coded for the same amino acid as the common allele (Table 6)</w:t>
      </w:r>
      <w:r w:rsidR="008E7962">
        <w:t>;</w:t>
      </w:r>
      <w:r>
        <w:t xml:space="preserve"> therefore</w:t>
      </w:r>
      <w:r w:rsidR="008E7962">
        <w:t xml:space="preserve">, </w:t>
      </w:r>
      <w:r w:rsidR="00C93C40">
        <w:t>these variants were highly unlikely to have an effect</w:t>
      </w:r>
      <w:r>
        <w:t xml:space="preserve">. </w:t>
      </w:r>
    </w:p>
    <w:p w14:paraId="00147622" w14:textId="20C5DDAC" w:rsidR="001B250B" w:rsidRDefault="002E3532" w:rsidP="00FC5AB8">
      <w:r>
        <w:t xml:space="preserve">Two </w:t>
      </w:r>
      <w:r w:rsidR="008E7962">
        <w:t>individuals</w:t>
      </w:r>
      <w:r>
        <w:t xml:space="preserve"> had a pathogenic variant in </w:t>
      </w:r>
      <w:r>
        <w:rPr>
          <w:i/>
          <w:iCs/>
        </w:rPr>
        <w:t>APOB</w:t>
      </w:r>
      <w:r>
        <w:t xml:space="preserve"> (</w:t>
      </w:r>
      <w:r w:rsidR="008E7962">
        <w:t xml:space="preserve">rs760832994) which resulted in a frameshift mutation. The LDL-cholesterol levels for these two individuals reach the clinical threshold for FH; however, there were not enough individuals with this mutation to calculate statistical significance. Based on both LDL-cholesterol levels and the presence of a known pathogenic variant, it is highly likely these two individuals have FH. </w:t>
      </w:r>
    </w:p>
    <w:p w14:paraId="4A0C2E47" w14:textId="57DB34C3" w:rsidR="002226A8" w:rsidRPr="009A7C56" w:rsidRDefault="001B250B" w:rsidP="00FC5AB8">
      <w:r>
        <w:t xml:space="preserve">In </w:t>
      </w:r>
      <w:r>
        <w:rPr>
          <w:i/>
          <w:iCs/>
        </w:rPr>
        <w:t>PCSK9,</w:t>
      </w:r>
      <w:r>
        <w:t xml:space="preserve"> there were </w:t>
      </w:r>
      <w:r w:rsidR="009A7C56" w:rsidRPr="001B250B">
        <w:t>370</w:t>
      </w:r>
      <w:r w:rsidR="009A7C56">
        <w:t xml:space="preserve"> individuals </w:t>
      </w:r>
      <w:r>
        <w:t xml:space="preserve">with a variant in </w:t>
      </w:r>
      <w:r w:rsidR="009A7C56" w:rsidRPr="00C26F3C">
        <w:t>rs371488778</w:t>
      </w:r>
      <w:r w:rsidR="009A7C56">
        <w:t xml:space="preserve">, </w:t>
      </w:r>
      <w:r w:rsidR="009A7C56" w:rsidRPr="00C26F3C">
        <w:t>rs11591147</w:t>
      </w:r>
      <w:r w:rsidR="009A7C56">
        <w:t xml:space="preserve">, </w:t>
      </w:r>
      <w:r>
        <w:t xml:space="preserve">and </w:t>
      </w:r>
      <w:r w:rsidR="009A7C56" w:rsidRPr="00C26F3C">
        <w:t>rs11583680</w:t>
      </w:r>
      <w:r w:rsidR="009A7C56">
        <w:t xml:space="preserve">. The one individual with the </w:t>
      </w:r>
      <w:r w:rsidR="00392621">
        <w:t>in-frame insertion</w:t>
      </w:r>
      <w:r w:rsidR="009A7C56">
        <w:t xml:space="preserve"> variant in </w:t>
      </w:r>
      <w:r w:rsidR="009A7C56" w:rsidRPr="00C26F3C">
        <w:t>rs371488778</w:t>
      </w:r>
      <w:r w:rsidR="007A1400">
        <w:t xml:space="preserve"> (</w:t>
      </w:r>
      <w:proofErr w:type="gramStart"/>
      <w:r w:rsidR="007A1400">
        <w:t>p.Leu</w:t>
      </w:r>
      <w:proofErr w:type="gramEnd"/>
      <w:r w:rsidR="007A1400">
        <w:t>21_Leu22dup)</w:t>
      </w:r>
      <w:r w:rsidR="009A7C56">
        <w:t xml:space="preserve"> ha</w:t>
      </w:r>
      <w:r w:rsidR="00C93C40">
        <w:t>d</w:t>
      </w:r>
      <w:r w:rsidR="00392621">
        <w:t xml:space="preserve"> a</w:t>
      </w:r>
      <w:r w:rsidR="009A7C56">
        <w:t xml:space="preserve"> higher cholesterol level than the </w:t>
      </w:r>
      <w:r w:rsidR="00C93C40">
        <w:t>mean</w:t>
      </w:r>
      <w:r w:rsidR="009A7C56">
        <w:t xml:space="preserve"> level of those with</w:t>
      </w:r>
      <w:r w:rsidR="00C93C40">
        <w:t>out</w:t>
      </w:r>
      <w:r w:rsidR="009A7C56">
        <w:t xml:space="preserve"> the pathogenic </w:t>
      </w:r>
      <w:r w:rsidR="00C93C40">
        <w:t>allele</w:t>
      </w:r>
      <w:r w:rsidR="009A7C56">
        <w:t>; however, it does not reach the clinical levels of FH.</w:t>
      </w:r>
      <w:r w:rsidR="00392621">
        <w:t xml:space="preserve"> </w:t>
      </w:r>
      <w:r w:rsidR="00C93C40">
        <w:t>Effects of other</w:t>
      </w:r>
      <w:r w:rsidR="009A7C56">
        <w:t xml:space="preserve"> genetic and environmental factors may be</w:t>
      </w:r>
      <w:r w:rsidR="00392621">
        <w:t xml:space="preserve"> </w:t>
      </w:r>
      <w:r w:rsidR="00C93C40">
        <w:t>causing</w:t>
      </w:r>
      <w:r w:rsidR="00392621">
        <w:t xml:space="preserve"> the </w:t>
      </w:r>
      <w:r w:rsidR="00D42F66">
        <w:t xml:space="preserve">increased </w:t>
      </w:r>
      <w:r w:rsidR="009A7C56">
        <w:t>cholesterol levels</w:t>
      </w:r>
      <w:r w:rsidR="00D42F66">
        <w:t xml:space="preserve"> for this individual</w:t>
      </w:r>
      <w:r w:rsidR="009A7C56">
        <w:t>.</w:t>
      </w:r>
      <w:r w:rsidR="00D42F66">
        <w:t xml:space="preserve"> Alternatively, other factors may be mitigating the effects of the presumed pathogenic allele for FH. Nevertheless, because their LDL cholesterol level is elevated, this individual is at increased risk for cardiovascular disease.</w:t>
      </w:r>
      <w:r w:rsidR="009A7C56">
        <w:t xml:space="preserve"> Interestingly, </w:t>
      </w:r>
      <w:r w:rsidR="00D42F66">
        <w:t>participants</w:t>
      </w:r>
      <w:r w:rsidR="009A7C56">
        <w:t xml:space="preserve"> with </w:t>
      </w:r>
      <w:r w:rsidR="00392621">
        <w:t>the missense variant</w:t>
      </w:r>
      <w:r w:rsidR="009A7C56">
        <w:t xml:space="preserve"> in </w:t>
      </w:r>
      <w:r w:rsidR="009A7C56" w:rsidRPr="00C26F3C">
        <w:t>rs11591147</w:t>
      </w:r>
      <w:r w:rsidR="007A1400">
        <w:t xml:space="preserve"> (</w:t>
      </w:r>
      <w:proofErr w:type="gramStart"/>
      <w:r w:rsidR="007A1400">
        <w:t>p.Arg</w:t>
      </w:r>
      <w:proofErr w:type="gramEnd"/>
      <w:r w:rsidR="007A1400">
        <w:t>46Leu)</w:t>
      </w:r>
      <w:r w:rsidR="00392621">
        <w:t xml:space="preserve"> have lower total and LDL-cholesterol levels compared to those without the missense </w:t>
      </w:r>
      <w:r w:rsidR="00392621">
        <w:lastRenderedPageBreak/>
        <w:t xml:space="preserve">variant. This mutation </w:t>
      </w:r>
      <w:r w:rsidR="00EE7454">
        <w:t xml:space="preserve">is one of the known loss-of-function mutations found in 3% of European populations that contributed to the discovery of different </w:t>
      </w:r>
      <w:r w:rsidR="00EE7454">
        <w:rPr>
          <w:i/>
          <w:iCs/>
        </w:rPr>
        <w:t xml:space="preserve">PCSK9 </w:t>
      </w:r>
      <w:r w:rsidR="00EE7454">
        <w:t xml:space="preserve">inhibitors. This mutation </w:t>
      </w:r>
      <w:r w:rsidR="00392621">
        <w:t>results in a protein change from arginine to leucine. Arginine has a positive electric side chain which makes it hydrophilic while leucine is hydrophobic.</w:t>
      </w:r>
      <w:r w:rsidR="007A1400">
        <w:t xml:space="preserve"> </w:t>
      </w:r>
      <w:r>
        <w:t xml:space="preserve">Of the 366 individuals with a mutation in </w:t>
      </w:r>
      <w:r w:rsidRPr="00C26F3C">
        <w:t>rs11583680</w:t>
      </w:r>
      <w:r>
        <w:t xml:space="preserve">, all of them have similar cholesterol levels. Although this is a missense mutation, it results in a protein change from alanine to valine. These two amino acids </w:t>
      </w:r>
      <w:r w:rsidRPr="001B250B">
        <w:t>are both hydrophobic, polar amino acids. The resulting change from alanine to valine resulted in a semi-conservative substitution that likely has minimal impact</w:t>
      </w:r>
      <w:r>
        <w:t>.</w:t>
      </w:r>
    </w:p>
    <w:p w14:paraId="42606B1D" w14:textId="38D85410" w:rsidR="006F0644" w:rsidRDefault="00D42F66" w:rsidP="00FC5AB8">
      <w:r>
        <w:t>The mean</w:t>
      </w:r>
      <w:r w:rsidR="006F0644">
        <w:t xml:space="preserve"> LDL-cholesterol level in th</w:t>
      </w:r>
      <w:r>
        <w:t>is</w:t>
      </w:r>
      <w:r w:rsidR="006F0644">
        <w:t xml:space="preserve"> sam</w:t>
      </w:r>
      <w:r>
        <w:t xml:space="preserve">ple </w:t>
      </w:r>
      <w:r w:rsidR="001B250B">
        <w:t>was</w:t>
      </w:r>
      <w:r w:rsidR="00D279C9">
        <w:t xml:space="preserve"> 130 mg/dL</w:t>
      </w:r>
      <w:r w:rsidR="00814043">
        <w:t>,</w:t>
      </w:r>
      <w:r w:rsidR="00D279C9">
        <w:t xml:space="preserve"> which is above the recommended levels of under 100 mg/dL. This</w:t>
      </w:r>
      <w:r>
        <w:t xml:space="preserve"> high level</w:t>
      </w:r>
      <w:r w:rsidR="00D279C9">
        <w:t xml:space="preserve"> may be due to the change in lifestyle and diet </w:t>
      </w:r>
      <w:r>
        <w:t xml:space="preserve">in Samoa </w:t>
      </w:r>
      <w:r w:rsidR="00D279C9">
        <w:t>after modernization.</w:t>
      </w:r>
      <w:r w:rsidR="00814043">
        <w:t xml:space="preserve"> When stratified by sex, the means of</w:t>
      </w:r>
      <w:r w:rsidR="000A0E2B">
        <w:t xml:space="preserve"> the LDL-cholesterol levels were very similar to each other, showing no significant difference in cholesterol levels between males and females.</w:t>
      </w:r>
      <w:r w:rsidR="00D279C9">
        <w:t xml:space="preserve"> The</w:t>
      </w:r>
      <w:r>
        <w:t xml:space="preserve"> plot of the overall</w:t>
      </w:r>
      <w:r w:rsidR="00D279C9">
        <w:t xml:space="preserve"> distribution also </w:t>
      </w:r>
      <w:r w:rsidR="006F0644">
        <w:t>revealed that 135 individuals</w:t>
      </w:r>
      <w:r w:rsidR="00096B98">
        <w:t xml:space="preserve"> (4.6% of the sample population)</w:t>
      </w:r>
      <w:r w:rsidR="006F0644">
        <w:t xml:space="preserve"> ha</w:t>
      </w:r>
      <w:r>
        <w:t>d</w:t>
      </w:r>
      <w:r w:rsidR="00D279C9">
        <w:t xml:space="preserve"> LDL-</w:t>
      </w:r>
      <w:r w:rsidR="006F0644">
        <w:t>cholesterol levels over 190 mg/dL, one of the hallmarks of FH. Although other factors</w:t>
      </w:r>
      <w:r w:rsidR="00955918">
        <w:t xml:space="preserve"> that contribute to high LDL-cholesterol levels</w:t>
      </w:r>
      <w:r w:rsidR="006F0644">
        <w:t xml:space="preserve"> must be taken into account</w:t>
      </w:r>
      <w:r w:rsidR="00955918">
        <w:t xml:space="preserve">, such as diet, exercise, and comorbidities like diabetes, </w:t>
      </w:r>
      <w:r w:rsidR="006F0644" w:rsidRPr="00874B66">
        <w:t>this is a good indication that at least one individual in this sample may have an</w:t>
      </w:r>
      <w:r w:rsidR="00874B66">
        <w:t xml:space="preserve"> unknown or novel</w:t>
      </w:r>
      <w:r w:rsidR="006F0644" w:rsidRPr="00874B66">
        <w:t xml:space="preserve"> FH pathogenic variant</w:t>
      </w:r>
      <w:r w:rsidRPr="00874B66">
        <w:t xml:space="preserve"> </w:t>
      </w:r>
      <w:r w:rsidR="00874B66">
        <w:t>based on the global prevalence of 1 in 250 people</w:t>
      </w:r>
      <w:r w:rsidR="006F0644" w:rsidRPr="00874B66">
        <w:t>.</w:t>
      </w:r>
      <w:r w:rsidR="006F0644">
        <w:t xml:space="preserve"> </w:t>
      </w:r>
      <w:r>
        <w:t xml:space="preserve">As described previously, the two individuals with the </w:t>
      </w:r>
      <w:r w:rsidRPr="00D42F66">
        <w:rPr>
          <w:i/>
          <w:iCs/>
        </w:rPr>
        <w:t>APOB</w:t>
      </w:r>
      <w:r>
        <w:t xml:space="preserve"> frameshift variant rs760832994 most likely have FH. </w:t>
      </w:r>
      <w:r w:rsidR="00673FB5">
        <w:t xml:space="preserve">Future consideration should be taken to investigate the presence of potentially novel variants in the Samoan population. </w:t>
      </w:r>
      <w:r>
        <w:t>Intriguingly, one individual had</w:t>
      </w:r>
      <w:r w:rsidR="00D279C9">
        <w:t xml:space="preserve"> an LDL-cholesterol level of 21 mg/dL.</w:t>
      </w:r>
      <w:r w:rsidR="00EA25D1">
        <w:t xml:space="preserve"> </w:t>
      </w:r>
      <w:r w:rsidR="00D279C9">
        <w:t>Loss</w:t>
      </w:r>
      <w:r w:rsidR="00673FB5">
        <w:t>-</w:t>
      </w:r>
      <w:r w:rsidR="00D279C9">
        <w:t>of</w:t>
      </w:r>
      <w:r w:rsidR="00673FB5">
        <w:t>-</w:t>
      </w:r>
      <w:r w:rsidR="00D279C9">
        <w:t xml:space="preserve">function variants in </w:t>
      </w:r>
      <w:r w:rsidR="00D279C9">
        <w:rPr>
          <w:i/>
          <w:iCs/>
        </w:rPr>
        <w:t>PCSK9</w:t>
      </w:r>
      <w:r w:rsidR="00D279C9">
        <w:t xml:space="preserve"> have been shown to be protective against C</w:t>
      </w:r>
      <w:r w:rsidR="004F40F2">
        <w:t>A</w:t>
      </w:r>
      <w:r w:rsidR="00D279C9">
        <w:t xml:space="preserve">D and </w:t>
      </w:r>
      <w:r w:rsidR="004F40F2">
        <w:t>CVD</w:t>
      </w:r>
      <w:r>
        <w:t xml:space="preserve">, and this individual may also have a </w:t>
      </w:r>
      <w:r>
        <w:rPr>
          <w:i/>
          <w:iCs/>
        </w:rPr>
        <w:lastRenderedPageBreak/>
        <w:t>PCSK9</w:t>
      </w:r>
      <w:r>
        <w:t xml:space="preserve"> variant</w:t>
      </w:r>
      <w:r w:rsidR="004F40F2">
        <w:t xml:space="preserve">. Although this study </w:t>
      </w:r>
      <w:r>
        <w:t>was</w:t>
      </w:r>
      <w:r w:rsidR="004F40F2">
        <w:t xml:space="preserve"> only</w:t>
      </w:r>
      <w:r>
        <w:t xml:space="preserve"> assessing</w:t>
      </w:r>
      <w:r w:rsidR="004F40F2">
        <w:t xml:space="preserve"> pathogenic variants, future studies may look </w:t>
      </w:r>
      <w:r w:rsidR="008B20D4">
        <w:t>for</w:t>
      </w:r>
      <w:r w:rsidR="004F40F2">
        <w:t xml:space="preserve"> protective variants in the Samoan population.</w:t>
      </w:r>
    </w:p>
    <w:p w14:paraId="02A164D9" w14:textId="69F6E56B" w:rsidR="00317018" w:rsidRDefault="00317018" w:rsidP="00FC5AB8">
      <w:r>
        <w:t xml:space="preserve">Besides genetic effects, covariates also play a role in raising LDL-cholesterol levels. </w:t>
      </w:r>
      <w:r w:rsidR="00B25F5F">
        <w:t>Both age</w:t>
      </w:r>
      <w:r w:rsidR="000A0E2B">
        <w:t xml:space="preserve"> and obesity criteria </w:t>
      </w:r>
      <w:r>
        <w:t>had a statistically significant positive association with</w:t>
      </w:r>
      <w:r w:rsidR="00955918">
        <w:t xml:space="preserve"> LDL-cholesterol levels</w:t>
      </w:r>
      <w:r w:rsidR="00B25F5F">
        <w:t>.</w:t>
      </w:r>
      <w:r w:rsidR="00F40BAB">
        <w:t xml:space="preserve"> For every year increase in age, this was associated with a </w:t>
      </w:r>
      <w:r w:rsidR="00B25F5F">
        <w:t xml:space="preserve">0.906 mg/dL increase in LDL-cholesterol levels. This means that for a thirty-year age difference, that would be associated with a 27.18 mg/dL increase in LDL-cholesterol levels. Being overweight or obese is also associated with having higher LDL-cholesterol levels. </w:t>
      </w:r>
      <w:r w:rsidR="008B20D4">
        <w:t>Thus,</w:t>
      </w:r>
      <w:r w:rsidR="00B25F5F">
        <w:t xml:space="preserve"> an individual with an FH pathogenic variant </w:t>
      </w:r>
      <w:r w:rsidR="008B20D4">
        <w:t xml:space="preserve">may have increased (or decreased) levels of LDL-cholesterol depending on their specific suite of covariates. </w:t>
      </w:r>
      <w:r w:rsidR="00EE7454">
        <w:t>Other considerations that need to be taken into account are family health history of high cholesterol and current statin and treatment usage to control cholesterol levels; however, the information provided by this dataset is inadequate to determine the effect of these factors on cholesterol levels.</w:t>
      </w:r>
    </w:p>
    <w:p w14:paraId="546638D7" w14:textId="1DD440CE" w:rsidR="001B250B" w:rsidRPr="00565F1D" w:rsidRDefault="001B250B" w:rsidP="00565F1D">
      <w:pPr>
        <w:pStyle w:val="Heading2"/>
      </w:pPr>
      <w:bookmarkStart w:id="51" w:name="_Toc39065945"/>
      <w:r w:rsidRPr="00565F1D">
        <w:t>Public Health Significance</w:t>
      </w:r>
      <w:bookmarkEnd w:id="51"/>
    </w:p>
    <w:p w14:paraId="46DF364B" w14:textId="6F97E1C8" w:rsidR="001B250B" w:rsidRDefault="008B20D4" w:rsidP="00FC5AB8">
      <w:r>
        <w:t xml:space="preserve">Although the prevalence of CVD in Samoa is high, no studies have been done to assess the prevalence of FH in the Independent Nation of Samoa or the frequency of FH risk alleles. FH is treatable and identifying individuals with this disorder at an early age will enable them to be treated to lower their cholesterol levels and reduce their risk of early onset of CVD. In this study, I ascertained whether any known FH pathogenic risk variants were present in a sample of the Samoan population and also whether these variants were associated with LDL-cholesterol levels over 190 mg/dL. The longer-term goal of the study was to determine whether a genetic screening </w:t>
      </w:r>
      <w:r>
        <w:lastRenderedPageBreak/>
        <w:t xml:space="preserve">program for FH should be implemented. Because I detected only two or three individuals who had known pathogenic variants in genes associated with FH and also had elevated LDL-cholesterol levels, development of a genetic screening program would not be beneficial at this time. The low frequency of known pathogenic variants in the Samoan population may reflect the low global frequency found for these </w:t>
      </w:r>
      <w:r w:rsidR="001B250B">
        <w:t xml:space="preserve">pathogenic variants in other populations. </w:t>
      </w:r>
      <w:r w:rsidR="00673FB5">
        <w:t>However, future considerations</w:t>
      </w:r>
    </w:p>
    <w:p w14:paraId="6FFEF135" w14:textId="5168702D" w:rsidR="008B20D4" w:rsidRDefault="008B20D4" w:rsidP="00FC5AB8">
      <w:r>
        <w:t>The population of Samoa has high rates of obesity, diabetes, and CVD. Notably, the LDL-cholesterol levels are significantly higher than what is recommended by the WHO, 130 mg/dL versus 100 mg/dL, respectively. In addition, 3.9% of the population has LDL-cholesterol levels higher than the 190 mg/dL which is one of the characteristics of individuals with FH. Therefore, as yet unknown variants may affect development of FH in Samoans and future studies are needed to identify these potential variants. As stated above, a genetic testing screening program for FH in Samoa is premature; however, implementing</w:t>
      </w:r>
      <w:r w:rsidR="0055630C">
        <w:t xml:space="preserve"> a global cholesterol screening program to detect individuals in need of statins and heart medication to prevent the onset of CVD may be beneficial.</w:t>
      </w:r>
    </w:p>
    <w:p w14:paraId="1E734C99" w14:textId="77777777" w:rsidR="00C27330" w:rsidRPr="00DF1A1B" w:rsidRDefault="00A23857" w:rsidP="00DF1A1B">
      <w:pPr>
        <w:pStyle w:val="Heading"/>
      </w:pPr>
      <w:bookmarkStart w:id="52" w:name="_Toc8115852"/>
      <w:bookmarkStart w:id="53" w:name="_Toc39065946"/>
      <w:r w:rsidRPr="00DF1A1B">
        <w:lastRenderedPageBreak/>
        <w:t>B</w:t>
      </w:r>
      <w:r w:rsidR="00DA5BA8" w:rsidRPr="00DF1A1B">
        <w:t>ibliography</w:t>
      </w:r>
      <w:bookmarkEnd w:id="52"/>
      <w:bookmarkEnd w:id="53"/>
    </w:p>
    <w:p w14:paraId="4882D29A" w14:textId="7B0BE755" w:rsidR="00606BB8" w:rsidRPr="00606BB8" w:rsidRDefault="00282898" w:rsidP="00606BB8">
      <w:pPr>
        <w:widowControl w:val="0"/>
        <w:autoSpaceDE w:val="0"/>
        <w:autoSpaceDN w:val="0"/>
        <w:adjustRightInd w:val="0"/>
        <w:spacing w:after="240" w:line="240" w:lineRule="auto"/>
        <w:ind w:left="480" w:hanging="480"/>
        <w:rPr>
          <w:noProof/>
        </w:rPr>
      </w:pPr>
      <w:r>
        <w:fldChar w:fldCharType="begin" w:fldLock="1"/>
      </w:r>
      <w:r>
        <w:instrText xml:space="preserve">ADDIN Mendeley Bibliography CSL_BIBLIOGRAPHY </w:instrText>
      </w:r>
      <w:r>
        <w:fldChar w:fldCharType="separate"/>
      </w:r>
      <w:r w:rsidR="00606BB8" w:rsidRPr="00606BB8">
        <w:rPr>
          <w:noProof/>
        </w:rPr>
        <w:t>Ahmad, Z., Newman, C. B., O’Brien, E. C., Shrader, P., deGoma, E. M., Ahmed, C., … Knowles, J. W. (2015). Diagnosing Familial Hypercholesterolemia (FH) in the United States: Results from the CASCADE FH Patient Registry*</w:t>
      </w:r>
      <w:r w:rsidR="00606BB8" w:rsidRPr="00606BB8">
        <w:rPr>
          <w:noProof/>
          <w:vertAlign w:val="superscript"/>
        </w:rPr>
        <w:t>&amp;#x2020;</w:t>
      </w:r>
      <w:r w:rsidR="00606BB8" w:rsidRPr="00606BB8">
        <w:rPr>
          <w:noProof/>
        </w:rPr>
        <w:t xml:space="preserve"> </w:t>
      </w:r>
      <w:r w:rsidR="00606BB8" w:rsidRPr="00606BB8">
        <w:rPr>
          <w:i/>
          <w:iCs/>
          <w:noProof/>
        </w:rPr>
        <w:t>Journal of Clinical Lipidology</w:t>
      </w:r>
      <w:r w:rsidR="00606BB8" w:rsidRPr="00606BB8">
        <w:rPr>
          <w:noProof/>
        </w:rPr>
        <w:t xml:space="preserve">, </w:t>
      </w:r>
      <w:r w:rsidR="00606BB8" w:rsidRPr="00606BB8">
        <w:rPr>
          <w:i/>
          <w:iCs/>
          <w:noProof/>
        </w:rPr>
        <w:t>9</w:t>
      </w:r>
      <w:r w:rsidR="00606BB8" w:rsidRPr="00606BB8">
        <w:rPr>
          <w:noProof/>
        </w:rPr>
        <w:t>(3), 451–452. https://doi.org/10.1016/j.jacl.2015.03.068</w:t>
      </w:r>
    </w:p>
    <w:p w14:paraId="5DD63F20"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Akioyamen, L. E., Genest, J., Shan, S. D., Reel, R. L., Albaum, J. M., Chu, A., &amp; Tu, J. V. (2017). Estimating the prevalence of heterozygous familial hypercholesterolaemia: a  systematic review and meta-analysis. </w:t>
      </w:r>
      <w:r w:rsidRPr="00606BB8">
        <w:rPr>
          <w:i/>
          <w:iCs/>
          <w:noProof/>
        </w:rPr>
        <w:t>BMJ Open</w:t>
      </w:r>
      <w:r w:rsidRPr="00606BB8">
        <w:rPr>
          <w:noProof/>
        </w:rPr>
        <w:t xml:space="preserve">, </w:t>
      </w:r>
      <w:r w:rsidRPr="00606BB8">
        <w:rPr>
          <w:i/>
          <w:iCs/>
          <w:noProof/>
        </w:rPr>
        <w:t>7</w:t>
      </w:r>
      <w:r w:rsidRPr="00606BB8">
        <w:rPr>
          <w:noProof/>
        </w:rPr>
        <w:t>(9), e016461. https://doi.org/10.1136/bmjopen-2017-016461</w:t>
      </w:r>
    </w:p>
    <w:p w14:paraId="7F409F04"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Amrock, S. M., Duell, P. B., Knickelbine, T., Martin, S. S., O’Brien, E. C., Watson, K. E., … Ahmad, Z. S. (2017). Health disparities among adult patients with a phenotypic diagnosis of familial hypercholesterolemia in the CASCADE-FH patient registry. </w:t>
      </w:r>
      <w:r w:rsidRPr="00606BB8">
        <w:rPr>
          <w:i/>
          <w:iCs/>
          <w:noProof/>
        </w:rPr>
        <w:t>Atherosclerosis</w:t>
      </w:r>
      <w:r w:rsidRPr="00606BB8">
        <w:rPr>
          <w:noProof/>
        </w:rPr>
        <w:t xml:space="preserve">, </w:t>
      </w:r>
      <w:r w:rsidRPr="00606BB8">
        <w:rPr>
          <w:i/>
          <w:iCs/>
          <w:noProof/>
        </w:rPr>
        <w:t>267</w:t>
      </w:r>
      <w:r w:rsidRPr="00606BB8">
        <w:rPr>
          <w:noProof/>
        </w:rPr>
        <w:t>, 19–26. https://doi.org/10.1016/j.atherosclerosis.2017.10.006</w:t>
      </w:r>
    </w:p>
    <w:p w14:paraId="6D2147F9"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Andersen, L. H., Miserez, A. R., Ahmad, Z., &amp; Andersen, R. L. (2016). Familial defective apolipoprotein B-100: A review. </w:t>
      </w:r>
      <w:r w:rsidRPr="00606BB8">
        <w:rPr>
          <w:i/>
          <w:iCs/>
          <w:noProof/>
        </w:rPr>
        <w:t>Journal of Clinical Lipidology</w:t>
      </w:r>
      <w:r w:rsidRPr="00606BB8">
        <w:rPr>
          <w:noProof/>
        </w:rPr>
        <w:t xml:space="preserve">, </w:t>
      </w:r>
      <w:r w:rsidRPr="00606BB8">
        <w:rPr>
          <w:i/>
          <w:iCs/>
          <w:noProof/>
        </w:rPr>
        <w:t>10</w:t>
      </w:r>
      <w:r w:rsidRPr="00606BB8">
        <w:rPr>
          <w:noProof/>
        </w:rPr>
        <w:t>(6), 1297–1302. https://doi.org/10.1016/j.jacl.2016.09.009</w:t>
      </w:r>
    </w:p>
    <w:p w14:paraId="30D30E79"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Benjamin, E. J., Virani, S. S., Callaway, C. W., Chamberlain, A. M., Chang, A. R., Cheng, S., … Muntner, P. (2018). Heart Disease and Stroke Statistics-2018 Update: A Report From the American Heart Association. </w:t>
      </w:r>
      <w:r w:rsidRPr="00606BB8">
        <w:rPr>
          <w:i/>
          <w:iCs/>
          <w:noProof/>
        </w:rPr>
        <w:t>Circulation</w:t>
      </w:r>
      <w:r w:rsidRPr="00606BB8">
        <w:rPr>
          <w:noProof/>
        </w:rPr>
        <w:t xml:space="preserve">, </w:t>
      </w:r>
      <w:r w:rsidRPr="00606BB8">
        <w:rPr>
          <w:i/>
          <w:iCs/>
          <w:noProof/>
        </w:rPr>
        <w:t>137</w:t>
      </w:r>
      <w:r w:rsidRPr="00606BB8">
        <w:rPr>
          <w:noProof/>
        </w:rPr>
        <w:t>(12), e67–e492. https://doi.org/10.1161/CIR.0000000000000558</w:t>
      </w:r>
    </w:p>
    <w:p w14:paraId="2BDF0AE7"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Bollars, C., Naseri, T., Thomsen, R., Varghese, C., Sørensen, K., Vriesa, N. de, … Meertens, R. (2018). </w:t>
      </w:r>
      <w:r w:rsidRPr="00606BB8">
        <w:rPr>
          <w:i/>
          <w:iCs/>
          <w:noProof/>
        </w:rPr>
        <w:t>Adapting the WHO package of essential noncommunicable interventions, Samoa</w:t>
      </w:r>
      <w:r w:rsidRPr="00606BB8">
        <w:rPr>
          <w:noProof/>
        </w:rPr>
        <w:t>. https://doi.org/http://dx.doi.org/10.2471/BLT.17.203695</w:t>
      </w:r>
    </w:p>
    <w:p w14:paraId="26B21CAE"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Briel, M., Nordmann, A. J., &amp; Bucher, H. C. (2005). Statin therapy for prevention and treatment of acute and chronic cardiovascular disease: update on recent trials and metaanalyses. </w:t>
      </w:r>
      <w:r w:rsidRPr="00606BB8">
        <w:rPr>
          <w:i/>
          <w:iCs/>
          <w:noProof/>
        </w:rPr>
        <w:t>Current Opinion in Lipidology</w:t>
      </w:r>
      <w:r w:rsidRPr="00606BB8">
        <w:rPr>
          <w:noProof/>
        </w:rPr>
        <w:t xml:space="preserve">, </w:t>
      </w:r>
      <w:r w:rsidRPr="00606BB8">
        <w:rPr>
          <w:i/>
          <w:iCs/>
          <w:noProof/>
        </w:rPr>
        <w:t>16</w:t>
      </w:r>
      <w:r w:rsidRPr="00606BB8">
        <w:rPr>
          <w:noProof/>
        </w:rPr>
        <w:t>(6), 601–605.</w:t>
      </w:r>
    </w:p>
    <w:p w14:paraId="1A03141B"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Bucholz, E. M., Rodday, A. M., Kolor, K., Khoury, M. J., &amp; de Ferranti, S. D. (2018). Prevalence and Predictors of Cholesterol Screening, Awareness, and Statin Treatment Among US Adults With Familial Hypercholesterolemia or Other Forms of Severe Dyslipidemia (1999-2014). </w:t>
      </w:r>
      <w:r w:rsidRPr="00606BB8">
        <w:rPr>
          <w:i/>
          <w:iCs/>
          <w:noProof/>
        </w:rPr>
        <w:t>Circulation</w:t>
      </w:r>
      <w:r w:rsidRPr="00606BB8">
        <w:rPr>
          <w:noProof/>
        </w:rPr>
        <w:t xml:space="preserve">, </w:t>
      </w:r>
      <w:r w:rsidRPr="00606BB8">
        <w:rPr>
          <w:i/>
          <w:iCs/>
          <w:noProof/>
        </w:rPr>
        <w:t>137</w:t>
      </w:r>
      <w:r w:rsidRPr="00606BB8">
        <w:rPr>
          <w:noProof/>
        </w:rPr>
        <w:t>(21), 2218–2230. https://doi.org/10.1161/CIRCULATIONAHA.117.032321</w:t>
      </w:r>
    </w:p>
    <w:p w14:paraId="032721EF" w14:textId="6ED7C77F" w:rsidR="00606BB8" w:rsidRDefault="00606BB8" w:rsidP="00606BB8">
      <w:pPr>
        <w:widowControl w:val="0"/>
        <w:autoSpaceDE w:val="0"/>
        <w:autoSpaceDN w:val="0"/>
        <w:adjustRightInd w:val="0"/>
        <w:spacing w:after="240" w:line="240" w:lineRule="auto"/>
        <w:ind w:left="480" w:hanging="480"/>
        <w:rPr>
          <w:noProof/>
        </w:rPr>
      </w:pPr>
      <w:r w:rsidRPr="00606BB8">
        <w:rPr>
          <w:noProof/>
        </w:rPr>
        <w:t>Centers for Disease Control and Prevention. (2017). Heart Disease Facts. Retrieved September 10, 2019, from https://www.cdc.gov/heartdisease/facts.htm</w:t>
      </w:r>
    </w:p>
    <w:p w14:paraId="670D3943" w14:textId="77777777" w:rsidR="00DF1A1B" w:rsidRPr="00606BB8" w:rsidRDefault="00DF1A1B" w:rsidP="00606BB8">
      <w:pPr>
        <w:widowControl w:val="0"/>
        <w:autoSpaceDE w:val="0"/>
        <w:autoSpaceDN w:val="0"/>
        <w:adjustRightInd w:val="0"/>
        <w:spacing w:after="240" w:line="240" w:lineRule="auto"/>
        <w:ind w:left="480" w:hanging="480"/>
        <w:rPr>
          <w:noProof/>
        </w:rPr>
      </w:pPr>
    </w:p>
    <w:p w14:paraId="0F4D844D"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lastRenderedPageBreak/>
        <w:t xml:space="preserve">Dahlof, B. (2010). Cardiovascular disease risk factors: epidemiology and risk assessment. </w:t>
      </w:r>
      <w:r w:rsidRPr="00606BB8">
        <w:rPr>
          <w:i/>
          <w:iCs/>
          <w:noProof/>
        </w:rPr>
        <w:t>The American Journal of Cardiology</w:t>
      </w:r>
      <w:r w:rsidRPr="00606BB8">
        <w:rPr>
          <w:noProof/>
        </w:rPr>
        <w:t xml:space="preserve">, </w:t>
      </w:r>
      <w:r w:rsidRPr="00606BB8">
        <w:rPr>
          <w:i/>
          <w:iCs/>
          <w:noProof/>
        </w:rPr>
        <w:t>105</w:t>
      </w:r>
      <w:r w:rsidRPr="00606BB8">
        <w:rPr>
          <w:noProof/>
        </w:rPr>
        <w:t>(1 Suppl), 3A-9A. https://doi.org/10.1016/j.amjcard.2009.10.007</w:t>
      </w:r>
    </w:p>
    <w:p w14:paraId="2BD9337A"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El Khoury, P., Elbitar, S., Ghaleb, Y., Khalil, Y. A., Varret, M., Boileau, C., &amp; Abifadel, M. (2017). PCSK9 Mutations in Familial Hypercholesterolemia: from a Groundbreaking Discovery to Anti-PCSK9 Therapies. </w:t>
      </w:r>
      <w:r w:rsidRPr="00606BB8">
        <w:rPr>
          <w:i/>
          <w:iCs/>
          <w:noProof/>
        </w:rPr>
        <w:t>Current Atherosclerosis Reports</w:t>
      </w:r>
      <w:r w:rsidRPr="00606BB8">
        <w:rPr>
          <w:noProof/>
        </w:rPr>
        <w:t xml:space="preserve">, </w:t>
      </w:r>
      <w:r w:rsidRPr="00606BB8">
        <w:rPr>
          <w:i/>
          <w:iCs/>
          <w:noProof/>
        </w:rPr>
        <w:t>19</w:t>
      </w:r>
      <w:r w:rsidRPr="00606BB8">
        <w:rPr>
          <w:noProof/>
        </w:rPr>
        <w:t>(12), 49. https://doi.org/10.1007/s11883-017-0684-8</w:t>
      </w:r>
    </w:p>
    <w:p w14:paraId="46988DF6"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Ezeamama, A. E., Viali, S., Tuitele, J., &amp; McGarvey, S. T. (2006). The influence of socioeconomic factors on cardiovascular disease risk factors in  the context of economic development in the Samoan archipelago. </w:t>
      </w:r>
      <w:r w:rsidRPr="00606BB8">
        <w:rPr>
          <w:i/>
          <w:iCs/>
          <w:noProof/>
        </w:rPr>
        <w:t>Social Science &amp; Medicine (1982)</w:t>
      </w:r>
      <w:r w:rsidRPr="00606BB8">
        <w:rPr>
          <w:noProof/>
        </w:rPr>
        <w:t xml:space="preserve">, </w:t>
      </w:r>
      <w:r w:rsidRPr="00606BB8">
        <w:rPr>
          <w:i/>
          <w:iCs/>
          <w:noProof/>
        </w:rPr>
        <w:t>63</w:t>
      </w:r>
      <w:r w:rsidRPr="00606BB8">
        <w:rPr>
          <w:noProof/>
        </w:rPr>
        <w:t>(10), 2533–2545. https://doi.org/10.1016/j.socscimed.2006.06.023</w:t>
      </w:r>
    </w:p>
    <w:p w14:paraId="658AEA82"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Galanis, D. J., McGarvey, S. T., Quested, C., Sio, B., &amp; Afele-Fa’amuli, S. A. (1999). Dietary intake of modernizing Samoans: implications for risk of cardiovascular disease. </w:t>
      </w:r>
      <w:r w:rsidRPr="00606BB8">
        <w:rPr>
          <w:i/>
          <w:iCs/>
          <w:noProof/>
        </w:rPr>
        <w:t>Journal of the American Dietetic Association</w:t>
      </w:r>
      <w:r w:rsidRPr="00606BB8">
        <w:rPr>
          <w:noProof/>
        </w:rPr>
        <w:t xml:space="preserve">, </w:t>
      </w:r>
      <w:r w:rsidRPr="00606BB8">
        <w:rPr>
          <w:i/>
          <w:iCs/>
          <w:noProof/>
        </w:rPr>
        <w:t>99</w:t>
      </w:r>
      <w:r w:rsidRPr="00606BB8">
        <w:rPr>
          <w:noProof/>
        </w:rPr>
        <w:t>(2), 184–190. https://doi.org/10.1016/s0002-8223(99)00044-9</w:t>
      </w:r>
    </w:p>
    <w:p w14:paraId="1D537CC2"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Goldberg, A. C., Hopkins, P. N., Toth, P. P., Ballantyne, C. M., Rader, D. J., Robinson, J. G., … Ziajka, P. E. (2011). Familial hypercholesterolemia: screening, diagnosis and management of pediatric and adult patients: clinical guidance from the National Lipid Association Expert Panel on Familial Hypercholesterolemia. </w:t>
      </w:r>
      <w:r w:rsidRPr="00606BB8">
        <w:rPr>
          <w:i/>
          <w:iCs/>
          <w:noProof/>
        </w:rPr>
        <w:t>Journal of Clinical Lipidology</w:t>
      </w:r>
      <w:r w:rsidRPr="00606BB8">
        <w:rPr>
          <w:noProof/>
        </w:rPr>
        <w:t xml:space="preserve">, </w:t>
      </w:r>
      <w:r w:rsidRPr="00606BB8">
        <w:rPr>
          <w:i/>
          <w:iCs/>
          <w:noProof/>
        </w:rPr>
        <w:t>5</w:t>
      </w:r>
      <w:r w:rsidRPr="00606BB8">
        <w:rPr>
          <w:noProof/>
        </w:rPr>
        <w:t>(3 Suppl), S1-8. https://doi.org/10.1016/j.jacl.2011.04.003</w:t>
      </w:r>
    </w:p>
    <w:p w14:paraId="26E5D7CC"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Green, R. C., Berg, J. S., Grody, W. W., Kalia, S. S., Korf, B. R., Martin, C. L., … Biesecker, L. G. (2013). ACMG recommendations for reporting of incidental findings in clinical exome and genome sequencing. </w:t>
      </w:r>
      <w:r w:rsidRPr="00606BB8">
        <w:rPr>
          <w:i/>
          <w:iCs/>
          <w:noProof/>
        </w:rPr>
        <w:t>Genetics in Medicine : Official Journal of the American College of Medical Genetics</w:t>
      </w:r>
      <w:r w:rsidRPr="00606BB8">
        <w:rPr>
          <w:noProof/>
        </w:rPr>
        <w:t xml:space="preserve">, </w:t>
      </w:r>
      <w:r w:rsidRPr="00606BB8">
        <w:rPr>
          <w:i/>
          <w:iCs/>
          <w:noProof/>
        </w:rPr>
        <w:t>15</w:t>
      </w:r>
      <w:r w:rsidRPr="00606BB8">
        <w:rPr>
          <w:noProof/>
        </w:rPr>
        <w:t>(7), 565–574. https://doi.org/10.1038/gim.2013.73</w:t>
      </w:r>
    </w:p>
    <w:p w14:paraId="5A948539"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Hawley, N. L., Minster, R. L., Weeks, D. E., Viali, S., Reupena, M. S., Sun, G., … Mcgarvey, S. T. (2014). Prevalence of adiposity and associated cardiometabolic risk factors in the samoan genome-wide association study. </w:t>
      </w:r>
      <w:r w:rsidRPr="00606BB8">
        <w:rPr>
          <w:i/>
          <w:iCs/>
          <w:noProof/>
        </w:rPr>
        <w:t>American Journal of Human Biology</w:t>
      </w:r>
      <w:r w:rsidRPr="00606BB8">
        <w:rPr>
          <w:noProof/>
        </w:rPr>
        <w:t xml:space="preserve">, </w:t>
      </w:r>
      <w:r w:rsidRPr="00606BB8">
        <w:rPr>
          <w:i/>
          <w:iCs/>
          <w:noProof/>
        </w:rPr>
        <w:t>26</w:t>
      </w:r>
      <w:r w:rsidRPr="00606BB8">
        <w:rPr>
          <w:noProof/>
        </w:rPr>
        <w:t>(4), 491–501. https://doi.org/10.1002/ajhb.22553</w:t>
      </w:r>
    </w:p>
    <w:p w14:paraId="0EC7CCED"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Hawley, N. L., Wier, L. M., Cash, H. L., Viali, S., Tuitele, J., &amp; McGarvey, S. T. (2012). Modernization and cardiometabolic risk in Samoan adolescents. </w:t>
      </w:r>
      <w:r w:rsidRPr="00606BB8">
        <w:rPr>
          <w:i/>
          <w:iCs/>
          <w:noProof/>
        </w:rPr>
        <w:t>American Journal of Human Biology : The Official Journal of the Human Biology  Council</w:t>
      </w:r>
      <w:r w:rsidRPr="00606BB8">
        <w:rPr>
          <w:noProof/>
        </w:rPr>
        <w:t xml:space="preserve">, </w:t>
      </w:r>
      <w:r w:rsidRPr="00606BB8">
        <w:rPr>
          <w:i/>
          <w:iCs/>
          <w:noProof/>
        </w:rPr>
        <w:t>24</w:t>
      </w:r>
      <w:r w:rsidRPr="00606BB8">
        <w:rPr>
          <w:noProof/>
        </w:rPr>
        <w:t>(4), 551–557. https://doi.org/10.1002/ajhb.22269</w:t>
      </w:r>
    </w:p>
    <w:p w14:paraId="220D652F"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Hobbs, H. H., Brown, M. S., &amp; Goldstein, J. L. (1992). Molecular genetics of the LDL receptor gene in familial hypercholesterolemia. </w:t>
      </w:r>
      <w:r w:rsidRPr="00606BB8">
        <w:rPr>
          <w:i/>
          <w:iCs/>
          <w:noProof/>
        </w:rPr>
        <w:t>Human Mutation</w:t>
      </w:r>
      <w:r w:rsidRPr="00606BB8">
        <w:rPr>
          <w:noProof/>
        </w:rPr>
        <w:t xml:space="preserve">, </w:t>
      </w:r>
      <w:r w:rsidRPr="00606BB8">
        <w:rPr>
          <w:i/>
          <w:iCs/>
          <w:noProof/>
        </w:rPr>
        <w:t>1</w:t>
      </w:r>
      <w:r w:rsidRPr="00606BB8">
        <w:rPr>
          <w:noProof/>
        </w:rPr>
        <w:t>(6), 445–466. https://doi.org/10.1002/humu.1380010602</w:t>
      </w:r>
    </w:p>
    <w:p w14:paraId="76EF81AE" w14:textId="015AAF5D" w:rsidR="00606BB8" w:rsidRDefault="00606BB8" w:rsidP="00606BB8">
      <w:pPr>
        <w:widowControl w:val="0"/>
        <w:autoSpaceDE w:val="0"/>
        <w:autoSpaceDN w:val="0"/>
        <w:adjustRightInd w:val="0"/>
        <w:spacing w:after="240" w:line="240" w:lineRule="auto"/>
        <w:ind w:left="480" w:hanging="480"/>
        <w:rPr>
          <w:noProof/>
        </w:rPr>
      </w:pPr>
      <w:r w:rsidRPr="00606BB8">
        <w:rPr>
          <w:noProof/>
        </w:rPr>
        <w:t>Institute of Health Metrics and Evaluation. (2019). Samoa. Retrieved from http://www.healthdata.org/samoa</w:t>
      </w:r>
    </w:p>
    <w:p w14:paraId="0F06251B" w14:textId="77777777" w:rsidR="00DF1A1B" w:rsidRPr="00606BB8" w:rsidRDefault="00DF1A1B" w:rsidP="00606BB8">
      <w:pPr>
        <w:widowControl w:val="0"/>
        <w:autoSpaceDE w:val="0"/>
        <w:autoSpaceDN w:val="0"/>
        <w:adjustRightInd w:val="0"/>
        <w:spacing w:after="240" w:line="240" w:lineRule="auto"/>
        <w:ind w:left="480" w:hanging="480"/>
        <w:rPr>
          <w:noProof/>
        </w:rPr>
      </w:pPr>
    </w:p>
    <w:p w14:paraId="5D4EE699"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lastRenderedPageBreak/>
        <w:t xml:space="preserve">Insull, W. J. (2009). The pathology of atherosclerosis: plaque development and plaque responses to medical treatment. </w:t>
      </w:r>
      <w:r w:rsidRPr="00606BB8">
        <w:rPr>
          <w:i/>
          <w:iCs/>
          <w:noProof/>
        </w:rPr>
        <w:t>The American Journal of Medicine</w:t>
      </w:r>
      <w:r w:rsidRPr="00606BB8">
        <w:rPr>
          <w:noProof/>
        </w:rPr>
        <w:t xml:space="preserve">, </w:t>
      </w:r>
      <w:r w:rsidRPr="00606BB8">
        <w:rPr>
          <w:i/>
          <w:iCs/>
          <w:noProof/>
        </w:rPr>
        <w:t>122</w:t>
      </w:r>
      <w:r w:rsidRPr="00606BB8">
        <w:rPr>
          <w:noProof/>
        </w:rPr>
        <w:t>(1 Suppl), S3–S14. https://doi.org/10.1016/j.amjmed.2008.10.013</w:t>
      </w:r>
    </w:p>
    <w:p w14:paraId="36F1551F"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Juarez, D. T., Samoa, R. A., Chung, R. S., &amp; Seto, T. B. (2010). Disparities in health, obesity and access to care among an insured population of  Asian and Pacific Islander Americans in Hawai’i. </w:t>
      </w:r>
      <w:r w:rsidRPr="00606BB8">
        <w:rPr>
          <w:i/>
          <w:iCs/>
          <w:noProof/>
        </w:rPr>
        <w:t>Hawaii Medical Journal</w:t>
      </w:r>
      <w:r w:rsidRPr="00606BB8">
        <w:rPr>
          <w:noProof/>
        </w:rPr>
        <w:t xml:space="preserve">, </w:t>
      </w:r>
      <w:r w:rsidRPr="00606BB8">
        <w:rPr>
          <w:i/>
          <w:iCs/>
          <w:noProof/>
        </w:rPr>
        <w:t>69</w:t>
      </w:r>
      <w:r w:rsidRPr="00606BB8">
        <w:rPr>
          <w:noProof/>
        </w:rPr>
        <w:t>(2), 42–46.</w:t>
      </w:r>
    </w:p>
    <w:p w14:paraId="635B626C"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Kaholokula, J. K., Saito, E., Mau, M. K., Latimer, R., &amp; Seto, T. B. (2008). Pacific Islanders’ perspectives on heart failure management. </w:t>
      </w:r>
      <w:r w:rsidRPr="00606BB8">
        <w:rPr>
          <w:i/>
          <w:iCs/>
          <w:noProof/>
        </w:rPr>
        <w:t>Patient Education and Counseling</w:t>
      </w:r>
      <w:r w:rsidRPr="00606BB8">
        <w:rPr>
          <w:noProof/>
        </w:rPr>
        <w:t xml:space="preserve">, </w:t>
      </w:r>
      <w:r w:rsidRPr="00606BB8">
        <w:rPr>
          <w:i/>
          <w:iCs/>
          <w:noProof/>
        </w:rPr>
        <w:t>70</w:t>
      </w:r>
      <w:r w:rsidRPr="00606BB8">
        <w:rPr>
          <w:noProof/>
        </w:rPr>
        <w:t>(2), 281–291. https://doi.org/10.1016/j.pec.2007.10.015</w:t>
      </w:r>
    </w:p>
    <w:p w14:paraId="43DBB31C"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Kurian, A. K., &amp; Cardarelli, K. M. (2007). Racial and ethnic differences in cardiovascular disease risk factors: a systematic review. </w:t>
      </w:r>
      <w:r w:rsidRPr="00606BB8">
        <w:rPr>
          <w:i/>
          <w:iCs/>
          <w:noProof/>
        </w:rPr>
        <w:t>Ethnicity &amp; Disease</w:t>
      </w:r>
      <w:r w:rsidRPr="00606BB8">
        <w:rPr>
          <w:noProof/>
        </w:rPr>
        <w:t xml:space="preserve">, </w:t>
      </w:r>
      <w:r w:rsidRPr="00606BB8">
        <w:rPr>
          <w:i/>
          <w:iCs/>
          <w:noProof/>
        </w:rPr>
        <w:t>17</w:t>
      </w:r>
      <w:r w:rsidRPr="00606BB8">
        <w:rPr>
          <w:noProof/>
        </w:rPr>
        <w:t>(1), 143–152.</w:t>
      </w:r>
    </w:p>
    <w:p w14:paraId="5E7305E6"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Leigh, S., Futema, M., Whittall, R., Taylor-Beadling, A., Williams, M., den Dunnen, J. T., &amp; Humphries, S. E. (2017). The UCL low-density lipoprotein receptor gene variant database: pathogenicity update. </w:t>
      </w:r>
      <w:r w:rsidRPr="00606BB8">
        <w:rPr>
          <w:i/>
          <w:iCs/>
          <w:noProof/>
        </w:rPr>
        <w:t>Journal of Medical Genetics</w:t>
      </w:r>
      <w:r w:rsidRPr="00606BB8">
        <w:rPr>
          <w:noProof/>
        </w:rPr>
        <w:t xml:space="preserve">, </w:t>
      </w:r>
      <w:r w:rsidRPr="00606BB8">
        <w:rPr>
          <w:i/>
          <w:iCs/>
          <w:noProof/>
        </w:rPr>
        <w:t>54</w:t>
      </w:r>
      <w:r w:rsidRPr="00606BB8">
        <w:rPr>
          <w:noProof/>
        </w:rPr>
        <w:t>(4), 217–223. https://doi.org/10.1136/jmedgenet-2016-104054</w:t>
      </w:r>
    </w:p>
    <w:p w14:paraId="7DB62264"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Masana, L., Zamora, A., Plana, N., Comas-Cufí, M., Garcia-Gil, M., Martí-Lluch, R., … Ramos, R. (2019). Incidence of Cardiovascular Disease in Patients with Familial Hypercholesterolemia  Phenotype: Analysis of 5 Years Follow-Up of Real-World Data from More than 1.5 Million Patients. </w:t>
      </w:r>
      <w:r w:rsidRPr="00606BB8">
        <w:rPr>
          <w:i/>
          <w:iCs/>
          <w:noProof/>
        </w:rPr>
        <w:t>Journal of Clinical Medicine</w:t>
      </w:r>
      <w:r w:rsidRPr="00606BB8">
        <w:rPr>
          <w:noProof/>
        </w:rPr>
        <w:t xml:space="preserve">, </w:t>
      </w:r>
      <w:r w:rsidRPr="00606BB8">
        <w:rPr>
          <w:i/>
          <w:iCs/>
          <w:noProof/>
        </w:rPr>
        <w:t>8</w:t>
      </w:r>
      <w:r w:rsidRPr="00606BB8">
        <w:rPr>
          <w:noProof/>
        </w:rPr>
        <w:t>(7). https://doi.org/10.3390/jcm8071080</w:t>
      </w:r>
    </w:p>
    <w:p w14:paraId="4F524E5D"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McGarvey, S. T., Levinson, P. D., Bausser-Man, L., Galanis, D. J., &amp; Hornick, C. A. (1993). Population change in adult obesity and blood lipids in American Samoa from 1976-1978 to 1990. </w:t>
      </w:r>
      <w:r w:rsidRPr="00606BB8">
        <w:rPr>
          <w:i/>
          <w:iCs/>
          <w:noProof/>
        </w:rPr>
        <w:t>American Journal of Human Biology : The Official Journal of the Human Biology Council</w:t>
      </w:r>
      <w:r w:rsidRPr="00606BB8">
        <w:rPr>
          <w:noProof/>
        </w:rPr>
        <w:t xml:space="preserve">, </w:t>
      </w:r>
      <w:r w:rsidRPr="00606BB8">
        <w:rPr>
          <w:i/>
          <w:iCs/>
          <w:noProof/>
        </w:rPr>
        <w:t>5</w:t>
      </w:r>
      <w:r w:rsidRPr="00606BB8">
        <w:rPr>
          <w:noProof/>
        </w:rPr>
        <w:t>(1), 17–30. https://doi.org/10.1002/ajhb.1310050106</w:t>
      </w:r>
    </w:p>
    <w:p w14:paraId="23951F54"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McGowan, M. P., Hosseini Dehkordi, S. H., Moriarty, P. M., &amp; Duell, P. B. (2019). Diagnosis and Treatment of Heterozygous Familial Hypercholesterolemia. </w:t>
      </w:r>
      <w:r w:rsidRPr="00606BB8">
        <w:rPr>
          <w:i/>
          <w:iCs/>
          <w:noProof/>
        </w:rPr>
        <w:t>Journal of the American Heart Association</w:t>
      </w:r>
      <w:r w:rsidRPr="00606BB8">
        <w:rPr>
          <w:noProof/>
        </w:rPr>
        <w:t xml:space="preserve">, </w:t>
      </w:r>
      <w:r w:rsidRPr="00606BB8">
        <w:rPr>
          <w:i/>
          <w:iCs/>
          <w:noProof/>
        </w:rPr>
        <w:t>8</w:t>
      </w:r>
      <w:r w:rsidRPr="00606BB8">
        <w:rPr>
          <w:noProof/>
        </w:rPr>
        <w:t>(24), e013225. https://doi.org/10.1161/JAHA.119.013225</w:t>
      </w:r>
    </w:p>
    <w:p w14:paraId="2ADF8F51"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Mills, E. J., Rachlis, B., Wu, P., Devereaux, P. J., Arora, P., &amp; Perri, D. (2008). Primary prevention of cardiovascular mortality and events with statin treatments: a network meta-analysis involving more than 65,000 patients. </w:t>
      </w:r>
      <w:r w:rsidRPr="00606BB8">
        <w:rPr>
          <w:i/>
          <w:iCs/>
          <w:noProof/>
        </w:rPr>
        <w:t>Journal of the American College of Cardiology</w:t>
      </w:r>
      <w:r w:rsidRPr="00606BB8">
        <w:rPr>
          <w:noProof/>
        </w:rPr>
        <w:t xml:space="preserve">, </w:t>
      </w:r>
      <w:r w:rsidRPr="00606BB8">
        <w:rPr>
          <w:i/>
          <w:iCs/>
          <w:noProof/>
        </w:rPr>
        <w:t>52</w:t>
      </w:r>
      <w:r w:rsidRPr="00606BB8">
        <w:rPr>
          <w:noProof/>
        </w:rPr>
        <w:t>(22), 1769–1781. https://doi.org/10.1016/j.jacc.2008.08.039</w:t>
      </w:r>
    </w:p>
    <w:p w14:paraId="5D89D9EF"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Ned, R. M., &amp; Sijbrands, E. J. G. (2011). Cascade Screening for Familial Hypercholesterolemia (FH). </w:t>
      </w:r>
      <w:r w:rsidRPr="00606BB8">
        <w:rPr>
          <w:i/>
          <w:iCs/>
          <w:noProof/>
        </w:rPr>
        <w:t>PLoS Currents</w:t>
      </w:r>
      <w:r w:rsidRPr="00606BB8">
        <w:rPr>
          <w:noProof/>
        </w:rPr>
        <w:t xml:space="preserve">, </w:t>
      </w:r>
      <w:r w:rsidRPr="00606BB8">
        <w:rPr>
          <w:i/>
          <w:iCs/>
          <w:noProof/>
        </w:rPr>
        <w:t>3</w:t>
      </w:r>
      <w:r w:rsidRPr="00606BB8">
        <w:rPr>
          <w:noProof/>
        </w:rPr>
        <w:t>, RRN1238–RRN1238. https://doi.org/10.1371/currents.RRN1238</w:t>
      </w:r>
    </w:p>
    <w:p w14:paraId="0C7A98EB" w14:textId="79CA37A0" w:rsid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Nordestgaard, Børge G, &amp; Benn, M. (2017). Genetic testing for familial hypercholesterolaemia is essential in individuals with high LDL cholesterol: who does it in the world? </w:t>
      </w:r>
      <w:r w:rsidRPr="00606BB8">
        <w:rPr>
          <w:i/>
          <w:iCs/>
          <w:noProof/>
        </w:rPr>
        <w:t>European Heart Journal</w:t>
      </w:r>
      <w:r w:rsidRPr="00606BB8">
        <w:rPr>
          <w:noProof/>
        </w:rPr>
        <w:t xml:space="preserve">, </w:t>
      </w:r>
      <w:r w:rsidRPr="00606BB8">
        <w:rPr>
          <w:i/>
          <w:iCs/>
          <w:noProof/>
        </w:rPr>
        <w:t>38</w:t>
      </w:r>
      <w:r w:rsidRPr="00606BB8">
        <w:rPr>
          <w:noProof/>
        </w:rPr>
        <w:t>(20), 1580–1583. https://doi.org/10.1093/eurheartj/ehx136</w:t>
      </w:r>
    </w:p>
    <w:p w14:paraId="5DC4F104" w14:textId="77777777" w:rsidR="00DF1A1B" w:rsidRPr="00606BB8" w:rsidRDefault="00DF1A1B" w:rsidP="00606BB8">
      <w:pPr>
        <w:widowControl w:val="0"/>
        <w:autoSpaceDE w:val="0"/>
        <w:autoSpaceDN w:val="0"/>
        <w:adjustRightInd w:val="0"/>
        <w:spacing w:after="240" w:line="240" w:lineRule="auto"/>
        <w:ind w:left="480" w:hanging="480"/>
        <w:rPr>
          <w:noProof/>
        </w:rPr>
      </w:pPr>
    </w:p>
    <w:p w14:paraId="564922D9"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lastRenderedPageBreak/>
        <w:t xml:space="preserve">Nordestgaard, Borge G, Chapman, M. J., Humphries, S. E., Ginsberg, H. N., Masana, L., Descamps, O. S., … Tybjaerg-Hansen, A. (2013). Familial hypercholesterolaemia is underdiagnosed and undertreated in the general  population: guidance for clinicians to prevent coronary heart disease: consensus statement of the European Atherosclerosis Society. </w:t>
      </w:r>
      <w:r w:rsidRPr="00606BB8">
        <w:rPr>
          <w:i/>
          <w:iCs/>
          <w:noProof/>
        </w:rPr>
        <w:t>European Heart Journal</w:t>
      </w:r>
      <w:r w:rsidRPr="00606BB8">
        <w:rPr>
          <w:noProof/>
        </w:rPr>
        <w:t xml:space="preserve">, </w:t>
      </w:r>
      <w:r w:rsidRPr="00606BB8">
        <w:rPr>
          <w:i/>
          <w:iCs/>
          <w:noProof/>
        </w:rPr>
        <w:t>34</w:t>
      </w:r>
      <w:r w:rsidRPr="00606BB8">
        <w:rPr>
          <w:noProof/>
        </w:rPr>
        <w:t>(45), 3478-90a. https://doi.org/10.1093/eurheartj/eht273</w:t>
      </w:r>
    </w:p>
    <w:p w14:paraId="4ECAB081"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Ogura, M. (2018). PCSK9 inhibition in the management of familial hypercholesterolemia. </w:t>
      </w:r>
      <w:r w:rsidRPr="00606BB8">
        <w:rPr>
          <w:i/>
          <w:iCs/>
          <w:noProof/>
        </w:rPr>
        <w:t>Journal of Cardiology</w:t>
      </w:r>
      <w:r w:rsidRPr="00606BB8">
        <w:rPr>
          <w:noProof/>
        </w:rPr>
        <w:t xml:space="preserve">, </w:t>
      </w:r>
      <w:r w:rsidRPr="00606BB8">
        <w:rPr>
          <w:i/>
          <w:iCs/>
          <w:noProof/>
        </w:rPr>
        <w:t>71</w:t>
      </w:r>
      <w:r w:rsidRPr="00606BB8">
        <w:rPr>
          <w:noProof/>
        </w:rPr>
        <w:t>(1), 1–7. https://doi.org/10.1016/j.jjcc.2017.07.002</w:t>
      </w:r>
    </w:p>
    <w:p w14:paraId="50E21E41"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Papademetriou, V., Stavropoulos, K., Papadopoulos, C., Koutsampasopoulos, K., Dimitriadis, K., &amp; Tsioufis, K. (2018). Role of PCSK9 Inhibitors in High Risk Patients with Dyslipidemia: Focus on Familial Hypercholesterolemia. </w:t>
      </w:r>
      <w:r w:rsidRPr="00606BB8">
        <w:rPr>
          <w:i/>
          <w:iCs/>
          <w:noProof/>
        </w:rPr>
        <w:t>Current Pharmaceutical Design</w:t>
      </w:r>
      <w:r w:rsidRPr="00606BB8">
        <w:rPr>
          <w:noProof/>
        </w:rPr>
        <w:t xml:space="preserve">, </w:t>
      </w:r>
      <w:r w:rsidRPr="00606BB8">
        <w:rPr>
          <w:i/>
          <w:iCs/>
          <w:noProof/>
        </w:rPr>
        <w:t>24</w:t>
      </w:r>
      <w:r w:rsidRPr="00606BB8">
        <w:rPr>
          <w:noProof/>
        </w:rPr>
        <w:t>(31), 3647–3653. https://doi.org/10.2174/1381612824666181010124657</w:t>
      </w:r>
    </w:p>
    <w:p w14:paraId="0DAF71D8"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Richards, S., Aziz, N., Bale, S., Bick, D., Das, S., Gastier-Foster, J., … Rehm, H. L. (2015). Standards and guidelines for the interpretation of sequence variants: a joint  consensus recommendation of the American College of Medical Genetics and Genomics and the Association for Molecular Pathology. </w:t>
      </w:r>
      <w:r w:rsidRPr="00606BB8">
        <w:rPr>
          <w:i/>
          <w:iCs/>
          <w:noProof/>
        </w:rPr>
        <w:t>Genetics in Medicine : Official Journal of the American College of Medical Genetics</w:t>
      </w:r>
      <w:r w:rsidRPr="00606BB8">
        <w:rPr>
          <w:noProof/>
        </w:rPr>
        <w:t xml:space="preserve">, </w:t>
      </w:r>
      <w:r w:rsidRPr="00606BB8">
        <w:rPr>
          <w:i/>
          <w:iCs/>
          <w:noProof/>
        </w:rPr>
        <w:t>17</w:t>
      </w:r>
      <w:r w:rsidRPr="00606BB8">
        <w:rPr>
          <w:noProof/>
        </w:rPr>
        <w:t>(5), 405–424. https://doi.org/10.1038/gim.2015.30</w:t>
      </w:r>
    </w:p>
    <w:p w14:paraId="1EAF10DC"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Sanchis-Gomar, F., Perez-Quilis, C., Leischik, R., &amp; Lucia, A. (2016). Epidemiology of coronary heart disease and acute coronary syndrome. </w:t>
      </w:r>
      <w:r w:rsidRPr="00606BB8">
        <w:rPr>
          <w:i/>
          <w:iCs/>
          <w:noProof/>
        </w:rPr>
        <w:t>Annals of Translational Medicine</w:t>
      </w:r>
      <w:r w:rsidRPr="00606BB8">
        <w:rPr>
          <w:noProof/>
        </w:rPr>
        <w:t xml:space="preserve">, </w:t>
      </w:r>
      <w:r w:rsidRPr="00606BB8">
        <w:rPr>
          <w:i/>
          <w:iCs/>
          <w:noProof/>
        </w:rPr>
        <w:t>4</w:t>
      </w:r>
      <w:r w:rsidRPr="00606BB8">
        <w:rPr>
          <w:noProof/>
        </w:rPr>
        <w:t>(13), 256. https://doi.org/10.21037/atm.2016.06.33</w:t>
      </w:r>
    </w:p>
    <w:p w14:paraId="3D2693E6"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Sharifi, M., Futema, M., Nair, D., &amp; Humphries, S. E. (2017). Genetic Architecture of Familial Hypercholesterolaemia. </w:t>
      </w:r>
      <w:r w:rsidRPr="00606BB8">
        <w:rPr>
          <w:i/>
          <w:iCs/>
          <w:noProof/>
        </w:rPr>
        <w:t>Current Cardiology Reports</w:t>
      </w:r>
      <w:r w:rsidRPr="00606BB8">
        <w:rPr>
          <w:noProof/>
        </w:rPr>
        <w:t xml:space="preserve">, </w:t>
      </w:r>
      <w:r w:rsidRPr="00606BB8">
        <w:rPr>
          <w:i/>
          <w:iCs/>
          <w:noProof/>
        </w:rPr>
        <w:t>19</w:t>
      </w:r>
      <w:r w:rsidRPr="00606BB8">
        <w:rPr>
          <w:noProof/>
        </w:rPr>
        <w:t>(5), 44. https://doi.org/10.1007/s11886-017-0848-8</w:t>
      </w:r>
    </w:p>
    <w:p w14:paraId="0C04BF71"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Sharifi, M., Rakhit, R. D., Humphries, S. E., &amp; Nair, D. (2016). Cardiovascular risk stratification in familial hypercholesterolaemia. </w:t>
      </w:r>
      <w:r w:rsidRPr="00606BB8">
        <w:rPr>
          <w:i/>
          <w:iCs/>
          <w:noProof/>
        </w:rPr>
        <w:t>Heart (British Cardiac Society)</w:t>
      </w:r>
      <w:r w:rsidRPr="00606BB8">
        <w:rPr>
          <w:noProof/>
        </w:rPr>
        <w:t xml:space="preserve">, </w:t>
      </w:r>
      <w:r w:rsidRPr="00606BB8">
        <w:rPr>
          <w:i/>
          <w:iCs/>
          <w:noProof/>
        </w:rPr>
        <w:t>102</w:t>
      </w:r>
      <w:r w:rsidRPr="00606BB8">
        <w:rPr>
          <w:noProof/>
        </w:rPr>
        <w:t>(13), 1003–1008. https://doi.org/10.1136/heartjnl-2015-308845</w:t>
      </w:r>
    </w:p>
    <w:p w14:paraId="2D310035"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Siaki, L. A., Loescher, L. J., &amp; Ritter, L. (2012). A cultural perspective of Samoans’ perceived risk of cardiovascular disease and diabetes. </w:t>
      </w:r>
      <w:r w:rsidRPr="00606BB8">
        <w:rPr>
          <w:i/>
          <w:iCs/>
          <w:noProof/>
        </w:rPr>
        <w:t>The Journal of Cardiovascular Nursing</w:t>
      </w:r>
      <w:r w:rsidRPr="00606BB8">
        <w:rPr>
          <w:noProof/>
        </w:rPr>
        <w:t xml:space="preserve">, </w:t>
      </w:r>
      <w:r w:rsidRPr="00606BB8">
        <w:rPr>
          <w:i/>
          <w:iCs/>
          <w:noProof/>
        </w:rPr>
        <w:t>27</w:t>
      </w:r>
      <w:r w:rsidRPr="00606BB8">
        <w:rPr>
          <w:noProof/>
        </w:rPr>
        <w:t>(6), 468–475. https://doi.org/10.1097/JCN.0b013e31822b9be3</w:t>
      </w:r>
    </w:p>
    <w:p w14:paraId="4BE1C6E6"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Singh, S., &amp; Bittner, V. (2015). Familial Hypercholesterolemia---Epidemiology, Diagnosis, and Screening. </w:t>
      </w:r>
      <w:r w:rsidRPr="00606BB8">
        <w:rPr>
          <w:i/>
          <w:iCs/>
          <w:noProof/>
        </w:rPr>
        <w:t>Current Atherosclerosis Reports</w:t>
      </w:r>
      <w:r w:rsidRPr="00606BB8">
        <w:rPr>
          <w:noProof/>
        </w:rPr>
        <w:t xml:space="preserve">, </w:t>
      </w:r>
      <w:r w:rsidRPr="00606BB8">
        <w:rPr>
          <w:i/>
          <w:iCs/>
          <w:noProof/>
        </w:rPr>
        <w:t>17</w:t>
      </w:r>
      <w:r w:rsidRPr="00606BB8">
        <w:rPr>
          <w:noProof/>
        </w:rPr>
        <w:t>(2), 3. https://doi.org/10.1007/s11883-014-0482-5</w:t>
      </w:r>
    </w:p>
    <w:p w14:paraId="2F9830A2" w14:textId="0E9C59FF" w:rsid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Sturm, A. C., Knowles, J. W., Gidding, S. S., Ahmad, Z. S., Ahmed, C. D., Ballantyne, C. M., … Rader, D. J. (2018). Clinical Genetic Testing for Familial Hypercholesterolemia. </w:t>
      </w:r>
      <w:r w:rsidRPr="00606BB8">
        <w:rPr>
          <w:i/>
          <w:iCs/>
          <w:noProof/>
        </w:rPr>
        <w:t>Journal of the American College of Cardiology</w:t>
      </w:r>
      <w:r w:rsidRPr="00606BB8">
        <w:rPr>
          <w:noProof/>
        </w:rPr>
        <w:t xml:space="preserve">, </w:t>
      </w:r>
      <w:r w:rsidRPr="00606BB8">
        <w:rPr>
          <w:i/>
          <w:iCs/>
          <w:noProof/>
        </w:rPr>
        <w:t>72</w:t>
      </w:r>
      <w:r w:rsidRPr="00606BB8">
        <w:rPr>
          <w:noProof/>
        </w:rPr>
        <w:t>(6), 662 LP – 680. https://doi.org/10.1016/j.jacc.2018.05.044</w:t>
      </w:r>
    </w:p>
    <w:p w14:paraId="1F35542B" w14:textId="5BEAC8DD" w:rsidR="00205322" w:rsidRDefault="00205322" w:rsidP="00606BB8">
      <w:pPr>
        <w:widowControl w:val="0"/>
        <w:autoSpaceDE w:val="0"/>
        <w:autoSpaceDN w:val="0"/>
        <w:adjustRightInd w:val="0"/>
        <w:spacing w:after="240" w:line="240" w:lineRule="auto"/>
        <w:ind w:left="480" w:hanging="480"/>
        <w:rPr>
          <w:noProof/>
        </w:rPr>
      </w:pPr>
    </w:p>
    <w:p w14:paraId="5928BEEB" w14:textId="77777777" w:rsidR="00205322" w:rsidRPr="00606BB8" w:rsidRDefault="00205322" w:rsidP="00606BB8">
      <w:pPr>
        <w:widowControl w:val="0"/>
        <w:autoSpaceDE w:val="0"/>
        <w:autoSpaceDN w:val="0"/>
        <w:adjustRightInd w:val="0"/>
        <w:spacing w:after="240" w:line="240" w:lineRule="auto"/>
        <w:ind w:left="480" w:hanging="480"/>
        <w:rPr>
          <w:noProof/>
        </w:rPr>
      </w:pPr>
    </w:p>
    <w:p w14:paraId="7C8E90D6"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lastRenderedPageBreak/>
        <w:t xml:space="preserve">Umans-Eckenhausen, M. A., Defesche, J. C., Sijbrands, E. J., Scheerder, R. L., &amp; Kastelein, J. J. (2001). Review of first 5 years of screening for familial hypercholesterolaemia in the Netherlands. </w:t>
      </w:r>
      <w:r w:rsidRPr="00606BB8">
        <w:rPr>
          <w:i/>
          <w:iCs/>
          <w:noProof/>
        </w:rPr>
        <w:t>Lancet (London, England)</w:t>
      </w:r>
      <w:r w:rsidRPr="00606BB8">
        <w:rPr>
          <w:noProof/>
        </w:rPr>
        <w:t xml:space="preserve">, </w:t>
      </w:r>
      <w:r w:rsidRPr="00606BB8">
        <w:rPr>
          <w:i/>
          <w:iCs/>
          <w:noProof/>
        </w:rPr>
        <w:t>357</w:t>
      </w:r>
      <w:r w:rsidRPr="00606BB8">
        <w:rPr>
          <w:noProof/>
        </w:rPr>
        <w:t>(9251), 165–168. https://doi.org/10.1016/S0140-6736(00)03587-X</w:t>
      </w:r>
    </w:p>
    <w:p w14:paraId="045767B8"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Weber, C., &amp; Noels, H. (2011). Atherosclerosis: current pathogenesis and therapeutic options. </w:t>
      </w:r>
      <w:r w:rsidRPr="00606BB8">
        <w:rPr>
          <w:i/>
          <w:iCs/>
          <w:noProof/>
        </w:rPr>
        <w:t>Nature Medicine</w:t>
      </w:r>
      <w:r w:rsidRPr="00606BB8">
        <w:rPr>
          <w:noProof/>
        </w:rPr>
        <w:t xml:space="preserve">, </w:t>
      </w:r>
      <w:r w:rsidRPr="00606BB8">
        <w:rPr>
          <w:i/>
          <w:iCs/>
          <w:noProof/>
        </w:rPr>
        <w:t>17</w:t>
      </w:r>
      <w:r w:rsidRPr="00606BB8">
        <w:rPr>
          <w:noProof/>
        </w:rPr>
        <w:t>(11), 1410–1422. https://doi.org/10.1038/nm.2538</w:t>
      </w:r>
    </w:p>
    <w:p w14:paraId="2832A8A1"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World Health Organization. (2005). </w:t>
      </w:r>
      <w:r w:rsidRPr="00606BB8">
        <w:rPr>
          <w:i/>
          <w:iCs/>
          <w:noProof/>
        </w:rPr>
        <w:t>The Impact of Chronic Disease in Samoa</w:t>
      </w:r>
      <w:r w:rsidRPr="00606BB8">
        <w:rPr>
          <w:noProof/>
        </w:rPr>
        <w:t>. Retrieved from https://www.who.int/chp/chronic_disease_report/samoa.pdf?ua=1</w:t>
      </w:r>
    </w:p>
    <w:p w14:paraId="3A7BF777"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World Health Organization. (2019). Samoa. Retrieved from https://www.who.int/countries/wsm/en/</w:t>
      </w:r>
    </w:p>
    <w:p w14:paraId="40D154F1"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Youngblom, E., Pariani, M., &amp; Knowles, J. W. (1993). </w:t>
      </w:r>
      <w:r w:rsidRPr="00606BB8">
        <w:rPr>
          <w:i/>
          <w:iCs/>
          <w:noProof/>
        </w:rPr>
        <w:t>Familial Hypercholesterolemia</w:t>
      </w:r>
      <w:r w:rsidRPr="00606BB8">
        <w:rPr>
          <w:noProof/>
        </w:rPr>
        <w:t xml:space="preserve"> (M. P. Adam, H. H. Ardinger, R. A. Pagon, S. E. Wallace, L. J. H. Bean, K. Stephens, &amp; A. Amemiya, Eds.). Seattle (WA).</w:t>
      </w:r>
    </w:p>
    <w:p w14:paraId="39B46AAE" w14:textId="77777777" w:rsidR="00606BB8" w:rsidRPr="00606BB8" w:rsidRDefault="00606BB8" w:rsidP="00606BB8">
      <w:pPr>
        <w:widowControl w:val="0"/>
        <w:autoSpaceDE w:val="0"/>
        <w:autoSpaceDN w:val="0"/>
        <w:adjustRightInd w:val="0"/>
        <w:spacing w:after="240" w:line="240" w:lineRule="auto"/>
        <w:ind w:left="480" w:hanging="480"/>
        <w:rPr>
          <w:noProof/>
        </w:rPr>
      </w:pPr>
      <w:r w:rsidRPr="00606BB8">
        <w:rPr>
          <w:noProof/>
        </w:rPr>
        <w:t xml:space="preserve">Yusuf, S., Hawken, S., Ounpuu, S., Dans, T., Avezum, A., Lanas, F., … Lisheng, L. (2004). Effect of potentially modifiable risk factors associated with myocardial infarction in 52 countries (the INTERHEART study): case-control study. </w:t>
      </w:r>
      <w:r w:rsidRPr="00606BB8">
        <w:rPr>
          <w:i/>
          <w:iCs/>
          <w:noProof/>
        </w:rPr>
        <w:t>Lancet (London, England)</w:t>
      </w:r>
      <w:r w:rsidRPr="00606BB8">
        <w:rPr>
          <w:noProof/>
        </w:rPr>
        <w:t xml:space="preserve">, </w:t>
      </w:r>
      <w:r w:rsidRPr="00606BB8">
        <w:rPr>
          <w:i/>
          <w:iCs/>
          <w:noProof/>
        </w:rPr>
        <w:t>364</w:t>
      </w:r>
      <w:r w:rsidRPr="00606BB8">
        <w:rPr>
          <w:noProof/>
        </w:rPr>
        <w:t>(9438), 937–952. https://doi.org/10.1016/S0140-6736(04)17018-9</w:t>
      </w:r>
    </w:p>
    <w:p w14:paraId="38127504" w14:textId="4FC4CCCF" w:rsidR="00282898" w:rsidRPr="00282898" w:rsidRDefault="00282898" w:rsidP="00470FE7">
      <w:pPr>
        <w:spacing w:after="240" w:line="240" w:lineRule="auto"/>
      </w:pPr>
      <w:r>
        <w:fldChar w:fldCharType="end"/>
      </w:r>
    </w:p>
    <w:sectPr w:rsidR="00282898" w:rsidRPr="00282898" w:rsidSect="004F605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92136" w14:textId="77777777" w:rsidR="009C2A31" w:rsidRDefault="009C2A31">
      <w:r>
        <w:separator/>
      </w:r>
    </w:p>
  </w:endnote>
  <w:endnote w:type="continuationSeparator" w:id="0">
    <w:p w14:paraId="6B698BC7" w14:textId="77777777" w:rsidR="009C2A31" w:rsidRDefault="009C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AA58" w14:textId="77777777" w:rsidR="003D7C36" w:rsidRDefault="003D7C36" w:rsidP="006B1124">
    <w:pPr>
      <w:tabs>
        <w:tab w:val="center" w:pos="4680"/>
      </w:tabs>
      <w:ind w:firstLine="0"/>
    </w:pPr>
    <w:r>
      <w:tab/>
    </w:r>
    <w:r>
      <w:fldChar w:fldCharType="begin"/>
    </w:r>
    <w:r>
      <w:instrText xml:space="preserve"> PAGE </w:instrText>
    </w:r>
    <w:r>
      <w:fldChar w:fldCharType="separate"/>
    </w:r>
    <w:r>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2792C" w14:textId="77777777" w:rsidR="003D7C36" w:rsidRDefault="003D7C36" w:rsidP="00AF3154">
    <w:pPr>
      <w:pStyle w:val="Footer"/>
      <w:tabs>
        <w:tab w:val="clear" w:pos="4320"/>
        <w:tab w:val="center"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A4014" w14:textId="77777777" w:rsidR="003D7C36" w:rsidRDefault="003D7C36" w:rsidP="006B1124">
    <w:pPr>
      <w:tabs>
        <w:tab w:val="center" w:pos="4680"/>
      </w:tabs>
      <w:ind w:firstLine="0"/>
    </w:pPr>
    <w:r>
      <w:tab/>
    </w:r>
    <w:r>
      <w:fldChar w:fldCharType="begin"/>
    </w:r>
    <w:r>
      <w:instrText xml:space="preserve"> PAGE </w:instrText>
    </w:r>
    <w:r>
      <w:fldChar w:fldCharType="separate"/>
    </w:r>
    <w:r>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C1BD7" w14:textId="77777777" w:rsidR="009C2A31" w:rsidRDefault="009C2A31">
      <w:r>
        <w:separator/>
      </w:r>
    </w:p>
  </w:footnote>
  <w:footnote w:type="continuationSeparator" w:id="0">
    <w:p w14:paraId="31D4D4F1" w14:textId="77777777" w:rsidR="009C2A31" w:rsidRDefault="009C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4B18" w14:textId="77777777" w:rsidR="003D7C36" w:rsidRPr="00932701" w:rsidRDefault="003D7C36" w:rsidP="0093270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E800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690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F20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F215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8226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4A40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4C1E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D66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443A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E811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42890"/>
    <w:multiLevelType w:val="multilevel"/>
    <w:tmpl w:val="6A62C046"/>
    <w:lvl w:ilvl="0">
      <w:start w:val="1"/>
      <w:numFmt w:val="upperLetter"/>
      <w:lvlText w:val="Appendix %1 "/>
      <w:lvlJc w:val="left"/>
      <w:pPr>
        <w:ind w:left="360" w:hanging="360"/>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315625"/>
    <w:multiLevelType w:val="multilevel"/>
    <w:tmpl w:val="283AB03E"/>
    <w:lvl w:ilvl="0">
      <w:start w:val="1"/>
      <w:numFmt w:val="decimal"/>
      <w:suff w:val="space"/>
      <w:lvlText w:val="%1.0"/>
      <w:lvlJc w:val="left"/>
      <w:pPr>
        <w:ind w:left="792" w:hanging="792"/>
      </w:pPr>
      <w:rPr>
        <w:rFonts w:hint="default"/>
        <w:b/>
        <w:i w:val="0"/>
        <w:sz w:val="24"/>
        <w:szCs w:val="24"/>
      </w:rPr>
    </w:lvl>
    <w:lvl w:ilvl="1">
      <w:start w:val="1"/>
      <w:numFmt w:val="decimal"/>
      <w:suff w:val="space"/>
      <w:lvlText w:val="%1.%2"/>
      <w:lvlJc w:val="left"/>
      <w:pPr>
        <w:ind w:left="1656" w:hanging="864"/>
      </w:pPr>
      <w:rPr>
        <w:rFonts w:hint="default"/>
        <w:b/>
        <w:i w:val="0"/>
        <w:sz w:val="24"/>
      </w:rPr>
    </w:lvl>
    <w:lvl w:ilvl="2">
      <w:start w:val="1"/>
      <w:numFmt w:val="decimal"/>
      <w:suff w:val="space"/>
      <w:lvlText w:val="%1.%2.%3 "/>
      <w:lvlJc w:val="left"/>
      <w:pPr>
        <w:ind w:left="3096" w:hanging="3096"/>
      </w:pPr>
      <w:rPr>
        <w:rFonts w:hint="default"/>
        <w:b/>
        <w:i w:val="0"/>
        <w:sz w:val="24"/>
        <w:szCs w:val="24"/>
      </w:rPr>
    </w:lvl>
    <w:lvl w:ilvl="3">
      <w:start w:val="1"/>
      <w:numFmt w:val="decimal"/>
      <w:suff w:val="space"/>
      <w:lvlText w:val="%1.%2.%3.%4"/>
      <w:lvlJc w:val="left"/>
      <w:pPr>
        <w:ind w:left="0" w:firstLine="0"/>
      </w:pPr>
      <w:rPr>
        <w:rFonts w:hint="default"/>
        <w:b/>
        <w:i w:val="0"/>
        <w:sz w:val="24"/>
        <w:szCs w:val="24"/>
      </w:rPr>
    </w:lvl>
    <w:lvl w:ilvl="4">
      <w:start w:val="1"/>
      <w:numFmt w:val="decimal"/>
      <w:lvlRestart w:val="0"/>
      <w:suff w:val="space"/>
      <w:lvlText w:val="%1.%2.%3.%5"/>
      <w:lvlJc w:val="center"/>
      <w:pPr>
        <w:ind w:left="0" w:firstLine="288"/>
      </w:pPr>
      <w:rPr>
        <w:rFonts w:ascii="Times New Roman Bold" w:hAnsi="Times New Roman Bold" w:hint="default"/>
        <w:b/>
        <w:i w:val="0"/>
        <w:sz w:val="24"/>
      </w:rPr>
    </w:lvl>
    <w:lvl w:ilvl="5">
      <w:start w:val="1"/>
      <w:numFmt w:val="decimal"/>
      <w:lvlRestart w:val="0"/>
      <w:suff w:val="space"/>
      <w:lvlText w:val="Appendix %5.%6"/>
      <w:lvlJc w:val="center"/>
      <w:pPr>
        <w:ind w:left="4104" w:hanging="1584"/>
      </w:pPr>
      <w:rPr>
        <w:rFonts w:hint="default"/>
      </w:rPr>
    </w:lvl>
    <w:lvl w:ilvl="6">
      <w:start w:val="1"/>
      <w:numFmt w:val="decimal"/>
      <w:lvlRestart w:val="0"/>
      <w:suff w:val="space"/>
      <w:lvlText w:val="Appendix %5.%6.%7"/>
      <w:lvlJc w:val="left"/>
      <w:pPr>
        <w:ind w:left="5544" w:hanging="338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CDE4E20"/>
    <w:multiLevelType w:val="multilevel"/>
    <w:tmpl w:val="E8605FD6"/>
    <w:lvl w:ilvl="0">
      <w:start w:val="1"/>
      <w:numFmt w:val="decimal"/>
      <w:suff w:val="space"/>
      <w:lvlText w:val="%1.0"/>
      <w:lvlJc w:val="left"/>
      <w:pPr>
        <w:ind w:left="792" w:hanging="792"/>
      </w:pPr>
      <w:rPr>
        <w:rFonts w:hint="default"/>
        <w:b/>
        <w:i w:val="0"/>
        <w:sz w:val="24"/>
        <w:szCs w:val="24"/>
      </w:rPr>
    </w:lvl>
    <w:lvl w:ilvl="1">
      <w:start w:val="1"/>
      <w:numFmt w:val="decimal"/>
      <w:suff w:val="space"/>
      <w:lvlText w:val="%1.%2"/>
      <w:lvlJc w:val="left"/>
      <w:pPr>
        <w:ind w:left="1656" w:hanging="864"/>
      </w:pPr>
      <w:rPr>
        <w:rFonts w:hint="default"/>
        <w:b/>
        <w:i w:val="0"/>
        <w:sz w:val="24"/>
      </w:rPr>
    </w:lvl>
    <w:lvl w:ilvl="2">
      <w:start w:val="1"/>
      <w:numFmt w:val="decimal"/>
      <w:suff w:val="space"/>
      <w:lvlText w:val="%1.%2.%3 "/>
      <w:lvlJc w:val="left"/>
      <w:pPr>
        <w:ind w:left="3096" w:hanging="1440"/>
      </w:pPr>
      <w:rPr>
        <w:rFonts w:hint="default"/>
        <w:b/>
        <w:i w:val="0"/>
        <w:sz w:val="24"/>
        <w:szCs w:val="24"/>
      </w:rPr>
    </w:lvl>
    <w:lvl w:ilvl="3">
      <w:start w:val="1"/>
      <w:numFmt w:val="decimal"/>
      <w:suff w:val="space"/>
      <w:lvlText w:val="%1.%2.%3.%4"/>
      <w:lvlJc w:val="left"/>
      <w:pPr>
        <w:ind w:left="4824" w:hanging="1728"/>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5C149AB"/>
    <w:multiLevelType w:val="multilevel"/>
    <w:tmpl w:val="B7689ACC"/>
    <w:lvl w:ilvl="0">
      <w:start w:val="1"/>
      <w:numFmt w:val="upperLetter"/>
      <w:lvlText w:val="Appendix %1 "/>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Appendix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CA04B41"/>
    <w:multiLevelType w:val="hybridMultilevel"/>
    <w:tmpl w:val="8CA6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C3386"/>
    <w:multiLevelType w:val="multilevel"/>
    <w:tmpl w:val="2814E058"/>
    <w:lvl w:ilvl="0">
      <w:start w:val="1"/>
      <w:numFmt w:val="upperLetter"/>
      <w:lvlText w:val="Appendix %1 "/>
      <w:lvlJc w:val="left"/>
      <w:pPr>
        <w:ind w:left="540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space"/>
      <w:lvlText w:val="Appendix %1.%2 "/>
      <w:lvlJc w:val="left"/>
      <w:pPr>
        <w:ind w:left="720" w:hanging="720"/>
      </w:pPr>
      <w:rPr>
        <w:rFonts w:ascii="Times New Roman Bold" w:hAnsi="Times New Roman Bold" w:hint="default"/>
        <w:b/>
        <w:i w:val="0"/>
        <w:sz w:val="24"/>
      </w:rPr>
    </w:lvl>
    <w:lvl w:ilvl="2">
      <w:start w:val="1"/>
      <w:numFmt w:val="decimal"/>
      <w:suff w:val="space"/>
      <w:lvlText w:val="Appendix %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9559AF"/>
    <w:multiLevelType w:val="multilevel"/>
    <w:tmpl w:val="36968D00"/>
    <w:lvl w:ilvl="0">
      <w:start w:val="1"/>
      <w:numFmt w:val="upperLetter"/>
      <w:lvlText w:val="Appendix %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Appendix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5376EE6"/>
    <w:multiLevelType w:val="multilevel"/>
    <w:tmpl w:val="B7689ACC"/>
    <w:lvl w:ilvl="0">
      <w:start w:val="1"/>
      <w:numFmt w:val="upperLetter"/>
      <w:lvlText w:val="Appendix %1 "/>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Appendix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357C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FA2C58"/>
    <w:multiLevelType w:val="hybridMultilevel"/>
    <w:tmpl w:val="BB5C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10848"/>
    <w:multiLevelType w:val="multilevel"/>
    <w:tmpl w:val="D22447A2"/>
    <w:lvl w:ilvl="0">
      <w:start w:val="1"/>
      <w:numFmt w:val="decimal"/>
      <w:pStyle w:val="Heading1"/>
      <w:suff w:val="space"/>
      <w:lvlText w:val="%1.0"/>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8756846"/>
    <w:multiLevelType w:val="multilevel"/>
    <w:tmpl w:val="4A368C26"/>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space"/>
      <w:lvlText w:val="Appendix %5"/>
      <w:lvlJc w:val="left"/>
      <w:pPr>
        <w:ind w:left="0" w:firstLine="0"/>
      </w:pPr>
      <w:rPr>
        <w:rFonts w:hint="default"/>
        <w:b/>
        <w:i w:val="0"/>
        <w:caps w:val="0"/>
        <w:sz w:val="24"/>
        <w:szCs w:val="24"/>
      </w:rPr>
    </w:lvl>
    <w:lvl w:ilvl="5">
      <w:start w:val="1"/>
      <w:numFmt w:val="decimal"/>
      <w:pStyle w:val="AppSection"/>
      <w:suff w:val="space"/>
      <w:lvlText w:val="Appendix %5.%6"/>
      <w:lvlJc w:val="left"/>
      <w:pPr>
        <w:ind w:left="0" w:firstLine="0"/>
      </w:pPr>
      <w:rPr>
        <w:rFonts w:hint="default"/>
        <w:b/>
        <w:i w:val="0"/>
        <w:sz w:val="24"/>
        <w:szCs w:val="24"/>
      </w:rPr>
    </w:lvl>
    <w:lvl w:ilvl="6">
      <w:start w:val="1"/>
      <w:numFmt w:val="decimal"/>
      <w:pStyle w:val="AppSubsection"/>
      <w:suff w:val="space"/>
      <w:lvlText w:val="Appendix %5.%6.%7"/>
      <w:lvlJc w:val="left"/>
      <w:pPr>
        <w:ind w:left="0"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22" w15:restartNumberingAfterBreak="0">
    <w:nsid w:val="4D480D19"/>
    <w:multiLevelType w:val="multilevel"/>
    <w:tmpl w:val="23C6E0A2"/>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val="0"/>
        <w:sz w:val="24"/>
        <w:szCs w:val="24"/>
      </w:rPr>
    </w:lvl>
    <w:lvl w:ilvl="5">
      <w:start w:val="1"/>
      <w:numFmt w:val="decimal"/>
      <w:suff w:val="space"/>
      <w:lvlText w:val="%5.%6"/>
      <w:lvlJc w:val="left"/>
      <w:pPr>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23" w15:restartNumberingAfterBreak="0">
    <w:nsid w:val="4ED57E1B"/>
    <w:multiLevelType w:val="hybridMultilevel"/>
    <w:tmpl w:val="2AE0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135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79755B"/>
    <w:multiLevelType w:val="hybridMultilevel"/>
    <w:tmpl w:val="E0A8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C6B7F"/>
    <w:multiLevelType w:val="hybridMultilevel"/>
    <w:tmpl w:val="30A0C888"/>
    <w:lvl w:ilvl="0" w:tplc="697C48CA">
      <w:start w:val="1"/>
      <w:numFmt w:val="upperLetter"/>
      <w:lvlText w:val="Appendix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F39AB"/>
    <w:multiLevelType w:val="multilevel"/>
    <w:tmpl w:val="6A62C046"/>
    <w:lvl w:ilvl="0">
      <w:start w:val="1"/>
      <w:numFmt w:val="upperLetter"/>
      <w:lvlText w:val="Appendix %1 "/>
      <w:lvlJc w:val="left"/>
      <w:pPr>
        <w:ind w:left="360" w:hanging="360"/>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DF5D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1F02F3"/>
    <w:multiLevelType w:val="hybridMultilevel"/>
    <w:tmpl w:val="7CD4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966049"/>
    <w:multiLevelType w:val="multilevel"/>
    <w:tmpl w:val="84869986"/>
    <w:lvl w:ilvl="0">
      <w:start w:val="1"/>
      <w:numFmt w:val="upperLetter"/>
      <w:lvlText w:val="Appendix %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0"/>
  </w:num>
  <w:num w:numId="8">
    <w:abstractNumId w:val="1"/>
  </w:num>
  <w:num w:numId="9">
    <w:abstractNumId w:val="3"/>
  </w:num>
  <w:num w:numId="10">
    <w:abstractNumId w:val="2"/>
  </w:num>
  <w:num w:numId="11">
    <w:abstractNumId w:val="8"/>
  </w:num>
  <w:num w:numId="12">
    <w:abstractNumId w:val="22"/>
  </w:num>
  <w:num w:numId="13">
    <w:abstractNumId w:val="10"/>
  </w:num>
  <w:num w:numId="14">
    <w:abstractNumId w:val="15"/>
  </w:num>
  <w:num w:numId="15">
    <w:abstractNumId w:val="2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6"/>
  </w:num>
  <w:num w:numId="23">
    <w:abstractNumId w:val="16"/>
  </w:num>
  <w:num w:numId="24">
    <w:abstractNumId w:val="24"/>
  </w:num>
  <w:num w:numId="25">
    <w:abstractNumId w:val="18"/>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1"/>
  </w:num>
  <w:num w:numId="30">
    <w:abstractNumId w:val="21"/>
  </w:num>
  <w:num w:numId="31">
    <w:abstractNumId w:val="21"/>
  </w:num>
  <w:num w:numId="32">
    <w:abstractNumId w:val="20"/>
  </w:num>
  <w:num w:numId="33">
    <w:abstractNumId w:val="14"/>
  </w:num>
  <w:num w:numId="34">
    <w:abstractNumId w:val="29"/>
  </w:num>
  <w:num w:numId="35">
    <w:abstractNumId w:val="25"/>
  </w:num>
  <w:num w:numId="36">
    <w:abstractNumId w:val="23"/>
  </w:num>
  <w:num w:numId="3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7F131E"/>
    <w:rsid w:val="000000E2"/>
    <w:rsid w:val="0000139C"/>
    <w:rsid w:val="00001A56"/>
    <w:rsid w:val="00001BFC"/>
    <w:rsid w:val="00001C37"/>
    <w:rsid w:val="00007079"/>
    <w:rsid w:val="00010F2C"/>
    <w:rsid w:val="00010FEE"/>
    <w:rsid w:val="0001649C"/>
    <w:rsid w:val="00020691"/>
    <w:rsid w:val="00021F39"/>
    <w:rsid w:val="0002247B"/>
    <w:rsid w:val="00023AF2"/>
    <w:rsid w:val="00026E3B"/>
    <w:rsid w:val="0003077C"/>
    <w:rsid w:val="00034241"/>
    <w:rsid w:val="00034DB5"/>
    <w:rsid w:val="00035D1E"/>
    <w:rsid w:val="000379F9"/>
    <w:rsid w:val="00037CEE"/>
    <w:rsid w:val="00040713"/>
    <w:rsid w:val="00041A19"/>
    <w:rsid w:val="000439D6"/>
    <w:rsid w:val="0004550E"/>
    <w:rsid w:val="0005036F"/>
    <w:rsid w:val="00050A0F"/>
    <w:rsid w:val="00056108"/>
    <w:rsid w:val="000635D4"/>
    <w:rsid w:val="000635E0"/>
    <w:rsid w:val="00064169"/>
    <w:rsid w:val="000667BF"/>
    <w:rsid w:val="00070A98"/>
    <w:rsid w:val="00076997"/>
    <w:rsid w:val="000833DD"/>
    <w:rsid w:val="00086364"/>
    <w:rsid w:val="00087825"/>
    <w:rsid w:val="00091C8E"/>
    <w:rsid w:val="00096B98"/>
    <w:rsid w:val="000A0E2B"/>
    <w:rsid w:val="000A1C02"/>
    <w:rsid w:val="000A2973"/>
    <w:rsid w:val="000A78C2"/>
    <w:rsid w:val="000B06A4"/>
    <w:rsid w:val="000B0C6D"/>
    <w:rsid w:val="000B716F"/>
    <w:rsid w:val="000C0539"/>
    <w:rsid w:val="000C704C"/>
    <w:rsid w:val="000D1332"/>
    <w:rsid w:val="000D2621"/>
    <w:rsid w:val="000D54CE"/>
    <w:rsid w:val="000F0784"/>
    <w:rsid w:val="000F3DAF"/>
    <w:rsid w:val="000F5DBB"/>
    <w:rsid w:val="00107DBF"/>
    <w:rsid w:val="00115FDF"/>
    <w:rsid w:val="0011612C"/>
    <w:rsid w:val="0011645E"/>
    <w:rsid w:val="00120A23"/>
    <w:rsid w:val="0012127B"/>
    <w:rsid w:val="0012348D"/>
    <w:rsid w:val="00123FF7"/>
    <w:rsid w:val="0012795B"/>
    <w:rsid w:val="0013002B"/>
    <w:rsid w:val="00130B6B"/>
    <w:rsid w:val="00131BB5"/>
    <w:rsid w:val="001324BC"/>
    <w:rsid w:val="00142372"/>
    <w:rsid w:val="00150EF7"/>
    <w:rsid w:val="00151553"/>
    <w:rsid w:val="0016381D"/>
    <w:rsid w:val="0016572C"/>
    <w:rsid w:val="001671B7"/>
    <w:rsid w:val="00172597"/>
    <w:rsid w:val="001742B5"/>
    <w:rsid w:val="00174952"/>
    <w:rsid w:val="00175627"/>
    <w:rsid w:val="001837CD"/>
    <w:rsid w:val="00186B52"/>
    <w:rsid w:val="00194E3A"/>
    <w:rsid w:val="00196D96"/>
    <w:rsid w:val="001A5B53"/>
    <w:rsid w:val="001A6B66"/>
    <w:rsid w:val="001A7375"/>
    <w:rsid w:val="001B2180"/>
    <w:rsid w:val="001B250B"/>
    <w:rsid w:val="001C0A5D"/>
    <w:rsid w:val="001C1157"/>
    <w:rsid w:val="001C1C2F"/>
    <w:rsid w:val="001C4683"/>
    <w:rsid w:val="001C5B28"/>
    <w:rsid w:val="001C7AFC"/>
    <w:rsid w:val="001C7CDC"/>
    <w:rsid w:val="001D3F1D"/>
    <w:rsid w:val="001D4F75"/>
    <w:rsid w:val="001D595D"/>
    <w:rsid w:val="001D5C8B"/>
    <w:rsid w:val="001E23E0"/>
    <w:rsid w:val="001E287B"/>
    <w:rsid w:val="001F1B8D"/>
    <w:rsid w:val="001F25B5"/>
    <w:rsid w:val="001F3C64"/>
    <w:rsid w:val="00200B2E"/>
    <w:rsid w:val="00205322"/>
    <w:rsid w:val="002060D7"/>
    <w:rsid w:val="00207D14"/>
    <w:rsid w:val="00220022"/>
    <w:rsid w:val="002226A8"/>
    <w:rsid w:val="0022759D"/>
    <w:rsid w:val="00230153"/>
    <w:rsid w:val="0023327D"/>
    <w:rsid w:val="00237DCE"/>
    <w:rsid w:val="002466E5"/>
    <w:rsid w:val="0025093C"/>
    <w:rsid w:val="0025645A"/>
    <w:rsid w:val="00261153"/>
    <w:rsid w:val="0026404B"/>
    <w:rsid w:val="00264140"/>
    <w:rsid w:val="00266231"/>
    <w:rsid w:val="00267158"/>
    <w:rsid w:val="002706BA"/>
    <w:rsid w:val="00271AF8"/>
    <w:rsid w:val="00271C20"/>
    <w:rsid w:val="002749AF"/>
    <w:rsid w:val="0027691D"/>
    <w:rsid w:val="00276E7E"/>
    <w:rsid w:val="00281E1B"/>
    <w:rsid w:val="00282463"/>
    <w:rsid w:val="00282791"/>
    <w:rsid w:val="00282898"/>
    <w:rsid w:val="0028782F"/>
    <w:rsid w:val="00295A1C"/>
    <w:rsid w:val="002A71A2"/>
    <w:rsid w:val="002B0672"/>
    <w:rsid w:val="002B41A8"/>
    <w:rsid w:val="002B58B7"/>
    <w:rsid w:val="002C09FD"/>
    <w:rsid w:val="002C195C"/>
    <w:rsid w:val="002D01B1"/>
    <w:rsid w:val="002D11E0"/>
    <w:rsid w:val="002D1969"/>
    <w:rsid w:val="002E3532"/>
    <w:rsid w:val="002E4056"/>
    <w:rsid w:val="002E5877"/>
    <w:rsid w:val="002F1CAE"/>
    <w:rsid w:val="00300717"/>
    <w:rsid w:val="00302452"/>
    <w:rsid w:val="00304810"/>
    <w:rsid w:val="0030592B"/>
    <w:rsid w:val="00307A4C"/>
    <w:rsid w:val="00317018"/>
    <w:rsid w:val="0032391D"/>
    <w:rsid w:val="00326C4F"/>
    <w:rsid w:val="003272EE"/>
    <w:rsid w:val="00331097"/>
    <w:rsid w:val="00337CC7"/>
    <w:rsid w:val="00354B46"/>
    <w:rsid w:val="0035556B"/>
    <w:rsid w:val="00361C81"/>
    <w:rsid w:val="00367476"/>
    <w:rsid w:val="00371229"/>
    <w:rsid w:val="00381866"/>
    <w:rsid w:val="00383517"/>
    <w:rsid w:val="00383C76"/>
    <w:rsid w:val="00384509"/>
    <w:rsid w:val="00385C42"/>
    <w:rsid w:val="0039132B"/>
    <w:rsid w:val="003923FF"/>
    <w:rsid w:val="00392621"/>
    <w:rsid w:val="00394AC3"/>
    <w:rsid w:val="00395AE9"/>
    <w:rsid w:val="003A0EAA"/>
    <w:rsid w:val="003A161F"/>
    <w:rsid w:val="003A25F2"/>
    <w:rsid w:val="003A34DE"/>
    <w:rsid w:val="003A6C19"/>
    <w:rsid w:val="003B118F"/>
    <w:rsid w:val="003B1894"/>
    <w:rsid w:val="003B50C6"/>
    <w:rsid w:val="003B681C"/>
    <w:rsid w:val="003B79E4"/>
    <w:rsid w:val="003B7B2F"/>
    <w:rsid w:val="003B7B5D"/>
    <w:rsid w:val="003C23AF"/>
    <w:rsid w:val="003C435E"/>
    <w:rsid w:val="003C791E"/>
    <w:rsid w:val="003D1F85"/>
    <w:rsid w:val="003D22A1"/>
    <w:rsid w:val="003D7789"/>
    <w:rsid w:val="003D7C36"/>
    <w:rsid w:val="003E31E1"/>
    <w:rsid w:val="003E419A"/>
    <w:rsid w:val="003F1C72"/>
    <w:rsid w:val="003F2A88"/>
    <w:rsid w:val="003F669E"/>
    <w:rsid w:val="004002DA"/>
    <w:rsid w:val="004022A7"/>
    <w:rsid w:val="00411CA0"/>
    <w:rsid w:val="004128EE"/>
    <w:rsid w:val="00413C7E"/>
    <w:rsid w:val="0042151D"/>
    <w:rsid w:val="004216B4"/>
    <w:rsid w:val="00422A3F"/>
    <w:rsid w:val="004250A3"/>
    <w:rsid w:val="00427D75"/>
    <w:rsid w:val="00435B35"/>
    <w:rsid w:val="004367F6"/>
    <w:rsid w:val="004375CB"/>
    <w:rsid w:val="004417C2"/>
    <w:rsid w:val="00445D7F"/>
    <w:rsid w:val="004472CD"/>
    <w:rsid w:val="00450673"/>
    <w:rsid w:val="00451CB4"/>
    <w:rsid w:val="00455D94"/>
    <w:rsid w:val="00463E84"/>
    <w:rsid w:val="0046438E"/>
    <w:rsid w:val="00470FE7"/>
    <w:rsid w:val="00474137"/>
    <w:rsid w:val="0047592F"/>
    <w:rsid w:val="00486073"/>
    <w:rsid w:val="00486137"/>
    <w:rsid w:val="00492F5A"/>
    <w:rsid w:val="00493B61"/>
    <w:rsid w:val="0049590A"/>
    <w:rsid w:val="00495B23"/>
    <w:rsid w:val="004A073C"/>
    <w:rsid w:val="004A0C7A"/>
    <w:rsid w:val="004A4602"/>
    <w:rsid w:val="004A5068"/>
    <w:rsid w:val="004B397E"/>
    <w:rsid w:val="004B7295"/>
    <w:rsid w:val="004B7B28"/>
    <w:rsid w:val="004C39E1"/>
    <w:rsid w:val="004C4C91"/>
    <w:rsid w:val="004C7688"/>
    <w:rsid w:val="004D1316"/>
    <w:rsid w:val="004D6A3D"/>
    <w:rsid w:val="004D7557"/>
    <w:rsid w:val="004D7AA4"/>
    <w:rsid w:val="004E21DB"/>
    <w:rsid w:val="004E27CB"/>
    <w:rsid w:val="004E32F7"/>
    <w:rsid w:val="004E3B59"/>
    <w:rsid w:val="004E5E20"/>
    <w:rsid w:val="004F0846"/>
    <w:rsid w:val="004F147B"/>
    <w:rsid w:val="004F223B"/>
    <w:rsid w:val="004F40F2"/>
    <w:rsid w:val="004F5D61"/>
    <w:rsid w:val="004F605E"/>
    <w:rsid w:val="004F7CAF"/>
    <w:rsid w:val="00506516"/>
    <w:rsid w:val="00507649"/>
    <w:rsid w:val="005103EA"/>
    <w:rsid w:val="00523E9F"/>
    <w:rsid w:val="00524533"/>
    <w:rsid w:val="00530E85"/>
    <w:rsid w:val="0053334F"/>
    <w:rsid w:val="00536110"/>
    <w:rsid w:val="00537BA3"/>
    <w:rsid w:val="00541117"/>
    <w:rsid w:val="00542B1D"/>
    <w:rsid w:val="00544D46"/>
    <w:rsid w:val="0054707E"/>
    <w:rsid w:val="00551645"/>
    <w:rsid w:val="005547FC"/>
    <w:rsid w:val="0055630C"/>
    <w:rsid w:val="00557281"/>
    <w:rsid w:val="00562667"/>
    <w:rsid w:val="0056398F"/>
    <w:rsid w:val="005641CB"/>
    <w:rsid w:val="00565179"/>
    <w:rsid w:val="0056532E"/>
    <w:rsid w:val="00565F1D"/>
    <w:rsid w:val="0057324B"/>
    <w:rsid w:val="00581DC1"/>
    <w:rsid w:val="005846F1"/>
    <w:rsid w:val="00584ADB"/>
    <w:rsid w:val="00591E5E"/>
    <w:rsid w:val="00595845"/>
    <w:rsid w:val="00595E3D"/>
    <w:rsid w:val="005A1835"/>
    <w:rsid w:val="005A5B5D"/>
    <w:rsid w:val="005B14ED"/>
    <w:rsid w:val="005C7A08"/>
    <w:rsid w:val="005D12FD"/>
    <w:rsid w:val="005D167C"/>
    <w:rsid w:val="005D40C2"/>
    <w:rsid w:val="005D756C"/>
    <w:rsid w:val="005E6E42"/>
    <w:rsid w:val="005E74F2"/>
    <w:rsid w:val="005E7D1B"/>
    <w:rsid w:val="005E7DD1"/>
    <w:rsid w:val="005F56E0"/>
    <w:rsid w:val="00605E7D"/>
    <w:rsid w:val="00606BB8"/>
    <w:rsid w:val="00610F68"/>
    <w:rsid w:val="00610FD6"/>
    <w:rsid w:val="00611893"/>
    <w:rsid w:val="00615809"/>
    <w:rsid w:val="00620FD6"/>
    <w:rsid w:val="006219F4"/>
    <w:rsid w:val="00624E14"/>
    <w:rsid w:val="006250C2"/>
    <w:rsid w:val="00625DE3"/>
    <w:rsid w:val="00633C36"/>
    <w:rsid w:val="00636C11"/>
    <w:rsid w:val="00637B87"/>
    <w:rsid w:val="00641B52"/>
    <w:rsid w:val="006425BF"/>
    <w:rsid w:val="00655DF5"/>
    <w:rsid w:val="00656EE6"/>
    <w:rsid w:val="0066284D"/>
    <w:rsid w:val="00662856"/>
    <w:rsid w:val="00665EC6"/>
    <w:rsid w:val="006713F1"/>
    <w:rsid w:val="00673CE4"/>
    <w:rsid w:val="00673FB5"/>
    <w:rsid w:val="006751CB"/>
    <w:rsid w:val="00675A71"/>
    <w:rsid w:val="00676758"/>
    <w:rsid w:val="00681801"/>
    <w:rsid w:val="00684499"/>
    <w:rsid w:val="0068504E"/>
    <w:rsid w:val="0069134F"/>
    <w:rsid w:val="00692744"/>
    <w:rsid w:val="00692DB8"/>
    <w:rsid w:val="006935F2"/>
    <w:rsid w:val="00693904"/>
    <w:rsid w:val="006942C0"/>
    <w:rsid w:val="00694341"/>
    <w:rsid w:val="00694982"/>
    <w:rsid w:val="0069547D"/>
    <w:rsid w:val="006957AA"/>
    <w:rsid w:val="006A1905"/>
    <w:rsid w:val="006A348D"/>
    <w:rsid w:val="006A3D33"/>
    <w:rsid w:val="006A5780"/>
    <w:rsid w:val="006A6040"/>
    <w:rsid w:val="006B1124"/>
    <w:rsid w:val="006C03CC"/>
    <w:rsid w:val="006C0747"/>
    <w:rsid w:val="006C134E"/>
    <w:rsid w:val="006C1BDE"/>
    <w:rsid w:val="006C3C53"/>
    <w:rsid w:val="006C3E92"/>
    <w:rsid w:val="006C7E15"/>
    <w:rsid w:val="006D0817"/>
    <w:rsid w:val="006D4A9D"/>
    <w:rsid w:val="006D4F5B"/>
    <w:rsid w:val="006D7538"/>
    <w:rsid w:val="006E4051"/>
    <w:rsid w:val="006E50AD"/>
    <w:rsid w:val="006F0644"/>
    <w:rsid w:val="006F2C84"/>
    <w:rsid w:val="006F6B3A"/>
    <w:rsid w:val="006F73B0"/>
    <w:rsid w:val="00701306"/>
    <w:rsid w:val="0070271A"/>
    <w:rsid w:val="00710434"/>
    <w:rsid w:val="00715DD4"/>
    <w:rsid w:val="00717497"/>
    <w:rsid w:val="007237BF"/>
    <w:rsid w:val="00725584"/>
    <w:rsid w:val="00736DFF"/>
    <w:rsid w:val="007424CB"/>
    <w:rsid w:val="0074593C"/>
    <w:rsid w:val="00751A53"/>
    <w:rsid w:val="00755A65"/>
    <w:rsid w:val="0075752F"/>
    <w:rsid w:val="0076768F"/>
    <w:rsid w:val="007679F2"/>
    <w:rsid w:val="00774DD4"/>
    <w:rsid w:val="00775294"/>
    <w:rsid w:val="00791217"/>
    <w:rsid w:val="00794593"/>
    <w:rsid w:val="007960A8"/>
    <w:rsid w:val="007A1400"/>
    <w:rsid w:val="007A43BC"/>
    <w:rsid w:val="007A6510"/>
    <w:rsid w:val="007B2D45"/>
    <w:rsid w:val="007B3646"/>
    <w:rsid w:val="007B3848"/>
    <w:rsid w:val="007B4A1E"/>
    <w:rsid w:val="007B54CC"/>
    <w:rsid w:val="007B5DD8"/>
    <w:rsid w:val="007C0FF1"/>
    <w:rsid w:val="007D6FAC"/>
    <w:rsid w:val="007D7E8B"/>
    <w:rsid w:val="007E07DF"/>
    <w:rsid w:val="007E276B"/>
    <w:rsid w:val="007E2ADD"/>
    <w:rsid w:val="007E5462"/>
    <w:rsid w:val="007E5AA3"/>
    <w:rsid w:val="007E5FAF"/>
    <w:rsid w:val="007F131E"/>
    <w:rsid w:val="00807DCB"/>
    <w:rsid w:val="00814043"/>
    <w:rsid w:val="00822639"/>
    <w:rsid w:val="00822EA4"/>
    <w:rsid w:val="00824678"/>
    <w:rsid w:val="00824B8C"/>
    <w:rsid w:val="00834193"/>
    <w:rsid w:val="008343AA"/>
    <w:rsid w:val="008361C1"/>
    <w:rsid w:val="00847EE3"/>
    <w:rsid w:val="008526FB"/>
    <w:rsid w:val="008571C0"/>
    <w:rsid w:val="00863D37"/>
    <w:rsid w:val="008650E7"/>
    <w:rsid w:val="008668B2"/>
    <w:rsid w:val="008720B5"/>
    <w:rsid w:val="00872F59"/>
    <w:rsid w:val="00874832"/>
    <w:rsid w:val="00874B66"/>
    <w:rsid w:val="00877A79"/>
    <w:rsid w:val="00881F16"/>
    <w:rsid w:val="0088646D"/>
    <w:rsid w:val="00896178"/>
    <w:rsid w:val="008A110F"/>
    <w:rsid w:val="008A4541"/>
    <w:rsid w:val="008A6832"/>
    <w:rsid w:val="008A73B5"/>
    <w:rsid w:val="008A7F15"/>
    <w:rsid w:val="008B12B1"/>
    <w:rsid w:val="008B20D4"/>
    <w:rsid w:val="008C0A01"/>
    <w:rsid w:val="008C13FE"/>
    <w:rsid w:val="008C1BD0"/>
    <w:rsid w:val="008C3100"/>
    <w:rsid w:val="008C5907"/>
    <w:rsid w:val="008D2516"/>
    <w:rsid w:val="008D7D77"/>
    <w:rsid w:val="008E192E"/>
    <w:rsid w:val="008E449C"/>
    <w:rsid w:val="008E7962"/>
    <w:rsid w:val="008F10E7"/>
    <w:rsid w:val="008F16BC"/>
    <w:rsid w:val="008F2785"/>
    <w:rsid w:val="008F37A1"/>
    <w:rsid w:val="008F60CE"/>
    <w:rsid w:val="008F6941"/>
    <w:rsid w:val="00901CC9"/>
    <w:rsid w:val="00905846"/>
    <w:rsid w:val="00905848"/>
    <w:rsid w:val="0091054F"/>
    <w:rsid w:val="00910DAF"/>
    <w:rsid w:val="009110C8"/>
    <w:rsid w:val="0091289B"/>
    <w:rsid w:val="00913F27"/>
    <w:rsid w:val="009219A7"/>
    <w:rsid w:val="00930F38"/>
    <w:rsid w:val="00931278"/>
    <w:rsid w:val="00932701"/>
    <w:rsid w:val="00933068"/>
    <w:rsid w:val="00935BF4"/>
    <w:rsid w:val="00936D40"/>
    <w:rsid w:val="0094334A"/>
    <w:rsid w:val="00945C18"/>
    <w:rsid w:val="009468DA"/>
    <w:rsid w:val="0094766A"/>
    <w:rsid w:val="009503B5"/>
    <w:rsid w:val="00950C7F"/>
    <w:rsid w:val="00952317"/>
    <w:rsid w:val="00953860"/>
    <w:rsid w:val="0095398B"/>
    <w:rsid w:val="0095571F"/>
    <w:rsid w:val="00955918"/>
    <w:rsid w:val="00972D3B"/>
    <w:rsid w:val="00977828"/>
    <w:rsid w:val="00977E5D"/>
    <w:rsid w:val="009816E7"/>
    <w:rsid w:val="00982457"/>
    <w:rsid w:val="009865BA"/>
    <w:rsid w:val="00987A37"/>
    <w:rsid w:val="009909AD"/>
    <w:rsid w:val="00993368"/>
    <w:rsid w:val="009936FB"/>
    <w:rsid w:val="0099539E"/>
    <w:rsid w:val="009955AB"/>
    <w:rsid w:val="00996F5F"/>
    <w:rsid w:val="009A1F8D"/>
    <w:rsid w:val="009A7C56"/>
    <w:rsid w:val="009B1EB7"/>
    <w:rsid w:val="009B3B5D"/>
    <w:rsid w:val="009B5021"/>
    <w:rsid w:val="009B6C48"/>
    <w:rsid w:val="009C1A7A"/>
    <w:rsid w:val="009C283C"/>
    <w:rsid w:val="009C2A31"/>
    <w:rsid w:val="009C6F3C"/>
    <w:rsid w:val="009C74D8"/>
    <w:rsid w:val="009D0132"/>
    <w:rsid w:val="009D536F"/>
    <w:rsid w:val="009F15A5"/>
    <w:rsid w:val="009F548C"/>
    <w:rsid w:val="00A01F1B"/>
    <w:rsid w:val="00A113DB"/>
    <w:rsid w:val="00A11CEF"/>
    <w:rsid w:val="00A12E35"/>
    <w:rsid w:val="00A14DD3"/>
    <w:rsid w:val="00A1660F"/>
    <w:rsid w:val="00A208D2"/>
    <w:rsid w:val="00A21542"/>
    <w:rsid w:val="00A23857"/>
    <w:rsid w:val="00A30BDF"/>
    <w:rsid w:val="00A31719"/>
    <w:rsid w:val="00A3281F"/>
    <w:rsid w:val="00A330B3"/>
    <w:rsid w:val="00A35269"/>
    <w:rsid w:val="00A4149D"/>
    <w:rsid w:val="00A414CA"/>
    <w:rsid w:val="00A4439F"/>
    <w:rsid w:val="00A4495A"/>
    <w:rsid w:val="00A45F73"/>
    <w:rsid w:val="00A5370E"/>
    <w:rsid w:val="00A561D4"/>
    <w:rsid w:val="00A56D12"/>
    <w:rsid w:val="00A572D1"/>
    <w:rsid w:val="00A60629"/>
    <w:rsid w:val="00A60EC6"/>
    <w:rsid w:val="00A618CD"/>
    <w:rsid w:val="00A636F8"/>
    <w:rsid w:val="00A657AF"/>
    <w:rsid w:val="00A75099"/>
    <w:rsid w:val="00A8146F"/>
    <w:rsid w:val="00A83AAB"/>
    <w:rsid w:val="00A928E3"/>
    <w:rsid w:val="00A960E5"/>
    <w:rsid w:val="00A96B60"/>
    <w:rsid w:val="00A97337"/>
    <w:rsid w:val="00AA1713"/>
    <w:rsid w:val="00AA2C6A"/>
    <w:rsid w:val="00AA3A0E"/>
    <w:rsid w:val="00AA3E52"/>
    <w:rsid w:val="00AA773F"/>
    <w:rsid w:val="00AA7BED"/>
    <w:rsid w:val="00AB08F3"/>
    <w:rsid w:val="00AB4A85"/>
    <w:rsid w:val="00AC20D5"/>
    <w:rsid w:val="00AC258E"/>
    <w:rsid w:val="00AC268A"/>
    <w:rsid w:val="00AC29DD"/>
    <w:rsid w:val="00AC4CF3"/>
    <w:rsid w:val="00AC7DB1"/>
    <w:rsid w:val="00AE23D5"/>
    <w:rsid w:val="00AE68AF"/>
    <w:rsid w:val="00AF0220"/>
    <w:rsid w:val="00AF3154"/>
    <w:rsid w:val="00AF3293"/>
    <w:rsid w:val="00B00241"/>
    <w:rsid w:val="00B0177B"/>
    <w:rsid w:val="00B05F23"/>
    <w:rsid w:val="00B0718A"/>
    <w:rsid w:val="00B10697"/>
    <w:rsid w:val="00B177A4"/>
    <w:rsid w:val="00B20D75"/>
    <w:rsid w:val="00B21DD8"/>
    <w:rsid w:val="00B23FF1"/>
    <w:rsid w:val="00B24EAC"/>
    <w:rsid w:val="00B25F5F"/>
    <w:rsid w:val="00B27900"/>
    <w:rsid w:val="00B33801"/>
    <w:rsid w:val="00B36864"/>
    <w:rsid w:val="00B404C2"/>
    <w:rsid w:val="00B407EB"/>
    <w:rsid w:val="00B40E08"/>
    <w:rsid w:val="00B41E4A"/>
    <w:rsid w:val="00B42340"/>
    <w:rsid w:val="00B424B6"/>
    <w:rsid w:val="00B448D0"/>
    <w:rsid w:val="00B51BBF"/>
    <w:rsid w:val="00B56F3C"/>
    <w:rsid w:val="00B57E9B"/>
    <w:rsid w:val="00B61171"/>
    <w:rsid w:val="00B614F2"/>
    <w:rsid w:val="00B6778B"/>
    <w:rsid w:val="00B70886"/>
    <w:rsid w:val="00B72D9E"/>
    <w:rsid w:val="00B74B27"/>
    <w:rsid w:val="00B828B2"/>
    <w:rsid w:val="00B85753"/>
    <w:rsid w:val="00B917F0"/>
    <w:rsid w:val="00B95CAC"/>
    <w:rsid w:val="00B96F03"/>
    <w:rsid w:val="00B972E3"/>
    <w:rsid w:val="00BB24B5"/>
    <w:rsid w:val="00BB4FAE"/>
    <w:rsid w:val="00BB500A"/>
    <w:rsid w:val="00BB57F1"/>
    <w:rsid w:val="00BB5A84"/>
    <w:rsid w:val="00BB655B"/>
    <w:rsid w:val="00BB7CE5"/>
    <w:rsid w:val="00BC04A6"/>
    <w:rsid w:val="00BC33B7"/>
    <w:rsid w:val="00BC4330"/>
    <w:rsid w:val="00BD0781"/>
    <w:rsid w:val="00BD0CAD"/>
    <w:rsid w:val="00BD3905"/>
    <w:rsid w:val="00BD6DBD"/>
    <w:rsid w:val="00BE1BD6"/>
    <w:rsid w:val="00BE5EFE"/>
    <w:rsid w:val="00BE7ED1"/>
    <w:rsid w:val="00BF465B"/>
    <w:rsid w:val="00BF4B99"/>
    <w:rsid w:val="00BF71F0"/>
    <w:rsid w:val="00BF7494"/>
    <w:rsid w:val="00BF7D4D"/>
    <w:rsid w:val="00C0009F"/>
    <w:rsid w:val="00C01751"/>
    <w:rsid w:val="00C01DE6"/>
    <w:rsid w:val="00C06477"/>
    <w:rsid w:val="00C116E9"/>
    <w:rsid w:val="00C133EE"/>
    <w:rsid w:val="00C26F3C"/>
    <w:rsid w:val="00C27330"/>
    <w:rsid w:val="00C328C1"/>
    <w:rsid w:val="00C331DA"/>
    <w:rsid w:val="00C3400A"/>
    <w:rsid w:val="00C35A51"/>
    <w:rsid w:val="00C36053"/>
    <w:rsid w:val="00C36245"/>
    <w:rsid w:val="00C37FBC"/>
    <w:rsid w:val="00C422CB"/>
    <w:rsid w:val="00C43878"/>
    <w:rsid w:val="00C4735A"/>
    <w:rsid w:val="00C4772D"/>
    <w:rsid w:val="00C47C09"/>
    <w:rsid w:val="00C543F7"/>
    <w:rsid w:val="00C617A8"/>
    <w:rsid w:val="00C65FBA"/>
    <w:rsid w:val="00C66DA9"/>
    <w:rsid w:val="00C672EB"/>
    <w:rsid w:val="00C720F5"/>
    <w:rsid w:val="00C723E4"/>
    <w:rsid w:val="00C7390E"/>
    <w:rsid w:val="00C759A2"/>
    <w:rsid w:val="00C87291"/>
    <w:rsid w:val="00C9228E"/>
    <w:rsid w:val="00C935F3"/>
    <w:rsid w:val="00C93C40"/>
    <w:rsid w:val="00C94939"/>
    <w:rsid w:val="00CA2BC8"/>
    <w:rsid w:val="00CA386F"/>
    <w:rsid w:val="00CA4246"/>
    <w:rsid w:val="00CA67DE"/>
    <w:rsid w:val="00CB03F9"/>
    <w:rsid w:val="00CB0D1E"/>
    <w:rsid w:val="00CB25B4"/>
    <w:rsid w:val="00CC3DF3"/>
    <w:rsid w:val="00CC5E7C"/>
    <w:rsid w:val="00CD029A"/>
    <w:rsid w:val="00CD63BA"/>
    <w:rsid w:val="00CE2814"/>
    <w:rsid w:val="00CE2FA5"/>
    <w:rsid w:val="00CE4C70"/>
    <w:rsid w:val="00CE5674"/>
    <w:rsid w:val="00CF1A05"/>
    <w:rsid w:val="00CF738B"/>
    <w:rsid w:val="00CF74A0"/>
    <w:rsid w:val="00D004F3"/>
    <w:rsid w:val="00D0421C"/>
    <w:rsid w:val="00D057FC"/>
    <w:rsid w:val="00D06DD6"/>
    <w:rsid w:val="00D07708"/>
    <w:rsid w:val="00D133C9"/>
    <w:rsid w:val="00D15D4C"/>
    <w:rsid w:val="00D21791"/>
    <w:rsid w:val="00D21D1B"/>
    <w:rsid w:val="00D279C9"/>
    <w:rsid w:val="00D33C1B"/>
    <w:rsid w:val="00D369C8"/>
    <w:rsid w:val="00D41CC5"/>
    <w:rsid w:val="00D41D80"/>
    <w:rsid w:val="00D42F66"/>
    <w:rsid w:val="00D443F7"/>
    <w:rsid w:val="00D52D15"/>
    <w:rsid w:val="00D530BC"/>
    <w:rsid w:val="00D547A9"/>
    <w:rsid w:val="00D67724"/>
    <w:rsid w:val="00D74CB6"/>
    <w:rsid w:val="00D74DCC"/>
    <w:rsid w:val="00D76142"/>
    <w:rsid w:val="00D811CC"/>
    <w:rsid w:val="00D81ED0"/>
    <w:rsid w:val="00D900F9"/>
    <w:rsid w:val="00D90157"/>
    <w:rsid w:val="00D91469"/>
    <w:rsid w:val="00D916E2"/>
    <w:rsid w:val="00D945B0"/>
    <w:rsid w:val="00D97469"/>
    <w:rsid w:val="00DA5BA8"/>
    <w:rsid w:val="00DA7F20"/>
    <w:rsid w:val="00DB1D96"/>
    <w:rsid w:val="00DC1DFA"/>
    <w:rsid w:val="00DC75C0"/>
    <w:rsid w:val="00DC7F0A"/>
    <w:rsid w:val="00DD1AE4"/>
    <w:rsid w:val="00DE2AD2"/>
    <w:rsid w:val="00DE31B6"/>
    <w:rsid w:val="00DF1A1B"/>
    <w:rsid w:val="00DF1AE3"/>
    <w:rsid w:val="00DF31DD"/>
    <w:rsid w:val="00DF4722"/>
    <w:rsid w:val="00DF55DE"/>
    <w:rsid w:val="00DF66D2"/>
    <w:rsid w:val="00E107B7"/>
    <w:rsid w:val="00E12FA3"/>
    <w:rsid w:val="00E22B09"/>
    <w:rsid w:val="00E26CFF"/>
    <w:rsid w:val="00E30E30"/>
    <w:rsid w:val="00E32D09"/>
    <w:rsid w:val="00E34012"/>
    <w:rsid w:val="00E35361"/>
    <w:rsid w:val="00E36210"/>
    <w:rsid w:val="00E36565"/>
    <w:rsid w:val="00E36801"/>
    <w:rsid w:val="00E401C5"/>
    <w:rsid w:val="00E40A3A"/>
    <w:rsid w:val="00E456F4"/>
    <w:rsid w:val="00E45CC2"/>
    <w:rsid w:val="00E526E0"/>
    <w:rsid w:val="00E56C86"/>
    <w:rsid w:val="00E62850"/>
    <w:rsid w:val="00E64407"/>
    <w:rsid w:val="00E65231"/>
    <w:rsid w:val="00E65256"/>
    <w:rsid w:val="00E716AA"/>
    <w:rsid w:val="00E771B6"/>
    <w:rsid w:val="00E80F42"/>
    <w:rsid w:val="00E84837"/>
    <w:rsid w:val="00E84E52"/>
    <w:rsid w:val="00E858A8"/>
    <w:rsid w:val="00E867EB"/>
    <w:rsid w:val="00E92757"/>
    <w:rsid w:val="00E96EF3"/>
    <w:rsid w:val="00E97B65"/>
    <w:rsid w:val="00EA05B0"/>
    <w:rsid w:val="00EA152A"/>
    <w:rsid w:val="00EA25D1"/>
    <w:rsid w:val="00EA2796"/>
    <w:rsid w:val="00EA3B36"/>
    <w:rsid w:val="00EA5EE5"/>
    <w:rsid w:val="00EA78DC"/>
    <w:rsid w:val="00EB06F5"/>
    <w:rsid w:val="00EB0892"/>
    <w:rsid w:val="00EB4577"/>
    <w:rsid w:val="00EB74F2"/>
    <w:rsid w:val="00EC1A1B"/>
    <w:rsid w:val="00EC7CBB"/>
    <w:rsid w:val="00ED60C1"/>
    <w:rsid w:val="00EE1957"/>
    <w:rsid w:val="00EE7454"/>
    <w:rsid w:val="00EF628B"/>
    <w:rsid w:val="00EF7A90"/>
    <w:rsid w:val="00EF7D08"/>
    <w:rsid w:val="00F0330D"/>
    <w:rsid w:val="00F102EE"/>
    <w:rsid w:val="00F114C4"/>
    <w:rsid w:val="00F171EE"/>
    <w:rsid w:val="00F240C8"/>
    <w:rsid w:val="00F24A51"/>
    <w:rsid w:val="00F250FD"/>
    <w:rsid w:val="00F3034A"/>
    <w:rsid w:val="00F3047B"/>
    <w:rsid w:val="00F34251"/>
    <w:rsid w:val="00F368B2"/>
    <w:rsid w:val="00F40BAB"/>
    <w:rsid w:val="00F44076"/>
    <w:rsid w:val="00F4637B"/>
    <w:rsid w:val="00F46A24"/>
    <w:rsid w:val="00F46A3D"/>
    <w:rsid w:val="00F46DD1"/>
    <w:rsid w:val="00F4707E"/>
    <w:rsid w:val="00F47108"/>
    <w:rsid w:val="00F521A4"/>
    <w:rsid w:val="00F526C4"/>
    <w:rsid w:val="00F53DF6"/>
    <w:rsid w:val="00F541AB"/>
    <w:rsid w:val="00F56B64"/>
    <w:rsid w:val="00F7042A"/>
    <w:rsid w:val="00F73DDC"/>
    <w:rsid w:val="00F85880"/>
    <w:rsid w:val="00F91BDB"/>
    <w:rsid w:val="00F93A35"/>
    <w:rsid w:val="00FA229B"/>
    <w:rsid w:val="00FB0078"/>
    <w:rsid w:val="00FB402B"/>
    <w:rsid w:val="00FB6AA1"/>
    <w:rsid w:val="00FC2353"/>
    <w:rsid w:val="00FC5AB8"/>
    <w:rsid w:val="00FC6132"/>
    <w:rsid w:val="00FC69F6"/>
    <w:rsid w:val="00FC7B26"/>
    <w:rsid w:val="00FD7DE5"/>
    <w:rsid w:val="00FE3E9A"/>
    <w:rsid w:val="00FF38EA"/>
    <w:rsid w:val="00FF75E4"/>
    <w:rsid w:val="1DC1F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4771E8"/>
  <w14:defaultImageDpi w14:val="330"/>
  <w15:docId w15:val="{9E25789C-AE58-41F4-A506-346243DE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7708"/>
    <w:pPr>
      <w:spacing w:line="480" w:lineRule="auto"/>
      <w:ind w:firstLine="720"/>
      <w:jc w:val="both"/>
    </w:pPr>
    <w:rPr>
      <w:sz w:val="24"/>
      <w:szCs w:val="24"/>
    </w:rPr>
  </w:style>
  <w:style w:type="paragraph" w:styleId="Heading1">
    <w:name w:val="heading 1"/>
    <w:basedOn w:val="Normal"/>
    <w:next w:val="Normal"/>
    <w:qFormat/>
    <w:rsid w:val="00142372"/>
    <w:pPr>
      <w:keepNext/>
      <w:pageBreakBefore/>
      <w:numPr>
        <w:numId w:val="32"/>
      </w:numPr>
      <w:spacing w:after="960"/>
      <w:jc w:val="center"/>
      <w:outlineLvl w:val="0"/>
    </w:pPr>
    <w:rPr>
      <w:rFonts w:cs="Arial"/>
      <w:b/>
      <w:bCs/>
    </w:rPr>
  </w:style>
  <w:style w:type="paragraph" w:styleId="Heading2">
    <w:name w:val="heading 2"/>
    <w:basedOn w:val="Heading1"/>
    <w:next w:val="Normal"/>
    <w:qFormat/>
    <w:rsid w:val="00142372"/>
    <w:pPr>
      <w:pageBreakBefore w:val="0"/>
      <w:numPr>
        <w:ilvl w:val="1"/>
      </w:numPr>
      <w:spacing w:before="960" w:after="480"/>
      <w:contextualSpacing/>
      <w:outlineLvl w:val="1"/>
    </w:pPr>
    <w:rPr>
      <w:bCs w:val="0"/>
      <w:iCs/>
    </w:rPr>
  </w:style>
  <w:style w:type="paragraph" w:styleId="Heading3">
    <w:name w:val="heading 3"/>
    <w:basedOn w:val="Heading2"/>
    <w:next w:val="Normal"/>
    <w:qFormat/>
    <w:rsid w:val="00142372"/>
    <w:pPr>
      <w:numPr>
        <w:ilvl w:val="2"/>
      </w:numPr>
      <w:spacing w:before="480"/>
      <w:jc w:val="left"/>
      <w:outlineLvl w:val="2"/>
    </w:pPr>
    <w:rPr>
      <w:bCs/>
    </w:rPr>
  </w:style>
  <w:style w:type="paragraph" w:styleId="Heading4">
    <w:name w:val="heading 4"/>
    <w:basedOn w:val="Heading3"/>
    <w:next w:val="Normal"/>
    <w:qFormat/>
    <w:rsid w:val="00142372"/>
    <w:pPr>
      <w:numPr>
        <w:ilvl w:val="3"/>
      </w:numPr>
      <w:spacing w:after="0"/>
      <w:contextualSpacing w:val="0"/>
      <w:outlineLvl w:val="3"/>
    </w:pPr>
    <w:rPr>
      <w:bCs w:val="0"/>
    </w:rPr>
  </w:style>
  <w:style w:type="paragraph" w:styleId="Heading5">
    <w:name w:val="heading 5"/>
    <w:basedOn w:val="Heading4"/>
    <w:next w:val="Normal"/>
    <w:qFormat/>
    <w:rsid w:val="00142372"/>
    <w:pPr>
      <w:pageBreakBefore/>
      <w:numPr>
        <w:ilvl w:val="4"/>
      </w:numPr>
      <w:spacing w:after="720"/>
      <w:outlineLvl w:val="4"/>
    </w:pPr>
    <w:rPr>
      <w:b w:val="0"/>
      <w:bCs/>
      <w:iCs w:val="0"/>
      <w:szCs w:val="26"/>
    </w:rPr>
  </w:style>
  <w:style w:type="paragraph" w:styleId="Heading6">
    <w:name w:val="heading 6"/>
    <w:basedOn w:val="Heading5"/>
    <w:next w:val="Normal"/>
    <w:link w:val="Heading6Char"/>
    <w:unhideWhenUsed/>
    <w:qFormat/>
    <w:rsid w:val="005D40C2"/>
    <w:pPr>
      <w:numPr>
        <w:ilvl w:val="5"/>
      </w:numPr>
      <w:spacing w:before="960" w:after="480"/>
      <w:jc w:val="center"/>
      <w:outlineLvl w:val="5"/>
    </w:pPr>
    <w:rPr>
      <w:b/>
      <w:bCs w:val="0"/>
      <w:szCs w:val="22"/>
    </w:rPr>
  </w:style>
  <w:style w:type="paragraph" w:styleId="Heading7">
    <w:name w:val="heading 7"/>
    <w:basedOn w:val="Normal"/>
    <w:next w:val="Normal"/>
    <w:link w:val="Heading7Char"/>
    <w:unhideWhenUsed/>
    <w:qFormat/>
    <w:rsid w:val="005D40C2"/>
    <w:pPr>
      <w:keepNext/>
      <w:numPr>
        <w:ilvl w:val="6"/>
        <w:numId w:val="32"/>
      </w:numPr>
      <w:spacing w:before="480" w:after="480"/>
      <w:jc w:val="left"/>
      <w:outlineLvl w:val="6"/>
    </w:pPr>
    <w:rPr>
      <w:rFonts w:ascii="Times New Roman Bold" w:hAnsi="Times New Roman Bold"/>
      <w:b/>
    </w:rPr>
  </w:style>
  <w:style w:type="paragraph" w:styleId="Heading8">
    <w:name w:val="heading 8"/>
    <w:basedOn w:val="Normal"/>
    <w:next w:val="Normal"/>
    <w:link w:val="Heading8Char"/>
    <w:semiHidden/>
    <w:unhideWhenUsed/>
    <w:qFormat/>
    <w:rsid w:val="00D97469"/>
    <w:pPr>
      <w:numPr>
        <w:ilvl w:val="7"/>
        <w:numId w:val="3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97469"/>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D40C2"/>
    <w:pPr>
      <w:tabs>
        <w:tab w:val="right" w:leader="dot" w:pos="9350"/>
      </w:tabs>
      <w:ind w:left="240" w:right="720" w:hanging="240"/>
    </w:pPr>
    <w:rPr>
      <w:b/>
    </w:r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rmal"/>
    <w:rsid w:val="00130B6B"/>
  </w:style>
  <w:style w:type="paragraph" w:styleId="Header">
    <w:name w:val="header"/>
    <w:basedOn w:val="Normal"/>
    <w:semiHidden/>
    <w:rsid w:val="00367476"/>
    <w:pPr>
      <w:tabs>
        <w:tab w:val="center" w:pos="4320"/>
        <w:tab w:val="right" w:pos="8640"/>
      </w:tabs>
    </w:pPr>
  </w:style>
  <w:style w:type="paragraph" w:styleId="TOC2">
    <w:name w:val="toc 2"/>
    <w:basedOn w:val="Normal"/>
    <w:next w:val="Normal"/>
    <w:autoRedefine/>
    <w:uiPriority w:val="39"/>
    <w:rsid w:val="00584ADB"/>
    <w:pPr>
      <w:tabs>
        <w:tab w:val="left" w:pos="1170"/>
        <w:tab w:val="right" w:leader="dot" w:pos="9350"/>
      </w:tabs>
      <w:ind w:left="504" w:firstLine="0"/>
    </w:pPr>
    <w:rPr>
      <w:b/>
    </w:rPr>
  </w:style>
  <w:style w:type="paragraph" w:styleId="TOC3">
    <w:name w:val="toc 3"/>
    <w:basedOn w:val="Normal"/>
    <w:next w:val="Normal"/>
    <w:autoRedefine/>
    <w:uiPriority w:val="39"/>
    <w:rsid w:val="00E80F42"/>
    <w:pPr>
      <w:tabs>
        <w:tab w:val="left" w:pos="1920"/>
        <w:tab w:val="right" w:leader="dot" w:pos="9350"/>
      </w:tabs>
      <w:ind w:left="1008" w:firstLine="0"/>
    </w:pPr>
    <w:rPr>
      <w:b/>
    </w:rPr>
  </w:style>
  <w:style w:type="paragraph" w:styleId="Footer">
    <w:name w:val="footer"/>
    <w:basedOn w:val="Normal"/>
    <w:link w:val="FooterChar"/>
    <w:uiPriority w:val="99"/>
    <w:rsid w:val="00367476"/>
    <w:pPr>
      <w:tabs>
        <w:tab w:val="center" w:pos="4320"/>
        <w:tab w:val="right" w:pos="8640"/>
      </w:tabs>
    </w:pPr>
  </w:style>
  <w:style w:type="paragraph" w:styleId="Caption">
    <w:name w:val="caption"/>
    <w:basedOn w:val="NoIndent"/>
    <w:next w:val="Normal"/>
    <w:qFormat/>
    <w:rsid w:val="00584ADB"/>
    <w:pPr>
      <w:outlineLvl w:val="8"/>
    </w:pPr>
    <w:rPr>
      <w:b/>
      <w:bCs/>
      <w:sz w:val="20"/>
      <w:szCs w:val="20"/>
    </w:rPr>
  </w:style>
  <w:style w:type="paragraph" w:styleId="TOC4">
    <w:name w:val="toc 4"/>
    <w:basedOn w:val="Normal"/>
    <w:next w:val="Normal"/>
    <w:autoRedefine/>
    <w:uiPriority w:val="39"/>
    <w:rsid w:val="00DA5BA8"/>
    <w:pPr>
      <w:ind w:left="1512" w:firstLine="0"/>
    </w:pPr>
    <w:rPr>
      <w:b/>
    </w:rPr>
  </w:style>
  <w:style w:type="paragraph" w:customStyle="1" w:styleId="Preliminary">
    <w:name w:val="Preliminary"/>
    <w:basedOn w:val="Heading1"/>
    <w:next w:val="Normal"/>
    <w:rsid w:val="00D81ED0"/>
    <w:pPr>
      <w:numPr>
        <w:numId w:val="0"/>
      </w:numPr>
    </w:pPr>
  </w:style>
  <w:style w:type="table" w:styleId="TableGrid">
    <w:name w:val="Table Grid"/>
    <w:basedOn w:val="TableNormal"/>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1D5C8B"/>
    <w:pPr>
      <w:ind w:left="240" w:hanging="240"/>
    </w:pPr>
    <w:rPr>
      <w:b/>
    </w:rPr>
  </w:style>
  <w:style w:type="paragraph" w:styleId="BalloonText">
    <w:name w:val="Balloon Text"/>
    <w:basedOn w:val="Normal"/>
    <w:link w:val="BalloonTextChar"/>
    <w:rsid w:val="00D97469"/>
    <w:pPr>
      <w:spacing w:line="240" w:lineRule="auto"/>
    </w:pPr>
    <w:rPr>
      <w:rFonts w:ascii="Segoe UI" w:hAnsi="Segoe UI" w:cs="Segoe UI"/>
      <w:sz w:val="18"/>
      <w:szCs w:val="18"/>
    </w:rPr>
  </w:style>
  <w:style w:type="character" w:customStyle="1" w:styleId="BalloonTextChar">
    <w:name w:val="Balloon Text Char"/>
    <w:link w:val="BalloonText"/>
    <w:rsid w:val="00D97469"/>
    <w:rPr>
      <w:rFonts w:ascii="Segoe UI" w:hAnsi="Segoe UI" w:cs="Segoe UI"/>
      <w:sz w:val="18"/>
      <w:szCs w:val="18"/>
    </w:rPr>
  </w:style>
  <w:style w:type="paragraph" w:styleId="Bibliography">
    <w:name w:val="Bibliography"/>
    <w:basedOn w:val="Normal"/>
    <w:next w:val="Normal"/>
    <w:uiPriority w:val="37"/>
    <w:semiHidden/>
    <w:unhideWhenUsed/>
    <w:rsid w:val="00D97469"/>
  </w:style>
  <w:style w:type="paragraph" w:styleId="BlockText">
    <w:name w:val="Block Text"/>
    <w:basedOn w:val="Normal"/>
    <w:rsid w:val="00D97469"/>
    <w:pPr>
      <w:spacing w:after="120"/>
      <w:ind w:left="1440" w:right="1440"/>
    </w:pPr>
  </w:style>
  <w:style w:type="paragraph" w:styleId="BodyText">
    <w:name w:val="Body Text"/>
    <w:basedOn w:val="Normal"/>
    <w:link w:val="BodyTextChar"/>
    <w:rsid w:val="00D97469"/>
    <w:pPr>
      <w:spacing w:after="120"/>
    </w:pPr>
  </w:style>
  <w:style w:type="character" w:customStyle="1" w:styleId="BodyTextChar">
    <w:name w:val="Body Text Char"/>
    <w:link w:val="BodyText"/>
    <w:rsid w:val="00D97469"/>
    <w:rPr>
      <w:sz w:val="24"/>
      <w:szCs w:val="24"/>
    </w:rPr>
  </w:style>
  <w:style w:type="paragraph" w:styleId="BodyText2">
    <w:name w:val="Body Text 2"/>
    <w:basedOn w:val="Normal"/>
    <w:link w:val="BodyText2Char"/>
    <w:rsid w:val="00D97469"/>
    <w:pPr>
      <w:spacing w:after="120"/>
    </w:pPr>
  </w:style>
  <w:style w:type="character" w:customStyle="1" w:styleId="BodyText2Char">
    <w:name w:val="Body Text 2 Char"/>
    <w:link w:val="BodyText2"/>
    <w:rsid w:val="00D97469"/>
    <w:rPr>
      <w:sz w:val="24"/>
      <w:szCs w:val="24"/>
    </w:rPr>
  </w:style>
  <w:style w:type="paragraph" w:styleId="BodyText3">
    <w:name w:val="Body Text 3"/>
    <w:basedOn w:val="Normal"/>
    <w:link w:val="BodyText3Char"/>
    <w:rsid w:val="00D97469"/>
    <w:pPr>
      <w:spacing w:after="120"/>
    </w:pPr>
    <w:rPr>
      <w:sz w:val="16"/>
      <w:szCs w:val="16"/>
    </w:rPr>
  </w:style>
  <w:style w:type="character" w:customStyle="1" w:styleId="BodyText3Char">
    <w:name w:val="Body Text 3 Char"/>
    <w:link w:val="BodyText3"/>
    <w:rsid w:val="00D97469"/>
    <w:rPr>
      <w:sz w:val="16"/>
      <w:szCs w:val="16"/>
    </w:rPr>
  </w:style>
  <w:style w:type="paragraph" w:styleId="BodyTextFirstIndent">
    <w:name w:val="Body Text First Indent"/>
    <w:basedOn w:val="BodyText"/>
    <w:link w:val="BodyTextFirstIndentChar"/>
    <w:rsid w:val="00D97469"/>
    <w:pPr>
      <w:ind w:firstLine="210"/>
    </w:pPr>
  </w:style>
  <w:style w:type="character" w:customStyle="1" w:styleId="BodyTextFirstIndentChar">
    <w:name w:val="Body Text First Indent Char"/>
    <w:basedOn w:val="BodyTextChar"/>
    <w:link w:val="BodyTextFirstIndent"/>
    <w:rsid w:val="00D97469"/>
    <w:rPr>
      <w:sz w:val="24"/>
      <w:szCs w:val="24"/>
    </w:rPr>
  </w:style>
  <w:style w:type="paragraph" w:styleId="BodyTextIndent">
    <w:name w:val="Body Text Indent"/>
    <w:basedOn w:val="Normal"/>
    <w:link w:val="BodyTextIndentChar"/>
    <w:rsid w:val="00D97469"/>
    <w:pPr>
      <w:spacing w:after="120"/>
      <w:ind w:left="360"/>
    </w:pPr>
  </w:style>
  <w:style w:type="character" w:customStyle="1" w:styleId="BodyTextIndentChar">
    <w:name w:val="Body Text Indent Char"/>
    <w:link w:val="BodyTextIndent"/>
    <w:rsid w:val="00D97469"/>
    <w:rPr>
      <w:sz w:val="24"/>
      <w:szCs w:val="24"/>
    </w:rPr>
  </w:style>
  <w:style w:type="paragraph" w:styleId="BodyTextFirstIndent2">
    <w:name w:val="Body Text First Indent 2"/>
    <w:basedOn w:val="BodyTextIndent"/>
    <w:link w:val="BodyTextFirstIndent2Char"/>
    <w:rsid w:val="00D97469"/>
    <w:pPr>
      <w:ind w:firstLine="210"/>
    </w:pPr>
  </w:style>
  <w:style w:type="character" w:customStyle="1" w:styleId="BodyTextFirstIndent2Char">
    <w:name w:val="Body Text First Indent 2 Char"/>
    <w:basedOn w:val="BodyTextIndentChar"/>
    <w:link w:val="BodyTextFirstIndent2"/>
    <w:rsid w:val="00D97469"/>
    <w:rPr>
      <w:sz w:val="24"/>
      <w:szCs w:val="24"/>
    </w:rPr>
  </w:style>
  <w:style w:type="paragraph" w:styleId="BodyTextIndent2">
    <w:name w:val="Body Text Indent 2"/>
    <w:basedOn w:val="Normal"/>
    <w:link w:val="BodyTextIndent2Char"/>
    <w:rsid w:val="00D97469"/>
    <w:pPr>
      <w:spacing w:after="120"/>
      <w:ind w:left="360"/>
    </w:pPr>
  </w:style>
  <w:style w:type="character" w:customStyle="1" w:styleId="BodyTextIndent2Char">
    <w:name w:val="Body Text Indent 2 Char"/>
    <w:link w:val="BodyTextIndent2"/>
    <w:rsid w:val="00D97469"/>
    <w:rPr>
      <w:sz w:val="24"/>
      <w:szCs w:val="24"/>
    </w:rPr>
  </w:style>
  <w:style w:type="paragraph" w:styleId="BodyTextIndent3">
    <w:name w:val="Body Text Indent 3"/>
    <w:basedOn w:val="Normal"/>
    <w:link w:val="BodyTextIndent3Char"/>
    <w:rsid w:val="00D97469"/>
    <w:pPr>
      <w:spacing w:after="120"/>
      <w:ind w:left="360"/>
    </w:pPr>
    <w:rPr>
      <w:sz w:val="16"/>
      <w:szCs w:val="16"/>
    </w:rPr>
  </w:style>
  <w:style w:type="character" w:customStyle="1" w:styleId="BodyTextIndent3Char">
    <w:name w:val="Body Text Indent 3 Char"/>
    <w:link w:val="BodyTextIndent3"/>
    <w:rsid w:val="00D97469"/>
    <w:rPr>
      <w:sz w:val="16"/>
      <w:szCs w:val="16"/>
    </w:rPr>
  </w:style>
  <w:style w:type="paragraph" w:styleId="Closing">
    <w:name w:val="Closing"/>
    <w:basedOn w:val="Normal"/>
    <w:link w:val="ClosingChar"/>
    <w:rsid w:val="00D97469"/>
    <w:pPr>
      <w:ind w:left="4320"/>
    </w:pPr>
  </w:style>
  <w:style w:type="character" w:customStyle="1" w:styleId="ClosingChar">
    <w:name w:val="Closing Char"/>
    <w:link w:val="Closing"/>
    <w:rsid w:val="00D97469"/>
    <w:rPr>
      <w:sz w:val="24"/>
      <w:szCs w:val="24"/>
    </w:rPr>
  </w:style>
  <w:style w:type="paragraph" w:styleId="CommentText">
    <w:name w:val="annotation text"/>
    <w:basedOn w:val="Normal"/>
    <w:link w:val="CommentTextChar"/>
    <w:rsid w:val="00D97469"/>
    <w:rPr>
      <w:sz w:val="20"/>
      <w:szCs w:val="20"/>
    </w:rPr>
  </w:style>
  <w:style w:type="character" w:customStyle="1" w:styleId="CommentTextChar">
    <w:name w:val="Comment Text Char"/>
    <w:basedOn w:val="DefaultParagraphFont"/>
    <w:link w:val="CommentText"/>
    <w:rsid w:val="00D97469"/>
  </w:style>
  <w:style w:type="paragraph" w:styleId="CommentSubject">
    <w:name w:val="annotation subject"/>
    <w:basedOn w:val="CommentText"/>
    <w:next w:val="CommentText"/>
    <w:link w:val="CommentSubjectChar"/>
    <w:rsid w:val="00D97469"/>
    <w:rPr>
      <w:b/>
      <w:bCs/>
    </w:rPr>
  </w:style>
  <w:style w:type="character" w:customStyle="1" w:styleId="CommentSubjectChar">
    <w:name w:val="Comment Subject Char"/>
    <w:link w:val="CommentSubject"/>
    <w:rsid w:val="00D97469"/>
    <w:rPr>
      <w:b/>
      <w:bCs/>
    </w:rPr>
  </w:style>
  <w:style w:type="paragraph" w:styleId="Date">
    <w:name w:val="Date"/>
    <w:basedOn w:val="Normal"/>
    <w:next w:val="Normal"/>
    <w:link w:val="DateChar"/>
    <w:rsid w:val="00D97469"/>
  </w:style>
  <w:style w:type="character" w:customStyle="1" w:styleId="DateChar">
    <w:name w:val="Date Char"/>
    <w:link w:val="Date"/>
    <w:rsid w:val="00D97469"/>
    <w:rPr>
      <w:sz w:val="24"/>
      <w:szCs w:val="24"/>
    </w:rPr>
  </w:style>
  <w:style w:type="paragraph" w:styleId="DocumentMap">
    <w:name w:val="Document Map"/>
    <w:basedOn w:val="Normal"/>
    <w:link w:val="DocumentMapChar"/>
    <w:rsid w:val="00D97469"/>
    <w:rPr>
      <w:rFonts w:ascii="Segoe UI" w:hAnsi="Segoe UI" w:cs="Segoe UI"/>
      <w:sz w:val="16"/>
      <w:szCs w:val="16"/>
    </w:rPr>
  </w:style>
  <w:style w:type="character" w:customStyle="1" w:styleId="DocumentMapChar">
    <w:name w:val="Document Map Char"/>
    <w:link w:val="DocumentMap"/>
    <w:rsid w:val="00D97469"/>
    <w:rPr>
      <w:rFonts w:ascii="Segoe UI" w:hAnsi="Segoe UI" w:cs="Segoe UI"/>
      <w:sz w:val="16"/>
      <w:szCs w:val="16"/>
    </w:rPr>
  </w:style>
  <w:style w:type="paragraph" w:styleId="E-mailSignature">
    <w:name w:val="E-mail Signature"/>
    <w:basedOn w:val="Normal"/>
    <w:link w:val="E-mailSignatureChar"/>
    <w:rsid w:val="00D97469"/>
  </w:style>
  <w:style w:type="character" w:customStyle="1" w:styleId="E-mailSignatureChar">
    <w:name w:val="E-mail Signature Char"/>
    <w:link w:val="E-mailSignature"/>
    <w:rsid w:val="00D97469"/>
    <w:rPr>
      <w:sz w:val="24"/>
      <w:szCs w:val="24"/>
    </w:rPr>
  </w:style>
  <w:style w:type="paragraph" w:styleId="EndnoteText">
    <w:name w:val="endnote text"/>
    <w:basedOn w:val="Normal"/>
    <w:link w:val="EndnoteTextChar"/>
    <w:rsid w:val="00D97469"/>
    <w:rPr>
      <w:sz w:val="20"/>
      <w:szCs w:val="20"/>
    </w:rPr>
  </w:style>
  <w:style w:type="character" w:customStyle="1" w:styleId="EndnoteTextChar">
    <w:name w:val="Endnote Text Char"/>
    <w:basedOn w:val="DefaultParagraphFont"/>
    <w:link w:val="EndnoteText"/>
    <w:rsid w:val="00D97469"/>
  </w:style>
  <w:style w:type="paragraph" w:styleId="EnvelopeAddress">
    <w:name w:val="envelope address"/>
    <w:basedOn w:val="Normal"/>
    <w:rsid w:val="00D97469"/>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rsid w:val="00D97469"/>
    <w:rPr>
      <w:rFonts w:ascii="Calibri Light" w:hAnsi="Calibri Light"/>
      <w:sz w:val="20"/>
      <w:szCs w:val="20"/>
    </w:rPr>
  </w:style>
  <w:style w:type="paragraph" w:styleId="FootnoteText">
    <w:name w:val="footnote text"/>
    <w:basedOn w:val="Normal"/>
    <w:link w:val="FootnoteTextChar"/>
    <w:rsid w:val="00D97469"/>
    <w:rPr>
      <w:sz w:val="20"/>
      <w:szCs w:val="20"/>
    </w:rPr>
  </w:style>
  <w:style w:type="character" w:customStyle="1" w:styleId="FootnoteTextChar">
    <w:name w:val="Footnote Text Char"/>
    <w:basedOn w:val="DefaultParagraphFont"/>
    <w:link w:val="FootnoteText"/>
    <w:rsid w:val="00D97469"/>
  </w:style>
  <w:style w:type="character" w:customStyle="1" w:styleId="Heading6Char">
    <w:name w:val="Heading 6 Char"/>
    <w:link w:val="Heading6"/>
    <w:rsid w:val="00142372"/>
    <w:rPr>
      <w:rFonts w:cs="Arial"/>
      <w:b/>
      <w:sz w:val="24"/>
      <w:szCs w:val="22"/>
    </w:rPr>
  </w:style>
  <w:style w:type="character" w:customStyle="1" w:styleId="Heading7Char">
    <w:name w:val="Heading 7 Char"/>
    <w:link w:val="Heading7"/>
    <w:rsid w:val="005D40C2"/>
    <w:rPr>
      <w:rFonts w:ascii="Times New Roman Bold" w:hAnsi="Times New Roman Bold"/>
      <w:b/>
      <w:sz w:val="24"/>
      <w:szCs w:val="24"/>
    </w:rPr>
  </w:style>
  <w:style w:type="character" w:customStyle="1" w:styleId="Heading8Char">
    <w:name w:val="Heading 8 Char"/>
    <w:link w:val="Heading8"/>
    <w:semiHidden/>
    <w:rsid w:val="00D97469"/>
    <w:rPr>
      <w:rFonts w:ascii="Calibri" w:eastAsia="Times New Roman" w:hAnsi="Calibri" w:cs="Times New Roman"/>
      <w:i/>
      <w:iCs/>
      <w:sz w:val="24"/>
      <w:szCs w:val="24"/>
    </w:rPr>
  </w:style>
  <w:style w:type="character" w:customStyle="1" w:styleId="Heading9Char">
    <w:name w:val="Heading 9 Char"/>
    <w:link w:val="Heading9"/>
    <w:semiHidden/>
    <w:rsid w:val="00D97469"/>
    <w:rPr>
      <w:rFonts w:ascii="Calibri Light" w:eastAsia="Times New Roman" w:hAnsi="Calibri Light" w:cs="Times New Roman"/>
      <w:sz w:val="22"/>
      <w:szCs w:val="22"/>
    </w:rPr>
  </w:style>
  <w:style w:type="paragraph" w:styleId="HTMLAddress">
    <w:name w:val="HTML Address"/>
    <w:basedOn w:val="Normal"/>
    <w:link w:val="HTMLAddressChar"/>
    <w:rsid w:val="00D97469"/>
    <w:rPr>
      <w:i/>
      <w:iCs/>
    </w:rPr>
  </w:style>
  <w:style w:type="character" w:customStyle="1" w:styleId="HTMLAddressChar">
    <w:name w:val="HTML Address Char"/>
    <w:link w:val="HTMLAddress"/>
    <w:rsid w:val="00D97469"/>
    <w:rPr>
      <w:i/>
      <w:iCs/>
      <w:sz w:val="24"/>
      <w:szCs w:val="24"/>
    </w:rPr>
  </w:style>
  <w:style w:type="paragraph" w:styleId="HTMLPreformatted">
    <w:name w:val="HTML Preformatted"/>
    <w:basedOn w:val="Normal"/>
    <w:link w:val="HTMLPreformattedChar"/>
    <w:rsid w:val="00D97469"/>
    <w:rPr>
      <w:rFonts w:ascii="Courier New" w:hAnsi="Courier New" w:cs="Courier New"/>
      <w:sz w:val="20"/>
      <w:szCs w:val="20"/>
    </w:rPr>
  </w:style>
  <w:style w:type="character" w:customStyle="1" w:styleId="HTMLPreformattedChar">
    <w:name w:val="HTML Preformatted Char"/>
    <w:link w:val="HTMLPreformatted"/>
    <w:rsid w:val="00D97469"/>
    <w:rPr>
      <w:rFonts w:ascii="Courier New" w:hAnsi="Courier New" w:cs="Courier New"/>
    </w:rPr>
  </w:style>
  <w:style w:type="paragraph" w:styleId="Index1">
    <w:name w:val="index 1"/>
    <w:basedOn w:val="Normal"/>
    <w:next w:val="Normal"/>
    <w:autoRedefine/>
    <w:rsid w:val="00D97469"/>
    <w:pPr>
      <w:ind w:left="240" w:hanging="240"/>
    </w:pPr>
  </w:style>
  <w:style w:type="paragraph" w:styleId="Index2">
    <w:name w:val="index 2"/>
    <w:basedOn w:val="Normal"/>
    <w:next w:val="Normal"/>
    <w:autoRedefine/>
    <w:rsid w:val="00D97469"/>
    <w:pPr>
      <w:ind w:left="480" w:hanging="240"/>
    </w:pPr>
  </w:style>
  <w:style w:type="paragraph" w:styleId="Index3">
    <w:name w:val="index 3"/>
    <w:basedOn w:val="Normal"/>
    <w:next w:val="Normal"/>
    <w:autoRedefine/>
    <w:rsid w:val="00D97469"/>
    <w:pPr>
      <w:ind w:left="720" w:hanging="240"/>
    </w:pPr>
  </w:style>
  <w:style w:type="paragraph" w:styleId="Index4">
    <w:name w:val="index 4"/>
    <w:basedOn w:val="Normal"/>
    <w:next w:val="Normal"/>
    <w:autoRedefine/>
    <w:rsid w:val="00D97469"/>
    <w:pPr>
      <w:ind w:left="960" w:hanging="240"/>
    </w:pPr>
  </w:style>
  <w:style w:type="paragraph" w:styleId="Index5">
    <w:name w:val="index 5"/>
    <w:basedOn w:val="Normal"/>
    <w:next w:val="Normal"/>
    <w:autoRedefine/>
    <w:rsid w:val="00D97469"/>
    <w:pPr>
      <w:ind w:left="1200" w:hanging="240"/>
    </w:pPr>
  </w:style>
  <w:style w:type="paragraph" w:styleId="Index6">
    <w:name w:val="index 6"/>
    <w:basedOn w:val="Normal"/>
    <w:next w:val="Normal"/>
    <w:autoRedefine/>
    <w:rsid w:val="00D97469"/>
    <w:pPr>
      <w:ind w:left="1440" w:hanging="240"/>
    </w:pPr>
  </w:style>
  <w:style w:type="paragraph" w:styleId="Index7">
    <w:name w:val="index 7"/>
    <w:basedOn w:val="Normal"/>
    <w:next w:val="Normal"/>
    <w:autoRedefine/>
    <w:rsid w:val="00D97469"/>
    <w:pPr>
      <w:ind w:left="1680" w:hanging="240"/>
    </w:pPr>
  </w:style>
  <w:style w:type="paragraph" w:styleId="Index8">
    <w:name w:val="index 8"/>
    <w:basedOn w:val="Normal"/>
    <w:next w:val="Normal"/>
    <w:autoRedefine/>
    <w:rsid w:val="00D97469"/>
    <w:pPr>
      <w:ind w:left="1920" w:hanging="240"/>
    </w:pPr>
  </w:style>
  <w:style w:type="paragraph" w:styleId="Index9">
    <w:name w:val="index 9"/>
    <w:basedOn w:val="Normal"/>
    <w:next w:val="Normal"/>
    <w:autoRedefine/>
    <w:rsid w:val="00D97469"/>
    <w:pPr>
      <w:ind w:left="2160" w:hanging="240"/>
    </w:pPr>
  </w:style>
  <w:style w:type="paragraph" w:styleId="IndexHeading">
    <w:name w:val="index heading"/>
    <w:basedOn w:val="Normal"/>
    <w:next w:val="Index1"/>
    <w:rsid w:val="00D97469"/>
    <w:rPr>
      <w:rFonts w:ascii="Calibri Light" w:hAnsi="Calibri Light"/>
      <w:b/>
      <w:bCs/>
    </w:rPr>
  </w:style>
  <w:style w:type="paragraph" w:styleId="IntenseQuote">
    <w:name w:val="Intense Quote"/>
    <w:basedOn w:val="Normal"/>
    <w:next w:val="Normal"/>
    <w:link w:val="IntenseQuoteChar"/>
    <w:uiPriority w:val="30"/>
    <w:qFormat/>
    <w:rsid w:val="00D9746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7469"/>
    <w:rPr>
      <w:i/>
      <w:iCs/>
      <w:color w:val="5B9BD5"/>
      <w:sz w:val="24"/>
      <w:szCs w:val="24"/>
    </w:rPr>
  </w:style>
  <w:style w:type="paragraph" w:styleId="List">
    <w:name w:val="List"/>
    <w:basedOn w:val="Normal"/>
    <w:rsid w:val="00D97469"/>
    <w:pPr>
      <w:ind w:left="360" w:hanging="360"/>
      <w:contextualSpacing/>
    </w:pPr>
  </w:style>
  <w:style w:type="paragraph" w:styleId="List2">
    <w:name w:val="List 2"/>
    <w:basedOn w:val="Normal"/>
    <w:rsid w:val="00D97469"/>
    <w:pPr>
      <w:ind w:left="720" w:hanging="360"/>
      <w:contextualSpacing/>
    </w:pPr>
  </w:style>
  <w:style w:type="paragraph" w:styleId="List3">
    <w:name w:val="List 3"/>
    <w:basedOn w:val="Normal"/>
    <w:rsid w:val="00D97469"/>
    <w:pPr>
      <w:ind w:left="1080" w:hanging="360"/>
      <w:contextualSpacing/>
    </w:pPr>
  </w:style>
  <w:style w:type="paragraph" w:styleId="List4">
    <w:name w:val="List 4"/>
    <w:basedOn w:val="Normal"/>
    <w:rsid w:val="00D97469"/>
    <w:pPr>
      <w:ind w:left="1440" w:hanging="360"/>
      <w:contextualSpacing/>
    </w:pPr>
  </w:style>
  <w:style w:type="paragraph" w:styleId="List5">
    <w:name w:val="List 5"/>
    <w:basedOn w:val="Normal"/>
    <w:rsid w:val="00D97469"/>
    <w:pPr>
      <w:ind w:left="1800" w:hanging="360"/>
      <w:contextualSpacing/>
    </w:pPr>
  </w:style>
  <w:style w:type="paragraph" w:styleId="ListBullet">
    <w:name w:val="List Bullet"/>
    <w:basedOn w:val="Normal"/>
    <w:rsid w:val="00D97469"/>
    <w:pPr>
      <w:numPr>
        <w:numId w:val="2"/>
      </w:numPr>
      <w:contextualSpacing/>
    </w:pPr>
  </w:style>
  <w:style w:type="paragraph" w:styleId="ListBullet2">
    <w:name w:val="List Bullet 2"/>
    <w:basedOn w:val="Normal"/>
    <w:rsid w:val="00D97469"/>
    <w:pPr>
      <w:numPr>
        <w:numId w:val="3"/>
      </w:numPr>
      <w:contextualSpacing/>
    </w:pPr>
  </w:style>
  <w:style w:type="paragraph" w:styleId="ListBullet3">
    <w:name w:val="List Bullet 3"/>
    <w:basedOn w:val="Normal"/>
    <w:rsid w:val="00D97469"/>
    <w:pPr>
      <w:numPr>
        <w:numId w:val="4"/>
      </w:numPr>
      <w:contextualSpacing/>
    </w:pPr>
  </w:style>
  <w:style w:type="paragraph" w:styleId="ListBullet4">
    <w:name w:val="List Bullet 4"/>
    <w:basedOn w:val="Normal"/>
    <w:rsid w:val="00D97469"/>
    <w:pPr>
      <w:numPr>
        <w:numId w:val="5"/>
      </w:numPr>
      <w:contextualSpacing/>
    </w:pPr>
  </w:style>
  <w:style w:type="paragraph" w:styleId="ListBullet5">
    <w:name w:val="List Bullet 5"/>
    <w:basedOn w:val="Normal"/>
    <w:rsid w:val="00D97469"/>
    <w:pPr>
      <w:numPr>
        <w:numId w:val="6"/>
      </w:numPr>
      <w:contextualSpacing/>
    </w:pPr>
  </w:style>
  <w:style w:type="paragraph" w:styleId="ListContinue">
    <w:name w:val="List Continue"/>
    <w:basedOn w:val="Normal"/>
    <w:rsid w:val="00D97469"/>
    <w:pPr>
      <w:spacing w:after="120"/>
      <w:ind w:left="360"/>
      <w:contextualSpacing/>
    </w:pPr>
  </w:style>
  <w:style w:type="paragraph" w:styleId="ListContinue2">
    <w:name w:val="List Continue 2"/>
    <w:basedOn w:val="Normal"/>
    <w:rsid w:val="00D97469"/>
    <w:pPr>
      <w:spacing w:after="120"/>
      <w:ind w:left="720"/>
      <w:contextualSpacing/>
    </w:pPr>
  </w:style>
  <w:style w:type="paragraph" w:styleId="ListContinue3">
    <w:name w:val="List Continue 3"/>
    <w:basedOn w:val="Normal"/>
    <w:rsid w:val="00D97469"/>
    <w:pPr>
      <w:spacing w:after="120"/>
      <w:ind w:left="1080"/>
      <w:contextualSpacing/>
    </w:pPr>
  </w:style>
  <w:style w:type="paragraph" w:styleId="ListContinue4">
    <w:name w:val="List Continue 4"/>
    <w:basedOn w:val="Normal"/>
    <w:rsid w:val="00D97469"/>
    <w:pPr>
      <w:spacing w:after="120"/>
      <w:ind w:left="1440"/>
      <w:contextualSpacing/>
    </w:pPr>
  </w:style>
  <w:style w:type="paragraph" w:styleId="ListContinue5">
    <w:name w:val="List Continue 5"/>
    <w:basedOn w:val="Normal"/>
    <w:rsid w:val="00D97469"/>
    <w:pPr>
      <w:spacing w:after="120"/>
      <w:ind w:left="1800"/>
      <w:contextualSpacing/>
    </w:pPr>
  </w:style>
  <w:style w:type="paragraph" w:styleId="ListNumber">
    <w:name w:val="List Number"/>
    <w:basedOn w:val="Normal"/>
    <w:rsid w:val="00D97469"/>
    <w:pPr>
      <w:numPr>
        <w:numId w:val="11"/>
      </w:numPr>
      <w:contextualSpacing/>
    </w:pPr>
  </w:style>
  <w:style w:type="paragraph" w:styleId="ListNumber2">
    <w:name w:val="List Number 2"/>
    <w:basedOn w:val="Normal"/>
    <w:rsid w:val="00D97469"/>
    <w:pPr>
      <w:numPr>
        <w:numId w:val="9"/>
      </w:numPr>
      <w:contextualSpacing/>
    </w:pPr>
  </w:style>
  <w:style w:type="paragraph" w:styleId="ListNumber3">
    <w:name w:val="List Number 3"/>
    <w:basedOn w:val="Normal"/>
    <w:rsid w:val="00D97469"/>
    <w:pPr>
      <w:numPr>
        <w:numId w:val="10"/>
      </w:numPr>
      <w:contextualSpacing/>
    </w:pPr>
  </w:style>
  <w:style w:type="paragraph" w:styleId="ListNumber4">
    <w:name w:val="List Number 4"/>
    <w:basedOn w:val="Normal"/>
    <w:rsid w:val="00D97469"/>
    <w:pPr>
      <w:numPr>
        <w:numId w:val="8"/>
      </w:numPr>
      <w:contextualSpacing/>
    </w:pPr>
  </w:style>
  <w:style w:type="paragraph" w:styleId="ListNumber5">
    <w:name w:val="List Number 5"/>
    <w:basedOn w:val="Normal"/>
    <w:rsid w:val="00D97469"/>
    <w:pPr>
      <w:numPr>
        <w:numId w:val="7"/>
      </w:numPr>
      <w:contextualSpacing/>
    </w:pPr>
  </w:style>
  <w:style w:type="paragraph" w:styleId="ListParagraph">
    <w:name w:val="List Paragraph"/>
    <w:basedOn w:val="Normal"/>
    <w:uiPriority w:val="34"/>
    <w:qFormat/>
    <w:rsid w:val="00D97469"/>
    <w:pPr>
      <w:ind w:left="720"/>
    </w:pPr>
  </w:style>
  <w:style w:type="paragraph" w:styleId="MacroText">
    <w:name w:val="macro"/>
    <w:link w:val="MacroTextChar"/>
    <w:rsid w:val="00D97469"/>
    <w:pPr>
      <w:tabs>
        <w:tab w:val="left" w:pos="480"/>
        <w:tab w:val="left" w:pos="960"/>
        <w:tab w:val="left" w:pos="1440"/>
        <w:tab w:val="left" w:pos="1920"/>
        <w:tab w:val="left" w:pos="2400"/>
        <w:tab w:val="left" w:pos="2880"/>
        <w:tab w:val="left" w:pos="3360"/>
        <w:tab w:val="left" w:pos="3840"/>
        <w:tab w:val="left" w:pos="4320"/>
      </w:tabs>
      <w:spacing w:line="480" w:lineRule="auto"/>
      <w:ind w:firstLine="720"/>
      <w:jc w:val="both"/>
    </w:pPr>
    <w:rPr>
      <w:rFonts w:ascii="Courier New" w:hAnsi="Courier New" w:cs="Courier New"/>
    </w:rPr>
  </w:style>
  <w:style w:type="character" w:customStyle="1" w:styleId="MacroTextChar">
    <w:name w:val="Macro Text Char"/>
    <w:link w:val="MacroText"/>
    <w:rsid w:val="00D97469"/>
    <w:rPr>
      <w:rFonts w:ascii="Courier New" w:hAnsi="Courier New" w:cs="Courier New"/>
    </w:rPr>
  </w:style>
  <w:style w:type="paragraph" w:styleId="MessageHeader">
    <w:name w:val="Message Header"/>
    <w:basedOn w:val="Normal"/>
    <w:link w:val="MessageHeaderChar"/>
    <w:rsid w:val="00D9746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link w:val="MessageHeader"/>
    <w:rsid w:val="00D97469"/>
    <w:rPr>
      <w:rFonts w:ascii="Calibri Light" w:eastAsia="Times New Roman" w:hAnsi="Calibri Light" w:cs="Times New Roman"/>
      <w:sz w:val="24"/>
      <w:szCs w:val="24"/>
      <w:shd w:val="pct20" w:color="auto" w:fill="auto"/>
    </w:rPr>
  </w:style>
  <w:style w:type="paragraph" w:styleId="NoSpacing">
    <w:name w:val="No Spacing"/>
    <w:uiPriority w:val="1"/>
    <w:qFormat/>
    <w:rsid w:val="00D97469"/>
    <w:pPr>
      <w:ind w:firstLine="720"/>
      <w:jc w:val="both"/>
    </w:pPr>
    <w:rPr>
      <w:sz w:val="24"/>
      <w:szCs w:val="24"/>
    </w:rPr>
  </w:style>
  <w:style w:type="paragraph" w:styleId="NormalWeb">
    <w:name w:val="Normal (Web)"/>
    <w:basedOn w:val="Normal"/>
    <w:uiPriority w:val="99"/>
    <w:rsid w:val="00D97469"/>
  </w:style>
  <w:style w:type="paragraph" w:styleId="NormalIndent">
    <w:name w:val="Normal Indent"/>
    <w:basedOn w:val="Normal"/>
    <w:rsid w:val="00D97469"/>
    <w:pPr>
      <w:ind w:left="720"/>
    </w:pPr>
  </w:style>
  <w:style w:type="paragraph" w:styleId="NoteHeading">
    <w:name w:val="Note Heading"/>
    <w:basedOn w:val="Normal"/>
    <w:next w:val="Normal"/>
    <w:link w:val="NoteHeadingChar"/>
    <w:rsid w:val="00D97469"/>
  </w:style>
  <w:style w:type="character" w:customStyle="1" w:styleId="NoteHeadingChar">
    <w:name w:val="Note Heading Char"/>
    <w:link w:val="NoteHeading"/>
    <w:rsid w:val="00D97469"/>
    <w:rPr>
      <w:sz w:val="24"/>
      <w:szCs w:val="24"/>
    </w:rPr>
  </w:style>
  <w:style w:type="paragraph" w:styleId="PlainText">
    <w:name w:val="Plain Text"/>
    <w:basedOn w:val="Normal"/>
    <w:link w:val="PlainTextChar"/>
    <w:rsid w:val="00D97469"/>
    <w:rPr>
      <w:rFonts w:ascii="Courier New" w:hAnsi="Courier New" w:cs="Courier New"/>
      <w:sz w:val="20"/>
      <w:szCs w:val="20"/>
    </w:rPr>
  </w:style>
  <w:style w:type="character" w:customStyle="1" w:styleId="PlainTextChar">
    <w:name w:val="Plain Text Char"/>
    <w:link w:val="PlainText"/>
    <w:rsid w:val="00D97469"/>
    <w:rPr>
      <w:rFonts w:ascii="Courier New" w:hAnsi="Courier New" w:cs="Courier New"/>
    </w:rPr>
  </w:style>
  <w:style w:type="paragraph" w:styleId="Quote">
    <w:name w:val="Quote"/>
    <w:basedOn w:val="Normal"/>
    <w:next w:val="Normal"/>
    <w:link w:val="QuoteChar"/>
    <w:uiPriority w:val="29"/>
    <w:qFormat/>
    <w:rsid w:val="00D97469"/>
    <w:pPr>
      <w:spacing w:before="200" w:after="160"/>
      <w:ind w:left="864" w:right="864"/>
      <w:jc w:val="center"/>
    </w:pPr>
    <w:rPr>
      <w:i/>
      <w:iCs/>
      <w:color w:val="404040"/>
    </w:rPr>
  </w:style>
  <w:style w:type="character" w:customStyle="1" w:styleId="QuoteChar">
    <w:name w:val="Quote Char"/>
    <w:link w:val="Quote"/>
    <w:uiPriority w:val="29"/>
    <w:rsid w:val="00D97469"/>
    <w:rPr>
      <w:i/>
      <w:iCs/>
      <w:color w:val="404040"/>
      <w:sz w:val="24"/>
      <w:szCs w:val="24"/>
    </w:rPr>
  </w:style>
  <w:style w:type="paragraph" w:styleId="Salutation">
    <w:name w:val="Salutation"/>
    <w:basedOn w:val="Normal"/>
    <w:next w:val="Normal"/>
    <w:link w:val="SalutationChar"/>
    <w:rsid w:val="00D97469"/>
  </w:style>
  <w:style w:type="character" w:customStyle="1" w:styleId="SalutationChar">
    <w:name w:val="Salutation Char"/>
    <w:link w:val="Salutation"/>
    <w:rsid w:val="00D97469"/>
    <w:rPr>
      <w:sz w:val="24"/>
      <w:szCs w:val="24"/>
    </w:rPr>
  </w:style>
  <w:style w:type="paragraph" w:styleId="Signature">
    <w:name w:val="Signature"/>
    <w:basedOn w:val="Normal"/>
    <w:link w:val="SignatureChar"/>
    <w:rsid w:val="00D97469"/>
    <w:pPr>
      <w:ind w:left="4320"/>
    </w:pPr>
  </w:style>
  <w:style w:type="character" w:customStyle="1" w:styleId="SignatureChar">
    <w:name w:val="Signature Char"/>
    <w:link w:val="Signature"/>
    <w:rsid w:val="00D97469"/>
    <w:rPr>
      <w:sz w:val="24"/>
      <w:szCs w:val="24"/>
    </w:rPr>
  </w:style>
  <w:style w:type="paragraph" w:styleId="Subtitle">
    <w:name w:val="Subtitle"/>
    <w:basedOn w:val="Normal"/>
    <w:next w:val="Normal"/>
    <w:link w:val="SubtitleChar"/>
    <w:qFormat/>
    <w:rsid w:val="00D97469"/>
    <w:pPr>
      <w:spacing w:after="60"/>
      <w:jc w:val="center"/>
      <w:outlineLvl w:val="1"/>
    </w:pPr>
    <w:rPr>
      <w:rFonts w:ascii="Calibri Light" w:hAnsi="Calibri Light"/>
    </w:rPr>
  </w:style>
  <w:style w:type="character" w:customStyle="1" w:styleId="SubtitleChar">
    <w:name w:val="Subtitle Char"/>
    <w:link w:val="Subtitle"/>
    <w:rsid w:val="00D97469"/>
    <w:rPr>
      <w:rFonts w:ascii="Calibri Light" w:eastAsia="Times New Roman" w:hAnsi="Calibri Light" w:cs="Times New Roman"/>
      <w:sz w:val="24"/>
      <w:szCs w:val="24"/>
    </w:rPr>
  </w:style>
  <w:style w:type="paragraph" w:styleId="TableofAuthorities">
    <w:name w:val="table of authorities"/>
    <w:basedOn w:val="Normal"/>
    <w:next w:val="Normal"/>
    <w:rsid w:val="00D97469"/>
    <w:pPr>
      <w:ind w:left="240" w:hanging="240"/>
    </w:pPr>
  </w:style>
  <w:style w:type="paragraph" w:styleId="Title">
    <w:name w:val="Title"/>
    <w:basedOn w:val="Normal"/>
    <w:next w:val="Normal"/>
    <w:link w:val="TitleChar"/>
    <w:rsid w:val="00D9746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97469"/>
    <w:rPr>
      <w:rFonts w:ascii="Calibri Light" w:eastAsia="Times New Roman" w:hAnsi="Calibri Light" w:cs="Times New Roman"/>
      <w:b/>
      <w:bCs/>
      <w:kern w:val="28"/>
      <w:sz w:val="32"/>
      <w:szCs w:val="32"/>
    </w:rPr>
  </w:style>
  <w:style w:type="paragraph" w:styleId="TOAHeading">
    <w:name w:val="toa heading"/>
    <w:basedOn w:val="Normal"/>
    <w:next w:val="Normal"/>
    <w:rsid w:val="00D97469"/>
    <w:pPr>
      <w:spacing w:before="120"/>
    </w:pPr>
    <w:rPr>
      <w:rFonts w:ascii="Calibri Light" w:hAnsi="Calibri Light"/>
      <w:b/>
      <w:bCs/>
    </w:rPr>
  </w:style>
  <w:style w:type="paragraph" w:styleId="TOC5">
    <w:name w:val="toc 5"/>
    <w:basedOn w:val="Normal"/>
    <w:next w:val="Normal"/>
    <w:autoRedefine/>
    <w:uiPriority w:val="39"/>
    <w:rsid w:val="00C672EB"/>
    <w:pPr>
      <w:ind w:left="720" w:right="600" w:hanging="720"/>
      <w:jc w:val="left"/>
    </w:pPr>
    <w:rPr>
      <w:b/>
    </w:rPr>
  </w:style>
  <w:style w:type="paragraph" w:styleId="TOC6">
    <w:name w:val="toc 6"/>
    <w:basedOn w:val="Normal"/>
    <w:next w:val="Normal"/>
    <w:autoRedefine/>
    <w:uiPriority w:val="39"/>
    <w:rsid w:val="00E80F42"/>
    <w:pPr>
      <w:ind w:left="1224" w:hanging="720"/>
    </w:pPr>
    <w:rPr>
      <w:b/>
    </w:rPr>
  </w:style>
  <w:style w:type="paragraph" w:styleId="TOC7">
    <w:name w:val="toc 7"/>
    <w:basedOn w:val="Normal"/>
    <w:next w:val="Normal"/>
    <w:autoRedefine/>
    <w:uiPriority w:val="39"/>
    <w:rsid w:val="00E80F42"/>
    <w:pPr>
      <w:ind w:left="1728" w:hanging="720"/>
    </w:pPr>
    <w:rPr>
      <w:b/>
    </w:rPr>
  </w:style>
  <w:style w:type="paragraph" w:styleId="TOC8">
    <w:name w:val="toc 8"/>
    <w:basedOn w:val="Normal"/>
    <w:next w:val="Normal"/>
    <w:autoRedefine/>
    <w:rsid w:val="00D97469"/>
    <w:pPr>
      <w:ind w:left="1680"/>
    </w:pPr>
  </w:style>
  <w:style w:type="paragraph" w:styleId="TOC9">
    <w:name w:val="toc 9"/>
    <w:basedOn w:val="Normal"/>
    <w:next w:val="Normal"/>
    <w:autoRedefine/>
    <w:uiPriority w:val="39"/>
    <w:rsid w:val="00D97469"/>
    <w:pPr>
      <w:ind w:left="1920"/>
    </w:pPr>
  </w:style>
  <w:style w:type="paragraph" w:styleId="TOCHeading">
    <w:name w:val="TOC Heading"/>
    <w:basedOn w:val="Heading1"/>
    <w:next w:val="Normal"/>
    <w:uiPriority w:val="39"/>
    <w:semiHidden/>
    <w:unhideWhenUsed/>
    <w:qFormat/>
    <w:rsid w:val="00D97469"/>
    <w:pPr>
      <w:pageBreakBefore w:val="0"/>
      <w:numPr>
        <w:numId w:val="0"/>
      </w:numPr>
      <w:spacing w:before="240" w:after="60"/>
      <w:ind w:firstLine="720"/>
      <w:jc w:val="both"/>
      <w:outlineLvl w:val="9"/>
    </w:pPr>
    <w:rPr>
      <w:rFonts w:ascii="Calibri Light" w:hAnsi="Calibri Light" w:cs="Times New Roman"/>
      <w:caps/>
      <w:kern w:val="32"/>
      <w:sz w:val="32"/>
      <w:szCs w:val="32"/>
    </w:rPr>
  </w:style>
  <w:style w:type="paragraph" w:customStyle="1" w:styleId="TitlePage">
    <w:name w:val="Title Page"/>
    <w:basedOn w:val="Heading"/>
    <w:next w:val="Normal"/>
    <w:qFormat/>
    <w:rsid w:val="00D06DD6"/>
    <w:pPr>
      <w:keepNext w:val="0"/>
      <w:pageBreakBefore w:val="0"/>
      <w:spacing w:after="0" w:line="240" w:lineRule="auto"/>
    </w:pPr>
    <w:rPr>
      <w:color w:val="FFFFFF" w:themeColor="background1"/>
      <w:sz w:val="2"/>
    </w:rPr>
  </w:style>
  <w:style w:type="paragraph" w:customStyle="1" w:styleId="CommitteePage">
    <w:name w:val="Committee Page"/>
    <w:basedOn w:val="Heading"/>
    <w:next w:val="Normal"/>
    <w:qFormat/>
    <w:rsid w:val="00D06DD6"/>
    <w:pPr>
      <w:spacing w:after="0"/>
    </w:pPr>
    <w:rPr>
      <w:color w:val="FFFFFF" w:themeColor="background1"/>
      <w:sz w:val="2"/>
    </w:rPr>
  </w:style>
  <w:style w:type="paragraph" w:customStyle="1" w:styleId="AbstractHeading">
    <w:name w:val="Abstract Heading"/>
    <w:basedOn w:val="TitlePage"/>
    <w:qFormat/>
    <w:rsid w:val="001C7AFC"/>
    <w:pPr>
      <w:pageBreakBefore/>
    </w:pPr>
  </w:style>
  <w:style w:type="character" w:customStyle="1" w:styleId="FooterChar">
    <w:name w:val="Footer Char"/>
    <w:basedOn w:val="DefaultParagraphFont"/>
    <w:link w:val="Footer"/>
    <w:uiPriority w:val="99"/>
    <w:rsid w:val="00AF3154"/>
    <w:rPr>
      <w:sz w:val="24"/>
      <w:szCs w:val="24"/>
    </w:rPr>
  </w:style>
  <w:style w:type="paragraph" w:customStyle="1" w:styleId="NoIndent">
    <w:name w:val="No Indent"/>
    <w:basedOn w:val="Normal"/>
    <w:qFormat/>
    <w:rsid w:val="00905846"/>
    <w:pPr>
      <w:ind w:firstLine="0"/>
      <w:jc w:val="center"/>
    </w:pPr>
    <w:rPr>
      <w:noProof/>
    </w:rPr>
  </w:style>
  <w:style w:type="character" w:styleId="PlaceholderText">
    <w:name w:val="Placeholder Text"/>
    <w:basedOn w:val="DefaultParagraphFont"/>
    <w:uiPriority w:val="99"/>
    <w:semiHidden/>
    <w:rsid w:val="00BE1BD6"/>
    <w:rPr>
      <w:color w:val="808080"/>
    </w:rPr>
  </w:style>
  <w:style w:type="character" w:customStyle="1" w:styleId="TitleHeading">
    <w:name w:val="Title Heading"/>
    <w:basedOn w:val="BodyTextChar"/>
    <w:uiPriority w:val="1"/>
    <w:rsid w:val="00A1660F"/>
    <w:rPr>
      <w:rFonts w:ascii="Times New Roman" w:hAnsi="Times New Roman"/>
      <w:b w:val="0"/>
      <w:caps/>
      <w:smallCaps w:val="0"/>
      <w:sz w:val="24"/>
      <w:szCs w:val="24"/>
    </w:rPr>
  </w:style>
  <w:style w:type="paragraph" w:customStyle="1" w:styleId="TableofContentsHeading">
    <w:name w:val="Table of Contents Heading"/>
    <w:basedOn w:val="Preliminary"/>
    <w:qFormat/>
    <w:rsid w:val="004F0846"/>
  </w:style>
  <w:style w:type="paragraph" w:customStyle="1" w:styleId="HeadingNoTab">
    <w:name w:val="Heading No Tab"/>
    <w:basedOn w:val="Heading"/>
    <w:qFormat/>
    <w:rsid w:val="00064169"/>
  </w:style>
  <w:style w:type="paragraph" w:customStyle="1" w:styleId="CaptionDescription">
    <w:name w:val="Caption Description"/>
    <w:basedOn w:val="NoIndent"/>
    <w:next w:val="Normal"/>
    <w:qFormat/>
    <w:rsid w:val="00CE2814"/>
    <w:rPr>
      <w:b/>
      <w:sz w:val="20"/>
    </w:rPr>
  </w:style>
  <w:style w:type="paragraph" w:customStyle="1" w:styleId="EndNoteBibliographyTitle">
    <w:name w:val="EndNote Bibliography Title"/>
    <w:basedOn w:val="Normal"/>
    <w:link w:val="EndNoteBibliographyTitleChar"/>
    <w:rsid w:val="00010FEE"/>
    <w:pPr>
      <w:jc w:val="center"/>
    </w:pPr>
    <w:rPr>
      <w:noProof/>
    </w:rPr>
  </w:style>
  <w:style w:type="character" w:customStyle="1" w:styleId="EndNoteBibliographyTitleChar">
    <w:name w:val="EndNote Bibliography Title Char"/>
    <w:basedOn w:val="DefaultParagraphFont"/>
    <w:link w:val="EndNoteBibliographyTitle"/>
    <w:rsid w:val="00010FEE"/>
    <w:rPr>
      <w:noProof/>
      <w:sz w:val="24"/>
      <w:szCs w:val="24"/>
    </w:rPr>
  </w:style>
  <w:style w:type="paragraph" w:customStyle="1" w:styleId="EndNoteBibliography">
    <w:name w:val="EndNote Bibliography"/>
    <w:basedOn w:val="Normal"/>
    <w:link w:val="EndNoteBibliographyChar"/>
    <w:rsid w:val="00010FEE"/>
    <w:pPr>
      <w:spacing w:line="240" w:lineRule="auto"/>
    </w:pPr>
    <w:rPr>
      <w:noProof/>
    </w:rPr>
  </w:style>
  <w:style w:type="character" w:customStyle="1" w:styleId="EndNoteBibliographyChar">
    <w:name w:val="EndNote Bibliography Char"/>
    <w:basedOn w:val="DefaultParagraphFont"/>
    <w:link w:val="EndNoteBibliography"/>
    <w:rsid w:val="00010FEE"/>
    <w:rPr>
      <w:noProof/>
      <w:sz w:val="24"/>
      <w:szCs w:val="24"/>
    </w:rPr>
  </w:style>
  <w:style w:type="paragraph" w:customStyle="1" w:styleId="AppSection">
    <w:name w:val="App Section"/>
    <w:basedOn w:val="Normal"/>
    <w:next w:val="Normal"/>
    <w:rsid w:val="00DD1AE4"/>
    <w:pPr>
      <w:keepNext/>
      <w:numPr>
        <w:ilvl w:val="5"/>
        <w:numId w:val="31"/>
      </w:numPr>
      <w:spacing w:before="960" w:after="480"/>
      <w:jc w:val="center"/>
      <w:outlineLvl w:val="1"/>
    </w:pPr>
    <w:rPr>
      <w:b/>
    </w:rPr>
  </w:style>
  <w:style w:type="paragraph" w:customStyle="1" w:styleId="AppSubsection">
    <w:name w:val="App Subsection"/>
    <w:basedOn w:val="AppSection"/>
    <w:next w:val="Normal"/>
    <w:rsid w:val="00DD1AE4"/>
    <w:pPr>
      <w:numPr>
        <w:ilvl w:val="6"/>
      </w:numPr>
      <w:spacing w:before="480"/>
      <w:jc w:val="left"/>
      <w:outlineLvl w:val="2"/>
    </w:pPr>
  </w:style>
  <w:style w:type="paragraph" w:customStyle="1" w:styleId="Appendix">
    <w:name w:val="Appendix"/>
    <w:basedOn w:val="Normal"/>
    <w:next w:val="Normal"/>
    <w:qFormat/>
    <w:rsid w:val="00DD1AE4"/>
    <w:pPr>
      <w:keepNext/>
      <w:pageBreakBefore/>
      <w:numPr>
        <w:ilvl w:val="4"/>
        <w:numId w:val="31"/>
      </w:numPr>
      <w:spacing w:before="960" w:after="960"/>
      <w:jc w:val="center"/>
      <w:outlineLvl w:val="0"/>
    </w:pPr>
    <w:rPr>
      <w:b/>
    </w:rPr>
  </w:style>
  <w:style w:type="paragraph" w:customStyle="1" w:styleId="PreliminaryBookmarks">
    <w:name w:val="Preliminary Bookmarks"/>
    <w:basedOn w:val="Heading1"/>
    <w:qFormat/>
    <w:rsid w:val="00D07708"/>
    <w:pPr>
      <w:numPr>
        <w:numId w:val="0"/>
      </w:numPr>
      <w:spacing w:after="0" w:line="240" w:lineRule="auto"/>
    </w:pPr>
    <w:rPr>
      <w:b w:val="0"/>
      <w:color w:val="FFFFFF" w:themeColor="background1"/>
      <w:sz w:val="2"/>
    </w:rPr>
  </w:style>
  <w:style w:type="character" w:styleId="CommentReference">
    <w:name w:val="annotation reference"/>
    <w:basedOn w:val="DefaultParagraphFont"/>
    <w:rsid w:val="003239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1963">
      <w:bodyDiv w:val="1"/>
      <w:marLeft w:val="0"/>
      <w:marRight w:val="0"/>
      <w:marTop w:val="0"/>
      <w:marBottom w:val="0"/>
      <w:divBdr>
        <w:top w:val="none" w:sz="0" w:space="0" w:color="auto"/>
        <w:left w:val="none" w:sz="0" w:space="0" w:color="auto"/>
        <w:bottom w:val="none" w:sz="0" w:space="0" w:color="auto"/>
        <w:right w:val="none" w:sz="0" w:space="0" w:color="auto"/>
      </w:divBdr>
    </w:div>
    <w:div w:id="90899198">
      <w:bodyDiv w:val="1"/>
      <w:marLeft w:val="0"/>
      <w:marRight w:val="0"/>
      <w:marTop w:val="0"/>
      <w:marBottom w:val="0"/>
      <w:divBdr>
        <w:top w:val="none" w:sz="0" w:space="0" w:color="auto"/>
        <w:left w:val="none" w:sz="0" w:space="0" w:color="auto"/>
        <w:bottom w:val="none" w:sz="0" w:space="0" w:color="auto"/>
        <w:right w:val="none" w:sz="0" w:space="0" w:color="auto"/>
      </w:divBdr>
    </w:div>
    <w:div w:id="140847667">
      <w:bodyDiv w:val="1"/>
      <w:marLeft w:val="0"/>
      <w:marRight w:val="0"/>
      <w:marTop w:val="0"/>
      <w:marBottom w:val="0"/>
      <w:divBdr>
        <w:top w:val="none" w:sz="0" w:space="0" w:color="auto"/>
        <w:left w:val="none" w:sz="0" w:space="0" w:color="auto"/>
        <w:bottom w:val="none" w:sz="0" w:space="0" w:color="auto"/>
        <w:right w:val="none" w:sz="0" w:space="0" w:color="auto"/>
      </w:divBdr>
    </w:div>
    <w:div w:id="142042513">
      <w:bodyDiv w:val="1"/>
      <w:marLeft w:val="0"/>
      <w:marRight w:val="0"/>
      <w:marTop w:val="0"/>
      <w:marBottom w:val="0"/>
      <w:divBdr>
        <w:top w:val="none" w:sz="0" w:space="0" w:color="auto"/>
        <w:left w:val="none" w:sz="0" w:space="0" w:color="auto"/>
        <w:bottom w:val="none" w:sz="0" w:space="0" w:color="auto"/>
        <w:right w:val="none" w:sz="0" w:space="0" w:color="auto"/>
      </w:divBdr>
    </w:div>
    <w:div w:id="187063052">
      <w:bodyDiv w:val="1"/>
      <w:marLeft w:val="0"/>
      <w:marRight w:val="0"/>
      <w:marTop w:val="0"/>
      <w:marBottom w:val="0"/>
      <w:divBdr>
        <w:top w:val="none" w:sz="0" w:space="0" w:color="auto"/>
        <w:left w:val="none" w:sz="0" w:space="0" w:color="auto"/>
        <w:bottom w:val="none" w:sz="0" w:space="0" w:color="auto"/>
        <w:right w:val="none" w:sz="0" w:space="0" w:color="auto"/>
      </w:divBdr>
    </w:div>
    <w:div w:id="202138594">
      <w:bodyDiv w:val="1"/>
      <w:marLeft w:val="0"/>
      <w:marRight w:val="0"/>
      <w:marTop w:val="0"/>
      <w:marBottom w:val="0"/>
      <w:divBdr>
        <w:top w:val="none" w:sz="0" w:space="0" w:color="auto"/>
        <w:left w:val="none" w:sz="0" w:space="0" w:color="auto"/>
        <w:bottom w:val="none" w:sz="0" w:space="0" w:color="auto"/>
        <w:right w:val="none" w:sz="0" w:space="0" w:color="auto"/>
      </w:divBdr>
    </w:div>
    <w:div w:id="244608852">
      <w:bodyDiv w:val="1"/>
      <w:marLeft w:val="0"/>
      <w:marRight w:val="0"/>
      <w:marTop w:val="0"/>
      <w:marBottom w:val="0"/>
      <w:divBdr>
        <w:top w:val="none" w:sz="0" w:space="0" w:color="auto"/>
        <w:left w:val="none" w:sz="0" w:space="0" w:color="auto"/>
        <w:bottom w:val="none" w:sz="0" w:space="0" w:color="auto"/>
        <w:right w:val="none" w:sz="0" w:space="0" w:color="auto"/>
      </w:divBdr>
    </w:div>
    <w:div w:id="250353569">
      <w:bodyDiv w:val="1"/>
      <w:marLeft w:val="0"/>
      <w:marRight w:val="0"/>
      <w:marTop w:val="0"/>
      <w:marBottom w:val="0"/>
      <w:divBdr>
        <w:top w:val="none" w:sz="0" w:space="0" w:color="auto"/>
        <w:left w:val="none" w:sz="0" w:space="0" w:color="auto"/>
        <w:bottom w:val="none" w:sz="0" w:space="0" w:color="auto"/>
        <w:right w:val="none" w:sz="0" w:space="0" w:color="auto"/>
      </w:divBdr>
    </w:div>
    <w:div w:id="273292932">
      <w:bodyDiv w:val="1"/>
      <w:marLeft w:val="0"/>
      <w:marRight w:val="0"/>
      <w:marTop w:val="0"/>
      <w:marBottom w:val="0"/>
      <w:divBdr>
        <w:top w:val="none" w:sz="0" w:space="0" w:color="auto"/>
        <w:left w:val="none" w:sz="0" w:space="0" w:color="auto"/>
        <w:bottom w:val="none" w:sz="0" w:space="0" w:color="auto"/>
        <w:right w:val="none" w:sz="0" w:space="0" w:color="auto"/>
      </w:divBdr>
    </w:div>
    <w:div w:id="298997239">
      <w:bodyDiv w:val="1"/>
      <w:marLeft w:val="0"/>
      <w:marRight w:val="0"/>
      <w:marTop w:val="0"/>
      <w:marBottom w:val="0"/>
      <w:divBdr>
        <w:top w:val="none" w:sz="0" w:space="0" w:color="auto"/>
        <w:left w:val="none" w:sz="0" w:space="0" w:color="auto"/>
        <w:bottom w:val="none" w:sz="0" w:space="0" w:color="auto"/>
        <w:right w:val="none" w:sz="0" w:space="0" w:color="auto"/>
      </w:divBdr>
    </w:div>
    <w:div w:id="340787462">
      <w:bodyDiv w:val="1"/>
      <w:marLeft w:val="0"/>
      <w:marRight w:val="0"/>
      <w:marTop w:val="0"/>
      <w:marBottom w:val="0"/>
      <w:divBdr>
        <w:top w:val="none" w:sz="0" w:space="0" w:color="auto"/>
        <w:left w:val="none" w:sz="0" w:space="0" w:color="auto"/>
        <w:bottom w:val="none" w:sz="0" w:space="0" w:color="auto"/>
        <w:right w:val="none" w:sz="0" w:space="0" w:color="auto"/>
      </w:divBdr>
    </w:div>
    <w:div w:id="504976887">
      <w:bodyDiv w:val="1"/>
      <w:marLeft w:val="0"/>
      <w:marRight w:val="0"/>
      <w:marTop w:val="0"/>
      <w:marBottom w:val="0"/>
      <w:divBdr>
        <w:top w:val="none" w:sz="0" w:space="0" w:color="auto"/>
        <w:left w:val="none" w:sz="0" w:space="0" w:color="auto"/>
        <w:bottom w:val="none" w:sz="0" w:space="0" w:color="auto"/>
        <w:right w:val="none" w:sz="0" w:space="0" w:color="auto"/>
      </w:divBdr>
      <w:divsChild>
        <w:div w:id="1663049059">
          <w:marLeft w:val="446"/>
          <w:marRight w:val="0"/>
          <w:marTop w:val="0"/>
          <w:marBottom w:val="0"/>
          <w:divBdr>
            <w:top w:val="none" w:sz="0" w:space="0" w:color="auto"/>
            <w:left w:val="none" w:sz="0" w:space="0" w:color="auto"/>
            <w:bottom w:val="none" w:sz="0" w:space="0" w:color="auto"/>
            <w:right w:val="none" w:sz="0" w:space="0" w:color="auto"/>
          </w:divBdr>
        </w:div>
        <w:div w:id="1633517466">
          <w:marLeft w:val="446"/>
          <w:marRight w:val="0"/>
          <w:marTop w:val="0"/>
          <w:marBottom w:val="0"/>
          <w:divBdr>
            <w:top w:val="none" w:sz="0" w:space="0" w:color="auto"/>
            <w:left w:val="none" w:sz="0" w:space="0" w:color="auto"/>
            <w:bottom w:val="none" w:sz="0" w:space="0" w:color="auto"/>
            <w:right w:val="none" w:sz="0" w:space="0" w:color="auto"/>
          </w:divBdr>
        </w:div>
        <w:div w:id="1377314031">
          <w:marLeft w:val="446"/>
          <w:marRight w:val="0"/>
          <w:marTop w:val="0"/>
          <w:marBottom w:val="0"/>
          <w:divBdr>
            <w:top w:val="none" w:sz="0" w:space="0" w:color="auto"/>
            <w:left w:val="none" w:sz="0" w:space="0" w:color="auto"/>
            <w:bottom w:val="none" w:sz="0" w:space="0" w:color="auto"/>
            <w:right w:val="none" w:sz="0" w:space="0" w:color="auto"/>
          </w:divBdr>
        </w:div>
        <w:div w:id="238366807">
          <w:marLeft w:val="446"/>
          <w:marRight w:val="0"/>
          <w:marTop w:val="0"/>
          <w:marBottom w:val="0"/>
          <w:divBdr>
            <w:top w:val="none" w:sz="0" w:space="0" w:color="auto"/>
            <w:left w:val="none" w:sz="0" w:space="0" w:color="auto"/>
            <w:bottom w:val="none" w:sz="0" w:space="0" w:color="auto"/>
            <w:right w:val="none" w:sz="0" w:space="0" w:color="auto"/>
          </w:divBdr>
        </w:div>
        <w:div w:id="2020308706">
          <w:marLeft w:val="446"/>
          <w:marRight w:val="0"/>
          <w:marTop w:val="0"/>
          <w:marBottom w:val="0"/>
          <w:divBdr>
            <w:top w:val="none" w:sz="0" w:space="0" w:color="auto"/>
            <w:left w:val="none" w:sz="0" w:space="0" w:color="auto"/>
            <w:bottom w:val="none" w:sz="0" w:space="0" w:color="auto"/>
            <w:right w:val="none" w:sz="0" w:space="0" w:color="auto"/>
          </w:divBdr>
        </w:div>
        <w:div w:id="1448159082">
          <w:marLeft w:val="446"/>
          <w:marRight w:val="0"/>
          <w:marTop w:val="0"/>
          <w:marBottom w:val="0"/>
          <w:divBdr>
            <w:top w:val="none" w:sz="0" w:space="0" w:color="auto"/>
            <w:left w:val="none" w:sz="0" w:space="0" w:color="auto"/>
            <w:bottom w:val="none" w:sz="0" w:space="0" w:color="auto"/>
            <w:right w:val="none" w:sz="0" w:space="0" w:color="auto"/>
          </w:divBdr>
        </w:div>
        <w:div w:id="588731422">
          <w:marLeft w:val="446"/>
          <w:marRight w:val="0"/>
          <w:marTop w:val="0"/>
          <w:marBottom w:val="0"/>
          <w:divBdr>
            <w:top w:val="none" w:sz="0" w:space="0" w:color="auto"/>
            <w:left w:val="none" w:sz="0" w:space="0" w:color="auto"/>
            <w:bottom w:val="none" w:sz="0" w:space="0" w:color="auto"/>
            <w:right w:val="none" w:sz="0" w:space="0" w:color="auto"/>
          </w:divBdr>
        </w:div>
        <w:div w:id="423040958">
          <w:marLeft w:val="446"/>
          <w:marRight w:val="0"/>
          <w:marTop w:val="0"/>
          <w:marBottom w:val="0"/>
          <w:divBdr>
            <w:top w:val="none" w:sz="0" w:space="0" w:color="auto"/>
            <w:left w:val="none" w:sz="0" w:space="0" w:color="auto"/>
            <w:bottom w:val="none" w:sz="0" w:space="0" w:color="auto"/>
            <w:right w:val="none" w:sz="0" w:space="0" w:color="auto"/>
          </w:divBdr>
        </w:div>
        <w:div w:id="2138600874">
          <w:marLeft w:val="446"/>
          <w:marRight w:val="0"/>
          <w:marTop w:val="0"/>
          <w:marBottom w:val="0"/>
          <w:divBdr>
            <w:top w:val="none" w:sz="0" w:space="0" w:color="auto"/>
            <w:left w:val="none" w:sz="0" w:space="0" w:color="auto"/>
            <w:bottom w:val="none" w:sz="0" w:space="0" w:color="auto"/>
            <w:right w:val="none" w:sz="0" w:space="0" w:color="auto"/>
          </w:divBdr>
        </w:div>
        <w:div w:id="1674335965">
          <w:marLeft w:val="446"/>
          <w:marRight w:val="0"/>
          <w:marTop w:val="0"/>
          <w:marBottom w:val="0"/>
          <w:divBdr>
            <w:top w:val="none" w:sz="0" w:space="0" w:color="auto"/>
            <w:left w:val="none" w:sz="0" w:space="0" w:color="auto"/>
            <w:bottom w:val="none" w:sz="0" w:space="0" w:color="auto"/>
            <w:right w:val="none" w:sz="0" w:space="0" w:color="auto"/>
          </w:divBdr>
        </w:div>
      </w:divsChild>
    </w:div>
    <w:div w:id="533886269">
      <w:bodyDiv w:val="1"/>
      <w:marLeft w:val="0"/>
      <w:marRight w:val="0"/>
      <w:marTop w:val="0"/>
      <w:marBottom w:val="0"/>
      <w:divBdr>
        <w:top w:val="none" w:sz="0" w:space="0" w:color="auto"/>
        <w:left w:val="none" w:sz="0" w:space="0" w:color="auto"/>
        <w:bottom w:val="none" w:sz="0" w:space="0" w:color="auto"/>
        <w:right w:val="none" w:sz="0" w:space="0" w:color="auto"/>
      </w:divBdr>
    </w:div>
    <w:div w:id="596986419">
      <w:bodyDiv w:val="1"/>
      <w:marLeft w:val="0"/>
      <w:marRight w:val="0"/>
      <w:marTop w:val="0"/>
      <w:marBottom w:val="0"/>
      <w:divBdr>
        <w:top w:val="none" w:sz="0" w:space="0" w:color="auto"/>
        <w:left w:val="none" w:sz="0" w:space="0" w:color="auto"/>
        <w:bottom w:val="none" w:sz="0" w:space="0" w:color="auto"/>
        <w:right w:val="none" w:sz="0" w:space="0" w:color="auto"/>
      </w:divBdr>
    </w:div>
    <w:div w:id="600185926">
      <w:bodyDiv w:val="1"/>
      <w:marLeft w:val="0"/>
      <w:marRight w:val="0"/>
      <w:marTop w:val="0"/>
      <w:marBottom w:val="0"/>
      <w:divBdr>
        <w:top w:val="none" w:sz="0" w:space="0" w:color="auto"/>
        <w:left w:val="none" w:sz="0" w:space="0" w:color="auto"/>
        <w:bottom w:val="none" w:sz="0" w:space="0" w:color="auto"/>
        <w:right w:val="none" w:sz="0" w:space="0" w:color="auto"/>
      </w:divBdr>
    </w:div>
    <w:div w:id="604774088">
      <w:bodyDiv w:val="1"/>
      <w:marLeft w:val="0"/>
      <w:marRight w:val="0"/>
      <w:marTop w:val="0"/>
      <w:marBottom w:val="0"/>
      <w:divBdr>
        <w:top w:val="none" w:sz="0" w:space="0" w:color="auto"/>
        <w:left w:val="none" w:sz="0" w:space="0" w:color="auto"/>
        <w:bottom w:val="none" w:sz="0" w:space="0" w:color="auto"/>
        <w:right w:val="none" w:sz="0" w:space="0" w:color="auto"/>
      </w:divBdr>
    </w:div>
    <w:div w:id="619186622">
      <w:bodyDiv w:val="1"/>
      <w:marLeft w:val="0"/>
      <w:marRight w:val="0"/>
      <w:marTop w:val="0"/>
      <w:marBottom w:val="0"/>
      <w:divBdr>
        <w:top w:val="none" w:sz="0" w:space="0" w:color="auto"/>
        <w:left w:val="none" w:sz="0" w:space="0" w:color="auto"/>
        <w:bottom w:val="none" w:sz="0" w:space="0" w:color="auto"/>
        <w:right w:val="none" w:sz="0" w:space="0" w:color="auto"/>
      </w:divBdr>
    </w:div>
    <w:div w:id="629046943">
      <w:bodyDiv w:val="1"/>
      <w:marLeft w:val="0"/>
      <w:marRight w:val="0"/>
      <w:marTop w:val="0"/>
      <w:marBottom w:val="0"/>
      <w:divBdr>
        <w:top w:val="none" w:sz="0" w:space="0" w:color="auto"/>
        <w:left w:val="none" w:sz="0" w:space="0" w:color="auto"/>
        <w:bottom w:val="none" w:sz="0" w:space="0" w:color="auto"/>
        <w:right w:val="none" w:sz="0" w:space="0" w:color="auto"/>
      </w:divBdr>
    </w:div>
    <w:div w:id="636686150">
      <w:bodyDiv w:val="1"/>
      <w:marLeft w:val="0"/>
      <w:marRight w:val="0"/>
      <w:marTop w:val="0"/>
      <w:marBottom w:val="0"/>
      <w:divBdr>
        <w:top w:val="none" w:sz="0" w:space="0" w:color="auto"/>
        <w:left w:val="none" w:sz="0" w:space="0" w:color="auto"/>
        <w:bottom w:val="none" w:sz="0" w:space="0" w:color="auto"/>
        <w:right w:val="none" w:sz="0" w:space="0" w:color="auto"/>
      </w:divBdr>
    </w:div>
    <w:div w:id="658654626">
      <w:bodyDiv w:val="1"/>
      <w:marLeft w:val="0"/>
      <w:marRight w:val="0"/>
      <w:marTop w:val="0"/>
      <w:marBottom w:val="0"/>
      <w:divBdr>
        <w:top w:val="none" w:sz="0" w:space="0" w:color="auto"/>
        <w:left w:val="none" w:sz="0" w:space="0" w:color="auto"/>
        <w:bottom w:val="none" w:sz="0" w:space="0" w:color="auto"/>
        <w:right w:val="none" w:sz="0" w:space="0" w:color="auto"/>
      </w:divBdr>
    </w:div>
    <w:div w:id="821388445">
      <w:bodyDiv w:val="1"/>
      <w:marLeft w:val="0"/>
      <w:marRight w:val="0"/>
      <w:marTop w:val="0"/>
      <w:marBottom w:val="0"/>
      <w:divBdr>
        <w:top w:val="none" w:sz="0" w:space="0" w:color="auto"/>
        <w:left w:val="none" w:sz="0" w:space="0" w:color="auto"/>
        <w:bottom w:val="none" w:sz="0" w:space="0" w:color="auto"/>
        <w:right w:val="none" w:sz="0" w:space="0" w:color="auto"/>
      </w:divBdr>
    </w:div>
    <w:div w:id="873427014">
      <w:bodyDiv w:val="1"/>
      <w:marLeft w:val="0"/>
      <w:marRight w:val="0"/>
      <w:marTop w:val="0"/>
      <w:marBottom w:val="0"/>
      <w:divBdr>
        <w:top w:val="none" w:sz="0" w:space="0" w:color="auto"/>
        <w:left w:val="none" w:sz="0" w:space="0" w:color="auto"/>
        <w:bottom w:val="none" w:sz="0" w:space="0" w:color="auto"/>
        <w:right w:val="none" w:sz="0" w:space="0" w:color="auto"/>
      </w:divBdr>
    </w:div>
    <w:div w:id="883905442">
      <w:bodyDiv w:val="1"/>
      <w:marLeft w:val="0"/>
      <w:marRight w:val="0"/>
      <w:marTop w:val="0"/>
      <w:marBottom w:val="0"/>
      <w:divBdr>
        <w:top w:val="none" w:sz="0" w:space="0" w:color="auto"/>
        <w:left w:val="none" w:sz="0" w:space="0" w:color="auto"/>
        <w:bottom w:val="none" w:sz="0" w:space="0" w:color="auto"/>
        <w:right w:val="none" w:sz="0" w:space="0" w:color="auto"/>
      </w:divBdr>
    </w:div>
    <w:div w:id="898782154">
      <w:bodyDiv w:val="1"/>
      <w:marLeft w:val="0"/>
      <w:marRight w:val="0"/>
      <w:marTop w:val="0"/>
      <w:marBottom w:val="0"/>
      <w:divBdr>
        <w:top w:val="none" w:sz="0" w:space="0" w:color="auto"/>
        <w:left w:val="none" w:sz="0" w:space="0" w:color="auto"/>
        <w:bottom w:val="none" w:sz="0" w:space="0" w:color="auto"/>
        <w:right w:val="none" w:sz="0" w:space="0" w:color="auto"/>
      </w:divBdr>
    </w:div>
    <w:div w:id="956179096">
      <w:bodyDiv w:val="1"/>
      <w:marLeft w:val="0"/>
      <w:marRight w:val="0"/>
      <w:marTop w:val="0"/>
      <w:marBottom w:val="0"/>
      <w:divBdr>
        <w:top w:val="none" w:sz="0" w:space="0" w:color="auto"/>
        <w:left w:val="none" w:sz="0" w:space="0" w:color="auto"/>
        <w:bottom w:val="none" w:sz="0" w:space="0" w:color="auto"/>
        <w:right w:val="none" w:sz="0" w:space="0" w:color="auto"/>
      </w:divBdr>
    </w:div>
    <w:div w:id="1109859515">
      <w:bodyDiv w:val="1"/>
      <w:marLeft w:val="0"/>
      <w:marRight w:val="0"/>
      <w:marTop w:val="0"/>
      <w:marBottom w:val="0"/>
      <w:divBdr>
        <w:top w:val="none" w:sz="0" w:space="0" w:color="auto"/>
        <w:left w:val="none" w:sz="0" w:space="0" w:color="auto"/>
        <w:bottom w:val="none" w:sz="0" w:space="0" w:color="auto"/>
        <w:right w:val="none" w:sz="0" w:space="0" w:color="auto"/>
      </w:divBdr>
    </w:div>
    <w:div w:id="1166480327">
      <w:bodyDiv w:val="1"/>
      <w:marLeft w:val="0"/>
      <w:marRight w:val="0"/>
      <w:marTop w:val="0"/>
      <w:marBottom w:val="0"/>
      <w:divBdr>
        <w:top w:val="none" w:sz="0" w:space="0" w:color="auto"/>
        <w:left w:val="none" w:sz="0" w:space="0" w:color="auto"/>
        <w:bottom w:val="none" w:sz="0" w:space="0" w:color="auto"/>
        <w:right w:val="none" w:sz="0" w:space="0" w:color="auto"/>
      </w:divBdr>
    </w:div>
    <w:div w:id="1196430546">
      <w:bodyDiv w:val="1"/>
      <w:marLeft w:val="0"/>
      <w:marRight w:val="0"/>
      <w:marTop w:val="0"/>
      <w:marBottom w:val="0"/>
      <w:divBdr>
        <w:top w:val="none" w:sz="0" w:space="0" w:color="auto"/>
        <w:left w:val="none" w:sz="0" w:space="0" w:color="auto"/>
        <w:bottom w:val="none" w:sz="0" w:space="0" w:color="auto"/>
        <w:right w:val="none" w:sz="0" w:space="0" w:color="auto"/>
      </w:divBdr>
    </w:div>
    <w:div w:id="1220366565">
      <w:bodyDiv w:val="1"/>
      <w:marLeft w:val="0"/>
      <w:marRight w:val="0"/>
      <w:marTop w:val="0"/>
      <w:marBottom w:val="0"/>
      <w:divBdr>
        <w:top w:val="none" w:sz="0" w:space="0" w:color="auto"/>
        <w:left w:val="none" w:sz="0" w:space="0" w:color="auto"/>
        <w:bottom w:val="none" w:sz="0" w:space="0" w:color="auto"/>
        <w:right w:val="none" w:sz="0" w:space="0" w:color="auto"/>
      </w:divBdr>
      <w:divsChild>
        <w:div w:id="1085227030">
          <w:marLeft w:val="446"/>
          <w:marRight w:val="0"/>
          <w:marTop w:val="0"/>
          <w:marBottom w:val="0"/>
          <w:divBdr>
            <w:top w:val="none" w:sz="0" w:space="0" w:color="auto"/>
            <w:left w:val="none" w:sz="0" w:space="0" w:color="auto"/>
            <w:bottom w:val="none" w:sz="0" w:space="0" w:color="auto"/>
            <w:right w:val="none" w:sz="0" w:space="0" w:color="auto"/>
          </w:divBdr>
        </w:div>
        <w:div w:id="1501315277">
          <w:marLeft w:val="446"/>
          <w:marRight w:val="0"/>
          <w:marTop w:val="0"/>
          <w:marBottom w:val="0"/>
          <w:divBdr>
            <w:top w:val="none" w:sz="0" w:space="0" w:color="auto"/>
            <w:left w:val="none" w:sz="0" w:space="0" w:color="auto"/>
            <w:bottom w:val="none" w:sz="0" w:space="0" w:color="auto"/>
            <w:right w:val="none" w:sz="0" w:space="0" w:color="auto"/>
          </w:divBdr>
        </w:div>
        <w:div w:id="64257766">
          <w:marLeft w:val="446"/>
          <w:marRight w:val="0"/>
          <w:marTop w:val="0"/>
          <w:marBottom w:val="0"/>
          <w:divBdr>
            <w:top w:val="none" w:sz="0" w:space="0" w:color="auto"/>
            <w:left w:val="none" w:sz="0" w:space="0" w:color="auto"/>
            <w:bottom w:val="none" w:sz="0" w:space="0" w:color="auto"/>
            <w:right w:val="none" w:sz="0" w:space="0" w:color="auto"/>
          </w:divBdr>
        </w:div>
        <w:div w:id="542716563">
          <w:marLeft w:val="446"/>
          <w:marRight w:val="0"/>
          <w:marTop w:val="0"/>
          <w:marBottom w:val="0"/>
          <w:divBdr>
            <w:top w:val="none" w:sz="0" w:space="0" w:color="auto"/>
            <w:left w:val="none" w:sz="0" w:space="0" w:color="auto"/>
            <w:bottom w:val="none" w:sz="0" w:space="0" w:color="auto"/>
            <w:right w:val="none" w:sz="0" w:space="0" w:color="auto"/>
          </w:divBdr>
        </w:div>
        <w:div w:id="474685225">
          <w:marLeft w:val="446"/>
          <w:marRight w:val="0"/>
          <w:marTop w:val="0"/>
          <w:marBottom w:val="0"/>
          <w:divBdr>
            <w:top w:val="none" w:sz="0" w:space="0" w:color="auto"/>
            <w:left w:val="none" w:sz="0" w:space="0" w:color="auto"/>
            <w:bottom w:val="none" w:sz="0" w:space="0" w:color="auto"/>
            <w:right w:val="none" w:sz="0" w:space="0" w:color="auto"/>
          </w:divBdr>
        </w:div>
        <w:div w:id="224489597">
          <w:marLeft w:val="446"/>
          <w:marRight w:val="0"/>
          <w:marTop w:val="0"/>
          <w:marBottom w:val="0"/>
          <w:divBdr>
            <w:top w:val="none" w:sz="0" w:space="0" w:color="auto"/>
            <w:left w:val="none" w:sz="0" w:space="0" w:color="auto"/>
            <w:bottom w:val="none" w:sz="0" w:space="0" w:color="auto"/>
            <w:right w:val="none" w:sz="0" w:space="0" w:color="auto"/>
          </w:divBdr>
        </w:div>
        <w:div w:id="230118951">
          <w:marLeft w:val="446"/>
          <w:marRight w:val="0"/>
          <w:marTop w:val="0"/>
          <w:marBottom w:val="0"/>
          <w:divBdr>
            <w:top w:val="none" w:sz="0" w:space="0" w:color="auto"/>
            <w:left w:val="none" w:sz="0" w:space="0" w:color="auto"/>
            <w:bottom w:val="none" w:sz="0" w:space="0" w:color="auto"/>
            <w:right w:val="none" w:sz="0" w:space="0" w:color="auto"/>
          </w:divBdr>
        </w:div>
        <w:div w:id="846553692">
          <w:marLeft w:val="446"/>
          <w:marRight w:val="0"/>
          <w:marTop w:val="0"/>
          <w:marBottom w:val="0"/>
          <w:divBdr>
            <w:top w:val="none" w:sz="0" w:space="0" w:color="auto"/>
            <w:left w:val="none" w:sz="0" w:space="0" w:color="auto"/>
            <w:bottom w:val="none" w:sz="0" w:space="0" w:color="auto"/>
            <w:right w:val="none" w:sz="0" w:space="0" w:color="auto"/>
          </w:divBdr>
        </w:div>
        <w:div w:id="2091997632">
          <w:marLeft w:val="446"/>
          <w:marRight w:val="0"/>
          <w:marTop w:val="0"/>
          <w:marBottom w:val="0"/>
          <w:divBdr>
            <w:top w:val="none" w:sz="0" w:space="0" w:color="auto"/>
            <w:left w:val="none" w:sz="0" w:space="0" w:color="auto"/>
            <w:bottom w:val="none" w:sz="0" w:space="0" w:color="auto"/>
            <w:right w:val="none" w:sz="0" w:space="0" w:color="auto"/>
          </w:divBdr>
        </w:div>
        <w:div w:id="358435821">
          <w:marLeft w:val="446"/>
          <w:marRight w:val="0"/>
          <w:marTop w:val="0"/>
          <w:marBottom w:val="0"/>
          <w:divBdr>
            <w:top w:val="none" w:sz="0" w:space="0" w:color="auto"/>
            <w:left w:val="none" w:sz="0" w:space="0" w:color="auto"/>
            <w:bottom w:val="none" w:sz="0" w:space="0" w:color="auto"/>
            <w:right w:val="none" w:sz="0" w:space="0" w:color="auto"/>
          </w:divBdr>
        </w:div>
      </w:divsChild>
    </w:div>
    <w:div w:id="1391924091">
      <w:bodyDiv w:val="1"/>
      <w:marLeft w:val="0"/>
      <w:marRight w:val="0"/>
      <w:marTop w:val="0"/>
      <w:marBottom w:val="0"/>
      <w:divBdr>
        <w:top w:val="none" w:sz="0" w:space="0" w:color="auto"/>
        <w:left w:val="none" w:sz="0" w:space="0" w:color="auto"/>
        <w:bottom w:val="none" w:sz="0" w:space="0" w:color="auto"/>
        <w:right w:val="none" w:sz="0" w:space="0" w:color="auto"/>
      </w:divBdr>
    </w:div>
    <w:div w:id="1602880694">
      <w:bodyDiv w:val="1"/>
      <w:marLeft w:val="0"/>
      <w:marRight w:val="0"/>
      <w:marTop w:val="0"/>
      <w:marBottom w:val="0"/>
      <w:divBdr>
        <w:top w:val="none" w:sz="0" w:space="0" w:color="auto"/>
        <w:left w:val="none" w:sz="0" w:space="0" w:color="auto"/>
        <w:bottom w:val="none" w:sz="0" w:space="0" w:color="auto"/>
        <w:right w:val="none" w:sz="0" w:space="0" w:color="auto"/>
      </w:divBdr>
    </w:div>
    <w:div w:id="1680540927">
      <w:bodyDiv w:val="1"/>
      <w:marLeft w:val="0"/>
      <w:marRight w:val="0"/>
      <w:marTop w:val="0"/>
      <w:marBottom w:val="0"/>
      <w:divBdr>
        <w:top w:val="none" w:sz="0" w:space="0" w:color="auto"/>
        <w:left w:val="none" w:sz="0" w:space="0" w:color="auto"/>
        <w:bottom w:val="none" w:sz="0" w:space="0" w:color="auto"/>
        <w:right w:val="none" w:sz="0" w:space="0" w:color="auto"/>
      </w:divBdr>
    </w:div>
    <w:div w:id="1683622461">
      <w:bodyDiv w:val="1"/>
      <w:marLeft w:val="0"/>
      <w:marRight w:val="0"/>
      <w:marTop w:val="0"/>
      <w:marBottom w:val="0"/>
      <w:divBdr>
        <w:top w:val="none" w:sz="0" w:space="0" w:color="auto"/>
        <w:left w:val="none" w:sz="0" w:space="0" w:color="auto"/>
        <w:bottom w:val="none" w:sz="0" w:space="0" w:color="auto"/>
        <w:right w:val="none" w:sz="0" w:space="0" w:color="auto"/>
      </w:divBdr>
    </w:div>
    <w:div w:id="1747917844">
      <w:bodyDiv w:val="1"/>
      <w:marLeft w:val="0"/>
      <w:marRight w:val="0"/>
      <w:marTop w:val="0"/>
      <w:marBottom w:val="0"/>
      <w:divBdr>
        <w:top w:val="none" w:sz="0" w:space="0" w:color="auto"/>
        <w:left w:val="none" w:sz="0" w:space="0" w:color="auto"/>
        <w:bottom w:val="none" w:sz="0" w:space="0" w:color="auto"/>
        <w:right w:val="none" w:sz="0" w:space="0" w:color="auto"/>
      </w:divBdr>
    </w:div>
    <w:div w:id="1897618744">
      <w:bodyDiv w:val="1"/>
      <w:marLeft w:val="0"/>
      <w:marRight w:val="0"/>
      <w:marTop w:val="0"/>
      <w:marBottom w:val="0"/>
      <w:divBdr>
        <w:top w:val="none" w:sz="0" w:space="0" w:color="auto"/>
        <w:left w:val="none" w:sz="0" w:space="0" w:color="auto"/>
        <w:bottom w:val="none" w:sz="0" w:space="0" w:color="auto"/>
        <w:right w:val="none" w:sz="0" w:space="0" w:color="auto"/>
      </w:divBdr>
    </w:div>
    <w:div w:id="1919753235">
      <w:bodyDiv w:val="1"/>
      <w:marLeft w:val="0"/>
      <w:marRight w:val="0"/>
      <w:marTop w:val="0"/>
      <w:marBottom w:val="0"/>
      <w:divBdr>
        <w:top w:val="none" w:sz="0" w:space="0" w:color="auto"/>
        <w:left w:val="none" w:sz="0" w:space="0" w:color="auto"/>
        <w:bottom w:val="none" w:sz="0" w:space="0" w:color="auto"/>
        <w:right w:val="none" w:sz="0" w:space="0" w:color="auto"/>
      </w:divBdr>
    </w:div>
    <w:div w:id="1939018932">
      <w:bodyDiv w:val="1"/>
      <w:marLeft w:val="0"/>
      <w:marRight w:val="0"/>
      <w:marTop w:val="0"/>
      <w:marBottom w:val="0"/>
      <w:divBdr>
        <w:top w:val="none" w:sz="0" w:space="0" w:color="auto"/>
        <w:left w:val="none" w:sz="0" w:space="0" w:color="auto"/>
        <w:bottom w:val="none" w:sz="0" w:space="0" w:color="auto"/>
        <w:right w:val="none" w:sz="0" w:space="0" w:color="auto"/>
      </w:divBdr>
    </w:div>
    <w:div w:id="2038893199">
      <w:bodyDiv w:val="1"/>
      <w:marLeft w:val="0"/>
      <w:marRight w:val="0"/>
      <w:marTop w:val="0"/>
      <w:marBottom w:val="0"/>
      <w:divBdr>
        <w:top w:val="none" w:sz="0" w:space="0" w:color="auto"/>
        <w:left w:val="none" w:sz="0" w:space="0" w:color="auto"/>
        <w:bottom w:val="none" w:sz="0" w:space="0" w:color="auto"/>
        <w:right w:val="none" w:sz="0" w:space="0" w:color="auto"/>
      </w:divBdr>
    </w:div>
    <w:div w:id="2049453268">
      <w:bodyDiv w:val="1"/>
      <w:marLeft w:val="0"/>
      <w:marRight w:val="0"/>
      <w:marTop w:val="0"/>
      <w:marBottom w:val="0"/>
      <w:divBdr>
        <w:top w:val="none" w:sz="0" w:space="0" w:color="auto"/>
        <w:left w:val="none" w:sz="0" w:space="0" w:color="auto"/>
        <w:bottom w:val="none" w:sz="0" w:space="0" w:color="auto"/>
        <w:right w:val="none" w:sz="0" w:space="0" w:color="auto"/>
      </w:divBdr>
    </w:div>
    <w:div w:id="2059820153">
      <w:bodyDiv w:val="1"/>
      <w:marLeft w:val="0"/>
      <w:marRight w:val="0"/>
      <w:marTop w:val="0"/>
      <w:marBottom w:val="0"/>
      <w:divBdr>
        <w:top w:val="none" w:sz="0" w:space="0" w:color="auto"/>
        <w:left w:val="none" w:sz="0" w:space="0" w:color="auto"/>
        <w:bottom w:val="none" w:sz="0" w:space="0" w:color="auto"/>
        <w:right w:val="none" w:sz="0" w:space="0" w:color="auto"/>
      </w:divBdr>
    </w:div>
    <w:div w:id="2087023448">
      <w:bodyDiv w:val="1"/>
      <w:marLeft w:val="0"/>
      <w:marRight w:val="0"/>
      <w:marTop w:val="0"/>
      <w:marBottom w:val="0"/>
      <w:divBdr>
        <w:top w:val="none" w:sz="0" w:space="0" w:color="auto"/>
        <w:left w:val="none" w:sz="0" w:space="0" w:color="auto"/>
        <w:bottom w:val="none" w:sz="0" w:space="0" w:color="auto"/>
        <w:right w:val="none" w:sz="0" w:space="0" w:color="auto"/>
      </w:divBdr>
    </w:div>
    <w:div w:id="21467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G:\Ngo_Masters%20Essay_Final.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Ngo_Masters%20Essay_Final.docx"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lyn\Downloads\ETD_Template_Pitt_v1.9%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0C24D0DEDF49FABBF0FB4374A8272D"/>
        <w:category>
          <w:name w:val="General"/>
          <w:gallery w:val="placeholder"/>
        </w:category>
        <w:types>
          <w:type w:val="bbPlcHdr"/>
        </w:types>
        <w:behaviors>
          <w:behavior w:val="content"/>
        </w:behaviors>
        <w:guid w:val="{35E4F7FD-D194-4366-84E8-6661A08B79A9}"/>
      </w:docPartPr>
      <w:docPartBody>
        <w:p w:rsidR="006F746B" w:rsidRDefault="000B1CD7">
          <w:pPr>
            <w:pStyle w:val="F70C24D0DEDF49FABBF0FB4374A8272D"/>
          </w:pPr>
          <w:r>
            <w:rPr>
              <w:rStyle w:val="PlaceholderText"/>
            </w:rPr>
            <w:t>Click to choose your school</w:t>
          </w:r>
        </w:p>
      </w:docPartBody>
    </w:docPart>
    <w:docPart>
      <w:docPartPr>
        <w:name w:val="AF80E58B8201445A957486ED2A5E93D6"/>
        <w:category>
          <w:name w:val="General"/>
          <w:gallery w:val="placeholder"/>
        </w:category>
        <w:types>
          <w:type w:val="bbPlcHdr"/>
        </w:types>
        <w:behaviors>
          <w:behavior w:val="content"/>
        </w:behaviors>
        <w:guid w:val="{E2D909B8-CEBF-47E6-B478-99DDA426432C}"/>
      </w:docPartPr>
      <w:docPartBody>
        <w:p w:rsidR="006F746B" w:rsidRDefault="000B1CD7">
          <w:pPr>
            <w:pStyle w:val="AF80E58B8201445A957486ED2A5E93D6"/>
          </w:pPr>
          <w:r w:rsidRPr="00174952">
            <w:rPr>
              <w:color w:val="A6A6A6" w:themeColor="background1" w:themeShade="A6"/>
            </w:rPr>
            <w:t>Click to choose your degree</w:t>
          </w:r>
        </w:p>
      </w:docPartBody>
    </w:docPart>
    <w:docPart>
      <w:docPartPr>
        <w:name w:val="889139C130C54879A723BFAC08EEBB52"/>
        <w:category>
          <w:name w:val="General"/>
          <w:gallery w:val="placeholder"/>
        </w:category>
        <w:types>
          <w:type w:val="bbPlcHdr"/>
        </w:types>
        <w:behaviors>
          <w:behavior w:val="content"/>
        </w:behaviors>
        <w:guid w:val="{FB768E1D-D664-4960-AC7C-7ED15B59FEC3}"/>
      </w:docPartPr>
      <w:docPartBody>
        <w:p w:rsidR="006F746B" w:rsidRDefault="000B1CD7">
          <w:pPr>
            <w:pStyle w:val="889139C130C54879A723BFAC08EEBB52"/>
          </w:pPr>
          <w:r>
            <w:rPr>
              <w:rStyle w:val="PlaceholderText"/>
            </w:rPr>
            <w:t>Click to choose your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CD7"/>
    <w:rsid w:val="0005096C"/>
    <w:rsid w:val="000B1CD7"/>
    <w:rsid w:val="00157C10"/>
    <w:rsid w:val="00171C0A"/>
    <w:rsid w:val="00177C28"/>
    <w:rsid w:val="002358F4"/>
    <w:rsid w:val="002E0135"/>
    <w:rsid w:val="002E696E"/>
    <w:rsid w:val="003136CC"/>
    <w:rsid w:val="00365B4A"/>
    <w:rsid w:val="00387CEE"/>
    <w:rsid w:val="004602F3"/>
    <w:rsid w:val="004917DE"/>
    <w:rsid w:val="006F746B"/>
    <w:rsid w:val="00711ABC"/>
    <w:rsid w:val="007F7735"/>
    <w:rsid w:val="008578C1"/>
    <w:rsid w:val="008B21B8"/>
    <w:rsid w:val="008E481A"/>
    <w:rsid w:val="008F10F6"/>
    <w:rsid w:val="008F2369"/>
    <w:rsid w:val="00965DFC"/>
    <w:rsid w:val="00AE4EDD"/>
    <w:rsid w:val="00B86308"/>
    <w:rsid w:val="00BA33CD"/>
    <w:rsid w:val="00BB6D20"/>
    <w:rsid w:val="00BE4DF8"/>
    <w:rsid w:val="00BF52F0"/>
    <w:rsid w:val="00D57D4B"/>
    <w:rsid w:val="00D82979"/>
    <w:rsid w:val="00E42B56"/>
    <w:rsid w:val="00EB7765"/>
    <w:rsid w:val="00EE67C7"/>
    <w:rsid w:val="00EF6BDF"/>
    <w:rsid w:val="00F1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0C24D0DEDF49FABBF0FB4374A8272D">
    <w:name w:val="F70C24D0DEDF49FABBF0FB4374A8272D"/>
  </w:style>
  <w:style w:type="paragraph" w:customStyle="1" w:styleId="AF80E58B8201445A957486ED2A5E93D6">
    <w:name w:val="AF80E58B8201445A957486ED2A5E93D6"/>
  </w:style>
  <w:style w:type="paragraph" w:customStyle="1" w:styleId="889139C130C54879A723BFAC08EEBB52">
    <w:name w:val="889139C130C54879A723BFAC08EEBB52"/>
  </w:style>
  <w:style w:type="paragraph" w:customStyle="1" w:styleId="4F018B665C2444CDB92C164F095E3348">
    <w:name w:val="4F018B665C2444CDB92C164F095E3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6CD38-3CE5-41F1-BF4B-37B5DEBC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ETD_Template_Pitt_v1.9 (1).dotx</Template>
  <TotalTime>1</TotalTime>
  <Pages>57</Pages>
  <Words>10969</Words>
  <Characters>318830</Characters>
  <Application>Microsoft Office Word</Application>
  <DocSecurity>0</DocSecurity>
  <Lines>2656</Lines>
  <Paragraphs>658</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329141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Pegher, Joanne</cp:lastModifiedBy>
  <cp:revision>3</cp:revision>
  <cp:lastPrinted>2020-08-29T02:48:00Z</cp:lastPrinted>
  <dcterms:created xsi:type="dcterms:W3CDTF">2020-08-29T02:51:00Z</dcterms:created>
  <dcterms:modified xsi:type="dcterms:W3CDTF">2020-08-29T02:52:00Z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4e0e91a3-7cf6-3326-8fe4-a60b4b5af6fe</vt:lpwstr>
  </property>
  <property fmtid="{D5CDD505-2E9C-101B-9397-08002B2CF9AE}" pid="24" name="Mendeley Citation Style_1">
    <vt:lpwstr>http://www.zotero.org/styles/apa</vt:lpwstr>
  </property>
</Properties>
</file>