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6B99" w14:textId="22342410" w:rsidR="007C7EA1" w:rsidRPr="00BB500A" w:rsidRDefault="007C7EA1" w:rsidP="007C7EA1">
      <w:pPr>
        <w:jc w:val="center"/>
        <w:rPr>
          <w:b/>
        </w:rPr>
      </w:pPr>
      <w:r>
        <w:rPr>
          <w:b/>
        </w:rPr>
        <w:t>The Role of Family Support and Outness to Family in Depression Severity among Gender Minority Youth</w:t>
      </w:r>
    </w:p>
    <w:p w14:paraId="137A993D" w14:textId="77777777" w:rsidR="007C7EA1" w:rsidRDefault="007C7EA1" w:rsidP="007C7EA1">
      <w:pPr>
        <w:jc w:val="center"/>
      </w:pPr>
    </w:p>
    <w:p w14:paraId="615565AA" w14:textId="77777777" w:rsidR="007C7EA1" w:rsidRDefault="007C7EA1" w:rsidP="007C7EA1">
      <w:pPr>
        <w:jc w:val="center"/>
      </w:pPr>
    </w:p>
    <w:p w14:paraId="242A26EA" w14:textId="77777777" w:rsidR="007C7EA1" w:rsidRDefault="007C7EA1" w:rsidP="007C7EA1">
      <w:pPr>
        <w:jc w:val="center"/>
      </w:pPr>
    </w:p>
    <w:p w14:paraId="0023B807" w14:textId="77777777" w:rsidR="007C7EA1" w:rsidRDefault="007C7EA1" w:rsidP="007C7EA1">
      <w:pPr>
        <w:jc w:val="center"/>
      </w:pPr>
    </w:p>
    <w:p w14:paraId="75578FEC" w14:textId="77777777" w:rsidR="007C7EA1" w:rsidRDefault="007C7EA1" w:rsidP="007C7EA1">
      <w:pPr>
        <w:jc w:val="center"/>
      </w:pPr>
    </w:p>
    <w:p w14:paraId="3B395775" w14:textId="77777777" w:rsidR="007C7EA1" w:rsidRDefault="007C7EA1" w:rsidP="007C7EA1">
      <w:pPr>
        <w:jc w:val="center"/>
      </w:pPr>
    </w:p>
    <w:p w14:paraId="21DCFBFF" w14:textId="77777777" w:rsidR="007C7EA1" w:rsidRDefault="007C7EA1" w:rsidP="007C7EA1">
      <w:pPr>
        <w:jc w:val="center"/>
      </w:pPr>
    </w:p>
    <w:p w14:paraId="35BC2CF8" w14:textId="77777777" w:rsidR="007C7EA1" w:rsidRDefault="007C7EA1" w:rsidP="007C7EA1">
      <w:pPr>
        <w:jc w:val="center"/>
      </w:pPr>
    </w:p>
    <w:p w14:paraId="0F15FCF0" w14:textId="77777777" w:rsidR="007C7EA1" w:rsidRDefault="007C7EA1" w:rsidP="007C7EA1">
      <w:pPr>
        <w:jc w:val="center"/>
      </w:pPr>
      <w:r>
        <w:t>by</w:t>
      </w:r>
    </w:p>
    <w:p w14:paraId="59954AAB" w14:textId="77777777" w:rsidR="007C7EA1" w:rsidRDefault="007C7EA1" w:rsidP="007C7EA1">
      <w:pPr>
        <w:jc w:val="center"/>
      </w:pPr>
    </w:p>
    <w:p w14:paraId="4F5E66E6" w14:textId="28B790C5" w:rsidR="007C7EA1" w:rsidRDefault="007C7EA1" w:rsidP="007C7EA1">
      <w:pPr>
        <w:jc w:val="center"/>
        <w:rPr>
          <w:b/>
        </w:rPr>
      </w:pPr>
      <w:r>
        <w:rPr>
          <w:b/>
        </w:rPr>
        <w:t>Taylor Paglisotti</w:t>
      </w:r>
    </w:p>
    <w:p w14:paraId="739E6B28" w14:textId="77777777" w:rsidR="007C7EA1" w:rsidRDefault="007C7EA1" w:rsidP="007C7EA1">
      <w:pPr>
        <w:jc w:val="center"/>
        <w:rPr>
          <w:b/>
        </w:rPr>
      </w:pPr>
    </w:p>
    <w:p w14:paraId="1F81C310" w14:textId="6FB24328" w:rsidR="007C7EA1" w:rsidRDefault="007C7EA1" w:rsidP="007C7EA1">
      <w:pPr>
        <w:jc w:val="center"/>
      </w:pPr>
      <w:r>
        <w:t>B</w:t>
      </w:r>
      <w:r w:rsidR="009A10D9">
        <w:t>A</w:t>
      </w:r>
      <w:r>
        <w:t>, University of Pittsburgh, 2015</w:t>
      </w:r>
    </w:p>
    <w:p w14:paraId="5024F515" w14:textId="77777777" w:rsidR="007C7EA1" w:rsidRDefault="007C7EA1" w:rsidP="007C7EA1">
      <w:pPr>
        <w:jc w:val="center"/>
      </w:pPr>
    </w:p>
    <w:p w14:paraId="530C51FA" w14:textId="77777777" w:rsidR="007C7EA1" w:rsidRDefault="007C7EA1" w:rsidP="007C7EA1">
      <w:pPr>
        <w:jc w:val="center"/>
        <w:rPr>
          <w:b/>
        </w:rPr>
      </w:pPr>
    </w:p>
    <w:p w14:paraId="1AB1CA06" w14:textId="77777777" w:rsidR="007C7EA1" w:rsidRDefault="007C7EA1" w:rsidP="007C7EA1">
      <w:pPr>
        <w:jc w:val="center"/>
        <w:rPr>
          <w:b/>
        </w:rPr>
      </w:pPr>
    </w:p>
    <w:p w14:paraId="31A018BB" w14:textId="77777777" w:rsidR="007C7EA1" w:rsidRDefault="007C7EA1" w:rsidP="007C7EA1">
      <w:pPr>
        <w:jc w:val="center"/>
        <w:rPr>
          <w:b/>
        </w:rPr>
      </w:pPr>
    </w:p>
    <w:p w14:paraId="65E17B86" w14:textId="77777777" w:rsidR="007C7EA1" w:rsidRDefault="007C7EA1" w:rsidP="007C7EA1">
      <w:pPr>
        <w:jc w:val="center"/>
        <w:rPr>
          <w:b/>
        </w:rPr>
      </w:pPr>
    </w:p>
    <w:p w14:paraId="164CA95C" w14:textId="77777777" w:rsidR="007C7EA1" w:rsidRDefault="007C7EA1" w:rsidP="007C7EA1">
      <w:pPr>
        <w:jc w:val="center"/>
        <w:rPr>
          <w:b/>
        </w:rPr>
      </w:pPr>
    </w:p>
    <w:p w14:paraId="1609F48F" w14:textId="77777777" w:rsidR="007C7EA1" w:rsidRDefault="007C7EA1" w:rsidP="007C7EA1">
      <w:pPr>
        <w:jc w:val="center"/>
        <w:rPr>
          <w:b/>
        </w:rPr>
      </w:pPr>
    </w:p>
    <w:p w14:paraId="16F7C607" w14:textId="77777777" w:rsidR="007C7EA1" w:rsidRDefault="007C7EA1" w:rsidP="007C7EA1">
      <w:pPr>
        <w:jc w:val="center"/>
        <w:rPr>
          <w:b/>
        </w:rPr>
      </w:pPr>
    </w:p>
    <w:p w14:paraId="3A74B73C" w14:textId="77777777" w:rsidR="007C7EA1" w:rsidRDefault="007C7EA1" w:rsidP="007C7EA1">
      <w:pPr>
        <w:jc w:val="center"/>
        <w:rPr>
          <w:b/>
        </w:rPr>
      </w:pPr>
    </w:p>
    <w:p w14:paraId="2AA65795" w14:textId="77777777" w:rsidR="007C7EA1" w:rsidRDefault="007C7EA1" w:rsidP="007C7EA1">
      <w:pPr>
        <w:jc w:val="center"/>
        <w:rPr>
          <w:b/>
        </w:rPr>
      </w:pPr>
    </w:p>
    <w:p w14:paraId="4A7AC05A" w14:textId="77777777" w:rsidR="007C7EA1" w:rsidRDefault="007C7EA1" w:rsidP="007C7EA1">
      <w:pPr>
        <w:jc w:val="center"/>
      </w:pPr>
      <w:r>
        <w:t>Submitted to the Graduate Faculty of the</w:t>
      </w:r>
    </w:p>
    <w:p w14:paraId="623212A3" w14:textId="77777777" w:rsidR="007C7EA1" w:rsidRDefault="007C7EA1" w:rsidP="007C7EA1">
      <w:pPr>
        <w:jc w:val="center"/>
      </w:pPr>
    </w:p>
    <w:p w14:paraId="3601DE2B" w14:textId="5B7122C3" w:rsidR="007C7EA1" w:rsidRPr="007C7EA1" w:rsidRDefault="007C7EA1" w:rsidP="007C7EA1">
      <w:pPr>
        <w:jc w:val="center"/>
        <w:rPr>
          <w:iCs/>
        </w:rPr>
      </w:pPr>
      <w:r w:rsidRPr="007C7EA1">
        <w:rPr>
          <w:iCs/>
        </w:rPr>
        <w:t>Department of Epidemiology</w:t>
      </w:r>
    </w:p>
    <w:p w14:paraId="00B4E121" w14:textId="77777777" w:rsidR="007C7EA1" w:rsidRDefault="007C7EA1" w:rsidP="007C7EA1">
      <w:pPr>
        <w:jc w:val="center"/>
      </w:pPr>
    </w:p>
    <w:p w14:paraId="362D69BC" w14:textId="77777777" w:rsidR="007C7EA1" w:rsidRDefault="007C7EA1" w:rsidP="007C7EA1">
      <w:pPr>
        <w:jc w:val="center"/>
      </w:pPr>
      <w:r>
        <w:t>Graduate School of Public Health in partial fulfillment</w:t>
      </w:r>
    </w:p>
    <w:p w14:paraId="073E145D" w14:textId="77777777" w:rsidR="007C7EA1" w:rsidRDefault="007C7EA1" w:rsidP="007C7EA1">
      <w:pPr>
        <w:jc w:val="center"/>
      </w:pPr>
      <w:r>
        <w:t xml:space="preserve"> </w:t>
      </w:r>
    </w:p>
    <w:p w14:paraId="739FE22A" w14:textId="77777777" w:rsidR="007C7EA1" w:rsidRDefault="007C7EA1" w:rsidP="007C7EA1">
      <w:pPr>
        <w:jc w:val="center"/>
      </w:pPr>
      <w:r>
        <w:t>of the requirements for the degree of</w:t>
      </w:r>
    </w:p>
    <w:p w14:paraId="57B44FCE" w14:textId="77777777" w:rsidR="007C7EA1" w:rsidRDefault="007C7EA1" w:rsidP="007C7EA1">
      <w:pPr>
        <w:jc w:val="center"/>
      </w:pPr>
    </w:p>
    <w:sdt>
      <w:sdtPr>
        <w:alias w:val="Degree"/>
        <w:tag w:val="Degree"/>
        <w:id w:val="1063456363"/>
        <w:placeholder>
          <w:docPart w:val="81E9F70CC3BF5040B84EA8EB2F01608A"/>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3B667711" w14:textId="6ACC4111" w:rsidR="007C7EA1" w:rsidRPr="00174952" w:rsidRDefault="007C7EA1" w:rsidP="007C7EA1">
          <w:pPr>
            <w:jc w:val="center"/>
            <w:rPr>
              <w:color w:val="A6A6A6" w:themeColor="background1" w:themeShade="A6"/>
            </w:rPr>
          </w:pPr>
          <w:r>
            <w:t>Master of Public Health</w:t>
          </w:r>
        </w:p>
      </w:sdtContent>
    </w:sdt>
    <w:p w14:paraId="64F289DC" w14:textId="77777777" w:rsidR="007C7EA1" w:rsidRDefault="007C7EA1" w:rsidP="007C7EA1">
      <w:pPr>
        <w:tabs>
          <w:tab w:val="left" w:pos="3600"/>
        </w:tabs>
        <w:jc w:val="center"/>
      </w:pPr>
    </w:p>
    <w:p w14:paraId="479FB016" w14:textId="77777777" w:rsidR="007C7EA1" w:rsidRDefault="007C7EA1" w:rsidP="007C7EA1">
      <w:pPr>
        <w:tabs>
          <w:tab w:val="left" w:pos="3600"/>
        </w:tabs>
        <w:jc w:val="center"/>
      </w:pPr>
    </w:p>
    <w:p w14:paraId="54331CCC" w14:textId="77777777" w:rsidR="007C7EA1" w:rsidRDefault="007C7EA1" w:rsidP="007C7EA1">
      <w:pPr>
        <w:tabs>
          <w:tab w:val="left" w:pos="3600"/>
        </w:tabs>
        <w:jc w:val="center"/>
      </w:pPr>
    </w:p>
    <w:p w14:paraId="47E4B206" w14:textId="77777777" w:rsidR="007C7EA1" w:rsidRDefault="007C7EA1" w:rsidP="007C7EA1">
      <w:pPr>
        <w:tabs>
          <w:tab w:val="left" w:pos="3600"/>
        </w:tabs>
        <w:jc w:val="center"/>
      </w:pPr>
    </w:p>
    <w:p w14:paraId="2B8E69F2" w14:textId="77777777" w:rsidR="007C7EA1" w:rsidRDefault="007C7EA1" w:rsidP="007C7EA1">
      <w:pPr>
        <w:tabs>
          <w:tab w:val="left" w:pos="3600"/>
        </w:tabs>
        <w:jc w:val="center"/>
      </w:pPr>
    </w:p>
    <w:p w14:paraId="1183339F" w14:textId="77777777" w:rsidR="007C7EA1" w:rsidRDefault="007C7EA1" w:rsidP="007C7EA1">
      <w:pPr>
        <w:tabs>
          <w:tab w:val="left" w:pos="3600"/>
        </w:tabs>
        <w:jc w:val="center"/>
      </w:pPr>
    </w:p>
    <w:p w14:paraId="716011E8" w14:textId="77777777" w:rsidR="007C7EA1" w:rsidRDefault="007C7EA1" w:rsidP="007C7EA1">
      <w:pPr>
        <w:tabs>
          <w:tab w:val="left" w:pos="3600"/>
        </w:tabs>
        <w:jc w:val="center"/>
      </w:pPr>
    </w:p>
    <w:p w14:paraId="0D9BE580" w14:textId="77777777" w:rsidR="007C7EA1" w:rsidRDefault="007C7EA1" w:rsidP="007C7EA1">
      <w:pPr>
        <w:tabs>
          <w:tab w:val="left" w:pos="3600"/>
        </w:tabs>
        <w:jc w:val="center"/>
      </w:pPr>
    </w:p>
    <w:p w14:paraId="30C0087D" w14:textId="77777777" w:rsidR="007C7EA1" w:rsidRDefault="007C7EA1" w:rsidP="007C7EA1">
      <w:pPr>
        <w:tabs>
          <w:tab w:val="left" w:pos="3600"/>
        </w:tabs>
        <w:jc w:val="center"/>
      </w:pPr>
    </w:p>
    <w:p w14:paraId="52126499" w14:textId="77777777" w:rsidR="007C7EA1" w:rsidRDefault="007C7EA1" w:rsidP="007C7EA1">
      <w:pPr>
        <w:jc w:val="center"/>
      </w:pPr>
      <w:r w:rsidRPr="00AB08F3">
        <w:t>University of Pittsburg</w:t>
      </w:r>
      <w:r>
        <w:t>h</w:t>
      </w:r>
    </w:p>
    <w:p w14:paraId="26AA1C79" w14:textId="77777777" w:rsidR="007C7EA1" w:rsidRDefault="007C7EA1" w:rsidP="007C7EA1">
      <w:pPr>
        <w:jc w:val="center"/>
      </w:pPr>
    </w:p>
    <w:p w14:paraId="67130E18" w14:textId="1184FB84" w:rsidR="007C7EA1" w:rsidRDefault="007C7EA1" w:rsidP="007C7EA1">
      <w:pPr>
        <w:jc w:val="center"/>
        <w:sectPr w:rsidR="007C7EA1" w:rsidSect="00A53BF3">
          <w:footerReference w:type="default" r:id="rId8"/>
          <w:footerReference w:type="first" r:id="rId9"/>
          <w:pgSz w:w="12240" w:h="15840"/>
          <w:pgMar w:top="1440" w:right="1440" w:bottom="1440" w:left="1440" w:header="720" w:footer="720" w:gutter="0"/>
          <w:pgNumType w:fmt="lowerRoman" w:start="1"/>
          <w:cols w:space="720"/>
          <w:docGrid w:linePitch="360"/>
        </w:sectPr>
      </w:pPr>
      <w:r>
        <w:t>2020</w:t>
      </w:r>
    </w:p>
    <w:p w14:paraId="61109B23" w14:textId="77777777" w:rsidR="007C7EA1" w:rsidRDefault="007C7EA1" w:rsidP="000946CA">
      <w:pPr>
        <w:pStyle w:val="PreliminaryBookmarks"/>
        <w:rPr>
          <w:rStyle w:val="TitleHeading"/>
        </w:rPr>
      </w:pPr>
      <w:r>
        <w:rPr>
          <w:rStyle w:val="TitleHeading"/>
        </w:rPr>
        <w:lastRenderedPageBreak/>
        <w:t>Committee Page</w:t>
      </w:r>
    </w:p>
    <w:p w14:paraId="551C878C" w14:textId="77777777" w:rsidR="007C7EA1" w:rsidRPr="00584ADB" w:rsidRDefault="007C7EA1" w:rsidP="007C7EA1">
      <w:pPr>
        <w:jc w:val="center"/>
        <w:rPr>
          <w:rStyle w:val="TitleHeading"/>
        </w:rPr>
      </w:pPr>
      <w:r w:rsidRPr="00584ADB">
        <w:rPr>
          <w:rStyle w:val="TitleHeading"/>
        </w:rPr>
        <w:t>UNIVERSITY OF PITTSBURGH</w:t>
      </w:r>
    </w:p>
    <w:p w14:paraId="4288ED09" w14:textId="77777777" w:rsidR="007C7EA1" w:rsidRDefault="007C7EA1" w:rsidP="007C7EA1">
      <w:pPr>
        <w:jc w:val="center"/>
      </w:pPr>
    </w:p>
    <w:sdt>
      <w:sdtPr>
        <w:rPr>
          <w:rStyle w:val="TitleHeading"/>
        </w:rPr>
        <w:alias w:val="Name of School"/>
        <w:tag w:val="Name of School"/>
        <w:id w:val="833486643"/>
        <w:placeholder>
          <w:docPart w:val="457607B60A85DB40805CFA62DF879C46"/>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19FA50AF" w14:textId="7C206CEA" w:rsidR="007C7EA1" w:rsidRDefault="007C7EA1" w:rsidP="007C7EA1">
          <w:pPr>
            <w:jc w:val="center"/>
          </w:pPr>
          <w:r>
            <w:rPr>
              <w:rStyle w:val="TitleHeading"/>
            </w:rPr>
            <w:t>Graduate School of Public Health</w:t>
          </w:r>
        </w:p>
      </w:sdtContent>
    </w:sdt>
    <w:p w14:paraId="32F5F7F5" w14:textId="77777777" w:rsidR="007C7EA1" w:rsidRDefault="007C7EA1" w:rsidP="007C7EA1">
      <w:pPr>
        <w:jc w:val="center"/>
      </w:pPr>
    </w:p>
    <w:p w14:paraId="21363631" w14:textId="77777777" w:rsidR="007C7EA1" w:rsidRDefault="007C7EA1" w:rsidP="007C7EA1">
      <w:pPr>
        <w:jc w:val="center"/>
      </w:pPr>
    </w:p>
    <w:p w14:paraId="37C9B484" w14:textId="77777777" w:rsidR="007C7EA1" w:rsidRDefault="007C7EA1" w:rsidP="007C7EA1">
      <w:pPr>
        <w:jc w:val="center"/>
      </w:pPr>
    </w:p>
    <w:p w14:paraId="501F0711" w14:textId="77777777" w:rsidR="007C7EA1" w:rsidRDefault="007C7EA1" w:rsidP="007C7EA1">
      <w:pPr>
        <w:jc w:val="center"/>
      </w:pPr>
    </w:p>
    <w:p w14:paraId="515EEC38" w14:textId="77777777" w:rsidR="007C7EA1" w:rsidRDefault="007C7EA1" w:rsidP="007C7EA1">
      <w:pPr>
        <w:jc w:val="center"/>
      </w:pPr>
    </w:p>
    <w:p w14:paraId="41990067" w14:textId="77777777" w:rsidR="007C7EA1" w:rsidRDefault="007C7EA1" w:rsidP="007C7EA1">
      <w:pPr>
        <w:jc w:val="center"/>
      </w:pPr>
      <w:r>
        <w:t xml:space="preserve">This essay is submitted </w:t>
      </w:r>
    </w:p>
    <w:p w14:paraId="25B14404" w14:textId="77777777" w:rsidR="007C7EA1" w:rsidRDefault="007C7EA1" w:rsidP="007C7EA1">
      <w:pPr>
        <w:jc w:val="center"/>
      </w:pPr>
    </w:p>
    <w:p w14:paraId="1C8B03B4" w14:textId="77777777" w:rsidR="007C7EA1" w:rsidRDefault="007C7EA1" w:rsidP="007C7EA1">
      <w:pPr>
        <w:jc w:val="center"/>
      </w:pPr>
      <w:r>
        <w:t>by</w:t>
      </w:r>
    </w:p>
    <w:p w14:paraId="1C19D75A" w14:textId="77777777" w:rsidR="007C7EA1" w:rsidRDefault="007C7EA1" w:rsidP="007C7EA1">
      <w:pPr>
        <w:jc w:val="center"/>
      </w:pPr>
    </w:p>
    <w:p w14:paraId="26674BB3" w14:textId="77777777" w:rsidR="007C7EA1" w:rsidRDefault="007C7EA1" w:rsidP="007C7EA1">
      <w:pPr>
        <w:jc w:val="center"/>
      </w:pPr>
    </w:p>
    <w:p w14:paraId="63CFC7C0" w14:textId="1AFDFAA5" w:rsidR="007C7EA1" w:rsidRDefault="007C7EA1" w:rsidP="007C7EA1">
      <w:pPr>
        <w:jc w:val="center"/>
        <w:rPr>
          <w:b/>
        </w:rPr>
      </w:pPr>
      <w:r>
        <w:rPr>
          <w:b/>
        </w:rPr>
        <w:t>Taylor Paglisotti</w:t>
      </w:r>
    </w:p>
    <w:p w14:paraId="352EF3A8" w14:textId="77777777" w:rsidR="007C7EA1" w:rsidRDefault="007C7EA1" w:rsidP="007C7EA1">
      <w:pPr>
        <w:jc w:val="center"/>
      </w:pPr>
    </w:p>
    <w:p w14:paraId="654644E0" w14:textId="77777777" w:rsidR="007C7EA1" w:rsidRDefault="007C7EA1" w:rsidP="007C7EA1">
      <w:pPr>
        <w:jc w:val="center"/>
      </w:pPr>
      <w:r>
        <w:t>on</w:t>
      </w:r>
    </w:p>
    <w:p w14:paraId="53CD4534" w14:textId="77777777" w:rsidR="007C7EA1" w:rsidRDefault="007C7EA1" w:rsidP="007C7EA1">
      <w:pPr>
        <w:jc w:val="center"/>
      </w:pPr>
    </w:p>
    <w:sdt>
      <w:sdtPr>
        <w:id w:val="389072482"/>
        <w:placeholder>
          <w:docPart w:val="39CD9DE3F099364DA70E243C7EADE045"/>
        </w:placeholder>
        <w:date w:fullDate="2020-04-29T00:00:00Z">
          <w:dateFormat w:val="MMMM d, yyyy"/>
          <w:lid w:val="en-US"/>
          <w:storeMappedDataAs w:val="dateTime"/>
          <w:calendar w:val="gregorian"/>
        </w:date>
      </w:sdtPr>
      <w:sdtContent>
        <w:p w14:paraId="04E4B117" w14:textId="517E0DCF" w:rsidR="007C7EA1" w:rsidRPr="0037055B" w:rsidRDefault="009A10D9" w:rsidP="007C7EA1">
          <w:pPr>
            <w:jc w:val="center"/>
          </w:pPr>
          <w:r>
            <w:t>April 29, 2020</w:t>
          </w:r>
        </w:p>
      </w:sdtContent>
    </w:sdt>
    <w:p w14:paraId="1009A67B" w14:textId="0CE08E41" w:rsidR="007C7EA1" w:rsidRDefault="007C7EA1" w:rsidP="007C7EA1">
      <w:pPr>
        <w:jc w:val="center"/>
      </w:pPr>
    </w:p>
    <w:p w14:paraId="1DBE0405" w14:textId="77777777" w:rsidR="009A10D9" w:rsidRPr="00576D97" w:rsidRDefault="009A10D9" w:rsidP="007C7EA1">
      <w:pPr>
        <w:jc w:val="center"/>
        <w:rPr>
          <w:i/>
        </w:rPr>
      </w:pPr>
    </w:p>
    <w:p w14:paraId="5D4473AE" w14:textId="77777777" w:rsidR="007C7EA1" w:rsidRDefault="007C7EA1" w:rsidP="007C7EA1">
      <w:pPr>
        <w:jc w:val="center"/>
      </w:pPr>
      <w:r>
        <w:t>and approved by</w:t>
      </w:r>
    </w:p>
    <w:p w14:paraId="2616C07D" w14:textId="77777777" w:rsidR="007C7EA1" w:rsidRDefault="007C7EA1" w:rsidP="007C7EA1">
      <w:pPr>
        <w:jc w:val="center"/>
      </w:pPr>
    </w:p>
    <w:p w14:paraId="51E352ED" w14:textId="19552769" w:rsidR="007C7EA1" w:rsidRDefault="007C7EA1" w:rsidP="007C7EA1">
      <w:pPr>
        <w:jc w:val="center"/>
      </w:pPr>
      <w:r w:rsidRPr="00576D97">
        <w:rPr>
          <w:b/>
        </w:rPr>
        <w:t>Essay Advisor:</w:t>
      </w:r>
      <w:r>
        <w:t xml:space="preserve"> Nancy W. Glynn, PhD, Associate Professor, Department of Epidemiology, Graduate School of Public Health, University of Pittsburgh</w:t>
      </w:r>
    </w:p>
    <w:p w14:paraId="18F12DEF" w14:textId="77777777" w:rsidR="007C7EA1" w:rsidRDefault="007C7EA1" w:rsidP="007C7EA1">
      <w:pPr>
        <w:jc w:val="center"/>
      </w:pPr>
    </w:p>
    <w:p w14:paraId="777BE983" w14:textId="3687ED50" w:rsidR="007C7EA1" w:rsidRDefault="007C7EA1" w:rsidP="007C7EA1">
      <w:pPr>
        <w:jc w:val="center"/>
      </w:pPr>
      <w:r>
        <w:t>Essay Reader: Robert W.S. Coulter, PhD, MPH, Assistant Professor, Department of Behavioral and Community Health Sciences, Graduate School of Public Health, University of Pittsburgh</w:t>
      </w:r>
    </w:p>
    <w:p w14:paraId="67BA2F90" w14:textId="77777777" w:rsidR="007C7EA1" w:rsidRDefault="007C7EA1" w:rsidP="007C7EA1">
      <w:pPr>
        <w:jc w:val="center"/>
      </w:pPr>
    </w:p>
    <w:p w14:paraId="6CBF9395" w14:textId="1B51A61E" w:rsidR="007C7EA1" w:rsidRDefault="007C7EA1" w:rsidP="007C7EA1">
      <w:pPr>
        <w:jc w:val="center"/>
      </w:pPr>
      <w:r>
        <w:t>Essay Reader: James E. Egan, PhD, MPH, Assistant Professor, Department of Behavioral and Community Health Sciences, Graduate School of Public Health, University of Pittsburgh</w:t>
      </w:r>
    </w:p>
    <w:p w14:paraId="0C8DA707" w14:textId="77777777" w:rsidR="007C7EA1" w:rsidRDefault="007C7EA1" w:rsidP="007C7EA1">
      <w:pPr>
        <w:jc w:val="center"/>
      </w:pPr>
    </w:p>
    <w:p w14:paraId="314D8099" w14:textId="77777777" w:rsidR="007C7EA1" w:rsidRDefault="007C7EA1" w:rsidP="007C7EA1">
      <w:pPr>
        <w:jc w:val="center"/>
      </w:pPr>
    </w:p>
    <w:p w14:paraId="054B4B3F" w14:textId="77777777" w:rsidR="007C7EA1" w:rsidRDefault="007C7EA1" w:rsidP="007C7EA1">
      <w:pPr>
        <w:jc w:val="center"/>
      </w:pPr>
    </w:p>
    <w:p w14:paraId="34926550" w14:textId="77777777" w:rsidR="007C7EA1" w:rsidRDefault="007C7EA1" w:rsidP="007C7EA1">
      <w:pPr>
        <w:jc w:val="center"/>
      </w:pPr>
    </w:p>
    <w:p w14:paraId="6F457518" w14:textId="77777777" w:rsidR="007C7EA1" w:rsidRDefault="007C7EA1" w:rsidP="007C7EA1">
      <w:pPr>
        <w:jc w:val="center"/>
      </w:pPr>
    </w:p>
    <w:p w14:paraId="56A9FB0D" w14:textId="77777777" w:rsidR="007C7EA1" w:rsidRDefault="007C7EA1" w:rsidP="007C7EA1">
      <w:pPr>
        <w:jc w:val="center"/>
      </w:pPr>
    </w:p>
    <w:p w14:paraId="5210F9C3" w14:textId="77777777" w:rsidR="007C7EA1" w:rsidRDefault="007C7EA1" w:rsidP="007C7EA1">
      <w:pPr>
        <w:jc w:val="center"/>
      </w:pPr>
    </w:p>
    <w:p w14:paraId="704A9816" w14:textId="77777777" w:rsidR="007C7EA1" w:rsidRDefault="007C7EA1" w:rsidP="007C7EA1">
      <w:pPr>
        <w:jc w:val="center"/>
      </w:pPr>
    </w:p>
    <w:p w14:paraId="78B9738F" w14:textId="77777777" w:rsidR="007C7EA1" w:rsidRDefault="007C7EA1" w:rsidP="007C7EA1">
      <w:pPr>
        <w:jc w:val="center"/>
      </w:pPr>
    </w:p>
    <w:p w14:paraId="7D93209E" w14:textId="77777777" w:rsidR="007C7EA1" w:rsidRDefault="007C7EA1" w:rsidP="007C7EA1">
      <w:pPr>
        <w:jc w:val="center"/>
      </w:pPr>
    </w:p>
    <w:p w14:paraId="10574E5A" w14:textId="77777777" w:rsidR="007C7EA1" w:rsidRDefault="007C7EA1" w:rsidP="007C7EA1">
      <w:pPr>
        <w:jc w:val="center"/>
      </w:pPr>
    </w:p>
    <w:p w14:paraId="55542F90" w14:textId="77777777" w:rsidR="007C7EA1" w:rsidRDefault="007C7EA1" w:rsidP="007C7EA1">
      <w:pPr>
        <w:jc w:val="center"/>
      </w:pPr>
    </w:p>
    <w:p w14:paraId="19B19B88" w14:textId="77777777" w:rsidR="007C7EA1" w:rsidRDefault="007C7EA1" w:rsidP="007C7EA1">
      <w:pPr>
        <w:ind w:left="720" w:hanging="720"/>
      </w:pPr>
      <w:r>
        <w:br w:type="page"/>
      </w:r>
    </w:p>
    <w:p w14:paraId="4DA867B4" w14:textId="77777777" w:rsidR="007C7EA1" w:rsidRDefault="007C7EA1" w:rsidP="007C7EA1">
      <w:pPr>
        <w:jc w:val="center"/>
      </w:pPr>
    </w:p>
    <w:p w14:paraId="509F402D" w14:textId="77777777" w:rsidR="007C7EA1" w:rsidRDefault="007C7EA1" w:rsidP="007C7EA1">
      <w:pPr>
        <w:jc w:val="center"/>
      </w:pPr>
    </w:p>
    <w:p w14:paraId="086DEBBF" w14:textId="77777777" w:rsidR="007C7EA1" w:rsidRDefault="007C7EA1" w:rsidP="007C7EA1">
      <w:pPr>
        <w:jc w:val="center"/>
      </w:pPr>
    </w:p>
    <w:p w14:paraId="7BF9B95A" w14:textId="77777777" w:rsidR="007C7EA1" w:rsidRDefault="007C7EA1" w:rsidP="007C7EA1">
      <w:pPr>
        <w:jc w:val="center"/>
      </w:pPr>
    </w:p>
    <w:p w14:paraId="3648B006" w14:textId="77777777" w:rsidR="007C7EA1" w:rsidRDefault="007C7EA1" w:rsidP="007C7EA1">
      <w:pPr>
        <w:jc w:val="center"/>
      </w:pPr>
    </w:p>
    <w:p w14:paraId="1D95B99D" w14:textId="77777777" w:rsidR="007C7EA1" w:rsidRDefault="007C7EA1" w:rsidP="007C7EA1">
      <w:pPr>
        <w:jc w:val="center"/>
      </w:pPr>
    </w:p>
    <w:p w14:paraId="13FE70F0" w14:textId="77777777" w:rsidR="007C7EA1" w:rsidRDefault="007C7EA1" w:rsidP="007C7EA1">
      <w:pPr>
        <w:jc w:val="center"/>
      </w:pPr>
    </w:p>
    <w:p w14:paraId="233F63CE" w14:textId="77777777" w:rsidR="007C7EA1" w:rsidRDefault="007C7EA1" w:rsidP="007C7EA1">
      <w:pPr>
        <w:jc w:val="center"/>
      </w:pPr>
    </w:p>
    <w:p w14:paraId="51E4ADA7" w14:textId="77777777" w:rsidR="007C7EA1" w:rsidRDefault="007C7EA1" w:rsidP="007C7EA1">
      <w:pPr>
        <w:jc w:val="center"/>
      </w:pPr>
    </w:p>
    <w:p w14:paraId="4CE6B503" w14:textId="77777777" w:rsidR="007C7EA1" w:rsidRDefault="007C7EA1" w:rsidP="007C7EA1">
      <w:pPr>
        <w:jc w:val="center"/>
      </w:pPr>
    </w:p>
    <w:p w14:paraId="49BB09A8" w14:textId="77777777" w:rsidR="007C7EA1" w:rsidRDefault="007C7EA1" w:rsidP="007C7EA1">
      <w:pPr>
        <w:jc w:val="center"/>
      </w:pPr>
    </w:p>
    <w:p w14:paraId="276E5C82" w14:textId="77777777" w:rsidR="007C7EA1" w:rsidRDefault="007C7EA1" w:rsidP="007C7EA1">
      <w:pPr>
        <w:jc w:val="center"/>
      </w:pPr>
    </w:p>
    <w:p w14:paraId="4FDF9EF9" w14:textId="77777777" w:rsidR="007C7EA1" w:rsidRDefault="007C7EA1" w:rsidP="007C7EA1">
      <w:pPr>
        <w:jc w:val="center"/>
      </w:pPr>
    </w:p>
    <w:p w14:paraId="50E295B1" w14:textId="77777777" w:rsidR="007C7EA1" w:rsidRDefault="007C7EA1" w:rsidP="007C7EA1">
      <w:pPr>
        <w:jc w:val="center"/>
      </w:pPr>
    </w:p>
    <w:p w14:paraId="1F957BF9" w14:textId="77777777" w:rsidR="007C7EA1" w:rsidRDefault="007C7EA1" w:rsidP="007C7EA1">
      <w:pPr>
        <w:jc w:val="center"/>
      </w:pPr>
    </w:p>
    <w:p w14:paraId="44C1BCAC" w14:textId="77777777" w:rsidR="007C7EA1" w:rsidRDefault="007C7EA1" w:rsidP="007C7EA1">
      <w:pPr>
        <w:jc w:val="center"/>
      </w:pPr>
    </w:p>
    <w:p w14:paraId="576FFBAF" w14:textId="77777777" w:rsidR="007C7EA1" w:rsidRDefault="007C7EA1" w:rsidP="007C7EA1">
      <w:pPr>
        <w:jc w:val="center"/>
      </w:pPr>
    </w:p>
    <w:p w14:paraId="7E17434F" w14:textId="77777777" w:rsidR="007C7EA1" w:rsidRDefault="007C7EA1" w:rsidP="007C7EA1">
      <w:pPr>
        <w:jc w:val="center"/>
      </w:pPr>
    </w:p>
    <w:p w14:paraId="5D7E2CA0" w14:textId="77777777" w:rsidR="007C7EA1" w:rsidRDefault="007C7EA1" w:rsidP="007C7EA1">
      <w:pPr>
        <w:jc w:val="center"/>
      </w:pPr>
    </w:p>
    <w:p w14:paraId="4C82EAF0" w14:textId="77777777" w:rsidR="007C7EA1" w:rsidRDefault="007C7EA1" w:rsidP="007C7EA1">
      <w:pPr>
        <w:jc w:val="center"/>
      </w:pPr>
    </w:p>
    <w:p w14:paraId="557BD9D8" w14:textId="77777777" w:rsidR="007C7EA1" w:rsidRDefault="007C7EA1" w:rsidP="007C7EA1">
      <w:pPr>
        <w:jc w:val="center"/>
      </w:pPr>
    </w:p>
    <w:p w14:paraId="0B611973" w14:textId="77777777" w:rsidR="007C7EA1" w:rsidRDefault="007C7EA1" w:rsidP="007C7EA1">
      <w:pPr>
        <w:jc w:val="center"/>
      </w:pPr>
    </w:p>
    <w:p w14:paraId="271A0C6C" w14:textId="20F97AC2" w:rsidR="007C7EA1" w:rsidRDefault="007C7EA1" w:rsidP="007C7EA1">
      <w:pPr>
        <w:jc w:val="center"/>
      </w:pPr>
      <w:r>
        <w:t xml:space="preserve">Copyright © by </w:t>
      </w:r>
      <w:r w:rsidR="00E836C9">
        <w:t>Taylor Paglisotti</w:t>
      </w:r>
    </w:p>
    <w:p w14:paraId="2D5B5531" w14:textId="77777777" w:rsidR="007C7EA1" w:rsidRDefault="007C7EA1" w:rsidP="007C7EA1">
      <w:pPr>
        <w:jc w:val="center"/>
      </w:pPr>
    </w:p>
    <w:p w14:paraId="23DFF6FE" w14:textId="1CE9A334" w:rsidR="007C7EA1" w:rsidRDefault="00E836C9" w:rsidP="007C7EA1">
      <w:pPr>
        <w:jc w:val="center"/>
      </w:pPr>
      <w:r>
        <w:t>2020</w:t>
      </w:r>
    </w:p>
    <w:p w14:paraId="62133EF8" w14:textId="77777777" w:rsidR="007C7EA1" w:rsidRDefault="007C7EA1" w:rsidP="007C7EA1">
      <w:pPr>
        <w:ind w:left="720" w:hanging="720"/>
      </w:pPr>
    </w:p>
    <w:p w14:paraId="1763A1FD" w14:textId="77777777" w:rsidR="007C7EA1" w:rsidRDefault="007C7EA1" w:rsidP="007C7EA1">
      <w:pPr>
        <w:ind w:left="720" w:hanging="720"/>
      </w:pPr>
    </w:p>
    <w:p w14:paraId="644A1DFB" w14:textId="77777777" w:rsidR="007C7EA1" w:rsidRDefault="007C7EA1" w:rsidP="007C7EA1">
      <w:pPr>
        <w:ind w:left="720" w:hanging="720"/>
      </w:pPr>
    </w:p>
    <w:p w14:paraId="0A6D136F" w14:textId="77777777" w:rsidR="007C7EA1" w:rsidRDefault="007C7EA1" w:rsidP="007C7EA1">
      <w:pPr>
        <w:ind w:left="720" w:hanging="720"/>
      </w:pPr>
    </w:p>
    <w:p w14:paraId="158F365C" w14:textId="77777777" w:rsidR="007C7EA1" w:rsidRDefault="007C7EA1" w:rsidP="007C7EA1">
      <w:pPr>
        <w:ind w:left="720" w:hanging="720"/>
        <w:sectPr w:rsidR="007C7EA1" w:rsidSect="007C7EA1">
          <w:footerReference w:type="default" r:id="rId10"/>
          <w:pgSz w:w="12240" w:h="15840"/>
          <w:pgMar w:top="1440" w:right="1440" w:bottom="1440" w:left="1440" w:header="720" w:footer="720" w:gutter="0"/>
          <w:pgNumType w:fmt="lowerRoman" w:start="2"/>
          <w:cols w:space="720"/>
          <w:docGrid w:linePitch="360"/>
        </w:sectPr>
      </w:pPr>
    </w:p>
    <w:p w14:paraId="32252145" w14:textId="77777777" w:rsidR="007C7EA1" w:rsidRPr="00AC29F2" w:rsidRDefault="007C7EA1" w:rsidP="000946CA">
      <w:pPr>
        <w:pStyle w:val="PreliminaryBookmarks"/>
      </w:pPr>
      <w:r w:rsidRPr="00AC29F2">
        <w:lastRenderedPageBreak/>
        <w:t>Abstract</w:t>
      </w:r>
    </w:p>
    <w:p w14:paraId="557A103C" w14:textId="7C3A066C" w:rsidR="007C7EA1" w:rsidRPr="0037055B" w:rsidRDefault="00E836C9" w:rsidP="007C7EA1">
      <w:pPr>
        <w:jc w:val="right"/>
      </w:pPr>
      <w:r w:rsidRPr="0037055B">
        <w:t>Nancy W. Glynn, PhD</w:t>
      </w:r>
    </w:p>
    <w:p w14:paraId="59D31354" w14:textId="59156142" w:rsidR="007C7EA1" w:rsidRDefault="007C7EA1" w:rsidP="007C7EA1">
      <w:pPr>
        <w:jc w:val="center"/>
        <w:rPr>
          <w:b/>
        </w:rPr>
      </w:pPr>
    </w:p>
    <w:p w14:paraId="2440FCEA" w14:textId="77777777" w:rsidR="00E836C9" w:rsidRDefault="00E836C9" w:rsidP="007C7EA1">
      <w:pPr>
        <w:jc w:val="center"/>
        <w:rPr>
          <w:b/>
        </w:rPr>
      </w:pPr>
    </w:p>
    <w:p w14:paraId="119950D7" w14:textId="77777777" w:rsidR="007C7EA1" w:rsidRDefault="007C7EA1" w:rsidP="007C7EA1">
      <w:pPr>
        <w:jc w:val="center"/>
        <w:rPr>
          <w:b/>
        </w:rPr>
      </w:pPr>
    </w:p>
    <w:p w14:paraId="32012F70" w14:textId="77777777" w:rsidR="00E836C9" w:rsidRPr="00BB500A" w:rsidRDefault="00E836C9" w:rsidP="00E836C9">
      <w:pPr>
        <w:jc w:val="center"/>
        <w:rPr>
          <w:b/>
        </w:rPr>
      </w:pPr>
      <w:r>
        <w:rPr>
          <w:b/>
        </w:rPr>
        <w:t>The Role of Family Support and Outness to Family in Depression Severity among Gender Minority Youth</w:t>
      </w:r>
    </w:p>
    <w:p w14:paraId="56AF55D6" w14:textId="77777777" w:rsidR="007C7EA1" w:rsidRPr="002B41A8" w:rsidRDefault="007C7EA1" w:rsidP="007C7EA1">
      <w:pPr>
        <w:jc w:val="center"/>
        <w:rPr>
          <w:b/>
        </w:rPr>
      </w:pPr>
    </w:p>
    <w:p w14:paraId="1F7CC6BD" w14:textId="7795F7EC" w:rsidR="007C7EA1" w:rsidRDefault="00E836C9" w:rsidP="007C7EA1">
      <w:pPr>
        <w:jc w:val="center"/>
      </w:pPr>
      <w:r>
        <w:t>Taylor Paglisotti</w:t>
      </w:r>
      <w:r w:rsidR="007C7EA1">
        <w:t>, MPH</w:t>
      </w:r>
    </w:p>
    <w:p w14:paraId="10E10BE4" w14:textId="77777777" w:rsidR="007C7EA1" w:rsidRDefault="007C7EA1" w:rsidP="007C7EA1">
      <w:pPr>
        <w:jc w:val="center"/>
      </w:pPr>
    </w:p>
    <w:p w14:paraId="2491EB64" w14:textId="1722D132" w:rsidR="007C7EA1" w:rsidRDefault="007C7EA1" w:rsidP="007C7EA1">
      <w:pPr>
        <w:jc w:val="center"/>
      </w:pPr>
      <w:r>
        <w:t xml:space="preserve">University of Pittsburgh, </w:t>
      </w:r>
      <w:r w:rsidR="00E836C9">
        <w:t>2020</w:t>
      </w:r>
    </w:p>
    <w:p w14:paraId="0D0032B3" w14:textId="77777777" w:rsidR="007C7EA1" w:rsidRDefault="007C7EA1" w:rsidP="007C7EA1">
      <w:pPr>
        <w:jc w:val="center"/>
      </w:pPr>
    </w:p>
    <w:p w14:paraId="5BA5A88F" w14:textId="77777777" w:rsidR="007C7EA1" w:rsidRDefault="007C7EA1" w:rsidP="007C7EA1">
      <w:pPr>
        <w:jc w:val="center"/>
      </w:pPr>
    </w:p>
    <w:p w14:paraId="7D40643E" w14:textId="77777777" w:rsidR="007C7EA1" w:rsidRDefault="007C7EA1" w:rsidP="007C7EA1">
      <w:pPr>
        <w:jc w:val="center"/>
      </w:pPr>
    </w:p>
    <w:p w14:paraId="2A5286C0" w14:textId="77777777" w:rsidR="007C7EA1" w:rsidRDefault="007C7EA1" w:rsidP="007C7EA1">
      <w:pPr>
        <w:jc w:val="center"/>
        <w:rPr>
          <w:b/>
        </w:rPr>
      </w:pPr>
      <w:r w:rsidRPr="00AC29F2">
        <w:rPr>
          <w:b/>
        </w:rPr>
        <w:t>Abstract</w:t>
      </w:r>
    </w:p>
    <w:p w14:paraId="3B0840B4" w14:textId="77777777" w:rsidR="007C7EA1" w:rsidRDefault="007C7EA1" w:rsidP="007C7EA1">
      <w:pPr>
        <w:jc w:val="center"/>
        <w:rPr>
          <w:b/>
        </w:rPr>
      </w:pPr>
    </w:p>
    <w:p w14:paraId="46A701C5" w14:textId="63F7A3C8" w:rsidR="007C7EA1" w:rsidRDefault="00C91086" w:rsidP="00846A57">
      <w:pPr>
        <w:spacing w:line="480" w:lineRule="auto"/>
        <w:rPr>
          <w:bCs/>
        </w:rPr>
      </w:pPr>
      <w:r w:rsidRPr="0037055B">
        <w:rPr>
          <w:b/>
          <w:bCs/>
        </w:rPr>
        <w:t>Introduction:</w:t>
      </w:r>
      <w:r>
        <w:rPr>
          <w:bCs/>
        </w:rPr>
        <w:t xml:space="preserve"> </w:t>
      </w:r>
      <w:r w:rsidR="00D96479">
        <w:rPr>
          <w:bCs/>
        </w:rPr>
        <w:t xml:space="preserve">Estimates </w:t>
      </w:r>
      <w:r w:rsidR="00E74C17">
        <w:rPr>
          <w:bCs/>
        </w:rPr>
        <w:t>of</w:t>
      </w:r>
      <w:r w:rsidR="00D96479">
        <w:rPr>
          <w:bCs/>
        </w:rPr>
        <w:t xml:space="preserve"> gender minority youth (GMY) in the US continue to increase, and studies show severe disparities in depression diagnoses and severity</w:t>
      </w:r>
      <w:r>
        <w:rPr>
          <w:bCs/>
        </w:rPr>
        <w:t xml:space="preserve"> among GMY (as compared to cisgender youth)</w:t>
      </w:r>
      <w:r w:rsidR="00FA74B2">
        <w:rPr>
          <w:bCs/>
        </w:rPr>
        <w:t>.</w:t>
      </w:r>
      <w:r>
        <w:rPr>
          <w:bCs/>
        </w:rPr>
        <w:t xml:space="preserve"> Recent research has identified associations between increased family support and lower depression severity among GMY. However, no studies have examined the role of outness to families in depression severity. This study aims to examine associations between family support and depression severity, outness to family and depression severity</w:t>
      </w:r>
      <w:r w:rsidR="003F2963">
        <w:rPr>
          <w:bCs/>
        </w:rPr>
        <w:t>,</w:t>
      </w:r>
      <w:r>
        <w:rPr>
          <w:bCs/>
        </w:rPr>
        <w:t xml:space="preserve"> </w:t>
      </w:r>
      <w:r w:rsidR="003F2963">
        <w:rPr>
          <w:bCs/>
        </w:rPr>
        <w:t>as well as the</w:t>
      </w:r>
      <w:r>
        <w:rPr>
          <w:bCs/>
        </w:rPr>
        <w:t xml:space="preserve"> potential effect modification of outness to family on associations between family support and depression severity among GMY.</w:t>
      </w:r>
    </w:p>
    <w:p w14:paraId="4583DAAE" w14:textId="2D8EE049" w:rsidR="00C91086" w:rsidRDefault="00C91086" w:rsidP="00846A57">
      <w:pPr>
        <w:spacing w:line="480" w:lineRule="auto"/>
        <w:rPr>
          <w:bCs/>
        </w:rPr>
      </w:pPr>
      <w:r w:rsidRPr="0037055B">
        <w:rPr>
          <w:b/>
          <w:bCs/>
        </w:rPr>
        <w:t xml:space="preserve">Methods: </w:t>
      </w:r>
      <w:r>
        <w:rPr>
          <w:bCs/>
        </w:rPr>
        <w:t xml:space="preserve">Data came from the baseline survey of </w:t>
      </w:r>
      <w:r w:rsidR="003F2963">
        <w:rPr>
          <w:bCs/>
        </w:rPr>
        <w:t xml:space="preserve">a </w:t>
      </w:r>
      <w:r>
        <w:rPr>
          <w:bCs/>
        </w:rPr>
        <w:t>convenience sample of GMY and cisgender sexual minority youth</w:t>
      </w:r>
      <w:r w:rsidR="00846A57">
        <w:rPr>
          <w:bCs/>
        </w:rPr>
        <w:t xml:space="preserve"> (SMY)</w:t>
      </w:r>
      <w:r>
        <w:rPr>
          <w:bCs/>
        </w:rPr>
        <w:t xml:space="preserve"> who participated in a two</w:t>
      </w:r>
      <w:r w:rsidR="003F2963">
        <w:rPr>
          <w:bCs/>
        </w:rPr>
        <w:t>-</w:t>
      </w:r>
      <w:r>
        <w:rPr>
          <w:bCs/>
        </w:rPr>
        <w:t xml:space="preserve">arm RCT. </w:t>
      </w:r>
      <w:r w:rsidR="00B42F4E">
        <w:rPr>
          <w:bCs/>
        </w:rPr>
        <w:t>Generalized linear models (GLMs) adjusting for race/ethnicity, parent education, and sexual identity assessed differences in family support, outness to family, and depression severity among GMY and cis</w:t>
      </w:r>
      <w:r w:rsidR="00846A57">
        <w:rPr>
          <w:bCs/>
        </w:rPr>
        <w:t>gender SMY</w:t>
      </w:r>
      <w:r w:rsidR="00B42F4E">
        <w:rPr>
          <w:bCs/>
        </w:rPr>
        <w:t>. Among GMY only, GLMs adjusting for the same covariates examined associations between family support and depression severity, outness to family and depression severity</w:t>
      </w:r>
      <w:r w:rsidR="00E74C17">
        <w:rPr>
          <w:bCs/>
        </w:rPr>
        <w:t>,</w:t>
      </w:r>
      <w:r w:rsidR="00B42F4E">
        <w:rPr>
          <w:bCs/>
        </w:rPr>
        <w:t xml:space="preserve"> and</w:t>
      </w:r>
      <w:r w:rsidR="003F2963">
        <w:rPr>
          <w:bCs/>
        </w:rPr>
        <w:t xml:space="preserve"> the interaction </w:t>
      </w:r>
      <w:r w:rsidR="00B42F4E">
        <w:rPr>
          <w:bCs/>
        </w:rPr>
        <w:t>of outness to family on associations between family support and depression severity.</w:t>
      </w:r>
    </w:p>
    <w:p w14:paraId="5B02DEA9" w14:textId="78E8F41E" w:rsidR="00C91086" w:rsidRDefault="00C91086" w:rsidP="00846A57">
      <w:pPr>
        <w:spacing w:line="480" w:lineRule="auto"/>
        <w:rPr>
          <w:bCs/>
        </w:rPr>
      </w:pPr>
      <w:r w:rsidRPr="0037055B">
        <w:rPr>
          <w:b/>
          <w:bCs/>
        </w:rPr>
        <w:lastRenderedPageBreak/>
        <w:t>Results:</w:t>
      </w:r>
      <w:r>
        <w:rPr>
          <w:bCs/>
        </w:rPr>
        <w:t xml:space="preserve"> Of 240</w:t>
      </w:r>
      <w:r w:rsidR="00846A57">
        <w:rPr>
          <w:bCs/>
        </w:rPr>
        <w:t xml:space="preserve"> participating youth</w:t>
      </w:r>
      <w:r>
        <w:rPr>
          <w:bCs/>
        </w:rPr>
        <w:t>, 118 were GMY.</w:t>
      </w:r>
      <w:r w:rsidR="00B42F4E">
        <w:rPr>
          <w:bCs/>
        </w:rPr>
        <w:t xml:space="preserve"> GMY had lower levels of outness to family regarding gender identity and higher depression severity than cisgender </w:t>
      </w:r>
      <w:r w:rsidR="00846A57">
        <w:rPr>
          <w:bCs/>
        </w:rPr>
        <w:t xml:space="preserve">SMY </w:t>
      </w:r>
      <w:r w:rsidR="00846A57" w:rsidRPr="00846A57">
        <w:rPr>
          <w:bCs/>
        </w:rPr>
        <w:t>(</w:t>
      </w:r>
      <w:r w:rsidR="00846A57" w:rsidRPr="00846A57">
        <w:rPr>
          <w:rFonts w:ascii="Cambria Math" w:hAnsi="Cambria Math" w:cs="Cambria Math"/>
          <w:bCs/>
        </w:rPr>
        <w:t>𝞫</w:t>
      </w:r>
      <w:r w:rsidR="00846A57" w:rsidRPr="00846A57">
        <w:rPr>
          <w:bCs/>
        </w:rPr>
        <w:t xml:space="preserve"> [95% CI]: -1.86 [-2.26, -1.46]</w:t>
      </w:r>
      <w:r w:rsidR="00846A57">
        <w:rPr>
          <w:bCs/>
        </w:rPr>
        <w:t xml:space="preserve"> and </w:t>
      </w:r>
      <w:r w:rsidR="00846A57" w:rsidRPr="007C7EA1">
        <w:rPr>
          <w:rFonts w:eastAsia="Calibri"/>
          <w:color w:val="000000"/>
        </w:rPr>
        <w:t>3.54 [1.50, 5.57]</w:t>
      </w:r>
      <w:r w:rsidR="00846A57">
        <w:rPr>
          <w:rFonts w:eastAsia="Calibri"/>
          <w:color w:val="000000"/>
        </w:rPr>
        <w:t>, respectively</w:t>
      </w:r>
      <w:r w:rsidR="00846A57" w:rsidRPr="00846A57">
        <w:rPr>
          <w:bCs/>
        </w:rPr>
        <w:t>)</w:t>
      </w:r>
      <w:r w:rsidR="00B42F4E">
        <w:rPr>
          <w:bCs/>
        </w:rPr>
        <w:t>. Among GMY only, increased family support was associated with lower depression severity</w:t>
      </w:r>
      <w:r w:rsidR="00846A57">
        <w:rPr>
          <w:bCs/>
        </w:rPr>
        <w:t xml:space="preserve"> (</w:t>
      </w:r>
      <w:r w:rsidR="00846A57" w:rsidRPr="00846A57">
        <w:rPr>
          <w:bCs/>
        </w:rPr>
        <w:t xml:space="preserve">-1.61 </w:t>
      </w:r>
      <w:r w:rsidR="00846A57">
        <w:rPr>
          <w:bCs/>
        </w:rPr>
        <w:t>[</w:t>
      </w:r>
      <w:r w:rsidR="00846A57" w:rsidRPr="00846A57">
        <w:rPr>
          <w:bCs/>
        </w:rPr>
        <w:t>-2.46, -0.76</w:t>
      </w:r>
      <w:r w:rsidR="00846A57">
        <w:rPr>
          <w:bCs/>
        </w:rPr>
        <w:t>])</w:t>
      </w:r>
      <w:r w:rsidR="00B42F4E">
        <w:rPr>
          <w:bCs/>
        </w:rPr>
        <w:t>. Outness to family was not associated with depression severity, and associations between family support and depression severity did not differ by outness to family.</w:t>
      </w:r>
    </w:p>
    <w:p w14:paraId="765A4066" w14:textId="447A940F" w:rsidR="00B42F4E" w:rsidRPr="00D96479" w:rsidRDefault="00B42F4E" w:rsidP="00846A57">
      <w:pPr>
        <w:spacing w:line="480" w:lineRule="auto"/>
        <w:rPr>
          <w:bCs/>
        </w:rPr>
      </w:pPr>
      <w:r w:rsidRPr="0037055B">
        <w:rPr>
          <w:b/>
          <w:bCs/>
        </w:rPr>
        <w:t xml:space="preserve">Discussion: </w:t>
      </w:r>
      <w:r w:rsidR="00FA74B2">
        <w:rPr>
          <w:bCs/>
        </w:rPr>
        <w:t>This study corroborates the results of other recent studies show</w:t>
      </w:r>
      <w:r w:rsidR="003F2963">
        <w:rPr>
          <w:bCs/>
        </w:rPr>
        <w:t>ing</w:t>
      </w:r>
      <w:r w:rsidR="00FA74B2">
        <w:rPr>
          <w:bCs/>
        </w:rPr>
        <w:t xml:space="preserve"> associations between family support and depression severity among GMY. Further research </w:t>
      </w:r>
      <w:r w:rsidR="003F2963">
        <w:rPr>
          <w:bCs/>
        </w:rPr>
        <w:t xml:space="preserve">is needed </w:t>
      </w:r>
      <w:r w:rsidR="00FA74B2">
        <w:rPr>
          <w:bCs/>
        </w:rPr>
        <w:t xml:space="preserve">to identify intermediate factors on the pathway between family support and depression severity. Future </w:t>
      </w:r>
      <w:r w:rsidR="00846A57">
        <w:rPr>
          <w:bCs/>
        </w:rPr>
        <w:t>studies</w:t>
      </w:r>
      <w:r w:rsidR="00FA74B2">
        <w:rPr>
          <w:bCs/>
        </w:rPr>
        <w:t xml:space="preserve"> should also measure aspects of family support specific to gender minorities and assess differences </w:t>
      </w:r>
      <w:r w:rsidR="00846A57">
        <w:rPr>
          <w:bCs/>
        </w:rPr>
        <w:t xml:space="preserve">in the association of </w:t>
      </w:r>
      <w:r w:rsidR="00FA74B2">
        <w:rPr>
          <w:bCs/>
        </w:rPr>
        <w:t>gender-</w:t>
      </w:r>
      <w:r w:rsidR="00846A57">
        <w:rPr>
          <w:bCs/>
        </w:rPr>
        <w:t xml:space="preserve">affirming family support and depression severity by outness to family. </w:t>
      </w:r>
      <w:r w:rsidR="009A10D9">
        <w:rPr>
          <w:bCs/>
        </w:rPr>
        <w:t>Such studies will elucidate the etiology of</w:t>
      </w:r>
      <w:r w:rsidR="00E74C17">
        <w:rPr>
          <w:bCs/>
        </w:rPr>
        <w:t xml:space="preserve"> </w:t>
      </w:r>
      <w:r w:rsidR="009A10D9">
        <w:rPr>
          <w:bCs/>
        </w:rPr>
        <w:t>mental health disparities among GMY</w:t>
      </w:r>
      <w:r w:rsidR="00E74C17">
        <w:rPr>
          <w:bCs/>
        </w:rPr>
        <w:t>, a significant public health concern.</w:t>
      </w:r>
    </w:p>
    <w:p w14:paraId="0FFBCE3E" w14:textId="77777777" w:rsidR="007C7EA1" w:rsidRPr="00AC29F2" w:rsidRDefault="007C7EA1" w:rsidP="007C7EA1">
      <w:pPr>
        <w:jc w:val="center"/>
        <w:rPr>
          <w:b/>
        </w:rPr>
      </w:pPr>
    </w:p>
    <w:p w14:paraId="20D9A5DE" w14:textId="77777777" w:rsidR="007C7EA1" w:rsidRDefault="007C7EA1" w:rsidP="007C7EA1"/>
    <w:p w14:paraId="58BCEC6B" w14:textId="77777777" w:rsidR="007C7EA1" w:rsidRDefault="007C7EA1" w:rsidP="007C7EA1"/>
    <w:p w14:paraId="62C6BC9B" w14:textId="77777777" w:rsidR="007C7EA1" w:rsidRDefault="007C7EA1" w:rsidP="007C7EA1">
      <w:r>
        <w:br w:type="page"/>
      </w:r>
    </w:p>
    <w:p w14:paraId="0CA02486" w14:textId="77777777" w:rsidR="000946CA" w:rsidRPr="009A3A3B" w:rsidRDefault="000946CA" w:rsidP="000946CA">
      <w:pPr>
        <w:pStyle w:val="TableofContentsHeading"/>
        <w:rPr>
          <w:b/>
        </w:rPr>
      </w:pPr>
      <w:r w:rsidRPr="009A3A3B">
        <w:rPr>
          <w:b/>
        </w:rPr>
        <w:lastRenderedPageBreak/>
        <w:t>Table of Contents</w:t>
      </w:r>
    </w:p>
    <w:p w14:paraId="1AC8350D" w14:textId="0C178D5C" w:rsidR="00D42906" w:rsidRDefault="000946CA">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9049728" w:history="1">
        <w:r w:rsidR="00D42906" w:rsidRPr="00557366">
          <w:rPr>
            <w:rStyle w:val="Hyperlink"/>
            <w:noProof/>
          </w:rPr>
          <w:t>Preface</w:t>
        </w:r>
        <w:r w:rsidR="00D42906">
          <w:rPr>
            <w:noProof/>
            <w:webHidden/>
          </w:rPr>
          <w:tab/>
        </w:r>
        <w:r w:rsidR="00D42906">
          <w:rPr>
            <w:noProof/>
            <w:webHidden/>
          </w:rPr>
          <w:fldChar w:fldCharType="begin"/>
        </w:r>
        <w:r w:rsidR="00D42906">
          <w:rPr>
            <w:noProof/>
            <w:webHidden/>
          </w:rPr>
          <w:instrText xml:space="preserve"> PAGEREF _Toc39049728 \h </w:instrText>
        </w:r>
        <w:r w:rsidR="00D42906">
          <w:rPr>
            <w:noProof/>
            <w:webHidden/>
          </w:rPr>
        </w:r>
        <w:r w:rsidR="00D42906">
          <w:rPr>
            <w:noProof/>
            <w:webHidden/>
          </w:rPr>
          <w:fldChar w:fldCharType="separate"/>
        </w:r>
        <w:r w:rsidR="00D42906">
          <w:rPr>
            <w:noProof/>
            <w:webHidden/>
          </w:rPr>
          <w:t>ix</w:t>
        </w:r>
        <w:r w:rsidR="00D42906">
          <w:rPr>
            <w:noProof/>
            <w:webHidden/>
          </w:rPr>
          <w:fldChar w:fldCharType="end"/>
        </w:r>
      </w:hyperlink>
    </w:p>
    <w:p w14:paraId="0DA7FF2E" w14:textId="1B5028D9" w:rsidR="00D42906" w:rsidRDefault="009A10D9">
      <w:pPr>
        <w:pStyle w:val="TOC1"/>
        <w:rPr>
          <w:rFonts w:asciiTheme="minorHAnsi" w:eastAsiaTheme="minorEastAsia" w:hAnsiTheme="minorHAnsi" w:cstheme="minorBidi"/>
          <w:b w:val="0"/>
          <w:noProof/>
          <w:sz w:val="22"/>
          <w:szCs w:val="22"/>
        </w:rPr>
      </w:pPr>
      <w:hyperlink w:anchor="_Toc39049729" w:history="1">
        <w:r w:rsidR="00D42906" w:rsidRPr="00557366">
          <w:rPr>
            <w:rStyle w:val="Hyperlink"/>
            <w:noProof/>
          </w:rPr>
          <w:t>1.0 Introduction</w:t>
        </w:r>
        <w:r w:rsidR="00D42906">
          <w:rPr>
            <w:noProof/>
            <w:webHidden/>
          </w:rPr>
          <w:tab/>
        </w:r>
        <w:r w:rsidR="00D42906">
          <w:rPr>
            <w:noProof/>
            <w:webHidden/>
          </w:rPr>
          <w:fldChar w:fldCharType="begin"/>
        </w:r>
        <w:r w:rsidR="00D42906">
          <w:rPr>
            <w:noProof/>
            <w:webHidden/>
          </w:rPr>
          <w:instrText xml:space="preserve"> PAGEREF _Toc39049729 \h </w:instrText>
        </w:r>
        <w:r w:rsidR="00D42906">
          <w:rPr>
            <w:noProof/>
            <w:webHidden/>
          </w:rPr>
        </w:r>
        <w:r w:rsidR="00D42906">
          <w:rPr>
            <w:noProof/>
            <w:webHidden/>
          </w:rPr>
          <w:fldChar w:fldCharType="separate"/>
        </w:r>
        <w:r w:rsidR="00D42906">
          <w:rPr>
            <w:noProof/>
            <w:webHidden/>
          </w:rPr>
          <w:t>1</w:t>
        </w:r>
        <w:r w:rsidR="00D42906">
          <w:rPr>
            <w:noProof/>
            <w:webHidden/>
          </w:rPr>
          <w:fldChar w:fldCharType="end"/>
        </w:r>
      </w:hyperlink>
    </w:p>
    <w:p w14:paraId="00F537D2" w14:textId="78A0E494" w:rsidR="00D42906" w:rsidRDefault="009A10D9">
      <w:pPr>
        <w:pStyle w:val="TOC2"/>
        <w:rPr>
          <w:rFonts w:asciiTheme="minorHAnsi" w:eastAsiaTheme="minorEastAsia" w:hAnsiTheme="minorHAnsi" w:cstheme="minorBidi"/>
          <w:b w:val="0"/>
          <w:noProof/>
          <w:sz w:val="22"/>
          <w:szCs w:val="22"/>
        </w:rPr>
      </w:pPr>
      <w:hyperlink w:anchor="_Toc39049730" w:history="1">
        <w:r w:rsidR="00D42906" w:rsidRPr="00557366">
          <w:rPr>
            <w:rStyle w:val="Hyperlink"/>
            <w:noProof/>
          </w:rPr>
          <w:t>1.1 Disparities in Depression Experienced by GMY</w:t>
        </w:r>
        <w:r w:rsidR="00D42906">
          <w:rPr>
            <w:noProof/>
            <w:webHidden/>
          </w:rPr>
          <w:tab/>
        </w:r>
        <w:r w:rsidR="00D42906">
          <w:rPr>
            <w:noProof/>
            <w:webHidden/>
          </w:rPr>
          <w:fldChar w:fldCharType="begin"/>
        </w:r>
        <w:r w:rsidR="00D42906">
          <w:rPr>
            <w:noProof/>
            <w:webHidden/>
          </w:rPr>
          <w:instrText xml:space="preserve"> PAGEREF _Toc39049730 \h </w:instrText>
        </w:r>
        <w:r w:rsidR="00D42906">
          <w:rPr>
            <w:noProof/>
            <w:webHidden/>
          </w:rPr>
        </w:r>
        <w:r w:rsidR="00D42906">
          <w:rPr>
            <w:noProof/>
            <w:webHidden/>
          </w:rPr>
          <w:fldChar w:fldCharType="separate"/>
        </w:r>
        <w:r w:rsidR="00D42906">
          <w:rPr>
            <w:noProof/>
            <w:webHidden/>
          </w:rPr>
          <w:t>3</w:t>
        </w:r>
        <w:r w:rsidR="00D42906">
          <w:rPr>
            <w:noProof/>
            <w:webHidden/>
          </w:rPr>
          <w:fldChar w:fldCharType="end"/>
        </w:r>
      </w:hyperlink>
    </w:p>
    <w:p w14:paraId="5A6B17ED" w14:textId="0048BEB5" w:rsidR="00D42906" w:rsidRDefault="009A10D9">
      <w:pPr>
        <w:pStyle w:val="TOC2"/>
        <w:rPr>
          <w:rFonts w:asciiTheme="minorHAnsi" w:eastAsiaTheme="minorEastAsia" w:hAnsiTheme="minorHAnsi" w:cstheme="minorBidi"/>
          <w:b w:val="0"/>
          <w:noProof/>
          <w:sz w:val="22"/>
          <w:szCs w:val="22"/>
        </w:rPr>
      </w:pPr>
      <w:hyperlink w:anchor="_Toc39049731" w:history="1">
        <w:r w:rsidR="00D42906" w:rsidRPr="00557366">
          <w:rPr>
            <w:rStyle w:val="Hyperlink"/>
            <w:noProof/>
          </w:rPr>
          <w:t>1.3 Associations Between Family Support and Depression Among GMY</w:t>
        </w:r>
        <w:r w:rsidR="00D42906">
          <w:rPr>
            <w:noProof/>
            <w:webHidden/>
          </w:rPr>
          <w:tab/>
        </w:r>
        <w:r w:rsidR="00D42906">
          <w:rPr>
            <w:noProof/>
            <w:webHidden/>
          </w:rPr>
          <w:fldChar w:fldCharType="begin"/>
        </w:r>
        <w:r w:rsidR="00D42906">
          <w:rPr>
            <w:noProof/>
            <w:webHidden/>
          </w:rPr>
          <w:instrText xml:space="preserve"> PAGEREF _Toc39049731 \h </w:instrText>
        </w:r>
        <w:r w:rsidR="00D42906">
          <w:rPr>
            <w:noProof/>
            <w:webHidden/>
          </w:rPr>
        </w:r>
        <w:r w:rsidR="00D42906">
          <w:rPr>
            <w:noProof/>
            <w:webHidden/>
          </w:rPr>
          <w:fldChar w:fldCharType="separate"/>
        </w:r>
        <w:r w:rsidR="00D42906">
          <w:rPr>
            <w:noProof/>
            <w:webHidden/>
          </w:rPr>
          <w:t>8</w:t>
        </w:r>
        <w:r w:rsidR="00D42906">
          <w:rPr>
            <w:noProof/>
            <w:webHidden/>
          </w:rPr>
          <w:fldChar w:fldCharType="end"/>
        </w:r>
      </w:hyperlink>
    </w:p>
    <w:p w14:paraId="5981D87B" w14:textId="2C82434F" w:rsidR="00D42906" w:rsidRDefault="009A10D9">
      <w:pPr>
        <w:pStyle w:val="TOC3"/>
        <w:rPr>
          <w:rFonts w:asciiTheme="minorHAnsi" w:eastAsiaTheme="minorEastAsia" w:hAnsiTheme="minorHAnsi" w:cstheme="minorBidi"/>
          <w:b w:val="0"/>
          <w:noProof/>
          <w:sz w:val="22"/>
          <w:szCs w:val="22"/>
        </w:rPr>
      </w:pPr>
      <w:hyperlink w:anchor="_Toc39049732" w:history="1">
        <w:r w:rsidR="00D42906" w:rsidRPr="00557366">
          <w:rPr>
            <w:rStyle w:val="Hyperlink"/>
            <w:noProof/>
          </w:rPr>
          <w:t>1.3.1 Factors Related to Family Support</w:t>
        </w:r>
        <w:r w:rsidR="00D42906">
          <w:rPr>
            <w:noProof/>
            <w:webHidden/>
          </w:rPr>
          <w:tab/>
        </w:r>
        <w:r w:rsidR="00D42906">
          <w:rPr>
            <w:noProof/>
            <w:webHidden/>
          </w:rPr>
          <w:fldChar w:fldCharType="begin"/>
        </w:r>
        <w:r w:rsidR="00D42906">
          <w:rPr>
            <w:noProof/>
            <w:webHidden/>
          </w:rPr>
          <w:instrText xml:space="preserve"> PAGEREF _Toc39049732 \h </w:instrText>
        </w:r>
        <w:r w:rsidR="00D42906">
          <w:rPr>
            <w:noProof/>
            <w:webHidden/>
          </w:rPr>
        </w:r>
        <w:r w:rsidR="00D42906">
          <w:rPr>
            <w:noProof/>
            <w:webHidden/>
          </w:rPr>
          <w:fldChar w:fldCharType="separate"/>
        </w:r>
        <w:r w:rsidR="00D42906">
          <w:rPr>
            <w:noProof/>
            <w:webHidden/>
          </w:rPr>
          <w:t>9</w:t>
        </w:r>
        <w:r w:rsidR="00D42906">
          <w:rPr>
            <w:noProof/>
            <w:webHidden/>
          </w:rPr>
          <w:fldChar w:fldCharType="end"/>
        </w:r>
      </w:hyperlink>
    </w:p>
    <w:p w14:paraId="655AD5E0" w14:textId="2414E0BF" w:rsidR="00D42906" w:rsidRDefault="009A10D9">
      <w:pPr>
        <w:pStyle w:val="TOC2"/>
        <w:rPr>
          <w:rFonts w:asciiTheme="minorHAnsi" w:eastAsiaTheme="minorEastAsia" w:hAnsiTheme="minorHAnsi" w:cstheme="minorBidi"/>
          <w:b w:val="0"/>
          <w:noProof/>
          <w:sz w:val="22"/>
          <w:szCs w:val="22"/>
        </w:rPr>
      </w:pPr>
      <w:hyperlink w:anchor="_Toc39049733" w:history="1">
        <w:r w:rsidR="00D42906" w:rsidRPr="00557366">
          <w:rPr>
            <w:rStyle w:val="Hyperlink"/>
            <w:noProof/>
          </w:rPr>
          <w:t>1.4 Outness Among GMY</w:t>
        </w:r>
        <w:r w:rsidR="00D42906">
          <w:rPr>
            <w:noProof/>
            <w:webHidden/>
          </w:rPr>
          <w:tab/>
        </w:r>
        <w:r w:rsidR="00D42906">
          <w:rPr>
            <w:noProof/>
            <w:webHidden/>
          </w:rPr>
          <w:fldChar w:fldCharType="begin"/>
        </w:r>
        <w:r w:rsidR="00D42906">
          <w:rPr>
            <w:noProof/>
            <w:webHidden/>
          </w:rPr>
          <w:instrText xml:space="preserve"> PAGEREF _Toc39049733 \h </w:instrText>
        </w:r>
        <w:r w:rsidR="00D42906">
          <w:rPr>
            <w:noProof/>
            <w:webHidden/>
          </w:rPr>
        </w:r>
        <w:r w:rsidR="00D42906">
          <w:rPr>
            <w:noProof/>
            <w:webHidden/>
          </w:rPr>
          <w:fldChar w:fldCharType="separate"/>
        </w:r>
        <w:r w:rsidR="00D42906">
          <w:rPr>
            <w:noProof/>
            <w:webHidden/>
          </w:rPr>
          <w:t>10</w:t>
        </w:r>
        <w:r w:rsidR="00D42906">
          <w:rPr>
            <w:noProof/>
            <w:webHidden/>
          </w:rPr>
          <w:fldChar w:fldCharType="end"/>
        </w:r>
      </w:hyperlink>
    </w:p>
    <w:p w14:paraId="68CBE17E" w14:textId="638EDB70" w:rsidR="00D42906" w:rsidRDefault="009A10D9">
      <w:pPr>
        <w:pStyle w:val="TOC2"/>
        <w:rPr>
          <w:rFonts w:asciiTheme="minorHAnsi" w:eastAsiaTheme="minorEastAsia" w:hAnsiTheme="minorHAnsi" w:cstheme="minorBidi"/>
          <w:b w:val="0"/>
          <w:noProof/>
          <w:sz w:val="22"/>
          <w:szCs w:val="22"/>
        </w:rPr>
      </w:pPr>
      <w:hyperlink w:anchor="_Toc39049734" w:history="1">
        <w:r w:rsidR="00D42906" w:rsidRPr="00557366">
          <w:rPr>
            <w:rStyle w:val="Hyperlink"/>
            <w:noProof/>
          </w:rPr>
          <w:t>1.5 Gaps in Knowledge</w:t>
        </w:r>
        <w:r w:rsidR="00D42906">
          <w:rPr>
            <w:noProof/>
            <w:webHidden/>
          </w:rPr>
          <w:tab/>
        </w:r>
        <w:r w:rsidR="00D42906">
          <w:rPr>
            <w:noProof/>
            <w:webHidden/>
          </w:rPr>
          <w:fldChar w:fldCharType="begin"/>
        </w:r>
        <w:r w:rsidR="00D42906">
          <w:rPr>
            <w:noProof/>
            <w:webHidden/>
          </w:rPr>
          <w:instrText xml:space="preserve"> PAGEREF _Toc39049734 \h </w:instrText>
        </w:r>
        <w:r w:rsidR="00D42906">
          <w:rPr>
            <w:noProof/>
            <w:webHidden/>
          </w:rPr>
        </w:r>
        <w:r w:rsidR="00D42906">
          <w:rPr>
            <w:noProof/>
            <w:webHidden/>
          </w:rPr>
          <w:fldChar w:fldCharType="separate"/>
        </w:r>
        <w:r w:rsidR="00D42906">
          <w:rPr>
            <w:noProof/>
            <w:webHidden/>
          </w:rPr>
          <w:t>12</w:t>
        </w:r>
        <w:r w:rsidR="00D42906">
          <w:rPr>
            <w:noProof/>
            <w:webHidden/>
          </w:rPr>
          <w:fldChar w:fldCharType="end"/>
        </w:r>
      </w:hyperlink>
    </w:p>
    <w:p w14:paraId="709686EC" w14:textId="420FAA72" w:rsidR="00D42906" w:rsidRDefault="009A10D9">
      <w:pPr>
        <w:pStyle w:val="TOC2"/>
        <w:rPr>
          <w:rFonts w:asciiTheme="minorHAnsi" w:eastAsiaTheme="minorEastAsia" w:hAnsiTheme="minorHAnsi" w:cstheme="minorBidi"/>
          <w:b w:val="0"/>
          <w:noProof/>
          <w:sz w:val="22"/>
          <w:szCs w:val="22"/>
        </w:rPr>
      </w:pPr>
      <w:hyperlink w:anchor="_Toc39049735" w:history="1">
        <w:r w:rsidR="00D42906" w:rsidRPr="00557366">
          <w:rPr>
            <w:rStyle w:val="Hyperlink"/>
            <w:noProof/>
          </w:rPr>
          <w:t>1.6 Public Health Significance</w:t>
        </w:r>
        <w:r w:rsidR="00D42906">
          <w:rPr>
            <w:noProof/>
            <w:webHidden/>
          </w:rPr>
          <w:tab/>
        </w:r>
        <w:r w:rsidR="00D42906">
          <w:rPr>
            <w:noProof/>
            <w:webHidden/>
          </w:rPr>
          <w:fldChar w:fldCharType="begin"/>
        </w:r>
        <w:r w:rsidR="00D42906">
          <w:rPr>
            <w:noProof/>
            <w:webHidden/>
          </w:rPr>
          <w:instrText xml:space="preserve"> PAGEREF _Toc39049735 \h </w:instrText>
        </w:r>
        <w:r w:rsidR="00D42906">
          <w:rPr>
            <w:noProof/>
            <w:webHidden/>
          </w:rPr>
        </w:r>
        <w:r w:rsidR="00D42906">
          <w:rPr>
            <w:noProof/>
            <w:webHidden/>
          </w:rPr>
          <w:fldChar w:fldCharType="separate"/>
        </w:r>
        <w:r w:rsidR="00D42906">
          <w:rPr>
            <w:noProof/>
            <w:webHidden/>
          </w:rPr>
          <w:t>13</w:t>
        </w:r>
        <w:r w:rsidR="00D42906">
          <w:rPr>
            <w:noProof/>
            <w:webHidden/>
          </w:rPr>
          <w:fldChar w:fldCharType="end"/>
        </w:r>
      </w:hyperlink>
    </w:p>
    <w:p w14:paraId="59C2F801" w14:textId="69718573" w:rsidR="00D42906" w:rsidRDefault="009A10D9">
      <w:pPr>
        <w:pStyle w:val="TOC1"/>
        <w:rPr>
          <w:rFonts w:asciiTheme="minorHAnsi" w:eastAsiaTheme="minorEastAsia" w:hAnsiTheme="minorHAnsi" w:cstheme="minorBidi"/>
          <w:b w:val="0"/>
          <w:noProof/>
          <w:sz w:val="22"/>
          <w:szCs w:val="22"/>
        </w:rPr>
      </w:pPr>
      <w:hyperlink w:anchor="_Toc39049736" w:history="1">
        <w:r w:rsidR="00D42906" w:rsidRPr="00557366">
          <w:rPr>
            <w:rStyle w:val="Hyperlink"/>
            <w:noProof/>
          </w:rPr>
          <w:t>2.0 Objectives</w:t>
        </w:r>
        <w:r w:rsidR="00D42906">
          <w:rPr>
            <w:noProof/>
            <w:webHidden/>
          </w:rPr>
          <w:tab/>
        </w:r>
        <w:r w:rsidR="00D42906">
          <w:rPr>
            <w:noProof/>
            <w:webHidden/>
          </w:rPr>
          <w:fldChar w:fldCharType="begin"/>
        </w:r>
        <w:r w:rsidR="00D42906">
          <w:rPr>
            <w:noProof/>
            <w:webHidden/>
          </w:rPr>
          <w:instrText xml:space="preserve"> PAGEREF _Toc39049736 \h </w:instrText>
        </w:r>
        <w:r w:rsidR="00D42906">
          <w:rPr>
            <w:noProof/>
            <w:webHidden/>
          </w:rPr>
        </w:r>
        <w:r w:rsidR="00D42906">
          <w:rPr>
            <w:noProof/>
            <w:webHidden/>
          </w:rPr>
          <w:fldChar w:fldCharType="separate"/>
        </w:r>
        <w:r w:rsidR="00D42906">
          <w:rPr>
            <w:noProof/>
            <w:webHidden/>
          </w:rPr>
          <w:t>14</w:t>
        </w:r>
        <w:r w:rsidR="00D42906">
          <w:rPr>
            <w:noProof/>
            <w:webHidden/>
          </w:rPr>
          <w:fldChar w:fldCharType="end"/>
        </w:r>
      </w:hyperlink>
    </w:p>
    <w:p w14:paraId="27B12A56" w14:textId="67598884" w:rsidR="00D42906" w:rsidRDefault="009A10D9">
      <w:pPr>
        <w:pStyle w:val="TOC1"/>
        <w:rPr>
          <w:rFonts w:asciiTheme="minorHAnsi" w:eastAsiaTheme="minorEastAsia" w:hAnsiTheme="minorHAnsi" w:cstheme="minorBidi"/>
          <w:b w:val="0"/>
          <w:noProof/>
          <w:sz w:val="22"/>
          <w:szCs w:val="22"/>
        </w:rPr>
      </w:pPr>
      <w:hyperlink w:anchor="_Toc39049737" w:history="1">
        <w:r w:rsidR="00D42906" w:rsidRPr="00557366">
          <w:rPr>
            <w:rStyle w:val="Hyperlink"/>
            <w:noProof/>
          </w:rPr>
          <w:t>3.0 Methods</w:t>
        </w:r>
        <w:r w:rsidR="00D42906">
          <w:rPr>
            <w:noProof/>
            <w:webHidden/>
          </w:rPr>
          <w:tab/>
        </w:r>
        <w:r w:rsidR="00D42906">
          <w:rPr>
            <w:noProof/>
            <w:webHidden/>
          </w:rPr>
          <w:fldChar w:fldCharType="begin"/>
        </w:r>
        <w:r w:rsidR="00D42906">
          <w:rPr>
            <w:noProof/>
            <w:webHidden/>
          </w:rPr>
          <w:instrText xml:space="preserve"> PAGEREF _Toc39049737 \h </w:instrText>
        </w:r>
        <w:r w:rsidR="00D42906">
          <w:rPr>
            <w:noProof/>
            <w:webHidden/>
          </w:rPr>
        </w:r>
        <w:r w:rsidR="00D42906">
          <w:rPr>
            <w:noProof/>
            <w:webHidden/>
          </w:rPr>
          <w:fldChar w:fldCharType="separate"/>
        </w:r>
        <w:r w:rsidR="00D42906">
          <w:rPr>
            <w:noProof/>
            <w:webHidden/>
          </w:rPr>
          <w:t>15</w:t>
        </w:r>
        <w:r w:rsidR="00D42906">
          <w:rPr>
            <w:noProof/>
            <w:webHidden/>
          </w:rPr>
          <w:fldChar w:fldCharType="end"/>
        </w:r>
      </w:hyperlink>
    </w:p>
    <w:p w14:paraId="52B1F544" w14:textId="341171B9" w:rsidR="00D42906" w:rsidRDefault="009A10D9">
      <w:pPr>
        <w:pStyle w:val="TOC2"/>
        <w:rPr>
          <w:rFonts w:asciiTheme="minorHAnsi" w:eastAsiaTheme="minorEastAsia" w:hAnsiTheme="minorHAnsi" w:cstheme="minorBidi"/>
          <w:b w:val="0"/>
          <w:noProof/>
          <w:sz w:val="22"/>
          <w:szCs w:val="22"/>
        </w:rPr>
      </w:pPr>
      <w:hyperlink w:anchor="_Toc39049738" w:history="1">
        <w:r w:rsidR="00D42906" w:rsidRPr="00557366">
          <w:rPr>
            <w:rStyle w:val="Hyperlink"/>
            <w:noProof/>
          </w:rPr>
          <w:t>3.1 Study Sample</w:t>
        </w:r>
        <w:r w:rsidR="00D42906">
          <w:rPr>
            <w:noProof/>
            <w:webHidden/>
          </w:rPr>
          <w:tab/>
        </w:r>
        <w:r w:rsidR="00D42906">
          <w:rPr>
            <w:noProof/>
            <w:webHidden/>
          </w:rPr>
          <w:fldChar w:fldCharType="begin"/>
        </w:r>
        <w:r w:rsidR="00D42906">
          <w:rPr>
            <w:noProof/>
            <w:webHidden/>
          </w:rPr>
          <w:instrText xml:space="preserve"> PAGEREF _Toc39049738 \h </w:instrText>
        </w:r>
        <w:r w:rsidR="00D42906">
          <w:rPr>
            <w:noProof/>
            <w:webHidden/>
          </w:rPr>
        </w:r>
        <w:r w:rsidR="00D42906">
          <w:rPr>
            <w:noProof/>
            <w:webHidden/>
          </w:rPr>
          <w:fldChar w:fldCharType="separate"/>
        </w:r>
        <w:r w:rsidR="00D42906">
          <w:rPr>
            <w:noProof/>
            <w:webHidden/>
          </w:rPr>
          <w:t>15</w:t>
        </w:r>
        <w:r w:rsidR="00D42906">
          <w:rPr>
            <w:noProof/>
            <w:webHidden/>
          </w:rPr>
          <w:fldChar w:fldCharType="end"/>
        </w:r>
      </w:hyperlink>
    </w:p>
    <w:p w14:paraId="101B0B3F" w14:textId="3EF5148C" w:rsidR="00D42906" w:rsidRDefault="009A10D9">
      <w:pPr>
        <w:pStyle w:val="TOC2"/>
        <w:rPr>
          <w:rFonts w:asciiTheme="minorHAnsi" w:eastAsiaTheme="minorEastAsia" w:hAnsiTheme="minorHAnsi" w:cstheme="minorBidi"/>
          <w:b w:val="0"/>
          <w:noProof/>
          <w:sz w:val="22"/>
          <w:szCs w:val="22"/>
        </w:rPr>
      </w:pPr>
      <w:hyperlink w:anchor="_Toc39049739" w:history="1">
        <w:r w:rsidR="00D42906" w:rsidRPr="00557366">
          <w:rPr>
            <w:rStyle w:val="Hyperlink"/>
            <w:noProof/>
          </w:rPr>
          <w:t>3.2 Measures</w:t>
        </w:r>
        <w:r w:rsidR="00D42906">
          <w:rPr>
            <w:noProof/>
            <w:webHidden/>
          </w:rPr>
          <w:tab/>
        </w:r>
        <w:r w:rsidR="00D42906">
          <w:rPr>
            <w:noProof/>
            <w:webHidden/>
          </w:rPr>
          <w:fldChar w:fldCharType="begin"/>
        </w:r>
        <w:r w:rsidR="00D42906">
          <w:rPr>
            <w:noProof/>
            <w:webHidden/>
          </w:rPr>
          <w:instrText xml:space="preserve"> PAGEREF _Toc39049739 \h </w:instrText>
        </w:r>
        <w:r w:rsidR="00D42906">
          <w:rPr>
            <w:noProof/>
            <w:webHidden/>
          </w:rPr>
        </w:r>
        <w:r w:rsidR="00D42906">
          <w:rPr>
            <w:noProof/>
            <w:webHidden/>
          </w:rPr>
          <w:fldChar w:fldCharType="separate"/>
        </w:r>
        <w:r w:rsidR="00D42906">
          <w:rPr>
            <w:noProof/>
            <w:webHidden/>
          </w:rPr>
          <w:t>15</w:t>
        </w:r>
        <w:r w:rsidR="00D42906">
          <w:rPr>
            <w:noProof/>
            <w:webHidden/>
          </w:rPr>
          <w:fldChar w:fldCharType="end"/>
        </w:r>
      </w:hyperlink>
    </w:p>
    <w:p w14:paraId="788B25AF" w14:textId="3B9FC1E5" w:rsidR="00D42906" w:rsidRDefault="009A10D9">
      <w:pPr>
        <w:pStyle w:val="TOC3"/>
        <w:rPr>
          <w:rFonts w:asciiTheme="minorHAnsi" w:eastAsiaTheme="minorEastAsia" w:hAnsiTheme="minorHAnsi" w:cstheme="minorBidi"/>
          <w:b w:val="0"/>
          <w:noProof/>
          <w:sz w:val="22"/>
          <w:szCs w:val="22"/>
        </w:rPr>
      </w:pPr>
      <w:hyperlink w:anchor="_Toc39049740" w:history="1">
        <w:r w:rsidR="00D42906" w:rsidRPr="00557366">
          <w:rPr>
            <w:rStyle w:val="Hyperlink"/>
            <w:rFonts w:eastAsia="Calibri"/>
            <w:noProof/>
          </w:rPr>
          <w:t>3.2.1 Predictors</w:t>
        </w:r>
        <w:r w:rsidR="00D42906">
          <w:rPr>
            <w:noProof/>
            <w:webHidden/>
          </w:rPr>
          <w:tab/>
        </w:r>
        <w:r w:rsidR="00D42906">
          <w:rPr>
            <w:noProof/>
            <w:webHidden/>
          </w:rPr>
          <w:fldChar w:fldCharType="begin"/>
        </w:r>
        <w:r w:rsidR="00D42906">
          <w:rPr>
            <w:noProof/>
            <w:webHidden/>
          </w:rPr>
          <w:instrText xml:space="preserve"> PAGEREF _Toc39049740 \h </w:instrText>
        </w:r>
        <w:r w:rsidR="00D42906">
          <w:rPr>
            <w:noProof/>
            <w:webHidden/>
          </w:rPr>
        </w:r>
        <w:r w:rsidR="00D42906">
          <w:rPr>
            <w:noProof/>
            <w:webHidden/>
          </w:rPr>
          <w:fldChar w:fldCharType="separate"/>
        </w:r>
        <w:r w:rsidR="00D42906">
          <w:rPr>
            <w:noProof/>
            <w:webHidden/>
          </w:rPr>
          <w:t>15</w:t>
        </w:r>
        <w:r w:rsidR="00D42906">
          <w:rPr>
            <w:noProof/>
            <w:webHidden/>
          </w:rPr>
          <w:fldChar w:fldCharType="end"/>
        </w:r>
      </w:hyperlink>
    </w:p>
    <w:p w14:paraId="0D319474" w14:textId="606A6A5C" w:rsidR="00D42906" w:rsidRDefault="009A10D9">
      <w:pPr>
        <w:pStyle w:val="TOC3"/>
        <w:rPr>
          <w:rFonts w:asciiTheme="minorHAnsi" w:eastAsiaTheme="minorEastAsia" w:hAnsiTheme="minorHAnsi" w:cstheme="minorBidi"/>
          <w:b w:val="0"/>
          <w:noProof/>
          <w:sz w:val="22"/>
          <w:szCs w:val="22"/>
        </w:rPr>
      </w:pPr>
      <w:hyperlink w:anchor="_Toc39049741" w:history="1">
        <w:r w:rsidR="00D42906" w:rsidRPr="00557366">
          <w:rPr>
            <w:rStyle w:val="Hyperlink"/>
            <w:rFonts w:eastAsia="Calibri"/>
            <w:noProof/>
          </w:rPr>
          <w:t>3.2.2 Covariates</w:t>
        </w:r>
        <w:r w:rsidR="00D42906">
          <w:rPr>
            <w:noProof/>
            <w:webHidden/>
          </w:rPr>
          <w:tab/>
        </w:r>
        <w:r w:rsidR="00D42906">
          <w:rPr>
            <w:noProof/>
            <w:webHidden/>
          </w:rPr>
          <w:fldChar w:fldCharType="begin"/>
        </w:r>
        <w:r w:rsidR="00D42906">
          <w:rPr>
            <w:noProof/>
            <w:webHidden/>
          </w:rPr>
          <w:instrText xml:space="preserve"> PAGEREF _Toc39049741 \h </w:instrText>
        </w:r>
        <w:r w:rsidR="00D42906">
          <w:rPr>
            <w:noProof/>
            <w:webHidden/>
          </w:rPr>
        </w:r>
        <w:r w:rsidR="00D42906">
          <w:rPr>
            <w:noProof/>
            <w:webHidden/>
          </w:rPr>
          <w:fldChar w:fldCharType="separate"/>
        </w:r>
        <w:r w:rsidR="00D42906">
          <w:rPr>
            <w:noProof/>
            <w:webHidden/>
          </w:rPr>
          <w:t>16</w:t>
        </w:r>
        <w:r w:rsidR="00D42906">
          <w:rPr>
            <w:noProof/>
            <w:webHidden/>
          </w:rPr>
          <w:fldChar w:fldCharType="end"/>
        </w:r>
      </w:hyperlink>
    </w:p>
    <w:p w14:paraId="4218CC94" w14:textId="5E50C148" w:rsidR="00D42906" w:rsidRDefault="009A10D9">
      <w:pPr>
        <w:pStyle w:val="TOC3"/>
        <w:rPr>
          <w:rFonts w:asciiTheme="minorHAnsi" w:eastAsiaTheme="minorEastAsia" w:hAnsiTheme="minorHAnsi" w:cstheme="minorBidi"/>
          <w:b w:val="0"/>
          <w:noProof/>
          <w:sz w:val="22"/>
          <w:szCs w:val="22"/>
        </w:rPr>
      </w:pPr>
      <w:hyperlink w:anchor="_Toc39049742" w:history="1">
        <w:r w:rsidR="00D42906" w:rsidRPr="00557366">
          <w:rPr>
            <w:rStyle w:val="Hyperlink"/>
            <w:rFonts w:eastAsia="Calibri"/>
            <w:noProof/>
          </w:rPr>
          <w:t>3.2.3 Outcome</w:t>
        </w:r>
        <w:r w:rsidR="00D42906">
          <w:rPr>
            <w:noProof/>
            <w:webHidden/>
          </w:rPr>
          <w:tab/>
        </w:r>
        <w:r w:rsidR="00D42906">
          <w:rPr>
            <w:noProof/>
            <w:webHidden/>
          </w:rPr>
          <w:fldChar w:fldCharType="begin"/>
        </w:r>
        <w:r w:rsidR="00D42906">
          <w:rPr>
            <w:noProof/>
            <w:webHidden/>
          </w:rPr>
          <w:instrText xml:space="preserve"> PAGEREF _Toc39049742 \h </w:instrText>
        </w:r>
        <w:r w:rsidR="00D42906">
          <w:rPr>
            <w:noProof/>
            <w:webHidden/>
          </w:rPr>
        </w:r>
        <w:r w:rsidR="00D42906">
          <w:rPr>
            <w:noProof/>
            <w:webHidden/>
          </w:rPr>
          <w:fldChar w:fldCharType="separate"/>
        </w:r>
        <w:r w:rsidR="00D42906">
          <w:rPr>
            <w:noProof/>
            <w:webHidden/>
          </w:rPr>
          <w:t>16</w:t>
        </w:r>
        <w:r w:rsidR="00D42906">
          <w:rPr>
            <w:noProof/>
            <w:webHidden/>
          </w:rPr>
          <w:fldChar w:fldCharType="end"/>
        </w:r>
      </w:hyperlink>
    </w:p>
    <w:p w14:paraId="4C6D2A93" w14:textId="1F508816" w:rsidR="00D42906" w:rsidRDefault="009A10D9">
      <w:pPr>
        <w:pStyle w:val="TOC2"/>
        <w:rPr>
          <w:rFonts w:asciiTheme="minorHAnsi" w:eastAsiaTheme="minorEastAsia" w:hAnsiTheme="minorHAnsi" w:cstheme="minorBidi"/>
          <w:b w:val="0"/>
          <w:noProof/>
          <w:sz w:val="22"/>
          <w:szCs w:val="22"/>
        </w:rPr>
      </w:pPr>
      <w:hyperlink w:anchor="_Toc39049743" w:history="1">
        <w:r w:rsidR="00D42906" w:rsidRPr="00557366">
          <w:rPr>
            <w:rStyle w:val="Hyperlink"/>
            <w:noProof/>
          </w:rPr>
          <w:t>3.4 Statistical Analysis</w:t>
        </w:r>
        <w:r w:rsidR="00D42906">
          <w:rPr>
            <w:noProof/>
            <w:webHidden/>
          </w:rPr>
          <w:tab/>
        </w:r>
        <w:r w:rsidR="00D42906">
          <w:rPr>
            <w:noProof/>
            <w:webHidden/>
          </w:rPr>
          <w:fldChar w:fldCharType="begin"/>
        </w:r>
        <w:r w:rsidR="00D42906">
          <w:rPr>
            <w:noProof/>
            <w:webHidden/>
          </w:rPr>
          <w:instrText xml:space="preserve"> PAGEREF _Toc39049743 \h </w:instrText>
        </w:r>
        <w:r w:rsidR="00D42906">
          <w:rPr>
            <w:noProof/>
            <w:webHidden/>
          </w:rPr>
        </w:r>
        <w:r w:rsidR="00D42906">
          <w:rPr>
            <w:noProof/>
            <w:webHidden/>
          </w:rPr>
          <w:fldChar w:fldCharType="separate"/>
        </w:r>
        <w:r w:rsidR="00D42906">
          <w:rPr>
            <w:noProof/>
            <w:webHidden/>
          </w:rPr>
          <w:t>16</w:t>
        </w:r>
        <w:r w:rsidR="00D42906">
          <w:rPr>
            <w:noProof/>
            <w:webHidden/>
          </w:rPr>
          <w:fldChar w:fldCharType="end"/>
        </w:r>
      </w:hyperlink>
    </w:p>
    <w:p w14:paraId="130716F5" w14:textId="60669728" w:rsidR="00D42906" w:rsidRDefault="009A10D9">
      <w:pPr>
        <w:pStyle w:val="TOC1"/>
        <w:rPr>
          <w:rFonts w:asciiTheme="minorHAnsi" w:eastAsiaTheme="minorEastAsia" w:hAnsiTheme="minorHAnsi" w:cstheme="minorBidi"/>
          <w:b w:val="0"/>
          <w:noProof/>
          <w:sz w:val="22"/>
          <w:szCs w:val="22"/>
        </w:rPr>
      </w:pPr>
      <w:hyperlink w:anchor="_Toc39049744" w:history="1">
        <w:r w:rsidR="00D42906" w:rsidRPr="00557366">
          <w:rPr>
            <w:rStyle w:val="Hyperlink"/>
            <w:noProof/>
          </w:rPr>
          <w:t>4.0 Results</w:t>
        </w:r>
        <w:r w:rsidR="00D42906">
          <w:rPr>
            <w:noProof/>
            <w:webHidden/>
          </w:rPr>
          <w:tab/>
        </w:r>
        <w:r w:rsidR="00D42906">
          <w:rPr>
            <w:noProof/>
            <w:webHidden/>
          </w:rPr>
          <w:fldChar w:fldCharType="begin"/>
        </w:r>
        <w:r w:rsidR="00D42906">
          <w:rPr>
            <w:noProof/>
            <w:webHidden/>
          </w:rPr>
          <w:instrText xml:space="preserve"> PAGEREF _Toc39049744 \h </w:instrText>
        </w:r>
        <w:r w:rsidR="00D42906">
          <w:rPr>
            <w:noProof/>
            <w:webHidden/>
          </w:rPr>
        </w:r>
        <w:r w:rsidR="00D42906">
          <w:rPr>
            <w:noProof/>
            <w:webHidden/>
          </w:rPr>
          <w:fldChar w:fldCharType="separate"/>
        </w:r>
        <w:r w:rsidR="00D42906">
          <w:rPr>
            <w:noProof/>
            <w:webHidden/>
          </w:rPr>
          <w:t>18</w:t>
        </w:r>
        <w:r w:rsidR="00D42906">
          <w:rPr>
            <w:noProof/>
            <w:webHidden/>
          </w:rPr>
          <w:fldChar w:fldCharType="end"/>
        </w:r>
      </w:hyperlink>
    </w:p>
    <w:p w14:paraId="12086868" w14:textId="55B99F43" w:rsidR="00D42906" w:rsidRDefault="009A10D9">
      <w:pPr>
        <w:pStyle w:val="TOC1"/>
        <w:rPr>
          <w:rFonts w:asciiTheme="minorHAnsi" w:eastAsiaTheme="minorEastAsia" w:hAnsiTheme="minorHAnsi" w:cstheme="minorBidi"/>
          <w:b w:val="0"/>
          <w:noProof/>
          <w:sz w:val="22"/>
          <w:szCs w:val="22"/>
        </w:rPr>
      </w:pPr>
      <w:hyperlink w:anchor="_Toc39049745" w:history="1">
        <w:r w:rsidR="00D42906" w:rsidRPr="00557366">
          <w:rPr>
            <w:rStyle w:val="Hyperlink"/>
            <w:noProof/>
          </w:rPr>
          <w:t>5.0 Discussion</w:t>
        </w:r>
        <w:r w:rsidR="00D42906">
          <w:rPr>
            <w:noProof/>
            <w:webHidden/>
          </w:rPr>
          <w:tab/>
        </w:r>
        <w:r w:rsidR="00D42906">
          <w:rPr>
            <w:noProof/>
            <w:webHidden/>
          </w:rPr>
          <w:fldChar w:fldCharType="begin"/>
        </w:r>
        <w:r w:rsidR="00D42906">
          <w:rPr>
            <w:noProof/>
            <w:webHidden/>
          </w:rPr>
          <w:instrText xml:space="preserve"> PAGEREF _Toc39049745 \h </w:instrText>
        </w:r>
        <w:r w:rsidR="00D42906">
          <w:rPr>
            <w:noProof/>
            <w:webHidden/>
          </w:rPr>
        </w:r>
        <w:r w:rsidR="00D42906">
          <w:rPr>
            <w:noProof/>
            <w:webHidden/>
          </w:rPr>
          <w:fldChar w:fldCharType="separate"/>
        </w:r>
        <w:r w:rsidR="00D42906">
          <w:rPr>
            <w:noProof/>
            <w:webHidden/>
          </w:rPr>
          <w:t>19</w:t>
        </w:r>
        <w:r w:rsidR="00D42906">
          <w:rPr>
            <w:noProof/>
            <w:webHidden/>
          </w:rPr>
          <w:fldChar w:fldCharType="end"/>
        </w:r>
      </w:hyperlink>
    </w:p>
    <w:p w14:paraId="679A287C" w14:textId="51F79707" w:rsidR="00D42906" w:rsidRDefault="009A10D9">
      <w:pPr>
        <w:pStyle w:val="TOC2"/>
        <w:rPr>
          <w:rFonts w:asciiTheme="minorHAnsi" w:eastAsiaTheme="minorEastAsia" w:hAnsiTheme="minorHAnsi" w:cstheme="minorBidi"/>
          <w:b w:val="0"/>
          <w:noProof/>
          <w:sz w:val="22"/>
          <w:szCs w:val="22"/>
        </w:rPr>
      </w:pPr>
      <w:hyperlink w:anchor="_Toc39049746" w:history="1">
        <w:r w:rsidR="00D42906" w:rsidRPr="00557366">
          <w:rPr>
            <w:rStyle w:val="Hyperlink"/>
            <w:noProof/>
          </w:rPr>
          <w:t>5.1 Limitations and Strengths</w:t>
        </w:r>
        <w:r w:rsidR="00D42906">
          <w:rPr>
            <w:noProof/>
            <w:webHidden/>
          </w:rPr>
          <w:tab/>
        </w:r>
        <w:r w:rsidR="00D42906">
          <w:rPr>
            <w:noProof/>
            <w:webHidden/>
          </w:rPr>
          <w:fldChar w:fldCharType="begin"/>
        </w:r>
        <w:r w:rsidR="00D42906">
          <w:rPr>
            <w:noProof/>
            <w:webHidden/>
          </w:rPr>
          <w:instrText xml:space="preserve"> PAGEREF _Toc39049746 \h </w:instrText>
        </w:r>
        <w:r w:rsidR="00D42906">
          <w:rPr>
            <w:noProof/>
            <w:webHidden/>
          </w:rPr>
        </w:r>
        <w:r w:rsidR="00D42906">
          <w:rPr>
            <w:noProof/>
            <w:webHidden/>
          </w:rPr>
          <w:fldChar w:fldCharType="separate"/>
        </w:r>
        <w:r w:rsidR="00D42906">
          <w:rPr>
            <w:noProof/>
            <w:webHidden/>
          </w:rPr>
          <w:t>21</w:t>
        </w:r>
        <w:r w:rsidR="00D42906">
          <w:rPr>
            <w:noProof/>
            <w:webHidden/>
          </w:rPr>
          <w:fldChar w:fldCharType="end"/>
        </w:r>
      </w:hyperlink>
    </w:p>
    <w:p w14:paraId="200FFA8F" w14:textId="2267AB28" w:rsidR="00D42906" w:rsidRDefault="009A10D9">
      <w:pPr>
        <w:pStyle w:val="TOC2"/>
        <w:rPr>
          <w:rFonts w:asciiTheme="minorHAnsi" w:eastAsiaTheme="minorEastAsia" w:hAnsiTheme="minorHAnsi" w:cstheme="minorBidi"/>
          <w:b w:val="0"/>
          <w:noProof/>
          <w:sz w:val="22"/>
          <w:szCs w:val="22"/>
        </w:rPr>
      </w:pPr>
      <w:hyperlink w:anchor="_Toc39049747" w:history="1">
        <w:r w:rsidR="00D42906" w:rsidRPr="00557366">
          <w:rPr>
            <w:rStyle w:val="Hyperlink"/>
            <w:noProof/>
          </w:rPr>
          <w:t>5.2 Future Directions</w:t>
        </w:r>
        <w:r w:rsidR="00D42906">
          <w:rPr>
            <w:noProof/>
            <w:webHidden/>
          </w:rPr>
          <w:tab/>
        </w:r>
        <w:r w:rsidR="00D42906">
          <w:rPr>
            <w:noProof/>
            <w:webHidden/>
          </w:rPr>
          <w:fldChar w:fldCharType="begin"/>
        </w:r>
        <w:r w:rsidR="00D42906">
          <w:rPr>
            <w:noProof/>
            <w:webHidden/>
          </w:rPr>
          <w:instrText xml:space="preserve"> PAGEREF _Toc39049747 \h </w:instrText>
        </w:r>
        <w:r w:rsidR="00D42906">
          <w:rPr>
            <w:noProof/>
            <w:webHidden/>
          </w:rPr>
        </w:r>
        <w:r w:rsidR="00D42906">
          <w:rPr>
            <w:noProof/>
            <w:webHidden/>
          </w:rPr>
          <w:fldChar w:fldCharType="separate"/>
        </w:r>
        <w:r w:rsidR="00D42906">
          <w:rPr>
            <w:noProof/>
            <w:webHidden/>
          </w:rPr>
          <w:t>22</w:t>
        </w:r>
        <w:r w:rsidR="00D42906">
          <w:rPr>
            <w:noProof/>
            <w:webHidden/>
          </w:rPr>
          <w:fldChar w:fldCharType="end"/>
        </w:r>
      </w:hyperlink>
    </w:p>
    <w:p w14:paraId="200C0DCD" w14:textId="447229EA" w:rsidR="00D42906" w:rsidRDefault="009A10D9">
      <w:pPr>
        <w:pStyle w:val="TOC1"/>
        <w:rPr>
          <w:rFonts w:asciiTheme="minorHAnsi" w:eastAsiaTheme="minorEastAsia" w:hAnsiTheme="minorHAnsi" w:cstheme="minorBidi"/>
          <w:b w:val="0"/>
          <w:noProof/>
          <w:sz w:val="22"/>
          <w:szCs w:val="22"/>
        </w:rPr>
      </w:pPr>
      <w:hyperlink w:anchor="_Toc39049748" w:history="1">
        <w:r w:rsidR="00D42906" w:rsidRPr="00557366">
          <w:rPr>
            <w:rStyle w:val="Hyperlink"/>
            <w:noProof/>
          </w:rPr>
          <w:t>Appendix A Tables</w:t>
        </w:r>
        <w:r w:rsidR="00D42906">
          <w:rPr>
            <w:noProof/>
            <w:webHidden/>
          </w:rPr>
          <w:tab/>
        </w:r>
        <w:r w:rsidR="00D42906">
          <w:rPr>
            <w:noProof/>
            <w:webHidden/>
          </w:rPr>
          <w:fldChar w:fldCharType="begin"/>
        </w:r>
        <w:r w:rsidR="00D42906">
          <w:rPr>
            <w:noProof/>
            <w:webHidden/>
          </w:rPr>
          <w:instrText xml:space="preserve"> PAGEREF _Toc39049748 \h </w:instrText>
        </w:r>
        <w:r w:rsidR="00D42906">
          <w:rPr>
            <w:noProof/>
            <w:webHidden/>
          </w:rPr>
        </w:r>
        <w:r w:rsidR="00D42906">
          <w:rPr>
            <w:noProof/>
            <w:webHidden/>
          </w:rPr>
          <w:fldChar w:fldCharType="separate"/>
        </w:r>
        <w:r w:rsidR="00D42906">
          <w:rPr>
            <w:noProof/>
            <w:webHidden/>
          </w:rPr>
          <w:t>23</w:t>
        </w:r>
        <w:r w:rsidR="00D42906">
          <w:rPr>
            <w:noProof/>
            <w:webHidden/>
          </w:rPr>
          <w:fldChar w:fldCharType="end"/>
        </w:r>
      </w:hyperlink>
    </w:p>
    <w:p w14:paraId="097A40C0" w14:textId="01B56B05" w:rsidR="00D42906" w:rsidRDefault="009A10D9">
      <w:pPr>
        <w:pStyle w:val="TOC1"/>
        <w:rPr>
          <w:rFonts w:asciiTheme="minorHAnsi" w:eastAsiaTheme="minorEastAsia" w:hAnsiTheme="minorHAnsi" w:cstheme="minorBidi"/>
          <w:b w:val="0"/>
          <w:noProof/>
          <w:sz w:val="22"/>
          <w:szCs w:val="22"/>
        </w:rPr>
      </w:pPr>
      <w:hyperlink w:anchor="_Toc39049749" w:history="1">
        <w:r w:rsidR="00D42906" w:rsidRPr="00557366">
          <w:rPr>
            <w:rStyle w:val="Hyperlink"/>
            <w:noProof/>
          </w:rPr>
          <w:t>Appendix B Gender Identify Question</w:t>
        </w:r>
        <w:r w:rsidR="00D42906">
          <w:rPr>
            <w:noProof/>
            <w:webHidden/>
          </w:rPr>
          <w:tab/>
        </w:r>
        <w:r w:rsidR="00D42906">
          <w:rPr>
            <w:noProof/>
            <w:webHidden/>
          </w:rPr>
          <w:fldChar w:fldCharType="begin"/>
        </w:r>
        <w:r w:rsidR="00D42906">
          <w:rPr>
            <w:noProof/>
            <w:webHidden/>
          </w:rPr>
          <w:instrText xml:space="preserve"> PAGEREF _Toc39049749 \h </w:instrText>
        </w:r>
        <w:r w:rsidR="00D42906">
          <w:rPr>
            <w:noProof/>
            <w:webHidden/>
          </w:rPr>
        </w:r>
        <w:r w:rsidR="00D42906">
          <w:rPr>
            <w:noProof/>
            <w:webHidden/>
          </w:rPr>
          <w:fldChar w:fldCharType="separate"/>
        </w:r>
        <w:r w:rsidR="00D42906">
          <w:rPr>
            <w:noProof/>
            <w:webHidden/>
          </w:rPr>
          <w:t>25</w:t>
        </w:r>
        <w:r w:rsidR="00D42906">
          <w:rPr>
            <w:noProof/>
            <w:webHidden/>
          </w:rPr>
          <w:fldChar w:fldCharType="end"/>
        </w:r>
      </w:hyperlink>
    </w:p>
    <w:p w14:paraId="3212BFF8" w14:textId="777A0497" w:rsidR="00D42906" w:rsidRDefault="009A10D9">
      <w:pPr>
        <w:pStyle w:val="TOC1"/>
        <w:rPr>
          <w:rFonts w:asciiTheme="minorHAnsi" w:eastAsiaTheme="minorEastAsia" w:hAnsiTheme="minorHAnsi" w:cstheme="minorBidi"/>
          <w:b w:val="0"/>
          <w:noProof/>
          <w:sz w:val="22"/>
          <w:szCs w:val="22"/>
        </w:rPr>
      </w:pPr>
      <w:hyperlink w:anchor="_Toc39049750" w:history="1">
        <w:r w:rsidR="00D42906" w:rsidRPr="00557366">
          <w:rPr>
            <w:rStyle w:val="Hyperlink"/>
            <w:noProof/>
          </w:rPr>
          <w:t>Bibliography</w:t>
        </w:r>
        <w:r w:rsidR="00D42906">
          <w:rPr>
            <w:noProof/>
            <w:webHidden/>
          </w:rPr>
          <w:tab/>
        </w:r>
        <w:r w:rsidR="00D42906">
          <w:rPr>
            <w:noProof/>
            <w:webHidden/>
          </w:rPr>
          <w:fldChar w:fldCharType="begin"/>
        </w:r>
        <w:r w:rsidR="00D42906">
          <w:rPr>
            <w:noProof/>
            <w:webHidden/>
          </w:rPr>
          <w:instrText xml:space="preserve"> PAGEREF _Toc39049750 \h </w:instrText>
        </w:r>
        <w:r w:rsidR="00D42906">
          <w:rPr>
            <w:noProof/>
            <w:webHidden/>
          </w:rPr>
        </w:r>
        <w:r w:rsidR="00D42906">
          <w:rPr>
            <w:noProof/>
            <w:webHidden/>
          </w:rPr>
          <w:fldChar w:fldCharType="separate"/>
        </w:r>
        <w:r w:rsidR="00D42906">
          <w:rPr>
            <w:noProof/>
            <w:webHidden/>
          </w:rPr>
          <w:t>26</w:t>
        </w:r>
        <w:r w:rsidR="00D42906">
          <w:rPr>
            <w:noProof/>
            <w:webHidden/>
          </w:rPr>
          <w:fldChar w:fldCharType="end"/>
        </w:r>
      </w:hyperlink>
    </w:p>
    <w:p w14:paraId="2B27B2BC" w14:textId="7B94E954" w:rsidR="000946CA" w:rsidRPr="009A3A3B" w:rsidRDefault="000946CA" w:rsidP="000946CA">
      <w:pPr>
        <w:pStyle w:val="Preliminary"/>
        <w:rPr>
          <w:b/>
        </w:rPr>
      </w:pPr>
      <w:r>
        <w:rPr>
          <w:rFonts w:cs="Times New Roman"/>
        </w:rPr>
        <w:lastRenderedPageBreak/>
        <w:fldChar w:fldCharType="end"/>
      </w:r>
      <w:r w:rsidRPr="009A3A3B">
        <w:rPr>
          <w:b/>
        </w:rPr>
        <w:t>List of Tables</w:t>
      </w:r>
    </w:p>
    <w:p w14:paraId="251AF40D" w14:textId="2E744E65" w:rsidR="007779AA" w:rsidRDefault="000946CA">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39049226" w:history="1">
        <w:r w:rsidR="007779AA" w:rsidRPr="00756F4D">
          <w:rPr>
            <w:rStyle w:val="Hyperlink"/>
            <w:noProof/>
          </w:rPr>
          <w:t>Table 1 Demographic Characteristics by Gender Identity</w:t>
        </w:r>
        <w:r w:rsidR="007779AA">
          <w:rPr>
            <w:noProof/>
            <w:webHidden/>
          </w:rPr>
          <w:tab/>
        </w:r>
        <w:r w:rsidR="007779AA">
          <w:rPr>
            <w:noProof/>
            <w:webHidden/>
          </w:rPr>
          <w:fldChar w:fldCharType="begin"/>
        </w:r>
        <w:r w:rsidR="007779AA">
          <w:rPr>
            <w:noProof/>
            <w:webHidden/>
          </w:rPr>
          <w:instrText xml:space="preserve"> PAGEREF _Toc39049226 \h </w:instrText>
        </w:r>
        <w:r w:rsidR="007779AA">
          <w:rPr>
            <w:noProof/>
            <w:webHidden/>
          </w:rPr>
        </w:r>
        <w:r w:rsidR="007779AA">
          <w:rPr>
            <w:noProof/>
            <w:webHidden/>
          </w:rPr>
          <w:fldChar w:fldCharType="separate"/>
        </w:r>
        <w:r w:rsidR="007779AA">
          <w:rPr>
            <w:noProof/>
            <w:webHidden/>
          </w:rPr>
          <w:t>24</w:t>
        </w:r>
        <w:r w:rsidR="007779AA">
          <w:rPr>
            <w:noProof/>
            <w:webHidden/>
          </w:rPr>
          <w:fldChar w:fldCharType="end"/>
        </w:r>
      </w:hyperlink>
    </w:p>
    <w:p w14:paraId="16115571" w14:textId="37224B63" w:rsidR="007779AA" w:rsidRDefault="009A10D9">
      <w:pPr>
        <w:pStyle w:val="TableofFigures"/>
        <w:tabs>
          <w:tab w:val="right" w:leader="dot" w:pos="9350"/>
        </w:tabs>
        <w:rPr>
          <w:rFonts w:asciiTheme="minorHAnsi" w:eastAsiaTheme="minorEastAsia" w:hAnsiTheme="minorHAnsi" w:cstheme="minorBidi"/>
          <w:b w:val="0"/>
          <w:noProof/>
          <w:sz w:val="22"/>
          <w:szCs w:val="22"/>
        </w:rPr>
      </w:pPr>
      <w:hyperlink w:anchor="_Toc39049227" w:history="1">
        <w:r w:rsidR="007779AA" w:rsidRPr="00756F4D">
          <w:rPr>
            <w:rStyle w:val="Hyperlink"/>
            <w:noProof/>
          </w:rPr>
          <w:t>Table 2 Adjusted Models of Associations between Gender Minority Identity, Family Support, Outness to Family, and Depression Severity</w:t>
        </w:r>
        <w:r w:rsidR="007779AA">
          <w:rPr>
            <w:noProof/>
            <w:webHidden/>
          </w:rPr>
          <w:tab/>
        </w:r>
        <w:r w:rsidR="007779AA">
          <w:rPr>
            <w:noProof/>
            <w:webHidden/>
          </w:rPr>
          <w:fldChar w:fldCharType="begin"/>
        </w:r>
        <w:r w:rsidR="007779AA">
          <w:rPr>
            <w:noProof/>
            <w:webHidden/>
          </w:rPr>
          <w:instrText xml:space="preserve"> PAGEREF _Toc39049227 \h </w:instrText>
        </w:r>
        <w:r w:rsidR="007779AA">
          <w:rPr>
            <w:noProof/>
            <w:webHidden/>
          </w:rPr>
        </w:r>
        <w:r w:rsidR="007779AA">
          <w:rPr>
            <w:noProof/>
            <w:webHidden/>
          </w:rPr>
          <w:fldChar w:fldCharType="separate"/>
        </w:r>
        <w:r w:rsidR="007779AA">
          <w:rPr>
            <w:noProof/>
            <w:webHidden/>
          </w:rPr>
          <w:t>25</w:t>
        </w:r>
        <w:r w:rsidR="007779AA">
          <w:rPr>
            <w:noProof/>
            <w:webHidden/>
          </w:rPr>
          <w:fldChar w:fldCharType="end"/>
        </w:r>
      </w:hyperlink>
    </w:p>
    <w:p w14:paraId="320784CD" w14:textId="17B83B52" w:rsidR="007779AA" w:rsidRDefault="009A10D9">
      <w:pPr>
        <w:pStyle w:val="TableofFigures"/>
        <w:tabs>
          <w:tab w:val="right" w:leader="dot" w:pos="9350"/>
        </w:tabs>
        <w:rPr>
          <w:rFonts w:asciiTheme="minorHAnsi" w:eastAsiaTheme="minorEastAsia" w:hAnsiTheme="minorHAnsi" w:cstheme="minorBidi"/>
          <w:b w:val="0"/>
          <w:noProof/>
          <w:sz w:val="22"/>
          <w:szCs w:val="22"/>
        </w:rPr>
      </w:pPr>
      <w:hyperlink w:anchor="_Toc39049228" w:history="1">
        <w:r w:rsidR="007779AA" w:rsidRPr="00756F4D">
          <w:rPr>
            <w:rStyle w:val="Hyperlink"/>
            <w:noProof/>
          </w:rPr>
          <w:t>Table 3 Associations between Family Support and Outness to Families on Depression Severity Among Gender Minority Youth</w:t>
        </w:r>
        <w:r w:rsidR="007779AA">
          <w:rPr>
            <w:noProof/>
            <w:webHidden/>
          </w:rPr>
          <w:tab/>
        </w:r>
        <w:r w:rsidR="007779AA">
          <w:rPr>
            <w:noProof/>
            <w:webHidden/>
          </w:rPr>
          <w:fldChar w:fldCharType="begin"/>
        </w:r>
        <w:r w:rsidR="007779AA">
          <w:rPr>
            <w:noProof/>
            <w:webHidden/>
          </w:rPr>
          <w:instrText xml:space="preserve"> PAGEREF _Toc39049228 \h </w:instrText>
        </w:r>
        <w:r w:rsidR="007779AA">
          <w:rPr>
            <w:noProof/>
            <w:webHidden/>
          </w:rPr>
        </w:r>
        <w:r w:rsidR="007779AA">
          <w:rPr>
            <w:noProof/>
            <w:webHidden/>
          </w:rPr>
          <w:fldChar w:fldCharType="separate"/>
        </w:r>
        <w:r w:rsidR="007779AA">
          <w:rPr>
            <w:noProof/>
            <w:webHidden/>
          </w:rPr>
          <w:t>25</w:t>
        </w:r>
        <w:r w:rsidR="007779AA">
          <w:rPr>
            <w:noProof/>
            <w:webHidden/>
          </w:rPr>
          <w:fldChar w:fldCharType="end"/>
        </w:r>
      </w:hyperlink>
    </w:p>
    <w:p w14:paraId="4665DD88" w14:textId="17229781" w:rsidR="000946CA" w:rsidRPr="001C7AFC" w:rsidRDefault="000946CA" w:rsidP="009A3A3B">
      <w:pPr>
        <w:pStyle w:val="TableofFigures"/>
        <w:tabs>
          <w:tab w:val="right" w:leader="dot" w:pos="9350"/>
        </w:tabs>
      </w:pPr>
      <w:r>
        <w:fldChar w:fldCharType="end"/>
      </w:r>
    </w:p>
    <w:p w14:paraId="41BB99CF" w14:textId="77777777" w:rsidR="00A53BF3" w:rsidRPr="00A53BF3" w:rsidRDefault="00A53BF3" w:rsidP="00A53BF3">
      <w:pPr>
        <w:pStyle w:val="Heading"/>
        <w:rPr>
          <w:b/>
        </w:rPr>
      </w:pPr>
      <w:bookmarkStart w:id="0" w:name="_Toc17272645"/>
      <w:bookmarkStart w:id="1" w:name="_Toc39049728"/>
      <w:bookmarkStart w:id="2" w:name="_Toc39046406"/>
      <w:r w:rsidRPr="00A53BF3">
        <w:rPr>
          <w:b/>
        </w:rPr>
        <w:lastRenderedPageBreak/>
        <w:t>Preface</w:t>
      </w:r>
      <w:bookmarkEnd w:id="0"/>
      <w:bookmarkEnd w:id="1"/>
    </w:p>
    <w:p w14:paraId="427F85C6" w14:textId="77777777" w:rsidR="00A53BF3" w:rsidRDefault="00A53BF3" w:rsidP="00A53BF3">
      <w:pPr>
        <w:spacing w:line="480" w:lineRule="auto"/>
        <w:ind w:firstLine="720"/>
      </w:pPr>
      <w:r>
        <w:t>I wish to thank my family, friends, mentors, advisors, readers, and coworkers for supporting me in my pursuit of my MPH and the completion of this essay. It’s been such a long road, and I would not have gotten to the end without the compassion and guidance of each and every one of you. I’m grateful beyond measure.</w:t>
      </w:r>
    </w:p>
    <w:p w14:paraId="7758F3A1" w14:textId="313BC9CF" w:rsidR="00A53BF3" w:rsidRDefault="00A53BF3" w:rsidP="00A53BF3">
      <w:pPr>
        <w:spacing w:line="480" w:lineRule="auto"/>
        <w:ind w:firstLine="720"/>
      </w:pPr>
      <w:r>
        <w:t>This essay is dedicated to the memory of queer, trans, and nonbinary youth who lost their lives as a result of structural violence. We mourn the dead, and fight for the living.</w:t>
      </w:r>
    </w:p>
    <w:p w14:paraId="28B5B6A2" w14:textId="5E2C3938" w:rsidR="00A53BF3" w:rsidRDefault="00A53BF3" w:rsidP="00A53BF3">
      <w:pPr>
        <w:spacing w:line="480" w:lineRule="auto"/>
      </w:pPr>
    </w:p>
    <w:p w14:paraId="619C0769" w14:textId="39D540D4" w:rsidR="00A53BF3" w:rsidRDefault="00A53BF3" w:rsidP="00A53BF3"/>
    <w:p w14:paraId="4524DE41" w14:textId="77777777" w:rsidR="00A53BF3" w:rsidRDefault="00A53BF3" w:rsidP="00A53BF3"/>
    <w:p w14:paraId="41F31B02" w14:textId="77777777" w:rsidR="00A53BF3" w:rsidRDefault="00A53BF3" w:rsidP="00A53BF3">
      <w:pPr>
        <w:sectPr w:rsidR="00A53BF3" w:rsidSect="00A53BF3">
          <w:pgSz w:w="12240" w:h="15840"/>
          <w:pgMar w:top="1440" w:right="1440" w:bottom="1440" w:left="1440" w:header="720" w:footer="720" w:gutter="0"/>
          <w:pgNumType w:fmt="lowerRoman"/>
          <w:cols w:space="720"/>
          <w:docGrid w:linePitch="360"/>
        </w:sectPr>
      </w:pPr>
    </w:p>
    <w:p w14:paraId="377BC982" w14:textId="0A067535" w:rsidR="00D57AC2" w:rsidRPr="000946CA" w:rsidRDefault="000946CA" w:rsidP="000946CA">
      <w:pPr>
        <w:pStyle w:val="Heading1"/>
        <w:rPr>
          <w:rStyle w:val="Heading1Char"/>
          <w:b/>
        </w:rPr>
      </w:pPr>
      <w:bookmarkStart w:id="3" w:name="_Toc39049729"/>
      <w:bookmarkEnd w:id="2"/>
      <w:r w:rsidRPr="000946CA">
        <w:lastRenderedPageBreak/>
        <w:t xml:space="preserve">1.0 </w:t>
      </w:r>
      <w:r w:rsidR="00D57AC2" w:rsidRPr="000946CA">
        <w:t>Introduction</w:t>
      </w:r>
      <w:bookmarkEnd w:id="3"/>
    </w:p>
    <w:p w14:paraId="457AE873" w14:textId="779EEEEF" w:rsidR="00175AD6" w:rsidRDefault="000304D5" w:rsidP="00FE5727">
      <w:pPr>
        <w:spacing w:line="480" w:lineRule="auto"/>
        <w:ind w:firstLine="720"/>
      </w:pPr>
      <w:r w:rsidRPr="007C7EA1">
        <w:t xml:space="preserve">‘Gender minority’ is a term used in research contexts to describe </w:t>
      </w:r>
      <w:r w:rsidR="001947FA" w:rsidRPr="007C7EA1">
        <w:t>individuals</w:t>
      </w:r>
      <w:r w:rsidRPr="007C7EA1">
        <w:t xml:space="preserve"> whose</w:t>
      </w:r>
      <w:r w:rsidR="00940822" w:rsidRPr="007C7EA1">
        <w:t xml:space="preserve"> gender identity differs from their sex assigned at birth. In addition to</w:t>
      </w:r>
      <w:r w:rsidR="001947FA" w:rsidRPr="007C7EA1">
        <w:t xml:space="preserve">, </w:t>
      </w:r>
      <w:r w:rsidR="00940822" w:rsidRPr="007C7EA1">
        <w:t>or instead of the word transgender, people of similar experience may identify as being between or outside of the gender binary</w:t>
      </w:r>
      <w:r w:rsidR="001947FA" w:rsidRPr="007C7EA1">
        <w:t xml:space="preserve">. Some identify </w:t>
      </w:r>
      <w:r w:rsidR="00471C3B" w:rsidRPr="007C7EA1">
        <w:t>as nonbinary, genderqueer, gender fluid, and/or other identities</w:t>
      </w:r>
      <w:r w:rsidR="003A3EEC" w:rsidRPr="007C7EA1">
        <w:t xml:space="preserve"> </w:t>
      </w:r>
      <w:r w:rsidR="00471C3B" w:rsidRPr="007C7EA1">
        <w:t>(see Appendix 1 for additional examples)</w:t>
      </w:r>
      <w:r w:rsidR="00AB2A85">
        <w:t>.</w:t>
      </w:r>
      <w:r w:rsidR="00435EFD" w:rsidRPr="007C7EA1">
        <w:t xml:space="preserve"> Additionally, transfeminine and transmasculine are words individuals both on and outside of the binary may use to describe where </w:t>
      </w:r>
      <w:r w:rsidR="001947FA" w:rsidRPr="007C7EA1">
        <w:t xml:space="preserve">their gender identity falls </w:t>
      </w:r>
      <w:r w:rsidR="00435EFD" w:rsidRPr="007C7EA1">
        <w:t xml:space="preserve">on </w:t>
      </w:r>
      <w:r w:rsidR="001947FA" w:rsidRPr="007C7EA1">
        <w:t>the gender spectrum</w:t>
      </w:r>
      <w:r w:rsidR="00435EFD" w:rsidRPr="007C7EA1">
        <w:t>.</w:t>
      </w:r>
      <w:r w:rsidR="00471C3B" w:rsidRPr="007C7EA1">
        <w:t xml:space="preserve"> </w:t>
      </w:r>
      <w:r w:rsidR="00175AD6" w:rsidRPr="007C7EA1">
        <w:t>A cisgender person is an individual whose gender matches their sex assigned at birth</w:t>
      </w:r>
      <w:r w:rsidR="00AB2A85">
        <w:t xml:space="preserve"> </w:t>
      </w:r>
      <w:r w:rsidR="002A110D" w:rsidRPr="007C7EA1">
        <w:fldChar w:fldCharType="begin"/>
      </w:r>
      <w:r w:rsidR="009E526F">
        <w:instrText>ADDIN F1000_CSL_CITATION&lt;~#@#~&gt;[{"DOI":"10.17226/13128","First":false,"ISBN":"9780309210614","Last":false,"PMID":"22013611","abstract":"Lesbian, gay, bisexual, and transgender (LGBT) individuals experience unique health disparities. Although the acronym LGBT is used as an umbrella term, and the health needs of this community are often grouped together, each of these letters represents a distinct population with its own health concerns. Furthermore, among lesbians, gay men, bisexual men and women, and transgender people, there are subpopulations based on race, ethnicity, socioeconomic status, geographic location, age, and other factors. Although a modest body of knowledge on LGBT health has been developed, these populations, stigmatized as sexual and gender minorities, have been the subject of relatively little health research. As a result, a number of questions arise: What is currently known about the health status of LGBT populations? Where do gaps in the research exist? What are the priorities for a research agenda to address these gaps? At the request of the National Institutes of Health (NIH), the Institute of Medicine convened a consensus committee to answer these questions. The 17-member Committee on Lesbian, Gay, Bisexual, and Transgender Health Issues and Research Gaps and Opportunities comprised experts in the fields of mental health, biostatistics, clinical medicine, adolescent health and development, aging, parenting, behavioral sciences, HIV research, demography, racial and ethnic disparities, and health services. The committee was asked to conduct a review and prepare a report assessing the state of the science on the health status of lesbian, gay, bisexual, and transgender populations; identify research gaps and opportunities; and outline a research agenda that will assist NIH in enhancing its research efforts in this area.","author":[{"family":"Institute of Medicine"}],"authorYearDisplayFormat":false,"citation-label":"1397899","id":"1397899","invisible":false,"issued":{"date-parts":[["2011"]]},"publisher":"National Academies Press (US)","publisher-place":"Washington (DC)","suppress-author":false,"title":"The health of lesbian, gay, bisexual, and transgender people: Building a foundation for better understanding","type":"book"}]</w:instrText>
      </w:r>
      <w:r w:rsidR="002A110D" w:rsidRPr="007C7EA1">
        <w:fldChar w:fldCharType="separate"/>
      </w:r>
      <w:r w:rsidR="00F96D9F" w:rsidRPr="00F96D9F">
        <w:rPr>
          <w:noProof/>
        </w:rPr>
        <w:t>(Institute of Medicine, 2011)</w:t>
      </w:r>
      <w:r w:rsidR="002A110D" w:rsidRPr="007C7EA1">
        <w:fldChar w:fldCharType="end"/>
      </w:r>
      <w:r w:rsidR="00AB2A85">
        <w:t>.</w:t>
      </w:r>
      <w:r w:rsidR="00940822" w:rsidRPr="007C7EA1">
        <w:t xml:space="preserve"> </w:t>
      </w:r>
      <w:r w:rsidR="00471C3B" w:rsidRPr="007C7EA1">
        <w:t>According to a secondary analyses of a national</w:t>
      </w:r>
      <w:r w:rsidR="004F7E4C" w:rsidRPr="007C7EA1">
        <w:t>ly representative</w:t>
      </w:r>
      <w:r w:rsidR="00471C3B" w:rsidRPr="007C7EA1">
        <w:t xml:space="preserve"> sample by Flores et al. (2016), t</w:t>
      </w:r>
      <w:r w:rsidR="00940822" w:rsidRPr="007C7EA1">
        <w:t>ransgender-identified adults are estimated to make up 0.6% of the population in the US</w:t>
      </w:r>
      <w:r w:rsidR="00FE5727">
        <w:t xml:space="preserve"> </w:t>
      </w:r>
      <w:r w:rsidR="0050191E" w:rsidRPr="007C7EA1">
        <w:fldChar w:fldCharType="begin"/>
      </w:r>
      <w:r w:rsidR="009E526F">
        <w:instrText>ADDIN F1000_CSL_CITATION&lt;~#@#~&gt;[{"First":false,"Last":false,"URL":"https://williamsinstitute.law.ucla.edu/publications/trans-adults-united-states/","accessed":{"date-parts":[["2020","4","7"]]},"author":[{"family":"Flores","given":"A R"},{"family":"Herman","given":"J L"},{"family":"Gates","given":"G J"},{"family":"Brown","given":"T N T"}],"authorYearDisplayFormat":false,"citation-label":"8598974","id":"8598974","invisible":false,"issued":{"date-parts":[["2016"]]},"publisher":"The Williams Institute","suppress-author":false,"title":"How many adults identify as transgender in the United States?","type":"report"}]</w:instrText>
      </w:r>
      <w:r w:rsidR="0050191E" w:rsidRPr="007C7EA1">
        <w:fldChar w:fldCharType="separate"/>
      </w:r>
      <w:r w:rsidR="00F96D9F" w:rsidRPr="00F96D9F">
        <w:rPr>
          <w:noProof/>
        </w:rPr>
        <w:t>(Flores, Herman, Gates, &amp; Brown, 2016)</w:t>
      </w:r>
      <w:r w:rsidR="0050191E" w:rsidRPr="007C7EA1">
        <w:fldChar w:fldCharType="end"/>
      </w:r>
      <w:r w:rsidR="00AB2A85">
        <w:t>.</w:t>
      </w:r>
      <w:r w:rsidR="00940822" w:rsidRPr="007C7EA1">
        <w:t xml:space="preserve"> </w:t>
      </w:r>
      <w:r w:rsidR="00471C3B" w:rsidRPr="007C7EA1">
        <w:t>This study used data from the 19 states measuring gender identity in the 2014 Behavioral Risk Factor Surveillance System (BRFSS)</w:t>
      </w:r>
      <w:r w:rsidR="001947FA" w:rsidRPr="007C7EA1">
        <w:t>. E</w:t>
      </w:r>
      <w:r w:rsidR="00471C3B" w:rsidRPr="007C7EA1">
        <w:t xml:space="preserve">stimates of the transgender population in the 31 remaining states were calculated using a Monte Carlo estimator to impute gender identity. Imputation </w:t>
      </w:r>
      <w:r w:rsidR="008E226C" w:rsidRPr="007C7EA1">
        <w:t>accounted</w:t>
      </w:r>
      <w:r w:rsidR="00A758AF" w:rsidRPr="007C7EA1">
        <w:t xml:space="preserve"> for individual-level demographics, as well as regional and state-level characteristics.</w:t>
      </w:r>
    </w:p>
    <w:p w14:paraId="7DE49353" w14:textId="57BD838D" w:rsidR="000B38A9" w:rsidRPr="007C7EA1" w:rsidRDefault="00A758AF" w:rsidP="000B38A9">
      <w:pPr>
        <w:spacing w:line="480" w:lineRule="auto"/>
        <w:ind w:firstLine="720"/>
      </w:pPr>
      <w:r w:rsidRPr="007C7EA1">
        <w:t>In comparison</w:t>
      </w:r>
      <w:r w:rsidR="001947FA" w:rsidRPr="007C7EA1">
        <w:t xml:space="preserve"> to adults</w:t>
      </w:r>
      <w:r w:rsidRPr="007C7EA1">
        <w:t>, t</w:t>
      </w:r>
      <w:r w:rsidR="00940822" w:rsidRPr="007C7EA1">
        <w:t xml:space="preserve">he percentage of </w:t>
      </w:r>
      <w:r w:rsidR="000304D5" w:rsidRPr="007C7EA1">
        <w:t>gender minority</w:t>
      </w:r>
      <w:r w:rsidR="00940822" w:rsidRPr="007C7EA1">
        <w:t xml:space="preserve"> youth</w:t>
      </w:r>
      <w:r w:rsidR="000304D5" w:rsidRPr="007C7EA1">
        <w:t xml:space="preserve"> (GMY)</w:t>
      </w:r>
      <w:r w:rsidR="00940822" w:rsidRPr="007C7EA1">
        <w:t xml:space="preserve"> has been measured as high as 2.7%</w:t>
      </w:r>
      <w:r w:rsidRPr="007C7EA1">
        <w:t>, based on a recent study by Rider et al. (2018)</w:t>
      </w:r>
      <w:r w:rsidR="00AB2A85">
        <w:t xml:space="preserve"> </w:t>
      </w:r>
      <w:r w:rsidR="002A110D" w:rsidRPr="007C7EA1">
        <w:fldChar w:fldCharType="begin"/>
      </w:r>
      <w:r w:rsidR="009E526F">
        <w:instrText>ADDIN F1000_CSL_CITATION&lt;~#@#~&gt;[{"DOI":"10.1542/peds.2017-1683","First":false,"Last":false,"PMCID":"PMC5847087","PMID":"29437861","abstract":"&lt;strong&gt;BACKGROUND:&lt;/strong&gt; Transgender and gender nonconforming (TGNC) adolescents have difficulty accessing and receiving health care compared with cisgender youth, yet research is limited by a reliance on small and nonrepresentative samples. This study's purpose was to examine mental and physical health characteristics and care utilization between youth who are TGNC and cisgender and across perceived gender expressions within the TGNC sample.&lt;br&gt;&lt;br&gt;&lt;strong&gt;METHODS:&lt;/strong&gt; Data came from the 2016 Minnesota Student Survey, which consisted of 80 929 students in ninth and 11th grade (n = 2168 TGNC, 2.7%). Students self-reported gender identity, perceived gender expression, 4 health status measures, and 3 care utilization measures. Chi-squares and multiple analysis of covariance tests (controlling for demographic covariates) were used to compare groups.&lt;br&gt;&lt;br&gt;&lt;strong&gt;RESULTS:&lt;/strong&gt; We found that students who are TGNC reported significantly poorer health, lower rates of preventive health checkups, and more nurse office visits than cisgender youth. For example, 62.1% of youth who are TGNC reported their general health as poor, fair, or good versus very good or excellent, compared with 33.1% of cisgender youth (χ2 = 763.7, P &lt;  .001). Among the TGNC sample, those whose gender presentation was perceived as very congruent with their birth-assigned sex were less likely to report poorer health and long-term mental health problems compared with those with other gender presentations.&lt;br&gt;&lt;br&gt;&lt;strong&gt;CONCLUSIONS:&lt;/strong&gt; Health care utilization differs between TGNC versus cisgender youth and across gender presentations within TGNC youth. With our results, we suggest that health care providers should screen for health risks and identify barriers to care for TGNC youth while promoting and bolstering wellness within this community.&lt;br&gt;&lt;br&gt;Copyright © 2018 by the American Academy of Pediatrics.","author":[{"family":"Rider","given":"G Nicole"},{"family":"McMorris","given":"Barbara J"},{"family":"Gower","given":"Amy L"},{"family":"Coleman","given":"Eli"},{"family":"Eisenberg","given":"Marla E"}],"authorYearDisplayFormat":false,"citation-label":"4908090","container-title":"Pediatrics","container-title-short":"Pediatrics","id":"4908090","invisible":false,"issue":"3","issued":{"date-parts":[["2018","2","5"]]},"journalAbbreviation":"Pediatrics","suppress-author":false,"title":"Health and Care Utilization of Transgender and Gender Nonconforming Youth: A Population-Based Study.","type":"article-journal","volume":"141"}]</w:instrText>
      </w:r>
      <w:r w:rsidR="002A110D" w:rsidRPr="007C7EA1">
        <w:fldChar w:fldCharType="separate"/>
      </w:r>
      <w:r w:rsidR="00F96D9F" w:rsidRPr="00F96D9F">
        <w:rPr>
          <w:noProof/>
        </w:rPr>
        <w:t>(Rider, McMorris, Gower, Coleman, &amp; Eisenberg, 2018)</w:t>
      </w:r>
      <w:r w:rsidR="002A110D" w:rsidRPr="007C7EA1">
        <w:fldChar w:fldCharType="end"/>
      </w:r>
      <w:r w:rsidR="00AB2A85">
        <w:t>.</w:t>
      </w:r>
      <w:r w:rsidRPr="007C7EA1">
        <w:t xml:space="preserve"> </w:t>
      </w:r>
      <w:r w:rsidR="008E226C" w:rsidRPr="007C7EA1">
        <w:t>In t</w:t>
      </w:r>
      <w:r w:rsidRPr="007C7EA1">
        <w:t>his population-based study of 80,929 Minnesota high school students</w:t>
      </w:r>
      <w:r w:rsidR="00C77153" w:rsidRPr="007C7EA1">
        <w:t xml:space="preserve"> (Minnesota School Survey; MSS)</w:t>
      </w:r>
      <w:r w:rsidR="008E226C" w:rsidRPr="007C7EA1">
        <w:t>,</w:t>
      </w:r>
      <w:r w:rsidRPr="007C7EA1">
        <w:t xml:space="preserve"> 2163 </w:t>
      </w:r>
      <w:r w:rsidR="001947FA" w:rsidRPr="007C7EA1">
        <w:t>identified as</w:t>
      </w:r>
      <w:r w:rsidR="008E226C" w:rsidRPr="007C7EA1">
        <w:t xml:space="preserve"> gender minority youth</w:t>
      </w:r>
      <w:r w:rsidRPr="007C7EA1">
        <w:t xml:space="preserve">. </w:t>
      </w:r>
      <w:r w:rsidR="002A110D" w:rsidRPr="007C7EA1">
        <w:rPr>
          <w:rFonts w:eastAsia="Calibri"/>
          <w:bCs/>
        </w:rPr>
        <w:t>D</w:t>
      </w:r>
      <w:r w:rsidR="00940822" w:rsidRPr="007C7EA1">
        <w:rPr>
          <w:rFonts w:eastAsia="Calibri"/>
          <w:bCs/>
        </w:rPr>
        <w:t xml:space="preserve">ifferences </w:t>
      </w:r>
      <w:r w:rsidRPr="007C7EA1">
        <w:rPr>
          <w:rFonts w:eastAsia="Calibri"/>
          <w:bCs/>
        </w:rPr>
        <w:t xml:space="preserve">in </w:t>
      </w:r>
      <w:r w:rsidR="008E226C" w:rsidRPr="007C7EA1">
        <w:rPr>
          <w:rFonts w:eastAsia="Calibri"/>
          <w:bCs/>
        </w:rPr>
        <w:t>the size of the gender minority population among adults versus youth</w:t>
      </w:r>
      <w:r w:rsidRPr="007C7EA1">
        <w:rPr>
          <w:rFonts w:eastAsia="Calibri"/>
          <w:bCs/>
        </w:rPr>
        <w:t xml:space="preserve"> </w:t>
      </w:r>
      <w:r w:rsidR="00940822" w:rsidRPr="007C7EA1">
        <w:rPr>
          <w:rFonts w:eastAsia="Calibri"/>
          <w:bCs/>
        </w:rPr>
        <w:t>may be due to</w:t>
      </w:r>
      <w:r w:rsidR="000B38A9" w:rsidRPr="007C7EA1">
        <w:rPr>
          <w:rFonts w:eastAsia="Calibri"/>
          <w:bCs/>
        </w:rPr>
        <w:t xml:space="preserve"> age-cohort effects, and/or measurement bias</w:t>
      </w:r>
      <w:r w:rsidRPr="007C7EA1">
        <w:rPr>
          <w:rFonts w:eastAsia="Calibri"/>
          <w:bCs/>
        </w:rPr>
        <w:t xml:space="preserve">. </w:t>
      </w:r>
      <w:r w:rsidR="000B38A9" w:rsidRPr="007C7EA1">
        <w:rPr>
          <w:rFonts w:eastAsia="Calibri"/>
          <w:bCs/>
        </w:rPr>
        <w:t>Regarding age-cohort effects</w:t>
      </w:r>
      <w:r w:rsidRPr="007C7EA1">
        <w:rPr>
          <w:rFonts w:eastAsia="Calibri"/>
          <w:bCs/>
        </w:rPr>
        <w:t xml:space="preserve">, </w:t>
      </w:r>
      <w:r w:rsidR="008E226C" w:rsidRPr="007C7EA1">
        <w:rPr>
          <w:rFonts w:eastAsia="Calibri"/>
          <w:bCs/>
        </w:rPr>
        <w:t xml:space="preserve">suicide attempt </w:t>
      </w:r>
      <w:r w:rsidR="008E226C" w:rsidRPr="007C7EA1">
        <w:rPr>
          <w:rFonts w:eastAsia="Calibri"/>
          <w:bCs/>
        </w:rPr>
        <w:lastRenderedPageBreak/>
        <w:t xml:space="preserve">rates are </w:t>
      </w:r>
      <w:r w:rsidR="000B38A9" w:rsidRPr="007C7EA1">
        <w:rPr>
          <w:rFonts w:eastAsia="Calibri"/>
          <w:bCs/>
        </w:rPr>
        <w:t xml:space="preserve">high among </w:t>
      </w:r>
      <w:r w:rsidR="008E226C" w:rsidRPr="007C7EA1">
        <w:rPr>
          <w:rFonts w:eastAsia="Calibri"/>
          <w:bCs/>
        </w:rPr>
        <w:t>gender minorit</w:t>
      </w:r>
      <w:r w:rsidR="000B38A9" w:rsidRPr="007C7EA1">
        <w:rPr>
          <w:rFonts w:eastAsia="Calibri"/>
          <w:bCs/>
        </w:rPr>
        <w:t>ies</w:t>
      </w:r>
      <w:r w:rsidR="00AB2A85">
        <w:rPr>
          <w:rFonts w:eastAsia="Calibri"/>
          <w:bCs/>
        </w:rPr>
        <w:t xml:space="preserve"> </w:t>
      </w:r>
      <w:r w:rsidR="000B38A9" w:rsidRPr="007C7EA1">
        <w:rPr>
          <w:rFonts w:eastAsia="Calibri"/>
          <w:bCs/>
        </w:rPr>
        <w:fldChar w:fldCharType="begin"/>
      </w:r>
      <w:r w:rsidR="009E526F">
        <w:rPr>
          <w:rFonts w:eastAsia="Calibri"/>
          <w:bCs/>
        </w:rPr>
        <w:instrText>ADDIN F1000_CSL_CITATION&lt;~#@#~&gt;[{"First":false,"Last":false,"author":[{"family":"Grant","given":"Jaime M."},{"family":"Mottet","given":"Lisa A."},{"family":"Tanis","given":"Justin"},{"family":"Herman","given":"Jody L"},{"family":"Keisling","given":"Mara"}],"authorYearDisplayFormat":false,"citation-label":"7167781","id":"7167781","invisible":false,"issued":{"date-parts":[["2011"]]},"publisher":"National Center for Transgender Equality and National Gay and Lesbian Task Force","publisher-place":"Washington","suppress-author":false,"title":"Injustice at Every Turn: A Report of the National Transgender   Discrimination Survey","type":"report"}]</w:instrText>
      </w:r>
      <w:r w:rsidR="000B38A9" w:rsidRPr="007C7EA1">
        <w:rPr>
          <w:rFonts w:eastAsia="Calibri"/>
          <w:bCs/>
        </w:rPr>
        <w:fldChar w:fldCharType="separate"/>
      </w:r>
      <w:r w:rsidR="00F96D9F" w:rsidRPr="00F96D9F">
        <w:rPr>
          <w:rFonts w:eastAsia="Calibri"/>
          <w:bCs/>
          <w:noProof/>
        </w:rPr>
        <w:t>(Grant, Mottet, Tanis, Herman, &amp; Keisling, 2011)</w:t>
      </w:r>
      <w:r w:rsidR="000B38A9" w:rsidRPr="007C7EA1">
        <w:rPr>
          <w:rFonts w:eastAsia="Calibri"/>
          <w:bCs/>
        </w:rPr>
        <w:fldChar w:fldCharType="end"/>
      </w:r>
      <w:r w:rsidR="00AB2A85">
        <w:rPr>
          <w:rFonts w:eastAsia="Calibri"/>
          <w:bCs/>
        </w:rPr>
        <w:t>,</w:t>
      </w:r>
      <w:r w:rsidR="000B38A9" w:rsidRPr="007C7EA1">
        <w:rPr>
          <w:rFonts w:eastAsia="Calibri"/>
          <w:bCs/>
        </w:rPr>
        <w:t xml:space="preserve"> and gender minority adults have had more time in their lives to have </w:t>
      </w:r>
      <w:r w:rsidR="001947FA" w:rsidRPr="007C7EA1">
        <w:rPr>
          <w:rFonts w:eastAsia="Calibri"/>
          <w:bCs/>
        </w:rPr>
        <w:t>died by</w:t>
      </w:r>
      <w:r w:rsidR="000B38A9" w:rsidRPr="007C7EA1">
        <w:rPr>
          <w:rFonts w:eastAsia="Calibri"/>
          <w:bCs/>
        </w:rPr>
        <w:t xml:space="preserve"> suicide than gender minority</w:t>
      </w:r>
      <w:r w:rsidR="008E226C" w:rsidRPr="007C7EA1">
        <w:rPr>
          <w:rFonts w:eastAsia="Calibri"/>
          <w:bCs/>
        </w:rPr>
        <w:t xml:space="preserve"> youth</w:t>
      </w:r>
      <w:r w:rsidR="000B38A9" w:rsidRPr="007C7EA1">
        <w:rPr>
          <w:rFonts w:eastAsia="Calibri"/>
          <w:bCs/>
        </w:rPr>
        <w:t>. In addition,</w:t>
      </w:r>
      <w:r w:rsidR="001947FA" w:rsidRPr="007C7EA1">
        <w:rPr>
          <w:rFonts w:eastAsia="Calibri"/>
          <w:bCs/>
        </w:rPr>
        <w:t xml:space="preserve"> the</w:t>
      </w:r>
      <w:r w:rsidR="000B38A9" w:rsidRPr="007C7EA1">
        <w:rPr>
          <w:rFonts w:eastAsia="Calibri"/>
          <w:bCs/>
        </w:rPr>
        <w:t xml:space="preserve"> </w:t>
      </w:r>
      <w:r w:rsidR="008E226C" w:rsidRPr="007C7EA1">
        <w:rPr>
          <w:rFonts w:eastAsia="Calibri"/>
          <w:bCs/>
        </w:rPr>
        <w:t>national climate is more affirming of gender minority individuals</w:t>
      </w:r>
      <w:r w:rsidR="001947FA" w:rsidRPr="007C7EA1">
        <w:rPr>
          <w:rFonts w:eastAsia="Calibri"/>
          <w:bCs/>
        </w:rPr>
        <w:t xml:space="preserve"> today than it was for GMY in previous generations</w:t>
      </w:r>
      <w:r w:rsidR="000B38A9" w:rsidRPr="007C7EA1">
        <w:rPr>
          <w:rFonts w:eastAsia="Calibri"/>
          <w:bCs/>
        </w:rPr>
        <w:t>. This shift in national climate has manifested in increased resources, media representation, and legal protections for gender minority youth; being raised in such a climate may have reduced the risk of death by suicide among current gender minority youth</w:t>
      </w:r>
      <w:r w:rsidR="001947FA" w:rsidRPr="007C7EA1">
        <w:rPr>
          <w:rFonts w:eastAsia="Calibri"/>
          <w:bCs/>
        </w:rPr>
        <w:t>, and increased likelihood of disclosing their gender identity earlier in life</w:t>
      </w:r>
      <w:r w:rsidR="000B38A9" w:rsidRPr="007C7EA1">
        <w:rPr>
          <w:rFonts w:eastAsia="Calibri"/>
          <w:bCs/>
        </w:rPr>
        <w:t>. Additionally, limited research has shown that transgender adults of color are at increased risk of death by homicide</w:t>
      </w:r>
      <w:r w:rsidR="00AB2A85">
        <w:rPr>
          <w:rFonts w:eastAsia="Calibri"/>
          <w:bCs/>
        </w:rPr>
        <w:t xml:space="preserve"> </w:t>
      </w:r>
      <w:r w:rsidR="00B049F8" w:rsidRPr="007C7EA1">
        <w:rPr>
          <w:rFonts w:eastAsia="Calibri"/>
          <w:bCs/>
        </w:rPr>
        <w:fldChar w:fldCharType="begin"/>
      </w:r>
      <w:r w:rsidR="009E526F">
        <w:rPr>
          <w:rFonts w:eastAsia="Calibri"/>
          <w:bCs/>
        </w:rPr>
        <w:instrText>ADDIN F1000_CSL_CITATION&lt;~#@#~&gt;[{"DOI":"10.2105/AJPH.2017.303878","First":false,"Last":false,"PMCID":"PMC5551594","PMID":"28727530","abstract":"&lt;strong&gt;OBJECTIVES:&lt;/strong&gt; To estimate homicide rates of transgender US residents and relative risks (RRs) of homicide with respect to cisgender comparators intersected with age, gender, and race/ethnicity.&lt;br&gt;&lt;br&gt;&lt;strong&gt;METHODS:&lt;/strong&gt; I estimated homicide rates for transgender residents and transfeminine, Black, Latin@, and young (aged 15-34 years) subpopulations during the period 2010 to 2014 using Transgender Day of Remembrance and National Coalition of Anti-Violence Programs transgender homicide data. I used estimated transgender prevalences to estimate RRs using cisgender comparators. I performed a sensitivity analysis to situate all results within assumptions about underreporting of transgender homicides and assumptions about the prevalence of transgender residents.&lt;br&gt;&lt;br&gt;&lt;strong&gt;RESULTS:&lt;/strong&gt; The overall homicide rate of transgender individuals was likely to be less than that of cisgender individuals, with 8 of 12 RR estimates below 1.0. However, the homicide rates of young transfeminine Black and Latina residents were almost certainly higher than were those of cisfeminine comparators, with all RR estimates above 1.0 for Blacks and all above 1.0 for Latinas.&lt;br&gt;&lt;br&gt;&lt;strong&gt;CONCLUSIONS:&lt;/strong&gt; Antiviolence public health programs should identify young and Black or Latina transfeminine women as an especially vulnerable population.","author":[{"family":"Dinno","given":"Alexis"}],"authorYearDisplayFormat":false,"citation-label":"4315589","container-title":"American Journal of Public Health","container-title-short":"Am. J. Public Health","id":"4315589","invisible":false,"issue":"9","issued":{"date-parts":[["2017","7","20"]]},"journalAbbreviation":"Am. J. Public Health","page":"1441-1447","suppress-author":false,"title":"Homicide Rates of Transgender Individuals in the United States: 2010-2014.","type":"article-journal","volume":"107"}]</w:instrText>
      </w:r>
      <w:r w:rsidR="00B049F8" w:rsidRPr="007C7EA1">
        <w:rPr>
          <w:rFonts w:eastAsia="Calibri"/>
          <w:bCs/>
        </w:rPr>
        <w:fldChar w:fldCharType="separate"/>
      </w:r>
      <w:r w:rsidR="00F96D9F" w:rsidRPr="00F96D9F">
        <w:rPr>
          <w:rFonts w:eastAsia="Calibri"/>
          <w:bCs/>
          <w:noProof/>
        </w:rPr>
        <w:t>(Dinno, 2017)</w:t>
      </w:r>
      <w:r w:rsidR="00B049F8" w:rsidRPr="007C7EA1">
        <w:rPr>
          <w:rFonts w:eastAsia="Calibri"/>
          <w:bCs/>
        </w:rPr>
        <w:fldChar w:fldCharType="end"/>
      </w:r>
      <w:r w:rsidR="00AB2A85">
        <w:rPr>
          <w:rFonts w:eastAsia="Calibri"/>
          <w:bCs/>
        </w:rPr>
        <w:t>;</w:t>
      </w:r>
      <w:r w:rsidR="001947FA" w:rsidRPr="007C7EA1">
        <w:rPr>
          <w:rFonts w:eastAsia="Calibri"/>
          <w:bCs/>
        </w:rPr>
        <w:t xml:space="preserve"> these deaths may also account for smaller estimates of the gender minority population among adults in comparison to youth.</w:t>
      </w:r>
    </w:p>
    <w:p w14:paraId="51F0CCDF" w14:textId="3039160B" w:rsidR="00B008EB" w:rsidRPr="007C7EA1" w:rsidRDefault="000B38A9" w:rsidP="004558AE">
      <w:pPr>
        <w:spacing w:line="480" w:lineRule="auto"/>
        <w:ind w:firstLine="720"/>
        <w:rPr>
          <w:rFonts w:eastAsia="Calibri"/>
          <w:bCs/>
        </w:rPr>
      </w:pPr>
      <w:r w:rsidRPr="007C7EA1">
        <w:rPr>
          <w:rFonts w:eastAsia="Calibri"/>
          <w:bCs/>
        </w:rPr>
        <w:t xml:space="preserve">Regarding measurement bias, both studies measured gender identity </w:t>
      </w:r>
      <w:r w:rsidR="00642281" w:rsidRPr="007C7EA1">
        <w:rPr>
          <w:rFonts w:eastAsia="Calibri"/>
          <w:bCs/>
        </w:rPr>
        <w:t>differently</w:t>
      </w:r>
      <w:r w:rsidRPr="007C7EA1">
        <w:rPr>
          <w:rFonts w:eastAsia="Calibri"/>
          <w:bCs/>
        </w:rPr>
        <w:t>. The 2014 BRFSS asked participants, “Do you consider yourself to be transgender</w:t>
      </w:r>
      <w:r w:rsidR="00642281" w:rsidRPr="007C7EA1">
        <w:rPr>
          <w:rFonts w:eastAsia="Calibri"/>
          <w:bCs/>
        </w:rPr>
        <w:t xml:space="preserve">? </w:t>
      </w:r>
      <w:r w:rsidRPr="007C7EA1">
        <w:rPr>
          <w:rFonts w:eastAsia="Calibri"/>
          <w:bCs/>
        </w:rPr>
        <w:t>(Y/N)</w:t>
      </w:r>
      <w:r w:rsidR="00642281" w:rsidRPr="007C7EA1">
        <w:rPr>
          <w:rFonts w:eastAsia="Calibri"/>
          <w:bCs/>
        </w:rPr>
        <w:t xml:space="preserve">”; consequently, gender minority individuals who do not identify as transgender, but do identify as genderqueer, nonbinary, or another non-cisgender gender identity </w:t>
      </w:r>
      <w:r w:rsidR="00AB2A85">
        <w:rPr>
          <w:rFonts w:eastAsia="Calibri"/>
          <w:bCs/>
        </w:rPr>
        <w:t>may</w:t>
      </w:r>
      <w:r w:rsidR="00642281" w:rsidRPr="007C7EA1">
        <w:rPr>
          <w:rFonts w:eastAsia="Calibri"/>
          <w:bCs/>
        </w:rPr>
        <w:t xml:space="preserve"> not have been identified</w:t>
      </w:r>
      <w:r w:rsidR="00B008EB" w:rsidRPr="007C7EA1">
        <w:rPr>
          <w:rFonts w:eastAsia="Calibri"/>
          <w:bCs/>
        </w:rPr>
        <w:t xml:space="preserve"> as gender minorities</w:t>
      </w:r>
      <w:r w:rsidR="00642281" w:rsidRPr="007C7EA1">
        <w:rPr>
          <w:rFonts w:eastAsia="Calibri"/>
          <w:bCs/>
        </w:rPr>
        <w:t xml:space="preserve"> by this question. Additionally, the BRFSS is administered through an interview with a research staff member</w:t>
      </w:r>
      <w:r w:rsidR="00B008EB" w:rsidRPr="007C7EA1">
        <w:rPr>
          <w:rFonts w:eastAsia="Calibri"/>
          <w:bCs/>
        </w:rPr>
        <w:t>, and</w:t>
      </w:r>
      <w:r w:rsidR="00642281" w:rsidRPr="007C7EA1">
        <w:rPr>
          <w:rFonts w:eastAsia="Calibri"/>
          <w:bCs/>
        </w:rPr>
        <w:t xml:space="preserve"> </w:t>
      </w:r>
      <w:r w:rsidR="00B008EB" w:rsidRPr="007C7EA1">
        <w:rPr>
          <w:rFonts w:eastAsia="Calibri"/>
          <w:bCs/>
        </w:rPr>
        <w:t>s</w:t>
      </w:r>
      <w:r w:rsidR="00642281" w:rsidRPr="007C7EA1">
        <w:rPr>
          <w:rFonts w:eastAsia="Calibri"/>
          <w:bCs/>
        </w:rPr>
        <w:t xml:space="preserve">ome gender minority participants may not have felt comfortable disclosing their gender identity verbally to a stranger. </w:t>
      </w:r>
      <w:r w:rsidR="00C77153" w:rsidRPr="007C7EA1">
        <w:rPr>
          <w:rFonts w:eastAsia="Calibri"/>
          <w:bCs/>
        </w:rPr>
        <w:t>In comparison, the MSS asked the following question via a self-administered survey</w:t>
      </w:r>
      <w:r w:rsidR="00B008EB" w:rsidRPr="007C7EA1">
        <w:rPr>
          <w:rFonts w:eastAsia="Calibri"/>
          <w:bCs/>
        </w:rPr>
        <w:t>,</w:t>
      </w:r>
      <w:r w:rsidR="00C77153" w:rsidRPr="007C7EA1">
        <w:rPr>
          <w:rFonts w:eastAsia="Calibri"/>
          <w:bCs/>
        </w:rPr>
        <w:t xml:space="preserve"> “</w:t>
      </w:r>
      <w:r w:rsidR="00C77153" w:rsidRPr="007C7EA1">
        <w:t xml:space="preserve">Do you consider yourself transgender, genderqueer, gender fluid, or unsure about your gender identity? (Y/N)”, which is more inclusive of gender minorities </w:t>
      </w:r>
      <w:r w:rsidR="008F39C8">
        <w:t>who</w:t>
      </w:r>
      <w:r w:rsidR="00B008EB" w:rsidRPr="007C7EA1">
        <w:t xml:space="preserve"> do</w:t>
      </w:r>
      <w:r w:rsidR="00C77153" w:rsidRPr="007C7EA1">
        <w:t xml:space="preserve"> not</w:t>
      </w:r>
      <w:r w:rsidR="00B008EB" w:rsidRPr="007C7EA1">
        <w:t xml:space="preserve"> identify as</w:t>
      </w:r>
      <w:r w:rsidR="00C77153" w:rsidRPr="007C7EA1">
        <w:t xml:space="preserve"> transgender. This question also includes youth who are questioning their gender as gender minority, which is </w:t>
      </w:r>
      <w:r w:rsidR="00B008EB" w:rsidRPr="007C7EA1">
        <w:t xml:space="preserve">a </w:t>
      </w:r>
      <w:r w:rsidR="00C77153" w:rsidRPr="007C7EA1">
        <w:t>more expansive (compared to the BRFSS) and developmentally appropriate</w:t>
      </w:r>
      <w:r w:rsidR="00B008EB" w:rsidRPr="007C7EA1">
        <w:t xml:space="preserve"> measurement of gender</w:t>
      </w:r>
      <w:r w:rsidR="00C77153" w:rsidRPr="007C7EA1">
        <w:t xml:space="preserve"> given that many gender minority individuals first recognize their gender identity </w:t>
      </w:r>
      <w:r w:rsidR="00B008EB" w:rsidRPr="007C7EA1">
        <w:t>during</w:t>
      </w:r>
      <w:r w:rsidR="00C77153" w:rsidRPr="007C7EA1">
        <w:t xml:space="preserve"> puberty. The differences in the </w:t>
      </w:r>
      <w:r w:rsidR="00C77153" w:rsidRPr="007C7EA1">
        <w:lastRenderedPageBreak/>
        <w:t xml:space="preserve">text and administration of these </w:t>
      </w:r>
      <w:r w:rsidR="00B008EB" w:rsidRPr="007C7EA1">
        <w:t>measures</w:t>
      </w:r>
      <w:r w:rsidR="00C77153" w:rsidRPr="007C7EA1">
        <w:t xml:space="preserve"> may account for differences in estimation of the gender minority population.</w:t>
      </w:r>
      <w:r w:rsidR="00C77153" w:rsidRPr="007C7EA1">
        <w:rPr>
          <w:rFonts w:eastAsia="Calibri"/>
          <w:bCs/>
        </w:rPr>
        <w:t xml:space="preserve"> </w:t>
      </w:r>
    </w:p>
    <w:p w14:paraId="2590F7CB" w14:textId="0DD5AE59" w:rsidR="00642281" w:rsidRPr="007C7EA1" w:rsidRDefault="00642281" w:rsidP="00B008EB">
      <w:pPr>
        <w:spacing w:line="480" w:lineRule="auto"/>
        <w:ind w:firstLine="720"/>
        <w:rPr>
          <w:rFonts w:eastAsia="Calibri"/>
          <w:bCs/>
        </w:rPr>
      </w:pPr>
      <w:r w:rsidRPr="007C7EA1">
        <w:rPr>
          <w:rFonts w:eastAsia="Calibri"/>
          <w:bCs/>
        </w:rPr>
        <w:t>It is also important to note the likelihood of underestimation of the size of the gender minority population due to selection bias in both studies</w:t>
      </w:r>
      <w:r w:rsidR="00B008EB" w:rsidRPr="007C7EA1">
        <w:rPr>
          <w:rFonts w:eastAsia="Calibri"/>
          <w:bCs/>
        </w:rPr>
        <w:t xml:space="preserve"> given that g</w:t>
      </w:r>
      <w:r w:rsidRPr="007C7EA1">
        <w:rPr>
          <w:rFonts w:eastAsia="Calibri"/>
          <w:bCs/>
        </w:rPr>
        <w:t>ender minority youth and adults are more likely to be homeless than their cisgender counterparts</w:t>
      </w:r>
      <w:r w:rsidR="008F39C8">
        <w:rPr>
          <w:rFonts w:eastAsia="Calibri"/>
          <w:bCs/>
        </w:rPr>
        <w:t xml:space="preserve"> </w:t>
      </w:r>
      <w:r w:rsidR="00B008EB" w:rsidRPr="007C7EA1">
        <w:rPr>
          <w:rFonts w:eastAsia="Calibri"/>
          <w:bCs/>
        </w:rPr>
        <w:fldChar w:fldCharType="begin"/>
      </w:r>
      <w:r w:rsidR="009E526F">
        <w:rPr>
          <w:rFonts w:eastAsia="Calibri"/>
          <w:bCs/>
        </w:rPr>
        <w:instrText>ADDIN F1000_CSL_CITATION&lt;~#@#~&gt;[{"First":false,"Last":false,"author":[{"family":"Grant","given":"Jaime M."},{"family":"Mottet","given":"Lisa A."},{"family":"Tanis","given":"Justin"},{"family":"Herman","given":"Jody L"},{"family":"Keisling","given":"Mara"}],"authorYearDisplayFormat":false,"citation-label":"7167781","id":"7167781","invisible":false,"issued":{"date-parts":[["2011"]]},"publisher":"National Center for Transgender Equality and National Gay and Lesbian Task Force","publisher-place":"Washington","suppress-author":false,"title":"Injustice at Every Turn: A Report of the National Transgender   Discrimination Survey","type":"report"}]</w:instrText>
      </w:r>
      <w:r w:rsidR="00B008EB" w:rsidRPr="007C7EA1">
        <w:rPr>
          <w:rFonts w:eastAsia="Calibri"/>
          <w:bCs/>
        </w:rPr>
        <w:fldChar w:fldCharType="separate"/>
      </w:r>
      <w:r w:rsidR="00F96D9F" w:rsidRPr="00F96D9F">
        <w:rPr>
          <w:rFonts w:eastAsia="Calibri"/>
          <w:bCs/>
          <w:noProof/>
        </w:rPr>
        <w:t>(Grant et al., 2011)</w:t>
      </w:r>
      <w:r w:rsidR="00B008EB" w:rsidRPr="007C7EA1">
        <w:rPr>
          <w:rFonts w:eastAsia="Calibri"/>
          <w:bCs/>
        </w:rPr>
        <w:fldChar w:fldCharType="end"/>
      </w:r>
      <w:r w:rsidR="008F39C8">
        <w:rPr>
          <w:rFonts w:eastAsia="Calibri"/>
          <w:bCs/>
        </w:rPr>
        <w:t>.</w:t>
      </w:r>
      <w:r w:rsidRPr="007C7EA1">
        <w:rPr>
          <w:rFonts w:eastAsia="Calibri"/>
          <w:bCs/>
        </w:rPr>
        <w:t xml:space="preserve"> </w:t>
      </w:r>
      <w:r w:rsidR="00B008EB" w:rsidRPr="007C7EA1">
        <w:rPr>
          <w:rFonts w:eastAsia="Calibri"/>
          <w:bCs/>
        </w:rPr>
        <w:t>Gender minorities are</w:t>
      </w:r>
      <w:r w:rsidRPr="007C7EA1">
        <w:rPr>
          <w:rFonts w:eastAsia="Calibri"/>
          <w:bCs/>
        </w:rPr>
        <w:t xml:space="preserve"> consequently less likely to have had the opportunity to participate in</w:t>
      </w:r>
      <w:r w:rsidR="00C77153" w:rsidRPr="007C7EA1">
        <w:rPr>
          <w:rFonts w:eastAsia="Calibri"/>
          <w:bCs/>
        </w:rPr>
        <w:t xml:space="preserve"> surveys via phone (BRFSS) or in schools (MSS). As a result,</w:t>
      </w:r>
      <w:r w:rsidR="00B008EB" w:rsidRPr="007C7EA1">
        <w:rPr>
          <w:rFonts w:eastAsia="Calibri"/>
          <w:bCs/>
        </w:rPr>
        <w:t xml:space="preserve"> the</w:t>
      </w:r>
      <w:r w:rsidR="00C77153" w:rsidRPr="007C7EA1">
        <w:rPr>
          <w:rFonts w:eastAsia="Calibri"/>
          <w:bCs/>
        </w:rPr>
        <w:t xml:space="preserve"> gender minority population </w:t>
      </w:r>
      <w:r w:rsidR="00B008EB" w:rsidRPr="007C7EA1">
        <w:rPr>
          <w:rFonts w:eastAsia="Calibri"/>
          <w:bCs/>
        </w:rPr>
        <w:t>is</w:t>
      </w:r>
      <w:r w:rsidR="00C77153" w:rsidRPr="007C7EA1">
        <w:rPr>
          <w:rFonts w:eastAsia="Calibri"/>
          <w:bCs/>
        </w:rPr>
        <w:t xml:space="preserve"> likely </w:t>
      </w:r>
      <w:r w:rsidR="002C2068" w:rsidRPr="007C7EA1">
        <w:rPr>
          <w:rFonts w:eastAsia="Calibri"/>
          <w:bCs/>
        </w:rPr>
        <w:t xml:space="preserve">larger than </w:t>
      </w:r>
      <w:r w:rsidR="00B008EB" w:rsidRPr="007C7EA1">
        <w:rPr>
          <w:rFonts w:eastAsia="Calibri"/>
          <w:bCs/>
        </w:rPr>
        <w:t>estimated</w:t>
      </w:r>
      <w:r w:rsidR="002C2068" w:rsidRPr="007C7EA1">
        <w:rPr>
          <w:rFonts w:eastAsia="Calibri"/>
          <w:bCs/>
        </w:rPr>
        <w:t>.</w:t>
      </w:r>
    </w:p>
    <w:p w14:paraId="6579DC6D" w14:textId="01ED1FE9" w:rsidR="004D51F5" w:rsidRPr="004558AE" w:rsidRDefault="004D51F5" w:rsidP="00F45F68">
      <w:pPr>
        <w:pStyle w:val="Heading2"/>
      </w:pPr>
      <w:bookmarkStart w:id="4" w:name="_Toc39049730"/>
      <w:r w:rsidRPr="004558AE">
        <w:t>1.</w:t>
      </w:r>
      <w:r w:rsidR="00E836C9" w:rsidRPr="004558AE">
        <w:t>1</w:t>
      </w:r>
      <w:r w:rsidRPr="004558AE">
        <w:t xml:space="preserve"> Disparities in </w:t>
      </w:r>
      <w:r w:rsidR="00FE5727" w:rsidRPr="004558AE">
        <w:t>Depression Experienced</w:t>
      </w:r>
      <w:r w:rsidRPr="004558AE">
        <w:t xml:space="preserve"> by GMY</w:t>
      </w:r>
      <w:bookmarkEnd w:id="4"/>
    </w:p>
    <w:p w14:paraId="0F75DF8D" w14:textId="41B6F3EC" w:rsidR="00FF10F7" w:rsidRPr="007C7EA1" w:rsidRDefault="000304D5" w:rsidP="00B008EB">
      <w:pPr>
        <w:spacing w:line="480" w:lineRule="auto"/>
        <w:ind w:firstLine="720"/>
        <w:rPr>
          <w:rFonts w:eastAsia="Calibri"/>
        </w:rPr>
      </w:pPr>
      <w:r w:rsidRPr="007C7EA1">
        <w:rPr>
          <w:rFonts w:eastAsia="Calibri"/>
        </w:rPr>
        <w:t>GMY</w:t>
      </w:r>
      <w:r w:rsidR="00D57AC2" w:rsidRPr="007C7EA1">
        <w:rPr>
          <w:rFonts w:eastAsia="Calibri"/>
        </w:rPr>
        <w:t xml:space="preserve"> experience many mental health disparities</w:t>
      </w:r>
      <w:r w:rsidR="00FF10F7" w:rsidRPr="007C7EA1">
        <w:rPr>
          <w:rFonts w:eastAsia="Calibri"/>
        </w:rPr>
        <w:t>,</w:t>
      </w:r>
      <w:r w:rsidR="00A54677" w:rsidRPr="007C7EA1">
        <w:rPr>
          <w:rFonts w:eastAsia="Calibri"/>
        </w:rPr>
        <w:t xml:space="preserve"> including disparities in experience of depression</w:t>
      </w:r>
      <w:r w:rsidR="00FF10F7" w:rsidRPr="007C7EA1">
        <w:rPr>
          <w:rFonts w:eastAsia="Calibri"/>
        </w:rPr>
        <w:t xml:space="preserve">. </w:t>
      </w:r>
      <w:r w:rsidR="00A54677" w:rsidRPr="007C7EA1">
        <w:rPr>
          <w:rFonts w:eastAsia="Calibri"/>
        </w:rPr>
        <w:t>Two matched retrospective cohort studies have compared depression diagnoses among cis</w:t>
      </w:r>
      <w:r w:rsidR="00B008EB" w:rsidRPr="007C7EA1">
        <w:rPr>
          <w:rFonts w:eastAsia="Calibri"/>
        </w:rPr>
        <w:t>gender</w:t>
      </w:r>
      <w:r w:rsidR="00A54677" w:rsidRPr="007C7EA1">
        <w:rPr>
          <w:rFonts w:eastAsia="Calibri"/>
        </w:rPr>
        <w:t xml:space="preserve"> and </w:t>
      </w:r>
      <w:r w:rsidR="00B008EB" w:rsidRPr="007C7EA1">
        <w:rPr>
          <w:rFonts w:eastAsia="Calibri"/>
        </w:rPr>
        <w:t>GMY</w:t>
      </w:r>
      <w:r w:rsidR="00A54677" w:rsidRPr="007C7EA1">
        <w:rPr>
          <w:rFonts w:eastAsia="Calibri"/>
        </w:rPr>
        <w:t xml:space="preserve"> using electronic medical record (EMR) data. Becerra-</w:t>
      </w:r>
      <w:proofErr w:type="spellStart"/>
      <w:r w:rsidR="00A54677" w:rsidRPr="007C7EA1">
        <w:rPr>
          <w:rFonts w:eastAsia="Calibri"/>
        </w:rPr>
        <w:t>Culqui</w:t>
      </w:r>
      <w:proofErr w:type="spellEnd"/>
      <w:r w:rsidR="00A54677" w:rsidRPr="007C7EA1">
        <w:rPr>
          <w:rFonts w:eastAsia="Calibri"/>
        </w:rPr>
        <w:t xml:space="preserve"> et al. (2018) matched 10 cisgender male and 10 cisgender female youth to each of 1,333 transgender </w:t>
      </w:r>
      <w:r w:rsidR="007278BE" w:rsidRPr="007C7EA1">
        <w:rPr>
          <w:rFonts w:eastAsia="Calibri"/>
        </w:rPr>
        <w:t>youth</w:t>
      </w:r>
      <w:r w:rsidR="00A54677" w:rsidRPr="007C7EA1">
        <w:rPr>
          <w:rFonts w:eastAsia="Calibri"/>
        </w:rPr>
        <w:t xml:space="preserve"> ages 10-17 using multi-site EMR data from 2006-2014</w:t>
      </w:r>
      <w:r w:rsidR="00AF787C">
        <w:rPr>
          <w:rFonts w:eastAsia="Calibri"/>
        </w:rPr>
        <w:t xml:space="preserve"> </w:t>
      </w:r>
      <w:r w:rsidR="00435EFD" w:rsidRPr="007C7EA1">
        <w:rPr>
          <w:rFonts w:eastAsia="Calibri"/>
        </w:rPr>
        <w:fldChar w:fldCharType="begin"/>
      </w:r>
      <w:r w:rsidR="009E526F">
        <w:rPr>
          <w:rFonts w:eastAsia="Calibri"/>
        </w:rPr>
        <w:instrText>ADDIN F1000_CSL_CITATION&lt;~#@#~&gt;[{"DOI":"10.1542/peds.2017-3845","First":false,"Last":false,"PMCID":"PMC5914494","PMID":"29661941","abstract":"&lt;strong&gt;BACKGROUND:&lt;/strong&gt; Understanding the magnitude of mental health problems, particularly life-threatening ones, experienced by transgender and/or gender nonconforming (TGNC) youth can lead to improved management of these conditions.&lt;br&gt;&lt;br&gt;&lt;strong&gt;METHODS:&lt;/strong&gt; Electronic medical records were used to identify a cohort of 588 transfeminine and 745 transmasculine children (3-9 years old) and adolescents (10-17 years old) enrolled in integrated health care systems in California and Georgia. Ten male and 10 female referent cisgender enrollees were matched to each TGNC individual on year of birth, race and/or ethnicity, study site, and membership year of the index date (first evidence of gender nonconforming status). Prevalence ratios were calculated by dividing the proportion of TGNC individuals with a specific mental health diagnosis or diagnostic category by the corresponding proportion in each reference group by transfeminine and/or transmasculine status, age group, and time period before the index date.&lt;br&gt;&lt;br&gt;&lt;strong&gt;RESULTS:&lt;/strong&gt; Common diagnoses for children and adolescents were attention deficit disorders (transfeminine 15%; transmasculine 16%) and depressive disorders (transfeminine 49%; transmasculine 62%), respectively. For all diagnostic categories, prevalence was severalfold higher among TGNC youth than in matched reference groups. Prevalence ratios (95% confidence intervals [CIs]) for history of self-inflicted injury in adolescents 6 months before the index date ranged from 18 (95% CI 4.4-82) to 144 (95% CI 36-1248). The corresponding range for suicidal ideation was 25 (95% CI 14-45) to 54 (95% CI 18-218).&lt;br&gt;&lt;br&gt;&lt;strong&gt;CONCLUSIONS:&lt;/strong&gt; TGNC youth may present with mental health conditions requiring immediate evaluation and implementation of clinical, social, and educational gender identity support measures.&lt;br&gt;&lt;br&gt;Copyright © 2018 by the American Academy of Pediatrics.","author":[{"family":"Becerra-Culqui","given":"Tracy A"},{"family":"Liu","given":"Yuan"},{"family":"Nash","given":"Rebecca"},{"family":"Cromwell","given":"Lee"},{"family":"Flanders","given":"W Dana"},{"family":"Getahun","given":"Darios"},{"family":"Giammattei","given":"Shawn V"},{"family":"Hunkeler","given":"Enid M"},{"family":"Lash","given":"Timothy L"},{"family":"Millman","given":"Andrea"},{"family":"Quinn","given":"Virginia P"},{"family":"Robinson","given":"Brandi"},{"family":"Roblin","given":"Douglas"},{"family":"Sandberg","given":"David E"},{"family":"Silverberg","given":"Michael J"},{"family":"Tangpricha","given":"Vin"},{"family":"Goodman","given":"Michael"}],"authorYearDisplayFormat":false,"citation-label":"5151887","container-title":"Pediatrics","container-title-short":"Pediatrics","id":"5151887","invisible":false,"issue":"5","issued":{"date-parts":[["2018","4","16"]]},"journalAbbreviation":"Pediatrics","suppress-author":false,"title":"Mental health of transgender and gender nonconforming youth compared with their peers.","type":"article-journal","volume":"141"}]</w:instrText>
      </w:r>
      <w:r w:rsidR="00435EFD" w:rsidRPr="007C7EA1">
        <w:rPr>
          <w:rFonts w:eastAsia="Calibri"/>
        </w:rPr>
        <w:fldChar w:fldCharType="separate"/>
      </w:r>
      <w:r w:rsidR="00F96D9F" w:rsidRPr="00F96D9F">
        <w:rPr>
          <w:rFonts w:eastAsia="Calibri"/>
          <w:noProof/>
        </w:rPr>
        <w:t>(Becerra-Culqui et al., 2018)</w:t>
      </w:r>
      <w:r w:rsidR="00435EFD" w:rsidRPr="007C7EA1">
        <w:rPr>
          <w:rFonts w:eastAsia="Calibri"/>
        </w:rPr>
        <w:fldChar w:fldCharType="end"/>
      </w:r>
      <w:r w:rsidR="00AF787C">
        <w:rPr>
          <w:rFonts w:eastAsia="Calibri"/>
        </w:rPr>
        <w:t xml:space="preserve">. </w:t>
      </w:r>
      <w:r w:rsidR="00BB0FCB" w:rsidRPr="007C7EA1">
        <w:rPr>
          <w:rFonts w:eastAsia="Calibri"/>
        </w:rPr>
        <w:t>Participants were matched on age, race/ethnicity, site, and EMR enrollment date; depression diagnosis was determined from ICD-9 diagnostic codes, and gender minority identity was determined either from an ICD-9 cod</w:t>
      </w:r>
      <w:r w:rsidR="007278BE" w:rsidRPr="007C7EA1">
        <w:rPr>
          <w:rFonts w:eastAsia="Calibri"/>
        </w:rPr>
        <w:t>es</w:t>
      </w:r>
      <w:r w:rsidR="00BB0FCB" w:rsidRPr="007C7EA1">
        <w:rPr>
          <w:rFonts w:eastAsia="Calibri"/>
        </w:rPr>
        <w:t>, or from keywords in free text fields.</w:t>
      </w:r>
      <w:r w:rsidR="00390C3E" w:rsidRPr="007C7EA1">
        <w:rPr>
          <w:rFonts w:eastAsia="Calibri"/>
        </w:rPr>
        <w:t xml:space="preserve"> </w:t>
      </w:r>
      <w:r w:rsidR="007278BE" w:rsidRPr="007C7EA1">
        <w:rPr>
          <w:rFonts w:eastAsia="Calibri"/>
        </w:rPr>
        <w:t>The p</w:t>
      </w:r>
      <w:r w:rsidR="00390C3E" w:rsidRPr="007C7EA1">
        <w:rPr>
          <w:rFonts w:eastAsia="Calibri"/>
        </w:rPr>
        <w:t>revalence ratio</w:t>
      </w:r>
      <w:r w:rsidR="00AF787C">
        <w:rPr>
          <w:rFonts w:eastAsia="Calibri"/>
        </w:rPr>
        <w:t xml:space="preserve"> (PR)</w:t>
      </w:r>
      <w:r w:rsidR="00390C3E" w:rsidRPr="007C7EA1">
        <w:rPr>
          <w:rFonts w:eastAsia="Calibri"/>
        </w:rPr>
        <w:t xml:space="preserve"> for lifetime diagnosis of depression </w:t>
      </w:r>
      <w:r w:rsidR="007278BE" w:rsidRPr="007C7EA1">
        <w:rPr>
          <w:rFonts w:eastAsia="Calibri"/>
        </w:rPr>
        <w:t>was</w:t>
      </w:r>
      <w:r w:rsidR="00AF787C">
        <w:rPr>
          <w:rFonts w:eastAsia="Calibri"/>
        </w:rPr>
        <w:t xml:space="preserve"> over four times higher</w:t>
      </w:r>
      <w:r w:rsidR="007278BE" w:rsidRPr="007C7EA1">
        <w:rPr>
          <w:rFonts w:eastAsia="Calibri"/>
        </w:rPr>
        <w:t xml:space="preserve"> </w:t>
      </w:r>
      <w:r w:rsidR="00AF787C">
        <w:rPr>
          <w:rFonts w:eastAsia="Calibri"/>
        </w:rPr>
        <w:t xml:space="preserve">(PR: </w:t>
      </w:r>
      <w:r w:rsidR="007278BE" w:rsidRPr="007C7EA1">
        <w:rPr>
          <w:rFonts w:eastAsia="Calibri"/>
        </w:rPr>
        <w:t xml:space="preserve">4.4 </w:t>
      </w:r>
      <w:r w:rsidR="00AF787C">
        <w:rPr>
          <w:rFonts w:eastAsia="Calibri"/>
        </w:rPr>
        <w:t>[</w:t>
      </w:r>
      <w:r w:rsidR="007278BE" w:rsidRPr="007C7EA1">
        <w:rPr>
          <w:rFonts w:eastAsia="Calibri"/>
        </w:rPr>
        <w:t>95% CI: 3.9-5.0</w:t>
      </w:r>
      <w:r w:rsidR="00AF787C">
        <w:rPr>
          <w:rFonts w:eastAsia="Calibri"/>
        </w:rPr>
        <w:t>]</w:t>
      </w:r>
      <w:r w:rsidR="007278BE" w:rsidRPr="007C7EA1">
        <w:rPr>
          <w:rFonts w:eastAsia="Calibri"/>
        </w:rPr>
        <w:t xml:space="preserve">) </w:t>
      </w:r>
      <w:r w:rsidR="00AF787C">
        <w:rPr>
          <w:rFonts w:eastAsia="Calibri"/>
        </w:rPr>
        <w:t xml:space="preserve">for </w:t>
      </w:r>
      <w:r w:rsidR="00390C3E" w:rsidRPr="007C7EA1">
        <w:rPr>
          <w:rFonts w:eastAsia="Calibri"/>
        </w:rPr>
        <w:t>transfeminine youth</w:t>
      </w:r>
      <w:r w:rsidR="00BB0FCB" w:rsidRPr="007C7EA1">
        <w:rPr>
          <w:rFonts w:eastAsia="Calibri"/>
        </w:rPr>
        <w:t xml:space="preserve"> </w:t>
      </w:r>
      <w:r w:rsidR="00AF787C">
        <w:rPr>
          <w:rFonts w:eastAsia="Calibri"/>
        </w:rPr>
        <w:t xml:space="preserve">compared </w:t>
      </w:r>
      <w:r w:rsidR="00390C3E" w:rsidRPr="007C7EA1">
        <w:rPr>
          <w:rFonts w:eastAsia="Calibri"/>
        </w:rPr>
        <w:t>to cisgender female youth</w:t>
      </w:r>
      <w:r w:rsidR="007278BE" w:rsidRPr="007C7EA1">
        <w:rPr>
          <w:rFonts w:eastAsia="Calibri"/>
        </w:rPr>
        <w:t>.</w:t>
      </w:r>
      <w:r w:rsidR="00390C3E" w:rsidRPr="007C7EA1">
        <w:rPr>
          <w:rFonts w:eastAsia="Calibri"/>
        </w:rPr>
        <w:t xml:space="preserve"> </w:t>
      </w:r>
      <w:r w:rsidR="007278BE" w:rsidRPr="007C7EA1">
        <w:rPr>
          <w:rFonts w:eastAsia="Calibri"/>
        </w:rPr>
        <w:t>When comparing</w:t>
      </w:r>
      <w:r w:rsidR="00390C3E" w:rsidRPr="007C7EA1">
        <w:rPr>
          <w:rFonts w:eastAsia="Calibri"/>
        </w:rPr>
        <w:t xml:space="preserve"> depression diagnosis</w:t>
      </w:r>
      <w:r w:rsidR="007278BE" w:rsidRPr="007C7EA1">
        <w:rPr>
          <w:rFonts w:eastAsia="Calibri"/>
        </w:rPr>
        <w:t xml:space="preserve"> prevalence</w:t>
      </w:r>
      <w:r w:rsidR="00390C3E" w:rsidRPr="007C7EA1">
        <w:rPr>
          <w:rFonts w:eastAsia="Calibri"/>
        </w:rPr>
        <w:t xml:space="preserve"> in the past six months, </w:t>
      </w:r>
      <w:r w:rsidR="00AF787C">
        <w:rPr>
          <w:rFonts w:eastAsia="Calibri"/>
        </w:rPr>
        <w:t>the prevalence</w:t>
      </w:r>
      <w:r w:rsidR="00390C3E" w:rsidRPr="007C7EA1">
        <w:rPr>
          <w:rFonts w:eastAsia="Calibri"/>
        </w:rPr>
        <w:t xml:space="preserve"> was </w:t>
      </w:r>
      <w:r w:rsidR="00AF787C">
        <w:rPr>
          <w:rFonts w:eastAsia="Calibri"/>
        </w:rPr>
        <w:t>ten times</w:t>
      </w:r>
      <w:r w:rsidR="00390C3E" w:rsidRPr="007C7EA1">
        <w:rPr>
          <w:rFonts w:eastAsia="Calibri"/>
        </w:rPr>
        <w:t xml:space="preserve"> higher </w:t>
      </w:r>
      <w:r w:rsidR="007278BE" w:rsidRPr="007C7EA1">
        <w:rPr>
          <w:rFonts w:eastAsia="Calibri"/>
        </w:rPr>
        <w:t>(</w:t>
      </w:r>
      <w:r w:rsidR="00AF787C">
        <w:rPr>
          <w:rFonts w:eastAsia="Calibri"/>
        </w:rPr>
        <w:t xml:space="preserve">PR: </w:t>
      </w:r>
      <w:r w:rsidR="00390C3E" w:rsidRPr="007C7EA1">
        <w:rPr>
          <w:rFonts w:eastAsia="Calibri"/>
        </w:rPr>
        <w:t xml:space="preserve">10.1 </w:t>
      </w:r>
      <w:r w:rsidR="007278BE" w:rsidRPr="007C7EA1">
        <w:rPr>
          <w:rFonts w:eastAsia="Calibri"/>
        </w:rPr>
        <w:t>[</w:t>
      </w:r>
      <w:r w:rsidR="00390C3E" w:rsidRPr="007C7EA1">
        <w:rPr>
          <w:rFonts w:eastAsia="Calibri"/>
        </w:rPr>
        <w:t>95% CI: 8.4-12.2</w:t>
      </w:r>
      <w:r w:rsidR="007278BE" w:rsidRPr="007C7EA1">
        <w:rPr>
          <w:rFonts w:eastAsia="Calibri"/>
        </w:rPr>
        <w:t>])</w:t>
      </w:r>
      <w:r w:rsidR="00AF787C">
        <w:rPr>
          <w:rFonts w:eastAsia="Calibri"/>
        </w:rPr>
        <w:t>.</w:t>
      </w:r>
      <w:r w:rsidR="00390C3E" w:rsidRPr="007C7EA1">
        <w:rPr>
          <w:rFonts w:eastAsia="Calibri"/>
        </w:rPr>
        <w:t xml:space="preserve"> </w:t>
      </w:r>
      <w:r w:rsidR="00AF787C">
        <w:rPr>
          <w:rFonts w:eastAsia="Calibri"/>
        </w:rPr>
        <w:t>Among</w:t>
      </w:r>
      <w:r w:rsidR="00390C3E" w:rsidRPr="007C7EA1">
        <w:rPr>
          <w:rFonts w:eastAsia="Calibri"/>
        </w:rPr>
        <w:t xml:space="preserve"> transmasculine youth, the prevalence for lifetime depression diagnosis was </w:t>
      </w:r>
      <w:r w:rsidR="00AF787C">
        <w:rPr>
          <w:rFonts w:eastAsia="Calibri"/>
        </w:rPr>
        <w:t xml:space="preserve">seven times higher (PR: </w:t>
      </w:r>
      <w:r w:rsidR="00390C3E" w:rsidRPr="007C7EA1">
        <w:rPr>
          <w:rFonts w:eastAsia="Calibri"/>
        </w:rPr>
        <w:t xml:space="preserve">7.0 </w:t>
      </w:r>
      <w:r w:rsidR="00AF787C">
        <w:rPr>
          <w:rFonts w:eastAsia="Calibri"/>
        </w:rPr>
        <w:t>[</w:t>
      </w:r>
      <w:r w:rsidR="00390C3E" w:rsidRPr="007C7EA1">
        <w:rPr>
          <w:rFonts w:eastAsia="Calibri"/>
        </w:rPr>
        <w:t>95% CI: 6.4-7.8</w:t>
      </w:r>
      <w:r w:rsidR="00AF787C">
        <w:rPr>
          <w:rFonts w:eastAsia="Calibri"/>
        </w:rPr>
        <w:t>]</w:t>
      </w:r>
      <w:r w:rsidR="00390C3E" w:rsidRPr="007C7EA1">
        <w:rPr>
          <w:rFonts w:eastAsia="Calibri"/>
        </w:rPr>
        <w:t>)</w:t>
      </w:r>
      <w:r w:rsidR="00AF787C">
        <w:rPr>
          <w:rFonts w:eastAsia="Calibri"/>
        </w:rPr>
        <w:t xml:space="preserve"> compared </w:t>
      </w:r>
      <w:r w:rsidR="00AF787C" w:rsidRPr="007C7EA1">
        <w:rPr>
          <w:rFonts w:eastAsia="Calibri"/>
        </w:rPr>
        <w:t>to cisgender male youth</w:t>
      </w:r>
      <w:r w:rsidR="007278BE" w:rsidRPr="007C7EA1">
        <w:rPr>
          <w:rFonts w:eastAsia="Calibri"/>
        </w:rPr>
        <w:t>, and</w:t>
      </w:r>
      <w:r w:rsidR="00390C3E" w:rsidRPr="007C7EA1">
        <w:rPr>
          <w:rFonts w:eastAsia="Calibri"/>
        </w:rPr>
        <w:t xml:space="preserve"> for </w:t>
      </w:r>
      <w:r w:rsidR="00390C3E" w:rsidRPr="007C7EA1">
        <w:rPr>
          <w:rFonts w:eastAsia="Calibri"/>
        </w:rPr>
        <w:lastRenderedPageBreak/>
        <w:t>depression diagnosis in the past six months,</w:t>
      </w:r>
      <w:r w:rsidR="007278BE" w:rsidRPr="007C7EA1">
        <w:rPr>
          <w:rFonts w:eastAsia="Calibri"/>
        </w:rPr>
        <w:t xml:space="preserve"> it was</w:t>
      </w:r>
      <w:r w:rsidR="00390C3E" w:rsidRPr="007C7EA1">
        <w:rPr>
          <w:rFonts w:eastAsia="Calibri"/>
        </w:rPr>
        <w:t xml:space="preserve"> </w:t>
      </w:r>
      <w:r w:rsidR="00AF787C">
        <w:rPr>
          <w:rFonts w:eastAsia="Calibri"/>
        </w:rPr>
        <w:t xml:space="preserve">over 20 times higher (PR: </w:t>
      </w:r>
      <w:r w:rsidR="007278BE" w:rsidRPr="007C7EA1">
        <w:rPr>
          <w:rFonts w:eastAsia="Calibri"/>
        </w:rPr>
        <w:t>22.8</w:t>
      </w:r>
      <w:r w:rsidR="00390C3E" w:rsidRPr="007C7EA1">
        <w:rPr>
          <w:rFonts w:eastAsia="Calibri"/>
        </w:rPr>
        <w:t xml:space="preserve"> </w:t>
      </w:r>
      <w:r w:rsidR="00AF787C">
        <w:rPr>
          <w:rFonts w:eastAsia="Calibri"/>
        </w:rPr>
        <w:t>[</w:t>
      </w:r>
      <w:r w:rsidR="00390C3E" w:rsidRPr="007C7EA1">
        <w:rPr>
          <w:rFonts w:eastAsia="Calibri"/>
        </w:rPr>
        <w:t>95% CI: 19.0-27.3</w:t>
      </w:r>
      <w:r w:rsidR="00AF787C">
        <w:rPr>
          <w:rFonts w:eastAsia="Calibri"/>
        </w:rPr>
        <w:t>]</w:t>
      </w:r>
      <w:r w:rsidR="00390C3E" w:rsidRPr="007C7EA1">
        <w:rPr>
          <w:rFonts w:eastAsia="Calibri"/>
        </w:rPr>
        <w:t>).</w:t>
      </w:r>
    </w:p>
    <w:p w14:paraId="0572CD37" w14:textId="1B219BF9" w:rsidR="00390C3E" w:rsidRPr="007C7EA1" w:rsidRDefault="00390C3E" w:rsidP="00390C3E">
      <w:pPr>
        <w:spacing w:line="480" w:lineRule="auto"/>
        <w:rPr>
          <w:rFonts w:eastAsia="Calibri"/>
        </w:rPr>
      </w:pPr>
      <w:r w:rsidRPr="007C7EA1">
        <w:rPr>
          <w:rFonts w:eastAsia="Calibri"/>
        </w:rPr>
        <w:tab/>
      </w:r>
      <w:r w:rsidR="002001F4" w:rsidRPr="007C7EA1">
        <w:rPr>
          <w:rFonts w:eastAsia="Calibri"/>
        </w:rPr>
        <w:t>Reisner at al. (2015) used similar data to Becerra-</w:t>
      </w:r>
      <w:proofErr w:type="spellStart"/>
      <w:r w:rsidR="002001F4" w:rsidRPr="007C7EA1">
        <w:rPr>
          <w:rFonts w:eastAsia="Calibri"/>
        </w:rPr>
        <w:t>Culqui</w:t>
      </w:r>
      <w:proofErr w:type="spellEnd"/>
      <w:r w:rsidR="002001F4" w:rsidRPr="007C7EA1">
        <w:rPr>
          <w:rFonts w:eastAsia="Calibri"/>
        </w:rPr>
        <w:t xml:space="preserve"> et al. (2018), </w:t>
      </w:r>
      <w:r w:rsidR="007278BE" w:rsidRPr="007C7EA1">
        <w:rPr>
          <w:rFonts w:eastAsia="Calibri"/>
        </w:rPr>
        <w:t xml:space="preserve">however </w:t>
      </w:r>
      <w:r w:rsidR="002001F4" w:rsidRPr="007C7EA1">
        <w:rPr>
          <w:rFonts w:eastAsia="Calibri"/>
        </w:rPr>
        <w:t>their study design</w:t>
      </w:r>
      <w:r w:rsidR="007278BE" w:rsidRPr="007C7EA1">
        <w:rPr>
          <w:rFonts w:eastAsia="Calibri"/>
        </w:rPr>
        <w:t>s</w:t>
      </w:r>
      <w:r w:rsidR="002001F4" w:rsidRPr="007C7EA1">
        <w:rPr>
          <w:rFonts w:eastAsia="Calibri"/>
        </w:rPr>
        <w:t xml:space="preserve"> differed in that </w:t>
      </w:r>
      <w:r w:rsidR="007278BE" w:rsidRPr="007C7EA1">
        <w:rPr>
          <w:rFonts w:eastAsia="Calibri"/>
        </w:rPr>
        <w:t>Reisner et al</w:t>
      </w:r>
      <w:r w:rsidR="00AF787C">
        <w:rPr>
          <w:rFonts w:eastAsia="Calibri"/>
        </w:rPr>
        <w:t>.</w:t>
      </w:r>
      <w:r w:rsidR="007278BE" w:rsidRPr="007C7EA1">
        <w:rPr>
          <w:rFonts w:eastAsia="Calibri"/>
        </w:rPr>
        <w:t xml:space="preserve"> (2015)</w:t>
      </w:r>
      <w:r w:rsidR="002001F4" w:rsidRPr="007C7EA1">
        <w:rPr>
          <w:rFonts w:eastAsia="Calibri"/>
        </w:rPr>
        <w:t xml:space="preserve"> had a smaller sample size and match ratio (180 GMY matched 1:1 to cisgender controls)</w:t>
      </w:r>
      <w:r w:rsidR="007278BE" w:rsidRPr="007C7EA1">
        <w:rPr>
          <w:rFonts w:eastAsia="Calibri"/>
        </w:rPr>
        <w:t xml:space="preserve">. This study also </w:t>
      </w:r>
      <w:r w:rsidR="002001F4" w:rsidRPr="007C7EA1">
        <w:rPr>
          <w:rFonts w:eastAsia="Calibri"/>
        </w:rPr>
        <w:t>came from a single urban adolescent community health center</w:t>
      </w:r>
      <w:r w:rsidR="00A71242" w:rsidRPr="007C7EA1">
        <w:rPr>
          <w:rFonts w:eastAsia="Calibri"/>
        </w:rPr>
        <w:t xml:space="preserve">, </w:t>
      </w:r>
      <w:r w:rsidR="004A7BB6" w:rsidRPr="007C7EA1">
        <w:rPr>
          <w:rFonts w:eastAsia="Calibri"/>
        </w:rPr>
        <w:t xml:space="preserve">GMY </w:t>
      </w:r>
      <w:r w:rsidR="00A71242" w:rsidRPr="007C7EA1">
        <w:rPr>
          <w:rFonts w:eastAsia="Calibri"/>
        </w:rPr>
        <w:t>were aged 12-29</w:t>
      </w:r>
      <w:r w:rsidR="004A7BB6" w:rsidRPr="007C7EA1">
        <w:rPr>
          <w:rFonts w:eastAsia="Calibri"/>
        </w:rPr>
        <w:t>, and analyses were also not stratified by gender</w:t>
      </w:r>
      <w:r w:rsidR="00AF787C">
        <w:rPr>
          <w:rFonts w:eastAsia="Calibri"/>
        </w:rPr>
        <w:t xml:space="preserve"> </w:t>
      </w:r>
      <w:r w:rsidR="00291559" w:rsidRPr="007C7EA1">
        <w:rPr>
          <w:rFonts w:eastAsia="Calibri"/>
        </w:rPr>
        <w:fldChar w:fldCharType="begin"/>
      </w:r>
      <w:r w:rsidR="009E526F">
        <w:rPr>
          <w:rFonts w:eastAsia="Calibri"/>
        </w:rPr>
        <w:instrText>ADDIN F1000_CSL_CITATION&lt;~#@#~&gt;[{"DOI":"10.1016/j.jadohealth.2014.10.264","First":false,"Last":false,"PMCID":"PMC4339405","PMID":"25577670","abstract":"&lt;strong&gt;PURPOSE:&lt;/strong&gt; Transgender youth represent a vulnerable population at risk for negative mental health outcomes including depression, anxiety, self-harm, and suicidality. Limited data exist to compare the mental health of transgender adolescents and emerging adults to cisgender youth accessing community-based clinical services; the present study aimed to fill this gap.&lt;br&gt;&lt;br&gt;&lt;strong&gt;METHODS:&lt;/strong&gt; A retrospective cohort study of electronic health record data from 180 transgender patients aged 12-29 years seen between 2002 and 2011 at a Boston-based community health center was performed. The 106 female-to-male (FTM) and 74 male-to-female (MTF) patients were matched on gender identity, age, visit date, and race/ethnicity to cisgender controls. Mental health outcomes were extracted and analyzed using conditional logistic regression models. Logistic regression models compared FTM with MTF youth on mental health outcomes.&lt;br&gt;&lt;br&gt;&lt;strong&gt;RESULTS:&lt;/strong&gt; The sample (N = 360) had a mean age of 19.6 years (standard deviation, 3.0); 43% white, 33% racial/ethnic minority, and 24% race/ethnicity unknown. Compared with cisgender matched controls, transgender youth had a twofold to threefold increased risk of depression, anxiety disorder, suicidal ideation, suicide attempt, self-harm without lethal intent, and both inpatient and outpatient mental health treatment (all p &lt;  .05). No statistically significant differences in mental health outcomes were observed comparing FTM and MTF patients, adjusting for age, race/ethnicity, and hormone use.&lt;br&gt;&lt;br&gt;&lt;strong&gt;CONCLUSIONS:&lt;/strong&gt; Transgender youth were found to have a disparity in negative mental health outcomes compared with cisgender youth, with equally high burden in FTM and MTF patients. Identifying gender identity differences in clinical settings and providing appropriate services and supports are important steps in addressing this disparity.&lt;br&gt;&lt;br&gt;Copyright © 2015 Society for Adolescent Health and Medicine. Published by Elsevier Inc. All rights reserved.","author":[{"family":"Reisner","given":"Sari L"},{"family":"Vetters","given":"Ralph"},{"family":"Leclerc","given":"M"},{"family":"Zaslow","given":"Shayne"},{"family":"Wolfrum","given":"Sarah"},{"family":"Shumer","given":"Daniel"},{"family":"Mimiaga","given":"Matthew J"}],"authorYearDisplayFormat":false,"citation-label":"3046392","container-title":"The Journal of Adolescent Health","container-title-short":"J. Adolesc. Health","id":"3046392","invisible":false,"issue":"3","issued":{"date-parts":[["2015","3"]]},"journalAbbreviation":"J. Adolesc. Health","page":"274-279","suppress-author":false,"title":"Mental health of transgender youth in care at an adolescent urban community health center: a matched retrospective cohort study.","type":"article-journal","volume":"56"}]</w:instrText>
      </w:r>
      <w:r w:rsidR="00291559" w:rsidRPr="007C7EA1">
        <w:rPr>
          <w:rFonts w:eastAsia="Calibri"/>
        </w:rPr>
        <w:fldChar w:fldCharType="separate"/>
      </w:r>
      <w:r w:rsidR="00F96D9F" w:rsidRPr="00F96D9F">
        <w:rPr>
          <w:rFonts w:eastAsia="Calibri"/>
          <w:noProof/>
        </w:rPr>
        <w:t>(Reisner et al., 2015)</w:t>
      </w:r>
      <w:r w:rsidR="00291559" w:rsidRPr="007C7EA1">
        <w:rPr>
          <w:rFonts w:eastAsia="Calibri"/>
        </w:rPr>
        <w:fldChar w:fldCharType="end"/>
      </w:r>
      <w:r w:rsidR="00AF787C">
        <w:rPr>
          <w:rFonts w:eastAsia="Calibri"/>
        </w:rPr>
        <w:t>.</w:t>
      </w:r>
      <w:r w:rsidR="002001F4" w:rsidRPr="007C7EA1">
        <w:rPr>
          <w:rFonts w:eastAsia="Calibri"/>
        </w:rPr>
        <w:t xml:space="preserve"> Participants were matched on gender identity, age, race/ethnicity, and date of first visit; data came from visits between 2002-2011. Depression diagnosis was assessed using DMS-4 criteria, and gender identity was determined by self-report on forms,</w:t>
      </w:r>
      <w:r w:rsidR="00A71242" w:rsidRPr="007C7EA1">
        <w:rPr>
          <w:rFonts w:eastAsia="Calibri"/>
        </w:rPr>
        <w:t xml:space="preserve"> diagnosis of gender identity disorder (GID), or from notes regarding direct communication from patient to provider. </w:t>
      </w:r>
      <w:r w:rsidR="002001F4" w:rsidRPr="007C7EA1">
        <w:rPr>
          <w:rFonts w:eastAsia="Calibri"/>
        </w:rPr>
        <w:t>Despite differences</w:t>
      </w:r>
      <w:r w:rsidR="00A71242" w:rsidRPr="007C7EA1">
        <w:rPr>
          <w:rFonts w:eastAsia="Calibri"/>
        </w:rPr>
        <w:t xml:space="preserve"> in the sample and analytic design</w:t>
      </w:r>
      <w:r w:rsidR="004A7BB6" w:rsidRPr="007C7EA1">
        <w:rPr>
          <w:rFonts w:eastAsia="Calibri"/>
        </w:rPr>
        <w:t xml:space="preserve"> to </w:t>
      </w:r>
      <w:proofErr w:type="spellStart"/>
      <w:r w:rsidR="004A7BB6" w:rsidRPr="007C7EA1">
        <w:rPr>
          <w:rFonts w:eastAsia="Calibri"/>
        </w:rPr>
        <w:t>Bercerr-Culqui</w:t>
      </w:r>
      <w:proofErr w:type="spellEnd"/>
      <w:r w:rsidR="004A7BB6" w:rsidRPr="007C7EA1">
        <w:rPr>
          <w:rFonts w:eastAsia="Calibri"/>
        </w:rPr>
        <w:t xml:space="preserve"> et al. (2018)</w:t>
      </w:r>
      <w:r w:rsidR="002001F4" w:rsidRPr="007C7EA1">
        <w:rPr>
          <w:rFonts w:eastAsia="Calibri"/>
        </w:rPr>
        <w:t>, this study found similar results</w:t>
      </w:r>
      <w:r w:rsidR="00A71242" w:rsidRPr="007C7EA1">
        <w:rPr>
          <w:rFonts w:eastAsia="Calibri"/>
        </w:rPr>
        <w:t>;</w:t>
      </w:r>
      <w:r w:rsidR="002001F4" w:rsidRPr="007C7EA1">
        <w:rPr>
          <w:rFonts w:eastAsia="Calibri"/>
        </w:rPr>
        <w:t xml:space="preserve"> the risk </w:t>
      </w:r>
      <w:r w:rsidR="00AF787C">
        <w:rPr>
          <w:rFonts w:eastAsia="Calibri"/>
        </w:rPr>
        <w:t>of</w:t>
      </w:r>
      <w:r w:rsidR="002001F4" w:rsidRPr="007C7EA1">
        <w:rPr>
          <w:rFonts w:eastAsia="Calibri"/>
        </w:rPr>
        <w:t xml:space="preserve"> diagnosis</w:t>
      </w:r>
      <w:r w:rsidR="00A71242" w:rsidRPr="007C7EA1">
        <w:rPr>
          <w:rFonts w:eastAsia="Calibri"/>
        </w:rPr>
        <w:t xml:space="preserve"> of depression among when adjusting for age, race/ethnicity, and use of hormone replacement therapy (HRT) was </w:t>
      </w:r>
      <w:r w:rsidR="00AF787C">
        <w:rPr>
          <w:rFonts w:eastAsia="Calibri"/>
        </w:rPr>
        <w:t xml:space="preserve">nearly four times higher (RR: </w:t>
      </w:r>
      <w:r w:rsidR="00A71242" w:rsidRPr="007C7EA1">
        <w:rPr>
          <w:rFonts w:eastAsia="Calibri"/>
        </w:rPr>
        <w:t xml:space="preserve">3.95 </w:t>
      </w:r>
      <w:r w:rsidR="00AF787C">
        <w:rPr>
          <w:rFonts w:eastAsia="Calibri"/>
        </w:rPr>
        <w:t>[</w:t>
      </w:r>
      <w:r w:rsidR="00A71242" w:rsidRPr="007C7EA1">
        <w:rPr>
          <w:rFonts w:eastAsia="Calibri"/>
        </w:rPr>
        <w:t>95% CI: 2.60-5.99</w:t>
      </w:r>
      <w:r w:rsidR="00AF787C">
        <w:rPr>
          <w:rFonts w:eastAsia="Calibri"/>
        </w:rPr>
        <w:t>]</w:t>
      </w:r>
      <w:r w:rsidR="00A71242" w:rsidRPr="007C7EA1">
        <w:rPr>
          <w:rFonts w:eastAsia="Calibri"/>
        </w:rPr>
        <w:t>). In addition to having similar results, b</w:t>
      </w:r>
      <w:r w:rsidRPr="007C7EA1">
        <w:rPr>
          <w:rFonts w:eastAsia="Calibri"/>
        </w:rPr>
        <w:t>oth of these studies likely experience bias towards underreporting</w:t>
      </w:r>
      <w:r w:rsidR="004A7BB6" w:rsidRPr="007C7EA1">
        <w:rPr>
          <w:rFonts w:eastAsia="Calibri"/>
        </w:rPr>
        <w:t xml:space="preserve"> of depression</w:t>
      </w:r>
      <w:r w:rsidRPr="007C7EA1">
        <w:rPr>
          <w:rFonts w:eastAsia="Calibri"/>
        </w:rPr>
        <w:t>, as GMY with less resources and affirming parents are less likely to have access to medical support, which may result in increased risk of depression (see section</w:t>
      </w:r>
      <w:r w:rsidR="00291559" w:rsidRPr="007C7EA1">
        <w:rPr>
          <w:rFonts w:eastAsia="Calibri"/>
        </w:rPr>
        <w:t xml:space="preserve"> 1.3</w:t>
      </w:r>
      <w:r w:rsidR="004A7BB6" w:rsidRPr="007C7EA1">
        <w:rPr>
          <w:rFonts w:eastAsia="Calibri"/>
        </w:rPr>
        <w:t xml:space="preserve"> for more detail</w:t>
      </w:r>
      <w:r w:rsidRPr="007C7EA1">
        <w:rPr>
          <w:rFonts w:eastAsia="Calibri"/>
        </w:rPr>
        <w:t>).</w:t>
      </w:r>
      <w:r w:rsidR="00A71242" w:rsidRPr="007C7EA1">
        <w:rPr>
          <w:rFonts w:eastAsia="Calibri"/>
        </w:rPr>
        <w:t xml:space="preserve"> Therefore, the true magnitude of these disparities may be even higher.</w:t>
      </w:r>
    </w:p>
    <w:p w14:paraId="4970BF97" w14:textId="2CFB1157" w:rsidR="00390C3E" w:rsidRPr="007C7EA1" w:rsidRDefault="00A71242" w:rsidP="00A71242">
      <w:pPr>
        <w:spacing w:line="480" w:lineRule="auto"/>
        <w:rPr>
          <w:rFonts w:eastAsia="Calibri"/>
        </w:rPr>
      </w:pPr>
      <w:r w:rsidRPr="007C7EA1">
        <w:rPr>
          <w:rFonts w:eastAsia="Calibri"/>
        </w:rPr>
        <w:tab/>
        <w:t xml:space="preserve">Four studies of depression in GMY </w:t>
      </w:r>
      <w:r w:rsidR="004A7BB6" w:rsidRPr="007C7EA1">
        <w:rPr>
          <w:rFonts w:eastAsia="Calibri"/>
        </w:rPr>
        <w:t>have been</w:t>
      </w:r>
      <w:r w:rsidRPr="007C7EA1">
        <w:rPr>
          <w:rFonts w:eastAsia="Calibri"/>
        </w:rPr>
        <w:t xml:space="preserve"> conducted using cross-sectional surveys. While most of these studies </w:t>
      </w:r>
      <w:r w:rsidR="004A7BB6" w:rsidRPr="007C7EA1">
        <w:rPr>
          <w:rFonts w:eastAsia="Calibri"/>
        </w:rPr>
        <w:t>analyzed</w:t>
      </w:r>
      <w:r w:rsidRPr="007C7EA1">
        <w:rPr>
          <w:rFonts w:eastAsia="Calibri"/>
        </w:rPr>
        <w:t xml:space="preserve"> convenience samples, Clark et al. (2014) </w:t>
      </w:r>
      <w:r w:rsidR="004A7BB6" w:rsidRPr="007C7EA1">
        <w:rPr>
          <w:rFonts w:eastAsia="Calibri"/>
        </w:rPr>
        <w:t>examined</w:t>
      </w:r>
      <w:r w:rsidRPr="007C7EA1">
        <w:rPr>
          <w:rFonts w:eastAsia="Calibri"/>
        </w:rPr>
        <w:t xml:space="preserve"> a nationally representative sample </w:t>
      </w:r>
      <w:r w:rsidR="004A7BB6" w:rsidRPr="007C7EA1">
        <w:rPr>
          <w:rFonts w:eastAsia="Calibri"/>
        </w:rPr>
        <w:t>of 8</w:t>
      </w:r>
      <w:r w:rsidRPr="007C7EA1">
        <w:rPr>
          <w:rFonts w:eastAsia="Calibri"/>
        </w:rPr>
        <w:t>500</w:t>
      </w:r>
      <w:r w:rsidR="004A7BB6" w:rsidRPr="007C7EA1">
        <w:rPr>
          <w:rFonts w:eastAsia="Calibri"/>
        </w:rPr>
        <w:t xml:space="preserve"> New Zealand</w:t>
      </w:r>
      <w:r w:rsidRPr="007C7EA1">
        <w:rPr>
          <w:rFonts w:eastAsia="Calibri"/>
        </w:rPr>
        <w:t xml:space="preserve"> high schoolers</w:t>
      </w:r>
      <w:r w:rsidR="00AF787C">
        <w:rPr>
          <w:rFonts w:eastAsia="Calibri"/>
        </w:rPr>
        <w:t xml:space="preserve"> </w:t>
      </w:r>
      <w:r w:rsidR="00291559" w:rsidRPr="007C7EA1">
        <w:rPr>
          <w:rFonts w:eastAsia="Calibri"/>
        </w:rPr>
        <w:fldChar w:fldCharType="begin"/>
      </w:r>
      <w:r w:rsidR="009E526F">
        <w:rPr>
          <w:rFonts w:eastAsia="Calibri"/>
        </w:rPr>
        <w:instrText>ADDIN F1000_CSL_CITATION&lt;~#@#~&gt;[{"DOI":"10.1016/j.jadohealth.2013.11.008","First":false,"Last":false,"PMID":"24438852","abstract":"&lt;strong&gt;PURPOSE:&lt;/strong&gt; To report the prevalence of students according to four gender groups (i.e., those who reported being non-transgender, transgender, or not sure about their gender, and those who did not understand the transgender question), and to describe their health and well-being.&lt;br&gt;&lt;br&gt;&lt;strong&gt;METHODS:&lt;/strong&gt; Logistic regressions were used to examine the associations between gender groups and selected outcomes in a nationally representative high school health and well-being survey, undertaken in 2012.&lt;br&gt;&lt;br&gt;&lt;strong&gt;RESULTS:&lt;/strong&gt; Of the students (n = 8,166), 94.7% reported being non-transgender, 1.2% reported being transgender, 2.5% reported being not sure about their gender, and 1.7% did not understand the question. Students who reported being transgender or not sure about their gender or did not understand the question had compromised health and well-being relative to their non-transgender peers; in particular, for transgender students perceiving that a parent cared about them (odds ratio [OR], .3; 95% confidence interval [CI], .2-.4), depressive symptoms (OR, 5.7; 95% CI, 3.6-9.2), suicide attempts (OR, 5.0; 95% CI, 2.9-8.8), and school bullying (OR, 4.5; 95% CI, 2.4-8.2).&lt;br&gt;&lt;br&gt;&lt;strong&gt;CONCLUSIONS:&lt;/strong&gt; This is the first nationally representative survey to report the health and well-being of students who report being transgender. We found that transgender students and those reporting not being sure are a numerically small but important group. Transgender students are diverse and are represented across demographic variables, including their sexual attractions. Transgender youth face considerable health and well-being disparities. It is important to address the challenging environments these students face and to increase access to responsive services for transgender youth.&lt;br&gt;&lt;br&gt;Copyright © 2014 Society for Adolescent Health and Medicine. Published by Elsevier Inc. All rights reserved.","author":[{"family":"Clark","given":"Terryann C"},{"family":"Lucassen","given":"Mathijs F G"},{"family":"Bullen","given":"Pat"},{"family":"Denny","given":"Simon J"},{"family":"Fleming","given":"Theresa M"},{"family":"Robinson","given":"Elizabeth M"},{"family":"Rossen","given":"Fiona V"}],"authorYearDisplayFormat":false,"citation-label":"2125356","container-title":"The Journal of Adolescent Health","container-title-short":"J. Adolesc. Health","id":"2125356","invisible":false,"issue":"1","issued":{"date-parts":[["2014","7"]]},"journalAbbreviation":"J. Adolesc. Health","page":"93-99","suppress-author":false,"title":"The health and well-being of transgender high school students: results from the New Zealand adolescent health survey (Youth'12).","type":"article-journal","volume":"55"}]</w:instrText>
      </w:r>
      <w:r w:rsidR="00291559" w:rsidRPr="007C7EA1">
        <w:rPr>
          <w:rFonts w:eastAsia="Calibri"/>
        </w:rPr>
        <w:fldChar w:fldCharType="separate"/>
      </w:r>
      <w:r w:rsidR="00F96D9F" w:rsidRPr="00F96D9F">
        <w:rPr>
          <w:rFonts w:eastAsia="Calibri"/>
          <w:noProof/>
        </w:rPr>
        <w:t>(Clark et al., 2014)</w:t>
      </w:r>
      <w:r w:rsidR="00291559" w:rsidRPr="007C7EA1">
        <w:rPr>
          <w:rFonts w:eastAsia="Calibri"/>
        </w:rPr>
        <w:fldChar w:fldCharType="end"/>
      </w:r>
      <w:r w:rsidR="00AF787C">
        <w:rPr>
          <w:rFonts w:eastAsia="Calibri"/>
        </w:rPr>
        <w:t xml:space="preserve">. </w:t>
      </w:r>
      <w:r w:rsidRPr="007C7EA1">
        <w:rPr>
          <w:rFonts w:eastAsia="Calibri"/>
        </w:rPr>
        <w:t xml:space="preserve">Depression was measured using the Reynolds adolescent depression scale, and gender identity was assessed </w:t>
      </w:r>
      <w:r w:rsidR="004A7BB6" w:rsidRPr="007C7EA1">
        <w:rPr>
          <w:rFonts w:eastAsia="Calibri"/>
        </w:rPr>
        <w:t>by asking</w:t>
      </w:r>
      <w:r w:rsidRPr="007C7EA1">
        <w:rPr>
          <w:rFonts w:eastAsia="Calibri"/>
        </w:rPr>
        <w:t xml:space="preserve">, “Do you think you are transgender? This is a girl who feels like she </w:t>
      </w:r>
      <w:r w:rsidRPr="007C7EA1">
        <w:rPr>
          <w:rFonts w:eastAsia="Calibri"/>
        </w:rPr>
        <w:lastRenderedPageBreak/>
        <w:t xml:space="preserve">should have been a boy, or a boy who feels like he should have been a girl (e.g., Trans, Queen, </w:t>
      </w:r>
      <w:proofErr w:type="spellStart"/>
      <w:r w:rsidRPr="007C7EA1">
        <w:rPr>
          <w:rFonts w:eastAsia="Calibri"/>
        </w:rPr>
        <w:t>Fa’faffine</w:t>
      </w:r>
      <w:proofErr w:type="spellEnd"/>
      <w:r w:rsidRPr="007C7EA1">
        <w:rPr>
          <w:rFonts w:eastAsia="Calibri"/>
        </w:rPr>
        <w:t xml:space="preserve">, </w:t>
      </w:r>
      <w:proofErr w:type="spellStart"/>
      <w:r w:rsidRPr="007C7EA1">
        <w:rPr>
          <w:rFonts w:eastAsia="Calibri"/>
        </w:rPr>
        <w:t>Whakawahine</w:t>
      </w:r>
      <w:proofErr w:type="spellEnd"/>
      <w:r w:rsidRPr="007C7EA1">
        <w:rPr>
          <w:rFonts w:eastAsia="Calibri"/>
        </w:rPr>
        <w:t xml:space="preserve">, </w:t>
      </w:r>
      <w:proofErr w:type="spellStart"/>
      <w:r w:rsidRPr="007C7EA1">
        <w:rPr>
          <w:rFonts w:eastAsia="Calibri"/>
        </w:rPr>
        <w:t>Tangataira</w:t>
      </w:r>
      <w:proofErr w:type="spellEnd"/>
      <w:r w:rsidRPr="007C7EA1">
        <w:rPr>
          <w:rFonts w:eastAsia="Calibri"/>
        </w:rPr>
        <w:t xml:space="preserve"> Tane, Genderqueer)?”</w:t>
      </w:r>
      <w:r w:rsidR="00553DAC" w:rsidRPr="007C7EA1">
        <w:rPr>
          <w:rFonts w:eastAsia="Calibri"/>
        </w:rPr>
        <w:t xml:space="preserve"> </w:t>
      </w:r>
      <w:r w:rsidR="004A7BB6" w:rsidRPr="007C7EA1">
        <w:rPr>
          <w:rFonts w:eastAsia="Calibri"/>
        </w:rPr>
        <w:t>Based on their response options, p</w:t>
      </w:r>
      <w:r w:rsidR="00553DAC" w:rsidRPr="007C7EA1">
        <w:rPr>
          <w:rFonts w:eastAsia="Calibri"/>
        </w:rPr>
        <w:t xml:space="preserve">articipants were categorized in to four groups: “non-transgender”, transgender, not sure of their gender, and those who did not understand the question. Models adjusted for age, sex, race/ethnicity, and socioeconomic position, and showed that transgender youth had 5.7 higher odds (95% CI: 3.6-9.2) of having significant depression symptoms when compared to non-transgender youth. Results were </w:t>
      </w:r>
      <w:r w:rsidR="0075736A" w:rsidRPr="007C7EA1">
        <w:rPr>
          <w:rFonts w:eastAsia="Calibri"/>
        </w:rPr>
        <w:t>similar,</w:t>
      </w:r>
      <w:r w:rsidR="00553DAC" w:rsidRPr="007C7EA1">
        <w:rPr>
          <w:rFonts w:eastAsia="Calibri"/>
        </w:rPr>
        <w:t xml:space="preserve"> among youth who were unsure of their gender identity (</w:t>
      </w:r>
      <w:r w:rsidR="00AF787C">
        <w:rPr>
          <w:rFonts w:eastAsia="Calibri"/>
        </w:rPr>
        <w:t>OR</w:t>
      </w:r>
      <w:r w:rsidR="00553DAC" w:rsidRPr="007C7EA1">
        <w:rPr>
          <w:rFonts w:eastAsia="Calibri"/>
        </w:rPr>
        <w:t>: 3.4; 95% CI: 2.5-4.6).</w:t>
      </w:r>
      <w:r w:rsidR="0075736A" w:rsidRPr="007C7EA1">
        <w:rPr>
          <w:rFonts w:eastAsia="Calibri"/>
        </w:rPr>
        <w:t xml:space="preserve"> </w:t>
      </w:r>
    </w:p>
    <w:p w14:paraId="5C593A70" w14:textId="001A22A0" w:rsidR="007B55B9" w:rsidRPr="007C7EA1" w:rsidRDefault="0075736A" w:rsidP="00D26F0B">
      <w:pPr>
        <w:spacing w:line="480" w:lineRule="auto"/>
        <w:rPr>
          <w:rFonts w:eastAsia="Calibri"/>
        </w:rPr>
      </w:pPr>
      <w:r w:rsidRPr="007C7EA1">
        <w:rPr>
          <w:rFonts w:eastAsia="Calibri"/>
        </w:rPr>
        <w:tab/>
        <w:t xml:space="preserve">All other cross-sectional studies </w:t>
      </w:r>
      <w:r w:rsidR="00CC17CB">
        <w:rPr>
          <w:rFonts w:eastAsia="Calibri"/>
        </w:rPr>
        <w:t xml:space="preserve">located for this literature review </w:t>
      </w:r>
      <w:r w:rsidRPr="007C7EA1">
        <w:rPr>
          <w:rFonts w:eastAsia="Calibri"/>
        </w:rPr>
        <w:t>were comprised of GMY only</w:t>
      </w:r>
      <w:r w:rsidR="004A7BB6" w:rsidRPr="007C7EA1">
        <w:rPr>
          <w:rFonts w:eastAsia="Calibri"/>
        </w:rPr>
        <w:t>, and r</w:t>
      </w:r>
      <w:r w:rsidRPr="007C7EA1">
        <w:rPr>
          <w:rFonts w:eastAsia="Calibri"/>
        </w:rPr>
        <w:t xml:space="preserve">ates of depression in these studies were compared to national averages. Veale, Watson et al. (2017) conducted analysis on </w:t>
      </w:r>
      <w:r w:rsidR="002527DE" w:rsidRPr="007C7EA1">
        <w:rPr>
          <w:rFonts w:eastAsia="Calibri"/>
        </w:rPr>
        <w:t>data from the Canadian Trans Youth Health Survey (CTYHS), an</w:t>
      </w:r>
      <w:r w:rsidRPr="007C7EA1">
        <w:rPr>
          <w:rFonts w:eastAsia="Calibri"/>
        </w:rPr>
        <w:t xml:space="preserve"> online convenience sample of 923 Canadian GMY</w:t>
      </w:r>
      <w:r w:rsidR="009E526F">
        <w:rPr>
          <w:rFonts w:eastAsia="Calibri"/>
        </w:rPr>
        <w:t xml:space="preserve"> </w:t>
      </w:r>
      <w:r w:rsidR="009E526F">
        <w:rPr>
          <w:rFonts w:eastAsia="Calibri"/>
        </w:rPr>
        <w:fldChar w:fldCharType="begin"/>
      </w:r>
      <w:r w:rsidR="009E526F">
        <w:rPr>
          <w:rFonts w:eastAsia="Calibri"/>
        </w:rPr>
        <w:instrText>ADDIN F1000_CSL_CITATION&lt;~#@#~&gt;[{"DOI":"10.1016/j.jadohealth.2016.09.014","First":false,"Last":false,"PMCID":"PMC5630273","PMID":"28007056","abstract":"&lt;strong&gt;PURPOSE:&lt;/strong&gt; This study documented the prevalence of mental health problems among transgender youth in Canada and made comparisons with population-based studies. This study also compared gender identity subgroups and age subgroups (14-18 and 19-25).&lt;br&gt;&lt;br&gt;&lt;strong&gt;METHODS:&lt;/strong&gt; A nonprobability sample of 923 transgender youth from Canada completed an online survey. Participants were recruited through community organizations, health care settings, social media, and researchers' networks. Mental health measures were drawn from the British Columbia Adolescent Health Survey and the Canadian Community Health Survey.&lt;br&gt;&lt;br&gt;&lt;strong&gt;RESULTS:&lt;/strong&gt; Transgender youth had a higher risk of reporting psychological distress, self-harm, major depressive episodes, and suicide. For example, 65% of transgender 14- to 18-year olds seriously considered suicide in the past year compared with 13% in the British Columbia Adolescent Health Survey, and only a quarter of participants reported their mental health was good or excellent. Transgender boys/men and nonbinary youth were most likely to report self-harm and overall mental health remained stable across age subgroups.&lt;br&gt;&lt;br&gt;&lt;strong&gt;CONCLUSIONS:&lt;/strong&gt; Although a notable minority of transgender youth did not report negative health outcomes, this study shows the mental health disparities faced by transgender youth in Canada are considerable.&lt;br&gt;&lt;br&gt;Copyright Â© 2016 Society for Adolescent Health and Medicine. Published by Elsevier Inc. All rights reserved.","author":[{"family":"Veale","given":"Jaimie F"},{"family":"Watson","given":"Ryan J"},{"family":"Peter","given":"Tracey"},{"family":"Saewyc","given":"Elizabeth M"}],"authorYearDisplayFormat":false,"citation-label":"3091706","container-title":"The Journal of Adolescent Health","container-title-short":"J. Adolesc. Health","id":"3091706","invisible":false,"issue":"1","issued":{"date-parts":[["2017"]]},"journalAbbreviation":"J. Adolesc. Health","page":"44-49","suppress-author":false,"title":"Mental health disparities among Canadian transgender youth.","type":"article-journal","volume":"60"}]</w:instrText>
      </w:r>
      <w:r w:rsidR="009E526F">
        <w:rPr>
          <w:rFonts w:eastAsia="Calibri"/>
        </w:rPr>
        <w:fldChar w:fldCharType="separate"/>
      </w:r>
      <w:r w:rsidR="00F96D9F" w:rsidRPr="00F96D9F">
        <w:rPr>
          <w:rFonts w:eastAsia="Calibri"/>
          <w:noProof/>
        </w:rPr>
        <w:t>(Veale, Watson, Peter, &amp; Saewyc, 2017)</w:t>
      </w:r>
      <w:r w:rsidR="009E526F">
        <w:rPr>
          <w:rFonts w:eastAsia="Calibri"/>
        </w:rPr>
        <w:fldChar w:fldCharType="end"/>
      </w:r>
      <w:r w:rsidRPr="007C7EA1">
        <w:rPr>
          <w:rFonts w:eastAsia="Calibri"/>
        </w:rPr>
        <w:t xml:space="preserve">. Depression was assessed </w:t>
      </w:r>
      <w:r w:rsidR="007B55B9" w:rsidRPr="007C7EA1">
        <w:rPr>
          <w:rFonts w:eastAsia="Calibri"/>
        </w:rPr>
        <w:t>using</w:t>
      </w:r>
      <w:r w:rsidRPr="007C7EA1">
        <w:rPr>
          <w:rFonts w:eastAsia="Calibri"/>
        </w:rPr>
        <w:t xml:space="preserve"> </w:t>
      </w:r>
      <w:r w:rsidR="00885054" w:rsidRPr="007C7EA1">
        <w:rPr>
          <w:rFonts w:eastAsia="Calibri"/>
        </w:rPr>
        <w:t xml:space="preserve">the </w:t>
      </w:r>
      <w:r w:rsidRPr="007C7EA1">
        <w:rPr>
          <w:rFonts w:eastAsia="Calibri"/>
        </w:rPr>
        <w:t>DSM-5 diagnostic criteria, and gender identity was assessed with the following question: “When a person’s sex and gender do not match, they might think of themselves as transgender. Sex is what a person is born. Gender is how a person feels. Which one response best describes you?” Response options were</w:t>
      </w:r>
      <w:r w:rsidR="00713363" w:rsidRPr="007C7EA1">
        <w:rPr>
          <w:rFonts w:eastAsia="Calibri"/>
        </w:rPr>
        <w:t xml:space="preserve">, </w:t>
      </w:r>
      <w:proofErr w:type="gramStart"/>
      <w:r w:rsidR="00713363" w:rsidRPr="007C7EA1">
        <w:rPr>
          <w:rFonts w:eastAsia="Calibri"/>
        </w:rPr>
        <w:t>“ I</w:t>
      </w:r>
      <w:proofErr w:type="gramEnd"/>
      <w:r w:rsidR="00713363" w:rsidRPr="007C7EA1">
        <w:rPr>
          <w:rFonts w:eastAsia="Calibri"/>
        </w:rPr>
        <w:t xml:space="preserve"> am not transgender, ”“I am transgender and identify as a boy or man,” “I am transgender and identify as a girl or woman,” and “I am transgender and identify in some other way.”</w:t>
      </w:r>
      <w:r w:rsidR="00E04AD4" w:rsidRPr="007C7EA1">
        <w:rPr>
          <w:rFonts w:eastAsia="Calibri"/>
        </w:rPr>
        <w:t xml:space="preserve"> In this sample, 71.1% of GMY reports a major depressive episode in the past year. The authors compar</w:t>
      </w:r>
      <w:r w:rsidR="007B55B9" w:rsidRPr="007C7EA1">
        <w:rPr>
          <w:rFonts w:eastAsia="Calibri"/>
        </w:rPr>
        <w:t>ed this proportion</w:t>
      </w:r>
      <w:r w:rsidR="00E04AD4" w:rsidRPr="007C7EA1">
        <w:rPr>
          <w:rFonts w:eastAsia="Calibri"/>
        </w:rPr>
        <w:t xml:space="preserve"> to that among youth nationally (7.8%) from the national Canadian Community Health survey using a chi-squared test and found a significant difference (p&lt;0.01). Smith et al. (2014) conducted a</w:t>
      </w:r>
      <w:r w:rsidR="007B55B9" w:rsidRPr="007C7EA1">
        <w:rPr>
          <w:rFonts w:eastAsia="Calibri"/>
        </w:rPr>
        <w:t xml:space="preserve"> similar </w:t>
      </w:r>
      <w:r w:rsidR="00E04AD4" w:rsidRPr="007C7EA1">
        <w:rPr>
          <w:rFonts w:eastAsia="Calibri"/>
        </w:rPr>
        <w:t>online cross-sectional convenience study</w:t>
      </w:r>
      <w:r w:rsidR="007B55B9" w:rsidRPr="007C7EA1">
        <w:rPr>
          <w:rFonts w:eastAsia="Calibri"/>
        </w:rPr>
        <w:t xml:space="preserve"> of</w:t>
      </w:r>
      <w:r w:rsidR="00E04AD4" w:rsidRPr="007C7EA1">
        <w:rPr>
          <w:rFonts w:eastAsia="Calibri"/>
        </w:rPr>
        <w:t xml:space="preserve"> 189 GMY ages 14-25</w:t>
      </w:r>
      <w:r w:rsidR="007B55B9" w:rsidRPr="007C7EA1">
        <w:rPr>
          <w:rFonts w:eastAsia="Calibri"/>
        </w:rPr>
        <w:t xml:space="preserve"> and found similar results</w:t>
      </w:r>
      <w:r w:rsidR="00E04AD4" w:rsidRPr="007C7EA1">
        <w:rPr>
          <w:rFonts w:eastAsia="Calibri"/>
        </w:rPr>
        <w:t>. Depression was measured as</w:t>
      </w:r>
      <w:r w:rsidR="0072165A" w:rsidRPr="007C7EA1">
        <w:rPr>
          <w:rFonts w:eastAsia="Calibri"/>
        </w:rPr>
        <w:t xml:space="preserve"> lifetime</w:t>
      </w:r>
      <w:r w:rsidR="00E04AD4" w:rsidRPr="007C7EA1">
        <w:rPr>
          <w:rFonts w:eastAsia="Calibri"/>
        </w:rPr>
        <w:t xml:space="preserve"> diagnosis of depression from a healthcare </w:t>
      </w:r>
      <w:r w:rsidR="00E04AD4" w:rsidRPr="007C7EA1">
        <w:rPr>
          <w:rFonts w:eastAsia="Calibri"/>
        </w:rPr>
        <w:lastRenderedPageBreak/>
        <w:t>professional</w:t>
      </w:r>
      <w:r w:rsidR="0072165A" w:rsidRPr="007C7EA1">
        <w:rPr>
          <w:rFonts w:eastAsia="Calibri"/>
        </w:rPr>
        <w:t>, and gender identity was measured as a check all that apply question with 15 different options for gender identity. Across the sample</w:t>
      </w:r>
      <w:r w:rsidR="007B55B9" w:rsidRPr="007C7EA1">
        <w:rPr>
          <w:rFonts w:eastAsia="Calibri"/>
        </w:rPr>
        <w:t>,</w:t>
      </w:r>
      <w:r w:rsidR="0072165A" w:rsidRPr="007C7EA1">
        <w:rPr>
          <w:rFonts w:eastAsia="Calibri"/>
        </w:rPr>
        <w:t xml:space="preserve"> 50% of GMY had been diagnosed with depression by a healthcare professional</w:t>
      </w:r>
      <w:r w:rsidR="007B55B9" w:rsidRPr="007C7EA1">
        <w:rPr>
          <w:rFonts w:eastAsia="Calibri"/>
        </w:rPr>
        <w:t>; t</w:t>
      </w:r>
      <w:r w:rsidR="0072165A" w:rsidRPr="007C7EA1">
        <w:rPr>
          <w:rFonts w:eastAsia="Calibri"/>
        </w:rPr>
        <w:t>he authors note</w:t>
      </w:r>
      <w:r w:rsidR="007B55B9" w:rsidRPr="007C7EA1">
        <w:rPr>
          <w:rFonts w:eastAsia="Calibri"/>
        </w:rPr>
        <w:t>d</w:t>
      </w:r>
      <w:r w:rsidR="0072165A" w:rsidRPr="007C7EA1">
        <w:rPr>
          <w:rFonts w:eastAsia="Calibri"/>
        </w:rPr>
        <w:t xml:space="preserve"> that this is prevalence is substantially higher than the prevalence of depression </w:t>
      </w:r>
      <w:r w:rsidR="007B55B9" w:rsidRPr="007C7EA1">
        <w:rPr>
          <w:rFonts w:eastAsia="Calibri"/>
        </w:rPr>
        <w:t>in</w:t>
      </w:r>
      <w:r w:rsidR="0072165A" w:rsidRPr="007C7EA1">
        <w:rPr>
          <w:rFonts w:eastAsia="Calibri"/>
        </w:rPr>
        <w:t xml:space="preserve"> national surveys with similar measures (6</w:t>
      </w:r>
      <w:r w:rsidR="007B55B9" w:rsidRPr="007C7EA1">
        <w:rPr>
          <w:rFonts w:eastAsia="Calibri"/>
        </w:rPr>
        <w:t>.</w:t>
      </w:r>
      <w:r w:rsidR="0072165A" w:rsidRPr="007C7EA1">
        <w:rPr>
          <w:rFonts w:eastAsia="Calibri"/>
        </w:rPr>
        <w:t xml:space="preserve">7%). </w:t>
      </w:r>
      <w:r w:rsidR="00D26F0B" w:rsidRPr="007C7EA1">
        <w:rPr>
          <w:rFonts w:eastAsia="Calibri"/>
        </w:rPr>
        <w:t xml:space="preserve">Lastly, Reisner et al. (2016) conducted a cross-sectional analysis of the baseline survey from an RCT of </w:t>
      </w:r>
      <w:r w:rsidR="00EE7D4F" w:rsidRPr="007C7EA1">
        <w:rPr>
          <w:rFonts w:eastAsia="Calibri"/>
        </w:rPr>
        <w:t>298 sexually active</w:t>
      </w:r>
      <w:r w:rsidR="00D26F0B" w:rsidRPr="007C7EA1">
        <w:rPr>
          <w:rFonts w:eastAsia="Calibri"/>
        </w:rPr>
        <w:t xml:space="preserve"> transgender women, ages 16-29. Depression was measured based on DSM-4 criteria, as part of a brief, structured interview, and self-identification as a transgender woman was an eligibility requirement</w:t>
      </w:r>
      <w:r w:rsidR="009E526F">
        <w:rPr>
          <w:rFonts w:eastAsia="Calibri"/>
        </w:rPr>
        <w:t xml:space="preserve"> </w:t>
      </w:r>
      <w:r w:rsidR="00EE7D4F" w:rsidRPr="007C7EA1">
        <w:rPr>
          <w:rFonts w:eastAsia="Calibri"/>
        </w:rPr>
        <w:fldChar w:fldCharType="begin"/>
      </w:r>
      <w:r w:rsidR="009E526F">
        <w:rPr>
          <w:rFonts w:eastAsia="Calibri"/>
        </w:rPr>
        <w:instrText>ADDIN F1000_CSL_CITATION&lt;~#@#~&gt;[{"DOI":"10.1001/jamapediatrics.2016.0067","First":false,"Last":false,"PMCID":"PMC4882090","PMID":"26999485","abstract":"&lt;strong&gt;IMPORTANCE:&lt;/strong&gt; Transgender youth, including adolescent and young adult transgender women assigned a male sex at birth who identify as girls, women, transgender women, transfemale, male-to-female, or another diverse transfeminine gender identity, represent a vulnerable population at risk for negative mental health and substance use outcomes. Diagnostic clinical interviews to assess prevalence of mental health, substance dependence, and comorbid psychiatric disorders in young transgender women remain scarce.&lt;br&gt;&lt;br&gt;&lt;strong&gt;OBJECTIVE:&lt;/strong&gt; To report the prevalence of mental health, substance dependence, and comorbid psychiatric disorders assessed via clinical diagnostic interview in a high-risk community-recruited sample of young transgender women.&lt;br&gt;&lt;br&gt;&lt;strong&gt;DESIGN, SETTING, AND PARTICIPANTS:&lt;/strong&gt; Observational study reporting baseline finding from a diverse sample of 298 sexually active, young transgender women aged 16 through 29 years (mean age, 23.4 years; 49.0% black, 12.4% Latina, 25.5% white, and 13.1% other minority race/ethnicity) and enrolled in Project LifeSkills, an ongoing randomized controlled HIV prevention intervention efficacy trial in Chicago and Boston, between 2012 and 2015.&lt;br&gt;&lt;br&gt;&lt;strong&gt;EXPOSURE:&lt;/strong&gt; Transfeminine gender identity.&lt;br&gt;&lt;br&gt;&lt;strong&gt;MAIN OUTCOMES AND MEASURES:&lt;/strong&gt; Age- and site-adjusted prevalence and comorbidities of mental health and substance dependence disorders assessed via the Mini-International Neuropsychiatric Interview, including 1 or more diagnoses, 2 or more comorbid diagnoses, major depressive episode (current and lifetime), past 30-day suicidal risk (no/low risk vs moderate/high risk), past 6-month generalized anxiety disorder and posttraumatic stress disorder, and past 12-month alcohol dependence and nonalcohol psychoactive substance use dependence.&lt;br&gt;&lt;br&gt;&lt;strong&gt;RESULTS:&lt;/strong&gt; Of the 298 transgender women, 41.5% of participants had 1 or more mental health or substance dependence diagnoses; 1 in 5 (20.1%) had 2 or more comorbid psychiatric diagnoses. Prevalence of specific disorders was as follows: lifetime and current major depressive episode, 35.4% and 14.7%, respectively; suicidality, 20.2%; generalized anxiety disorder, 7.9%; posttraumatic stress disorder, 9.8%; alcohol dependence, 11.2%; and nonalcohol psychoactive substance use dependence, 15.2%.&lt;br&gt;&lt;br&gt;&lt;strong&gt;CONCLUSIONS AND RELEVANCE:&lt;/strong&gt; Prevalence of psychiatric diagnoses was high in this community-recruited sample of young transgender women. Improving access to routine primary care, diagnostic screening, psychotherapy, and pharmacologic treatments, and retention in care in clinical community-based, pediatric, and adolescent medicine settings are urgently needed to address mental health and substance dependence disorders in this population. Further research will be critical, particularly longitudinal studies across development, to understand risk factors and identify optimal timing and targets for psychosocial interventions.","author":[{"family":"Reisner","given":"Sari L"},{"family":"Biello","given":"Katie B"},{"family":"White Hughto","given":"Jaclyn M"},{"family":"Kuhns","given":"Lisa"},{"family":"Mayer","given":"Kenneth H"},{"family":"Garofalo","given":"Robert"},{"family":"Mimiaga","given":"Matthew J"}],"authorYearDisplayFormat":false,"citation-label":"5075185","container-title":"JAMA pediatrics","container-title-short":"JAMA Pediatr.","id":"5075185","invisible":false,"issue":"5","issued":{"date-parts":[["2016","5","1"]]},"journalAbbreviation":"JAMA Pediatr.","page":"481-486","suppress-author":false,"title":"Psychiatric diagnoses and comorbidities in a diverse, multicity cohort of young transgender women: baseline findings from project lifeskills.","type":"article-journal","volume":"170"}]</w:instrText>
      </w:r>
      <w:r w:rsidR="00EE7D4F" w:rsidRPr="007C7EA1">
        <w:rPr>
          <w:rFonts w:eastAsia="Calibri"/>
        </w:rPr>
        <w:fldChar w:fldCharType="separate"/>
      </w:r>
      <w:r w:rsidR="00F96D9F" w:rsidRPr="00F96D9F">
        <w:rPr>
          <w:rFonts w:eastAsia="Calibri"/>
          <w:noProof/>
        </w:rPr>
        <w:t>(Reisner et al., 2016)</w:t>
      </w:r>
      <w:r w:rsidR="00EE7D4F" w:rsidRPr="007C7EA1">
        <w:rPr>
          <w:rFonts w:eastAsia="Calibri"/>
        </w:rPr>
        <w:fldChar w:fldCharType="end"/>
      </w:r>
      <w:r w:rsidR="009E526F">
        <w:rPr>
          <w:rFonts w:eastAsia="Calibri"/>
        </w:rPr>
        <w:t>.</w:t>
      </w:r>
      <w:r w:rsidR="00D26F0B" w:rsidRPr="007C7EA1">
        <w:rPr>
          <w:rFonts w:eastAsia="Calibri"/>
        </w:rPr>
        <w:t xml:space="preserve"> The prevalence of lifetime major depressive episodes was 35%, which the authors noted was higher than the national average. </w:t>
      </w:r>
    </w:p>
    <w:p w14:paraId="637202F5" w14:textId="238795DE" w:rsidR="00445604" w:rsidRPr="007C7EA1" w:rsidRDefault="007B55B9" w:rsidP="007B55B9">
      <w:pPr>
        <w:spacing w:line="480" w:lineRule="auto"/>
        <w:ind w:firstLine="720"/>
        <w:rPr>
          <w:rFonts w:eastAsia="Calibri"/>
        </w:rPr>
      </w:pPr>
      <w:r w:rsidRPr="007C7EA1">
        <w:rPr>
          <w:rFonts w:eastAsia="Calibri"/>
        </w:rPr>
        <w:t>With the exception of Smith et al. (2014), in these survey-based studies, participants who were unsure of their gender identity, or who did not identify as cisgender or transgender were not included in these studies, indicating that some GMY were excluded</w:t>
      </w:r>
      <w:r w:rsidR="009E526F">
        <w:rPr>
          <w:rFonts w:eastAsia="Calibri"/>
        </w:rPr>
        <w:t xml:space="preserve"> </w:t>
      </w:r>
      <w:r w:rsidR="009E526F" w:rsidRPr="007C7EA1">
        <w:rPr>
          <w:rFonts w:eastAsia="Calibri"/>
        </w:rPr>
        <w:fldChar w:fldCharType="begin"/>
      </w:r>
      <w:r w:rsidR="009E526F">
        <w:rPr>
          <w:rFonts w:eastAsia="Calibri"/>
        </w:rPr>
        <w:instrText>ADDIN F1000_CSL_CITATION&lt;~#@#~&gt;[{"First":false,"ISBN":"9781921915628","Last":false,"author":[{"family":"Smith","given":"Elizabeth"},{"family":"Jones","given":"Tiffany"},{"family":"Ward","given":"Roz"},{"family":"Dixon","given":"Jennifer"},{"family":"Mitchell","given":"Anne"},{"family":"Hillier","given":"Lynne"}],"authorYearDisplayFormat":false,"citation-label":"8578029","id":"8578029","invisible":false,"issued":{"date-parts":[["2014"]]},"publisher":"Australian Research Centre in Sex, Health and Society (ARCSHS), La Trobe University","suppress-author":false,"title":"From Blues to Rainbows: The mental health and well-being of gender diverse and transgender young people in Australia","type":"book"}]</w:instrText>
      </w:r>
      <w:r w:rsidR="009E526F" w:rsidRPr="007C7EA1">
        <w:rPr>
          <w:rFonts w:eastAsia="Calibri"/>
        </w:rPr>
        <w:fldChar w:fldCharType="separate"/>
      </w:r>
      <w:r w:rsidR="00F96D9F" w:rsidRPr="00F96D9F">
        <w:rPr>
          <w:rFonts w:eastAsia="Calibri"/>
          <w:noProof/>
        </w:rPr>
        <w:t>(Smith et al., 2014)</w:t>
      </w:r>
      <w:r w:rsidR="009E526F" w:rsidRPr="007C7EA1">
        <w:rPr>
          <w:rFonts w:eastAsia="Calibri"/>
        </w:rPr>
        <w:fldChar w:fldCharType="end"/>
      </w:r>
      <w:r w:rsidRPr="007C7EA1">
        <w:rPr>
          <w:rFonts w:eastAsia="Calibri"/>
        </w:rPr>
        <w:t>. Further research is needed to determine if this exclusion may have biased results</w:t>
      </w:r>
      <w:r w:rsidR="009E526F">
        <w:rPr>
          <w:rFonts w:eastAsia="Calibri"/>
        </w:rPr>
        <w:t>.</w:t>
      </w:r>
      <w:r w:rsidRPr="007C7EA1">
        <w:rPr>
          <w:rFonts w:eastAsia="Calibri"/>
        </w:rPr>
        <w:t xml:space="preserve"> A</w:t>
      </w:r>
      <w:r w:rsidR="00D26F0B" w:rsidRPr="007C7EA1">
        <w:rPr>
          <w:rFonts w:eastAsia="Calibri"/>
        </w:rPr>
        <w:t>ll three</w:t>
      </w:r>
      <w:r w:rsidR="0072165A" w:rsidRPr="007C7EA1">
        <w:rPr>
          <w:rFonts w:eastAsia="Calibri"/>
        </w:rPr>
        <w:t xml:space="preserve"> of these studies likely </w:t>
      </w:r>
      <w:r w:rsidRPr="007C7EA1">
        <w:rPr>
          <w:rFonts w:eastAsia="Calibri"/>
        </w:rPr>
        <w:t>suffered from</w:t>
      </w:r>
      <w:r w:rsidR="0072165A" w:rsidRPr="007C7EA1">
        <w:rPr>
          <w:rFonts w:eastAsia="Calibri"/>
        </w:rPr>
        <w:t xml:space="preserve"> selection bias due to </w:t>
      </w:r>
      <w:r w:rsidR="00D26F0B" w:rsidRPr="007C7EA1">
        <w:rPr>
          <w:rFonts w:eastAsia="Calibri"/>
        </w:rPr>
        <w:t>convenience</w:t>
      </w:r>
      <w:r w:rsidR="0072165A" w:rsidRPr="007C7EA1">
        <w:rPr>
          <w:rFonts w:eastAsia="Calibri"/>
        </w:rPr>
        <w:t xml:space="preserve"> sampling</w:t>
      </w:r>
      <w:r w:rsidRPr="007C7EA1">
        <w:rPr>
          <w:rFonts w:eastAsia="Calibri"/>
        </w:rPr>
        <w:t>,</w:t>
      </w:r>
      <w:r w:rsidR="0072165A" w:rsidRPr="007C7EA1">
        <w:rPr>
          <w:rFonts w:eastAsia="Calibri"/>
        </w:rPr>
        <w:t xml:space="preserve"> and were</w:t>
      </w:r>
      <w:r w:rsidRPr="007C7EA1">
        <w:rPr>
          <w:rFonts w:eastAsia="Calibri"/>
        </w:rPr>
        <w:t xml:space="preserve"> also</w:t>
      </w:r>
      <w:r w:rsidR="0072165A" w:rsidRPr="007C7EA1">
        <w:rPr>
          <w:rFonts w:eastAsia="Calibri"/>
        </w:rPr>
        <w:t xml:space="preserve"> not able to conduct rigorous analytic testing when comparing depression among GMY and cisgender youth</w:t>
      </w:r>
      <w:r w:rsidRPr="007C7EA1">
        <w:rPr>
          <w:rFonts w:eastAsia="Calibri"/>
        </w:rPr>
        <w:t>. However, despite these limitations,</w:t>
      </w:r>
      <w:r w:rsidR="0072165A" w:rsidRPr="007C7EA1">
        <w:rPr>
          <w:rFonts w:eastAsia="Calibri"/>
        </w:rPr>
        <w:t xml:space="preserve"> the magnitude of disparities </w:t>
      </w:r>
      <w:r w:rsidRPr="007C7EA1">
        <w:rPr>
          <w:rFonts w:eastAsia="Calibri"/>
        </w:rPr>
        <w:t>in depression among GMY remained large, indicating</w:t>
      </w:r>
      <w:r w:rsidR="0072165A" w:rsidRPr="007C7EA1">
        <w:rPr>
          <w:rFonts w:eastAsia="Calibri"/>
        </w:rPr>
        <w:t xml:space="preserve"> a need for further study. </w:t>
      </w:r>
    </w:p>
    <w:p w14:paraId="48567BDA" w14:textId="6CD2F5E3" w:rsidR="00CC17CB" w:rsidRDefault="006707C5" w:rsidP="007113F7">
      <w:pPr>
        <w:spacing w:line="480" w:lineRule="auto"/>
        <w:rPr>
          <w:rFonts w:eastAsia="Calibri"/>
        </w:rPr>
      </w:pPr>
      <w:r w:rsidRPr="007C7EA1">
        <w:rPr>
          <w:rFonts w:eastAsia="Calibri"/>
        </w:rPr>
        <w:tab/>
        <w:t>Lastly, three clinic-based studies used EMR data to report the prevalence of depression</w:t>
      </w:r>
      <w:r w:rsidR="00330477" w:rsidRPr="007C7EA1">
        <w:rPr>
          <w:rFonts w:eastAsia="Calibri"/>
        </w:rPr>
        <w:t xml:space="preserve"> among GMY</w:t>
      </w:r>
      <w:r w:rsidR="007B55B9" w:rsidRPr="007C7EA1">
        <w:rPr>
          <w:rFonts w:eastAsia="Calibri"/>
        </w:rPr>
        <w:t xml:space="preserve"> and compared that prevalence to the national prevalence</w:t>
      </w:r>
      <w:r w:rsidRPr="007C7EA1">
        <w:rPr>
          <w:rFonts w:eastAsia="Calibri"/>
        </w:rPr>
        <w:t xml:space="preserve">. </w:t>
      </w:r>
      <w:proofErr w:type="spellStart"/>
      <w:r w:rsidR="00330477" w:rsidRPr="007C7EA1">
        <w:rPr>
          <w:rFonts w:eastAsia="Calibri"/>
        </w:rPr>
        <w:t>Spack</w:t>
      </w:r>
      <w:proofErr w:type="spellEnd"/>
      <w:r w:rsidR="00330477" w:rsidRPr="007C7EA1">
        <w:rPr>
          <w:rFonts w:eastAsia="Calibri"/>
        </w:rPr>
        <w:t xml:space="preserve"> et al. (2012) examined the prevalence of depression diagnosis among gender minority children and youth ages 4-20 between 1988-2009 at Boston Children’s Hospital and found that 25.8% had been diagnosed with depression</w:t>
      </w:r>
      <w:r w:rsidR="007B55B9" w:rsidRPr="007C7EA1">
        <w:rPr>
          <w:rFonts w:eastAsia="Calibri"/>
        </w:rPr>
        <w:t>, which is higher than the national average of 13.3%</w:t>
      </w:r>
      <w:r w:rsidR="009E526F">
        <w:rPr>
          <w:rFonts w:eastAsia="Calibri"/>
        </w:rPr>
        <w:t xml:space="preserve"> </w:t>
      </w:r>
      <w:r w:rsidR="007B55B9" w:rsidRPr="007C7EA1">
        <w:rPr>
          <w:rFonts w:eastAsia="Calibri"/>
        </w:rPr>
        <w:fldChar w:fldCharType="begin"/>
      </w:r>
      <w:r w:rsidR="009E526F">
        <w:rPr>
          <w:rFonts w:eastAsia="Calibri"/>
        </w:rPr>
        <w:instrText>ADDIN F1000_CSL_CITATION&lt;~#@#~&gt;[{"First":false,"Last":false,"URL":"https://www.samhsa.gov/data/sites/default/files/cbhsq-reports/NSDUHDetailedTabs2017/NSDUHDetailedTabs2017.htm#tab8-56A","accessed":{"date-parts":[["2020","4","7"]]},"author":[{"family":"CBHSQ"},{"family":"SAMHSA"},{"family":"HHS"},{"family":"RTI International"}],"authorYearDisplayFormat":false,"citation-label":"8599518","id":"8599518","invisible":false,"issued":{"date-parts":[["2019"]]},"suppress-author":false,"title":"Results from the 2017 National Survey on Drug Use and Health: Detailed Tables","type":"webpage"}]</w:instrText>
      </w:r>
      <w:r w:rsidR="007B55B9" w:rsidRPr="007C7EA1">
        <w:rPr>
          <w:rFonts w:eastAsia="Calibri"/>
        </w:rPr>
        <w:fldChar w:fldCharType="separate"/>
      </w:r>
      <w:r w:rsidR="00F96D9F" w:rsidRPr="00F96D9F">
        <w:rPr>
          <w:rFonts w:eastAsia="Calibri"/>
          <w:noProof/>
        </w:rPr>
        <w:t>(CBHSQ, SAMHSA, HHS, &amp; RTI International, 2019)</w:t>
      </w:r>
      <w:r w:rsidR="007B55B9" w:rsidRPr="007C7EA1">
        <w:rPr>
          <w:rFonts w:eastAsia="Calibri"/>
        </w:rPr>
        <w:fldChar w:fldCharType="end"/>
      </w:r>
      <w:r w:rsidR="009E526F">
        <w:rPr>
          <w:rFonts w:eastAsia="Calibri"/>
        </w:rPr>
        <w:t>.</w:t>
      </w:r>
      <w:r w:rsidR="00330477" w:rsidRPr="007C7EA1">
        <w:rPr>
          <w:rFonts w:eastAsia="Calibri"/>
        </w:rPr>
        <w:t xml:space="preserve"> Gender identity in this study was measured </w:t>
      </w:r>
      <w:r w:rsidR="00330477" w:rsidRPr="007C7EA1">
        <w:rPr>
          <w:rFonts w:eastAsia="Calibri"/>
        </w:rPr>
        <w:lastRenderedPageBreak/>
        <w:t>differently in the EMR at different points between 1988-2009, which may have biased results</w:t>
      </w:r>
      <w:r w:rsidR="006F6EEE" w:rsidRPr="007C7EA1">
        <w:rPr>
          <w:rFonts w:eastAsia="Calibri"/>
        </w:rPr>
        <w:t xml:space="preserve"> in undetermined ways</w:t>
      </w:r>
      <w:r w:rsidR="009E526F">
        <w:rPr>
          <w:rFonts w:eastAsia="Calibri"/>
        </w:rPr>
        <w:t xml:space="preserve"> </w:t>
      </w:r>
      <w:r w:rsidR="00885054" w:rsidRPr="007C7EA1">
        <w:rPr>
          <w:rFonts w:eastAsia="Calibri"/>
        </w:rPr>
        <w:fldChar w:fldCharType="begin"/>
      </w:r>
      <w:r w:rsidR="009E526F">
        <w:rPr>
          <w:rFonts w:eastAsia="Calibri"/>
        </w:rPr>
        <w:instrText>ADDIN F1000_CSL_CITATION&lt;~#@#~&gt;[{"DOI":"10.1542/peds.2011-0907","First":false,"Last":false,"PMID":"22351896","abstract":"&lt;strong&gt;OBJECTIVES:&lt;/strong&gt; To describe the patients with gender identity disorder referred to a pediatric medical center. We identify changes in patients after creation of the multidisciplinary Gender Management Service by expanding the Disorders of Sex Development clinic to include transgender patients.&lt;br&gt;&lt;br&gt;&lt;strong&gt;METHODS:&lt;/strong&gt; Data gathered on 97 consecutive patients &lt; 21 years, with initial visits between January 1998 and February 2010, who fulfilled the following criteria: long-standing cross-gender behaviors, provided letters from current mental health professional, and parental support. Main descriptive measures included gender, age, Tanner stage, history of gender identity development, and psychiatric comorbidity.&lt;br&gt;&lt;br&gt;&lt;strong&gt;RESULTS:&lt;/strong&gt; Genotypic male:female ratio was 43:54 (0.8:1); there was a slight preponderance of female patients but not significant from 1:1. Age of presentation was 14.8 ± 3.4 years (mean ± SD) without sex difference (P = .11). Tanner stage at presentation was 4.1 ± 1.4 for genotypic female patients and 3.6 ± 1.5 for genotypic male patients (P = .02). Age at start of medical treatment was 15.6 ± 2.8 years. Forty-three patients (44.3%) presented with significant psychiatric history, including 20 reporting self-mutilation (20.6%) and suicide attempts (9.3%).&lt;br&gt;&lt;br&gt;&lt;strong&gt;CONCLUSIONS:&lt;/strong&gt; After establishment of a multidisciplinary gender clinic, the gender identity disorder population increased fourfold. Complex clinical presentations required additional mental health support as the patient population grew. Mean age and Tanner Stage were too advanced for pubertal suppressive therapy to be an affordable option for most patients. Two-thirds of patients were started on cross-sex hormone therapy. Greater awareness of the benefit of early medical intervention is needed. Psychological and physical effects of pubertal suppression and/or cross-sex hormones in our patients require further investigation.","author":[{"family":"Spack","given":"Norman P"},{"family":"Edwards-Leeper","given":"Laura"},{"family":"Feldman","given":"Henry A"},{"family":"Leibowitz","given":"Scott"},{"family":"Mandel","given":"Francie"},{"family":"Diamond","given":"David A"},{"family":"Vance","given":"Stanley R"}],"authorYearDisplayFormat":false,"citation-label":"3372367","container-title":"Pediatrics","container-title-short":"Pediatrics","id":"3372367","invisible":false,"issue":"3","issued":{"date-parts":[["2012","3"]]},"journalAbbreviation":"Pediatrics","page":"418-425","suppress-author":false,"title":"Children and adolescents with gender identity disorder referred to a pediatric medical center.","type":"article-journal","volume":"129"}]</w:instrText>
      </w:r>
      <w:r w:rsidR="00885054" w:rsidRPr="007C7EA1">
        <w:rPr>
          <w:rFonts w:eastAsia="Calibri"/>
        </w:rPr>
        <w:fldChar w:fldCharType="separate"/>
      </w:r>
      <w:r w:rsidR="00F96D9F" w:rsidRPr="00F96D9F">
        <w:rPr>
          <w:rFonts w:eastAsia="Calibri"/>
          <w:noProof/>
        </w:rPr>
        <w:t>(Spack et al., 2012)</w:t>
      </w:r>
      <w:r w:rsidR="00885054" w:rsidRPr="007C7EA1">
        <w:rPr>
          <w:rFonts w:eastAsia="Calibri"/>
        </w:rPr>
        <w:fldChar w:fldCharType="end"/>
      </w:r>
      <w:r w:rsidR="009E526F">
        <w:rPr>
          <w:rFonts w:eastAsia="Calibri"/>
        </w:rPr>
        <w:t>.</w:t>
      </w:r>
      <w:r w:rsidR="00330477" w:rsidRPr="007C7EA1">
        <w:rPr>
          <w:rFonts w:eastAsia="Calibri"/>
        </w:rPr>
        <w:t xml:space="preserve"> </w:t>
      </w:r>
      <w:r w:rsidR="009E526F">
        <w:rPr>
          <w:rFonts w:eastAsia="Calibri"/>
        </w:rPr>
        <w:t xml:space="preserve">J. </w:t>
      </w:r>
      <w:r w:rsidR="0050576E" w:rsidRPr="007C7EA1">
        <w:rPr>
          <w:rFonts w:eastAsia="Calibri"/>
        </w:rPr>
        <w:t>Olson et al. (2015) analyzed a sample of 96 youth ages 12-24 who enrolled in a gender care clinic between 2011-2013</w:t>
      </w:r>
      <w:r w:rsidR="006F6EEE" w:rsidRPr="007C7EA1">
        <w:rPr>
          <w:rFonts w:eastAsia="Calibri"/>
        </w:rPr>
        <w:t xml:space="preserve"> and also found a high prevalence of depressio</w:t>
      </w:r>
      <w:r w:rsidR="009E526F">
        <w:rPr>
          <w:rFonts w:eastAsia="Calibri"/>
        </w:rPr>
        <w:t xml:space="preserve">n </w:t>
      </w:r>
      <w:r w:rsidR="00885054" w:rsidRPr="007C7EA1">
        <w:rPr>
          <w:rFonts w:eastAsia="Calibri"/>
        </w:rPr>
        <w:fldChar w:fldCharType="begin"/>
      </w:r>
      <w:r w:rsidR="009E526F">
        <w:rPr>
          <w:rFonts w:eastAsia="Calibri"/>
        </w:rPr>
        <w:instrText>ADDIN F1000_CSL_CITATION&lt;~#@#~&gt;[{"DOI":"10.1016/j.jadohealth.2015.04.027","First":false,"Last":false,"PMCID":"PMC5033041","PMID":"26208863","abstract":"&lt;strong&gt;PURPOSE:&lt;/strong&gt; The purpose of this study was to describe baseline characteristics of participants in a prospective observational study of transgender youth (aged 12-24 years) seeking care for gender dysphoria at a large, urban transgender youth clinic.&lt;br&gt;&lt;br&gt;&lt;strong&gt;METHODS:&lt;/strong&gt; Eligible participants presented consecutively for care at between February 2011 and June 2013 and completed a computer-assisted survey at their initial study visit. Physiologic data were abstracted from medical charts. Data were analyzed by descriptive statistics, with limited comparisons between transmasculine and transfeminine participants.&lt;br&gt;&lt;br&gt;&lt;strong&gt;RESULTS:&lt;/strong&gt; A total of 101 youth were evaluated for physiologic parameters, 96 completed surveys assessing psychosocial parameters. About half (50.5%) of the youth were assigned a male sex at birth. Baseline physiologic values were within normal ranges for assigned sex at birth. Youth recognized gender incongruence at a mean age of 8.3 years (standard deviation = 4.5), yet disclosed to their family much later (mean = 17.1; standard deviation = 4.2). Gender dysphoria was high among all participants. Thirty-five percent of the participants reported depression symptoms in the clinical range. More than half of the youth reported having thought about suicide at least once in their lifetime, and nearly a third had made at least one attempt.&lt;br&gt;&lt;br&gt;&lt;strong&gt;CONCLUSIONS:&lt;/strong&gt; Baseline physiologic parameters were within normal ranges for assigned sex at birth. Transgender youth are aware of the incongruence between their internal gender identity and their assigned sex at early ages. Prevalence of depression and suicidality demonstrates that youth may benefit from timely and appropriate intervention. Evaluation of these youth over time will help determine the impact of medical intervention and mental health therapy.&lt;br&gt;&lt;br&gt;Copyright © 2015 Society for Adolescent Health and Medicine. Published by Elsevier Inc. All rights reserved.","author":[{"family":"Olson","given":"Johanna"},{"family":"Schrager","given":"Sheree M"},{"family":"Belzer","given":"Marvin"},{"family":"Simons","given":"Lisa K"},{"family":"Clark","given":"Leslie F"}],"authorYearDisplayFormat":false,"citation-label":"1455201","container-title":"The Journal of Adolescent Health","container-title-short":"J. Adolesc. Health","id":"1455201","invisible":false,"issue":"4","issued":{"date-parts":[["2015","10"]]},"journalAbbreviation":"J. Adolesc. Health","page":"374-380","suppress-author":false,"title":"Baseline physiologic and psychosocial characteristics of transgender youth seeking care for gender dysphoria.","type":"article-journal","volume":"57"}]</w:instrText>
      </w:r>
      <w:r w:rsidR="00885054" w:rsidRPr="007C7EA1">
        <w:rPr>
          <w:rFonts w:eastAsia="Calibri"/>
        </w:rPr>
        <w:fldChar w:fldCharType="separate"/>
      </w:r>
      <w:r w:rsidR="00F96D9F" w:rsidRPr="00F96D9F">
        <w:rPr>
          <w:rFonts w:eastAsia="Calibri"/>
          <w:noProof/>
        </w:rPr>
        <w:t>(J. Olson, Schrager, Belzer, Simons, &amp; Clark, 2015)</w:t>
      </w:r>
      <w:r w:rsidR="00885054" w:rsidRPr="007C7EA1">
        <w:rPr>
          <w:rFonts w:eastAsia="Calibri"/>
        </w:rPr>
        <w:fldChar w:fldCharType="end"/>
      </w:r>
      <w:r w:rsidR="009E526F">
        <w:rPr>
          <w:rFonts w:eastAsia="Calibri"/>
        </w:rPr>
        <w:t>.</w:t>
      </w:r>
      <w:r w:rsidR="0050576E" w:rsidRPr="007C7EA1">
        <w:rPr>
          <w:rFonts w:eastAsia="Calibri"/>
        </w:rPr>
        <w:t xml:space="preserve"> </w:t>
      </w:r>
      <w:r w:rsidR="006F6EEE" w:rsidRPr="007C7EA1">
        <w:rPr>
          <w:rFonts w:eastAsia="Calibri"/>
        </w:rPr>
        <w:t xml:space="preserve">In this study, </w:t>
      </w:r>
      <w:r w:rsidR="0050576E" w:rsidRPr="007C7EA1">
        <w:rPr>
          <w:rFonts w:eastAsia="Calibri"/>
        </w:rPr>
        <w:t xml:space="preserve">GMY needed to both have a gender identity that differed from what they were assigned at birth and have a desire to undergo physical transition with HRT. Beck depression scores were measured via a health questionnaire on a youth’s first visit, and 24% of youth reported a score of moderate depression severity or greater, which the authors compared to national rates of 6.7% among </w:t>
      </w:r>
      <w:proofErr w:type="gramStart"/>
      <w:r w:rsidR="0050576E" w:rsidRPr="007C7EA1">
        <w:rPr>
          <w:rFonts w:eastAsia="Calibri"/>
        </w:rPr>
        <w:t>12-17 year-olds</w:t>
      </w:r>
      <w:proofErr w:type="gramEnd"/>
      <w:r w:rsidR="0050576E" w:rsidRPr="007C7EA1">
        <w:rPr>
          <w:rFonts w:eastAsia="Calibri"/>
        </w:rPr>
        <w:t xml:space="preserve"> and 11% of 18-24 year-olds nationally. Finally, </w:t>
      </w:r>
      <w:proofErr w:type="spellStart"/>
      <w:r w:rsidR="0050576E" w:rsidRPr="007C7EA1">
        <w:rPr>
          <w:rFonts w:eastAsia="Calibri"/>
        </w:rPr>
        <w:t>Chodzen</w:t>
      </w:r>
      <w:proofErr w:type="spellEnd"/>
      <w:r w:rsidR="0050576E" w:rsidRPr="007C7EA1">
        <w:rPr>
          <w:rFonts w:eastAsia="Calibri"/>
        </w:rPr>
        <w:t xml:space="preserve"> et al. (2019) analyzed a sample of 109 self-identified GMY</w:t>
      </w:r>
      <w:r w:rsidR="00885054" w:rsidRPr="007C7EA1">
        <w:rPr>
          <w:rFonts w:eastAsia="Calibri"/>
        </w:rPr>
        <w:t xml:space="preserve"> ages 12-18</w:t>
      </w:r>
      <w:r w:rsidR="0050576E" w:rsidRPr="007C7EA1">
        <w:rPr>
          <w:rFonts w:eastAsia="Calibri"/>
        </w:rPr>
        <w:t xml:space="preserve"> who completed a DMS-5 form (Youth Inventory-4) for major depressive disorder at their first clinic visit</w:t>
      </w:r>
      <w:r w:rsidR="009E526F">
        <w:rPr>
          <w:rFonts w:eastAsia="Calibri"/>
        </w:rPr>
        <w:t xml:space="preserve"> </w:t>
      </w:r>
      <w:r w:rsidR="00885054" w:rsidRPr="007C7EA1">
        <w:rPr>
          <w:rFonts w:eastAsia="Calibri"/>
        </w:rPr>
        <w:fldChar w:fldCharType="begin"/>
      </w:r>
      <w:r w:rsidR="009E526F">
        <w:rPr>
          <w:rFonts w:eastAsia="Calibri"/>
        </w:rPr>
        <w:instrText>ADDIN F1000_CSL_CITATION&lt;~#@#~&gt;[{"DOI":"10.1016/j.jadohealth.2018.07.006","First":false,"Last":false,"PMCID":"PMC6528476","PMID":"30241721","abstract":"&lt;strong&gt;PURPOSE:&lt;/strong&gt; Transgender and gender-nonconforming (TGNC) adolescents and young adults experience mental health problems, including anxiety and depression, at an elevated rate as compared to their cisgender counterparts. A growing literature suggests that vulnerability to psychiatric problems in TGNC individuals results from social discrimination and minority stress.&lt;br&gt;&lt;br&gt;&lt;strong&gt;METHODS:&lt;/strong&gt; The sample consisted of adolescent TGNC patients (N = 109) who completed behavior health screening questionnaires as standard of care at their first clinical visit to an interdisciplinary gender program within a pediatric academic medical center in a metropolitan Midwestern city. Binary logistic regressions were used to assess whether the likelihood that participants met clinical diagnostic criteria for Major Depressive Disorder (MDD) and Generalized Anxiety Disorder (GAD) was predicted by gender identity appearance congruence, proximal forms of minority stress (e.g., negative expectations of the future related to gender identity; internalized transphobia) and community connectedness (i.e., resilience) .&lt;br&gt;&lt;br&gt;&lt;strong&gt;RESULTS:&lt;/strong&gt; Overall, 33% (n = 36) of the sample met diagnostic criteria for MDD and 48% (n = 53) met diagnostic criteria for GAD. Those with high levels of internalized transphobia were significantly more likely to meet diagnostic criteria for both MDD and GAD. Those with low levels of gender identity appearance congruence were significantly more likely to meet diagnostic criteria for MDD but not GAD.&lt;br&gt;&lt;br&gt;&lt;strong&gt;CONCLUSION:&lt;/strong&gt; There are several unique factors that may predict mental illness among TGNC youth. Understanding these factors may offer opportunities for targeted clinical and structural interventions.&lt;br&gt;&lt;br&gt;Copyright © 2018 Society for Adolescent Health and Medicine. Published by Elsevier Inc. All rights reserved.","author":[{"family":"Chodzen","given":"Gia"},{"family":"Hidalgo","given":"Marco A"},{"family":"Chen","given":"Diane"},{"family":"Garofalo","given":"Robert"}],"authorYearDisplayFormat":false,"citation-label":"7168011","container-title":"The Journal of Adolescent Health","container-title-short":"J. Adolesc. Health","id":"7168011","invisible":false,"issue":"4","issued":{"date-parts":[["2019","4"]]},"journalAbbreviation":"J. Adolesc. Health","page":"467-471","suppress-author":false,"title":"Minority Stress Factors Associated With Depression and Anxiety Among Transgender and Gender-Nonconforming Youth.","type":"article-journal","volume":"64"}]</w:instrText>
      </w:r>
      <w:r w:rsidR="00885054" w:rsidRPr="007C7EA1">
        <w:rPr>
          <w:rFonts w:eastAsia="Calibri"/>
        </w:rPr>
        <w:fldChar w:fldCharType="separate"/>
      </w:r>
      <w:r w:rsidR="00F96D9F" w:rsidRPr="00F96D9F">
        <w:rPr>
          <w:rFonts w:eastAsia="Calibri"/>
          <w:noProof/>
        </w:rPr>
        <w:t>(Chodzen, Hidalgo, Chen, &amp; Garofalo, 2019)</w:t>
      </w:r>
      <w:r w:rsidR="00885054" w:rsidRPr="007C7EA1">
        <w:rPr>
          <w:rFonts w:eastAsia="Calibri"/>
        </w:rPr>
        <w:fldChar w:fldCharType="end"/>
      </w:r>
      <w:r w:rsidR="009E526F">
        <w:rPr>
          <w:rFonts w:eastAsia="Calibri"/>
        </w:rPr>
        <w:t>.</w:t>
      </w:r>
      <w:r w:rsidR="0050576E" w:rsidRPr="007C7EA1">
        <w:rPr>
          <w:rFonts w:eastAsia="Calibri"/>
        </w:rPr>
        <w:t xml:space="preserve"> At the time of their first visit, 33% met the criteria for MDD</w:t>
      </w:r>
      <w:r w:rsidR="007113F7" w:rsidRPr="007C7EA1">
        <w:rPr>
          <w:rFonts w:eastAsia="Calibri"/>
        </w:rPr>
        <w:t>, compared to 13.3% of youth nationally who have had an MDD diagnosis in the past year</w:t>
      </w:r>
      <w:r w:rsidR="009E526F">
        <w:rPr>
          <w:rFonts w:eastAsia="Calibri"/>
        </w:rPr>
        <w:t xml:space="preserve"> </w:t>
      </w:r>
      <w:r w:rsidR="007113F7" w:rsidRPr="007C7EA1">
        <w:rPr>
          <w:rFonts w:eastAsia="Calibri"/>
        </w:rPr>
        <w:fldChar w:fldCharType="begin"/>
      </w:r>
      <w:r w:rsidR="009E526F">
        <w:rPr>
          <w:rFonts w:eastAsia="Calibri"/>
        </w:rPr>
        <w:instrText>ADDIN F1000_CSL_CITATION&lt;~#@#~&gt;[{"First":false,"Last":false,"URL":"https://www.samhsa.gov/data/sites/default/files/cbhsq-reports/NSDUHDetailedTabs2017/NSDUHDetailedTabs2017.htm#tab8-56A","accessed":{"date-parts":[["2020","4","7"]]},"author":[{"family":"CBHSQ"},{"family":"SAMHSA"},{"family":"HHS"},{"family":"RTI International"}],"authorYearDisplayFormat":false,"citation-label":"8599518","id":"8599518","invisible":false,"issued":{"date-parts":[["2019"]]},"suppress-author":false,"title":"Results from the 2017 National Survey on Drug Use and Health: Detailed Tables","type":"webpage"}]</w:instrText>
      </w:r>
      <w:r w:rsidR="007113F7" w:rsidRPr="007C7EA1">
        <w:rPr>
          <w:rFonts w:eastAsia="Calibri"/>
        </w:rPr>
        <w:fldChar w:fldCharType="separate"/>
      </w:r>
      <w:r w:rsidR="00F96D9F" w:rsidRPr="00F96D9F">
        <w:rPr>
          <w:rFonts w:eastAsia="Calibri"/>
          <w:noProof/>
        </w:rPr>
        <w:t>(CBHSQ et al., 2019)</w:t>
      </w:r>
      <w:r w:rsidR="007113F7" w:rsidRPr="007C7EA1">
        <w:rPr>
          <w:rFonts w:eastAsia="Calibri"/>
        </w:rPr>
        <w:fldChar w:fldCharType="end"/>
      </w:r>
      <w:r w:rsidR="009E526F">
        <w:rPr>
          <w:rFonts w:eastAsia="Calibri"/>
        </w:rPr>
        <w:t>.</w:t>
      </w:r>
      <w:r w:rsidR="007113F7" w:rsidRPr="007C7EA1">
        <w:rPr>
          <w:rFonts w:eastAsia="Calibri"/>
        </w:rPr>
        <w:t xml:space="preserve"> </w:t>
      </w:r>
      <w:r w:rsidR="00885054" w:rsidRPr="007C7EA1">
        <w:rPr>
          <w:rFonts w:eastAsia="Calibri"/>
        </w:rPr>
        <w:t>A</w:t>
      </w:r>
      <w:r w:rsidR="007113F7" w:rsidRPr="007C7EA1">
        <w:rPr>
          <w:rFonts w:eastAsia="Calibri"/>
        </w:rPr>
        <w:t>s</w:t>
      </w:r>
      <w:r w:rsidR="00885054" w:rsidRPr="007C7EA1">
        <w:rPr>
          <w:rFonts w:eastAsia="Calibri"/>
        </w:rPr>
        <w:t xml:space="preserve"> was</w:t>
      </w:r>
      <w:r w:rsidR="007113F7" w:rsidRPr="007C7EA1">
        <w:rPr>
          <w:rFonts w:eastAsia="Calibri"/>
        </w:rPr>
        <w:t xml:space="preserve"> mentioned previously, clinic-based studies are subject to biases which may result in depression severity being underreported. </w:t>
      </w:r>
      <w:r w:rsidR="006F6EEE" w:rsidRPr="007C7EA1">
        <w:rPr>
          <w:rFonts w:eastAsia="Calibri"/>
        </w:rPr>
        <w:t>However, i</w:t>
      </w:r>
      <w:r w:rsidR="007113F7" w:rsidRPr="007C7EA1">
        <w:rPr>
          <w:rFonts w:eastAsia="Calibri"/>
        </w:rPr>
        <w:t xml:space="preserve">n spite of potential bias, disparities </w:t>
      </w:r>
      <w:r w:rsidR="006F6EEE" w:rsidRPr="007C7EA1">
        <w:rPr>
          <w:rFonts w:eastAsia="Calibri"/>
        </w:rPr>
        <w:t xml:space="preserve">in depression prevalence and severity among GMY </w:t>
      </w:r>
      <w:r w:rsidR="007113F7" w:rsidRPr="007C7EA1">
        <w:rPr>
          <w:rFonts w:eastAsia="Calibri"/>
        </w:rPr>
        <w:t>remain high</w:t>
      </w:r>
      <w:r w:rsidR="006F6EEE" w:rsidRPr="007C7EA1">
        <w:rPr>
          <w:rFonts w:eastAsia="Calibri"/>
        </w:rPr>
        <w:t xml:space="preserve"> in clinical settings</w:t>
      </w:r>
      <w:r w:rsidR="007113F7" w:rsidRPr="007C7EA1">
        <w:rPr>
          <w:rFonts w:eastAsia="Calibri"/>
        </w:rPr>
        <w:t xml:space="preserve">, which supports the findings of </w:t>
      </w:r>
      <w:r w:rsidR="006F6EEE" w:rsidRPr="007C7EA1">
        <w:rPr>
          <w:rFonts w:eastAsia="Calibri"/>
        </w:rPr>
        <w:t>non-clinical studies</w:t>
      </w:r>
      <w:r w:rsidR="007113F7" w:rsidRPr="007C7EA1">
        <w:rPr>
          <w:rFonts w:eastAsia="Calibri"/>
        </w:rPr>
        <w:t xml:space="preserve">. </w:t>
      </w:r>
    </w:p>
    <w:p w14:paraId="27B4AC96" w14:textId="6BC038F8" w:rsidR="0072165A" w:rsidRPr="007C7EA1" w:rsidRDefault="0072165A" w:rsidP="00CC17CB">
      <w:pPr>
        <w:spacing w:line="480" w:lineRule="auto"/>
        <w:ind w:firstLine="720"/>
        <w:rPr>
          <w:rFonts w:eastAsia="Calibri"/>
        </w:rPr>
      </w:pPr>
      <w:r w:rsidRPr="007C7EA1">
        <w:rPr>
          <w:rFonts w:eastAsia="Calibri"/>
        </w:rPr>
        <w:t>Overall, all studies</w:t>
      </w:r>
      <w:r w:rsidR="00CC17CB">
        <w:rPr>
          <w:rFonts w:eastAsia="Calibri"/>
        </w:rPr>
        <w:t xml:space="preserve"> presented above which</w:t>
      </w:r>
      <w:r w:rsidR="007113F7" w:rsidRPr="007C7EA1">
        <w:rPr>
          <w:rFonts w:eastAsia="Calibri"/>
        </w:rPr>
        <w:t xml:space="preserve"> </w:t>
      </w:r>
      <w:r w:rsidR="00CC17CB">
        <w:rPr>
          <w:rFonts w:eastAsia="Calibri"/>
        </w:rPr>
        <w:t>examined</w:t>
      </w:r>
      <w:r w:rsidR="007113F7" w:rsidRPr="007C7EA1">
        <w:rPr>
          <w:rFonts w:eastAsia="Calibri"/>
        </w:rPr>
        <w:t xml:space="preserve"> depression among GMY</w:t>
      </w:r>
      <w:r w:rsidRPr="007C7EA1">
        <w:rPr>
          <w:rFonts w:eastAsia="Calibri"/>
        </w:rPr>
        <w:t xml:space="preserve"> measured depression and gender identity </w:t>
      </w:r>
      <w:r w:rsidR="006F6EEE" w:rsidRPr="007C7EA1">
        <w:rPr>
          <w:rFonts w:eastAsia="Calibri"/>
        </w:rPr>
        <w:t>used a variety of analytic techniques on different samples</w:t>
      </w:r>
      <w:r w:rsidRPr="007C7EA1">
        <w:rPr>
          <w:rFonts w:eastAsia="Calibri"/>
        </w:rPr>
        <w:t xml:space="preserve">, yet all </w:t>
      </w:r>
      <w:r w:rsidR="006F6EEE" w:rsidRPr="007C7EA1">
        <w:rPr>
          <w:rFonts w:eastAsia="Calibri"/>
        </w:rPr>
        <w:t>reported</w:t>
      </w:r>
      <w:r w:rsidRPr="007C7EA1">
        <w:rPr>
          <w:rFonts w:eastAsia="Calibri"/>
        </w:rPr>
        <w:t xml:space="preserve"> similar </w:t>
      </w:r>
      <w:r w:rsidR="006F6EEE" w:rsidRPr="007C7EA1">
        <w:rPr>
          <w:rFonts w:eastAsia="Calibri"/>
        </w:rPr>
        <w:t>finding</w:t>
      </w:r>
      <w:r w:rsidRPr="007C7EA1">
        <w:rPr>
          <w:rFonts w:eastAsia="Calibri"/>
        </w:rPr>
        <w:t>. While further</w:t>
      </w:r>
      <w:r w:rsidR="006F6EEE" w:rsidRPr="007C7EA1">
        <w:rPr>
          <w:rFonts w:eastAsia="Calibri"/>
        </w:rPr>
        <w:t xml:space="preserve"> population-level</w:t>
      </w:r>
      <w:r w:rsidRPr="007C7EA1">
        <w:rPr>
          <w:rFonts w:eastAsia="Calibri"/>
        </w:rPr>
        <w:t xml:space="preserve"> research is needed, current </w:t>
      </w:r>
      <w:r w:rsidR="006F6EEE" w:rsidRPr="007C7EA1">
        <w:rPr>
          <w:rFonts w:eastAsia="Calibri"/>
        </w:rPr>
        <w:t>literature</w:t>
      </w:r>
      <w:r w:rsidRPr="007C7EA1">
        <w:rPr>
          <w:rFonts w:eastAsia="Calibri"/>
        </w:rPr>
        <w:t xml:space="preserve"> consistently indicates the presence of </w:t>
      </w:r>
      <w:r w:rsidR="007113F7" w:rsidRPr="007C7EA1">
        <w:rPr>
          <w:rFonts w:eastAsia="Calibri"/>
        </w:rPr>
        <w:t xml:space="preserve">large </w:t>
      </w:r>
      <w:r w:rsidRPr="007C7EA1">
        <w:rPr>
          <w:rFonts w:eastAsia="Calibri"/>
        </w:rPr>
        <w:t xml:space="preserve">disparities in experience of depression </w:t>
      </w:r>
      <w:r w:rsidR="006F6EEE" w:rsidRPr="007C7EA1">
        <w:rPr>
          <w:rFonts w:eastAsia="Calibri"/>
        </w:rPr>
        <w:t>among</w:t>
      </w:r>
      <w:r w:rsidRPr="007C7EA1">
        <w:rPr>
          <w:rFonts w:eastAsia="Calibri"/>
        </w:rPr>
        <w:t xml:space="preserve"> GMY compared to cisgender youth. </w:t>
      </w:r>
    </w:p>
    <w:p w14:paraId="4C674A83" w14:textId="044D1DD3" w:rsidR="004D51F5" w:rsidRPr="00E836C9" w:rsidRDefault="004D51F5" w:rsidP="004558AE">
      <w:pPr>
        <w:pStyle w:val="Heading2"/>
      </w:pPr>
      <w:bookmarkStart w:id="5" w:name="_Toc39049731"/>
      <w:r w:rsidRPr="00E836C9">
        <w:lastRenderedPageBreak/>
        <w:t xml:space="preserve">1.3 Associations </w:t>
      </w:r>
      <w:r w:rsidR="00FE5727" w:rsidRPr="00E836C9">
        <w:t xml:space="preserve">Between Family Support </w:t>
      </w:r>
      <w:r w:rsidR="00FE5727">
        <w:t>a</w:t>
      </w:r>
      <w:r w:rsidR="00FE5727" w:rsidRPr="00E836C9">
        <w:t xml:space="preserve">nd Depression Among </w:t>
      </w:r>
      <w:r w:rsidRPr="00E836C9">
        <w:t>GMY</w:t>
      </w:r>
      <w:bookmarkEnd w:id="5"/>
    </w:p>
    <w:p w14:paraId="4A9A56A3" w14:textId="6326FC03" w:rsidR="002527DE" w:rsidRPr="007C7EA1" w:rsidRDefault="0046704C" w:rsidP="00885054">
      <w:pPr>
        <w:spacing w:line="480" w:lineRule="auto"/>
        <w:ind w:firstLine="720"/>
        <w:rPr>
          <w:rFonts w:eastAsia="Calibri"/>
        </w:rPr>
      </w:pPr>
      <w:r w:rsidRPr="007C7EA1">
        <w:rPr>
          <w:rFonts w:eastAsia="Calibri"/>
        </w:rPr>
        <w:t>Some</w:t>
      </w:r>
      <w:r w:rsidR="00D57AC2" w:rsidRPr="007C7EA1">
        <w:rPr>
          <w:rFonts w:eastAsia="Calibri"/>
        </w:rPr>
        <w:t xml:space="preserve"> studies have shown positive association between family support and</w:t>
      </w:r>
      <w:r w:rsidR="00A41C8C" w:rsidRPr="007C7EA1">
        <w:rPr>
          <w:rFonts w:eastAsia="Calibri"/>
        </w:rPr>
        <w:t xml:space="preserve"> </w:t>
      </w:r>
      <w:r w:rsidR="00D57AC2" w:rsidRPr="007C7EA1">
        <w:rPr>
          <w:rFonts w:eastAsia="Calibri"/>
        </w:rPr>
        <w:t xml:space="preserve">depression severity for GMY. </w:t>
      </w:r>
      <w:r w:rsidR="00A41C8C" w:rsidRPr="007C7EA1">
        <w:rPr>
          <w:rFonts w:eastAsia="Calibri"/>
        </w:rPr>
        <w:t>Gower at al. (2018) analyzed a cross-sectional sample of 2168 GMY from the MSS and found a</w:t>
      </w:r>
      <w:r w:rsidR="002527DE" w:rsidRPr="007C7EA1">
        <w:rPr>
          <w:rFonts w:eastAsia="Calibri"/>
        </w:rPr>
        <w:t xml:space="preserve"> one unit</w:t>
      </w:r>
      <w:r w:rsidR="00A41C8C" w:rsidRPr="007C7EA1">
        <w:rPr>
          <w:rFonts w:eastAsia="Calibri"/>
        </w:rPr>
        <w:t xml:space="preserve"> increase in parental connectedness was associated with a 33% reduction in odds of depressive symptoms (OR</w:t>
      </w:r>
      <w:r w:rsidR="009E526F">
        <w:rPr>
          <w:rFonts w:eastAsia="Calibri"/>
        </w:rPr>
        <w:t>:</w:t>
      </w:r>
      <w:r w:rsidR="00A41C8C" w:rsidRPr="007C7EA1">
        <w:rPr>
          <w:rFonts w:eastAsia="Calibri"/>
        </w:rPr>
        <w:t xml:space="preserve"> 0.77 [</w:t>
      </w:r>
      <w:r w:rsidR="009E526F">
        <w:rPr>
          <w:rFonts w:eastAsia="Calibri"/>
        </w:rPr>
        <w:t xml:space="preserve">95% CI: </w:t>
      </w:r>
      <w:r w:rsidR="00A41C8C" w:rsidRPr="007C7EA1">
        <w:rPr>
          <w:rFonts w:eastAsia="Calibri"/>
        </w:rPr>
        <w:t>0.64, 0.92]) when adjusting for other protective factors, sex assigned at birth, grade, socioeconomic position, urbanicity, and race/ethnicity</w:t>
      </w:r>
      <w:r w:rsidR="009E526F">
        <w:rPr>
          <w:rFonts w:eastAsia="Calibri"/>
        </w:rPr>
        <w:t xml:space="preserve"> </w:t>
      </w:r>
      <w:r w:rsidR="00885054" w:rsidRPr="007C7EA1">
        <w:rPr>
          <w:rFonts w:eastAsia="Calibri"/>
        </w:rPr>
        <w:fldChar w:fldCharType="begin"/>
      </w:r>
      <w:r w:rsidR="009E526F">
        <w:rPr>
          <w:rFonts w:eastAsia="Calibri"/>
        </w:rPr>
        <w:instrText>ADDIN F1000_CSL_CITATION&lt;~#@#~&gt;[{"DOI":"10.1016/j.amepre.2018.06.030","First":false,"Last":false,"PMCID":"PMC6501838","PMID":"30344037","abstract":"&lt;strong&gt;INTRODUCTION:&lt;/strong&gt; Important mental and physical health disparities exist for transgender and gender diverse youth compared with cisgender youth (i.e., those whose birth-assigned sex and gender identity align), yet little is known about factors that protect transgender and gender diverse youth from health problems. The objective of this paper is to identify modifiable protective factors in the lives of transgender and gender diverse adolescents, with the goal of informing efforts to eliminate disparities in depression, suicidality, and substance use in this population.&lt;br&gt;&lt;br&gt;&lt;strong&gt;METHODS:&lt;/strong&gt; Secondary data analysis of the 2016 Minnesota Student Survey examined associations between eight protective factors (connectedness to parents, adult relatives, friends, adults in the community, and teachers; youth development opportunities; and feeling safe in the community and at school) and depression, suicidality, and substance use (alcohol, binge drinking, marijuana, nicotine) among 2,168 adolescents who identified as transgender, genderqueer, genderfluid, or questioning their gender. Logistic regressions assessed the role of each protective factor separately and simultaneously.&lt;br&gt;&lt;br&gt;&lt;strong&gt;RESULTS:&lt;/strong&gt; Each protective factor was associated with lower odds of emotional distress and substance use. When protective factors were examined simultaneously, parent connectedness was protective for all measures. Feeling safe at school and connected to adults in one's community protected against depression and suicidality; teacher connectedness buffered risk of substance use.&lt;br&gt;&lt;br&gt;&lt;strong&gt;CONCLUSIONS:&lt;/strong&gt; Given that transgender and gender diverse youth report lower levels of connectedness and safety, bolstering an explicitly transgender and gender diverse-friendly network of caring parents, safe and supportive schools, and connections to adults in the community may support efforts to eliminate disparities in depression, suicidality, and substance use.&lt;br&gt;&lt;br&gt;Copyright © 2018 American Journal of Preventive Medicine. Published by Elsevier Inc. All rights reserved.","author":[{"family":"Gower","given":"Amy L"},{"family":"Rider","given":"G Nic"},{"family":"Brown","given":"Camille"},{"family":"McMorris","given":"Barbara J"},{"family":"Coleman","given":"Eli"},{"family":"Taliaferro","given":"Lindsay A"},{"family":"Eisenberg","given":"Marla E"}],"authorYearDisplayFormat":false,"citation-label":"7167990","container-title":"American Journal of Preventive Medicine","container-title-short":"Am. J. Prev. Med.","id":"7167990","invisible":false,"issue":"6","issued":{"date-parts":[["2018","10","19"]]},"journalAbbreviation":"Am. J. Prev. Med.","page":"787-794","suppress-author":false,"title":"Supporting transgender and gender diverse youth: protection against emotional distress and substance use.","type":"article-journal","volume":"55"}]</w:instrText>
      </w:r>
      <w:r w:rsidR="00885054" w:rsidRPr="007C7EA1">
        <w:rPr>
          <w:rFonts w:eastAsia="Calibri"/>
        </w:rPr>
        <w:fldChar w:fldCharType="separate"/>
      </w:r>
      <w:r w:rsidR="00F96D9F" w:rsidRPr="00F96D9F">
        <w:rPr>
          <w:rFonts w:eastAsia="Calibri"/>
          <w:noProof/>
        </w:rPr>
        <w:t>(Gower et al., 2018)</w:t>
      </w:r>
      <w:r w:rsidR="00885054" w:rsidRPr="007C7EA1">
        <w:rPr>
          <w:rFonts w:eastAsia="Calibri"/>
        </w:rPr>
        <w:fldChar w:fldCharType="end"/>
      </w:r>
      <w:r w:rsidR="009E526F">
        <w:rPr>
          <w:rFonts w:eastAsia="Calibri"/>
        </w:rPr>
        <w:t>.</w:t>
      </w:r>
      <w:r w:rsidR="002527DE" w:rsidRPr="007C7EA1">
        <w:rPr>
          <w:rFonts w:eastAsia="Calibri"/>
        </w:rPr>
        <w:t xml:space="preserve"> (Depression symptoms were measured with the Patient Health Questionaire-2 as any depressive symptoms in the past two weeks</w:t>
      </w:r>
      <w:r w:rsidR="00686A99" w:rsidRPr="007C7EA1">
        <w:rPr>
          <w:rFonts w:eastAsia="Calibri"/>
        </w:rPr>
        <w:t>, and parental connectedness was measured  with investigator-generated question</w:t>
      </w:r>
      <w:r w:rsidRPr="007C7EA1">
        <w:rPr>
          <w:rFonts w:eastAsia="Calibri"/>
        </w:rPr>
        <w:t>s</w:t>
      </w:r>
      <w:r w:rsidR="002527DE" w:rsidRPr="007C7EA1">
        <w:rPr>
          <w:rFonts w:eastAsia="Calibri"/>
        </w:rPr>
        <w:t>.) Veale, Peter, et al. (2017) analyzed data from 600 19-25 year-old</w:t>
      </w:r>
      <w:r w:rsidRPr="007C7EA1">
        <w:rPr>
          <w:rFonts w:eastAsia="Calibri"/>
        </w:rPr>
        <w:t xml:space="preserve"> GMY</w:t>
      </w:r>
      <w:r w:rsidR="002527DE" w:rsidRPr="007C7EA1">
        <w:rPr>
          <w:rFonts w:eastAsia="Calibri"/>
        </w:rPr>
        <w:t xml:space="preserve"> </w:t>
      </w:r>
      <w:r w:rsidRPr="007C7EA1">
        <w:rPr>
          <w:rFonts w:eastAsia="Calibri"/>
        </w:rPr>
        <w:t>in</w:t>
      </w:r>
      <w:r w:rsidR="002527DE" w:rsidRPr="007C7EA1">
        <w:rPr>
          <w:rFonts w:eastAsia="Calibri"/>
        </w:rPr>
        <w:t xml:space="preserve"> the CTYHS and found that increased parental connectedness was associated with</w:t>
      </w:r>
      <w:r w:rsidR="009E526F">
        <w:rPr>
          <w:rFonts w:eastAsia="Calibri"/>
        </w:rPr>
        <w:t xml:space="preserve"> 49%</w:t>
      </w:r>
      <w:r w:rsidR="002527DE" w:rsidRPr="007C7EA1">
        <w:rPr>
          <w:rFonts w:eastAsia="Calibri"/>
        </w:rPr>
        <w:t xml:space="preserve"> lower odds of being diagnosed with depression in the past year (OR: 0.51 [</w:t>
      </w:r>
      <w:r w:rsidR="009E526F">
        <w:rPr>
          <w:rFonts w:eastAsia="Calibri"/>
        </w:rPr>
        <w:t xml:space="preserve">955 CI: </w:t>
      </w:r>
      <w:r w:rsidR="002527DE" w:rsidRPr="007C7EA1">
        <w:rPr>
          <w:rFonts w:eastAsia="Calibri"/>
        </w:rPr>
        <w:t>0.19, 1.36]), when adjusting for age, enacted stigma, and social support</w:t>
      </w:r>
      <w:r w:rsidR="00686A99" w:rsidRPr="007C7EA1">
        <w:rPr>
          <w:rFonts w:eastAsia="Calibri"/>
        </w:rPr>
        <w:t>.</w:t>
      </w:r>
      <w:r w:rsidR="00885054" w:rsidRPr="007C7EA1">
        <w:rPr>
          <w:rFonts w:eastAsia="Calibri"/>
        </w:rPr>
        <w:fldChar w:fldCharType="begin"/>
      </w:r>
      <w:r w:rsidR="009E526F">
        <w:rPr>
          <w:rFonts w:eastAsia="Calibri"/>
        </w:rPr>
        <w:instrText>ADDIN F1000_CSL_CITATION&lt;~#@#~&gt;[{"DOI":"10.1089/trgh.2017.0031","First":false,"Last":false,"PMCID":"PMC5734137","PMID":"29279875","abstract":"Purpose: We aimed to assess the Minority Stress Model which proposes that the stress of experiencing stigma leads to adverse mental health outcomes, but social supports (e.g., school and family connectedness) will reduce this negative effect. Methods: We measured stigma-related experiences, social supports, and mental health (self-injury, suicide, depression, and anxiety) among a sample of 923 Canadian transgender 14- to 25-year-old adolescents and young adults using a bilingual online survey. Logistic regression models were conducted to analyze the relationship between these risk and protective factors and dichotomous mental health outcomes among two separate age groups, 14- to 18-year-old and 19- to 25-year-old participants. Results: Experiences of discrimination, harassment, and violence (enacted stigma) were positively related to mental health problems and social support was negatively associated with mental health problems in all models among both age groups. Among 14-18 year olds, we examined school connectedness, family connectedness, and perception of friends caring separately, and family connectedness was always the strongest protective predictor in multivariate models. In all the mental health outcomes we examined, transgender youth reporting low levels of enacted stigma experiences and high levels of protective factors tended to report favorable mental health outcomes. Conversely, the majority of participants reporting high levels of enacted stigma and low levels of protective factors reported adverse mental health outcomes. Conclusion: While these findings are limited by nonprobability sampling procedures and potential additional unmeasured risk and protective factors, the results provide positive evidence for the Minority Stress Model in this population and affirm the need for policies and programs to support schools and families to support transgender youth.","author":[{"family":"Veale","given":"Jaimie F"},{"family":"Peter","given":"Tracey"},{"family":"Travers","given":"Robb"},{"family":"Saewyc","given":"Elizabeth M"}],"authorYearDisplayFormat":false,"citation-label":"8558455","container-title":"Transgender health","container-title-short":"Transgend Health","id":"8558455","invisible":false,"issue":"1","issued":{"date-parts":[["2017","12","1"]]},"journalAbbreviation":"Transgend Health","page":"207-216","suppress-author":false,"title":"Enacted stigma, mental health, and protective factors among transgender youth in canada.","type":"article-journal","volume":"2"}]</w:instrText>
      </w:r>
      <w:r w:rsidR="00885054" w:rsidRPr="007C7EA1">
        <w:rPr>
          <w:rFonts w:eastAsia="Calibri"/>
        </w:rPr>
        <w:fldChar w:fldCharType="separate"/>
      </w:r>
      <w:r w:rsidR="00F96D9F" w:rsidRPr="00F96D9F">
        <w:rPr>
          <w:rFonts w:eastAsia="Calibri"/>
          <w:noProof/>
        </w:rPr>
        <w:t>(Veale, Peter, Travers, &amp; Saewyc, 2017)</w:t>
      </w:r>
      <w:r w:rsidR="00885054" w:rsidRPr="007C7EA1">
        <w:rPr>
          <w:rFonts w:eastAsia="Calibri"/>
        </w:rPr>
        <w:fldChar w:fldCharType="end"/>
      </w:r>
      <w:r w:rsidR="00686A99" w:rsidRPr="007C7EA1">
        <w:rPr>
          <w:rFonts w:eastAsia="Calibri"/>
        </w:rPr>
        <w:t xml:space="preserve"> (Parental connectedness was measured with the Parental Connectedness Scale</w:t>
      </w:r>
      <w:r w:rsidR="00885054" w:rsidRPr="007C7EA1">
        <w:rPr>
          <w:rFonts w:eastAsia="Calibri"/>
        </w:rPr>
        <w:fldChar w:fldCharType="begin"/>
      </w:r>
      <w:r w:rsidR="009E526F">
        <w:rPr>
          <w:rFonts w:eastAsia="Calibri"/>
        </w:rPr>
        <w:instrText>ADDIN F1000_CSL_CITATION&lt;~#@#~&gt;[{"DOI":"10.1001/jama.278.10.823","First":false,"Last":false,"PMID":"9293990","author":[{"family":"Resnick","given":"M D"},{"family":"Bearman","given":"P S"},{"family":"Blum","given":"R W"},{"family":"Bauman","given":"K E"},{"family":"Harris","given":"K M"},{"family":"Jones","given":"J"},{"family":"Tabor","given":"J"},{"family":"Beuhring","given":"T"},{"family":"Sieving","given":"R E"},{"family":"Shew","given":"M"},{"family":"Ireland","given":"M"},{"family":"Bearinger","given":"L H"},{"family":"Udry","given":"J R"}],"authorYearDisplayFormat":false,"citation-label":"755808","container-title":"The Journal of the American Medical Association","container-title-short":"JAMA","id":"755808","invisible":false,"issue":"10","issued":{"date-parts":[["1997","9","10"]]},"journalAbbreviation":"JAMA","page":"823-832","suppress-author":false,"title":"Protecting adolescents from harm: Findings from the National Longitudinal Study on Adolescent Health.","type":"article-journal","volume":"278"}]</w:instrText>
      </w:r>
      <w:r w:rsidR="00885054" w:rsidRPr="007C7EA1">
        <w:rPr>
          <w:rFonts w:eastAsia="Calibri"/>
        </w:rPr>
        <w:fldChar w:fldCharType="separate"/>
      </w:r>
      <w:r w:rsidR="00F96D9F" w:rsidRPr="00F96D9F">
        <w:rPr>
          <w:rFonts w:eastAsia="Calibri"/>
          <w:noProof/>
        </w:rPr>
        <w:t>(Resnick et al., 1997)</w:t>
      </w:r>
      <w:r w:rsidR="00885054" w:rsidRPr="007C7EA1">
        <w:rPr>
          <w:rFonts w:eastAsia="Calibri"/>
        </w:rPr>
        <w:fldChar w:fldCharType="end"/>
      </w:r>
      <w:r w:rsidR="009E526F">
        <w:rPr>
          <w:rFonts w:eastAsia="Calibri"/>
        </w:rPr>
        <w:t>.</w:t>
      </w:r>
      <w:r w:rsidR="00686A99" w:rsidRPr="007C7EA1">
        <w:rPr>
          <w:rFonts w:eastAsia="Calibri"/>
        </w:rPr>
        <w:t>) Finally, Simons et al. (2013) conducted an analysis of 66 GMY at a gender clinic in Los Angeles California w</w:t>
      </w:r>
      <w:r w:rsidR="005D4463" w:rsidRPr="007C7EA1">
        <w:rPr>
          <w:rFonts w:eastAsia="Calibri"/>
        </w:rPr>
        <w:t>ho</w:t>
      </w:r>
      <w:r w:rsidR="00F86ABF" w:rsidRPr="007C7EA1">
        <w:rPr>
          <w:rFonts w:eastAsia="Calibri"/>
        </w:rPr>
        <w:t xml:space="preserve"> desired HRT. They found that participants with increased family support had lower scores on the Beck Depression Inventory II when controlling for age, nationality, race/ethnicity, and sex assigned at birth</w:t>
      </w:r>
      <w:r w:rsidR="005D4463" w:rsidRPr="007C7EA1">
        <w:rPr>
          <w:rFonts w:eastAsia="Calibri"/>
        </w:rPr>
        <w:t xml:space="preserve"> (β=0.263; p=0.0499; no measure of standard error given.</w:t>
      </w:r>
      <w:r w:rsidR="00885054" w:rsidRPr="007C7EA1">
        <w:rPr>
          <w:rFonts w:eastAsia="Calibri"/>
        </w:rPr>
        <w:fldChar w:fldCharType="begin"/>
      </w:r>
      <w:r w:rsidR="009E526F">
        <w:rPr>
          <w:rFonts w:eastAsia="Calibri"/>
        </w:rPr>
        <w:instrText>ADDIN F1000_CSL_CITATION&lt;~#@#~&gt;[{"DOI":"10.1016/j.jadohealth.2013.07.019","First":false,"Last":false,"PMCID":"PMC3838484","PMID":"24012067","abstract":"&lt;strong&gt;PURPOSE:&lt;/strong&gt; Family support is protective against health risks in sexual minority individuals. However, few studies have focused specifically on transgender youth, who often experience rejection, marginalization, and victimization that place them at risk for poor mental health. This study investigated the relationships among parental support, quality of life, and depression in transgender adolescents.&lt;br&gt;&lt;br&gt;&lt;strong&gt;METHODS:&lt;/strong&gt; A total of 66 transgender youth presenting for care at Children's Hospital Los Angeles completed a survey assessing parental support (defined as help, advice, and confidante support), quality of life, and depression. Regression analyses assessed the associations between parental support and mental health outcomes.&lt;br&gt;&lt;br&gt;&lt;strong&gt;RESULTS:&lt;/strong&gt; Parental support was significantly associated with higher life satisfaction, lower perceived burden of being transgender, and fewer depressive symptoms.&lt;br&gt;&lt;br&gt;&lt;strong&gt;CONCLUSIONS:&lt;/strong&gt; Parental support is associated with higher quality of life and is protective against depression in transgender adolescents. Interventions that promote parental support may significantly affect the mental health of transgender youth.&lt;br&gt;&lt;br&gt;Copyright © 2013 Society for Adolescent Health and Medicine. Published by Elsevier Inc. All rights reserved.","author":[{"family":"Simons","given":"Lisa"},{"family":"Schrager","given":"Sheree M"},{"family":"Clark","given":"Leslie F"},{"family":"Belzer","given":"Marvin"},{"family":"Olson","given":"Johanna"}],"authorYearDisplayFormat":false,"citation-label":"453162","container-title":"The Journal of Adolescent Health","container-title-short":"J. Adolesc. Health","id":"453162","invisible":false,"issue":"6","issued":{"date-parts":[["2013","12"]]},"journalAbbreviation":"J. Adolesc. Health","page":"791-793","suppress-author":false,"title":"Parental support and mental health among transgender adolescents.","type":"article-journal","volume":"53"}]</w:instrText>
      </w:r>
      <w:r w:rsidR="00885054" w:rsidRPr="007C7EA1">
        <w:rPr>
          <w:rFonts w:eastAsia="Calibri"/>
        </w:rPr>
        <w:fldChar w:fldCharType="separate"/>
      </w:r>
      <w:r w:rsidR="00F96D9F" w:rsidRPr="00F96D9F">
        <w:rPr>
          <w:rFonts w:eastAsia="Calibri"/>
          <w:noProof/>
        </w:rPr>
        <w:t>(Simons, Schrager, Clark, Belzer, &amp; Olson, 2013)</w:t>
      </w:r>
      <w:r w:rsidR="00885054" w:rsidRPr="007C7EA1">
        <w:rPr>
          <w:rFonts w:eastAsia="Calibri"/>
        </w:rPr>
        <w:fldChar w:fldCharType="end"/>
      </w:r>
      <w:r w:rsidR="005D4463" w:rsidRPr="007C7EA1">
        <w:rPr>
          <w:rFonts w:eastAsia="Calibri"/>
        </w:rPr>
        <w:t>) O</w:t>
      </w:r>
      <w:r w:rsidR="002527DE" w:rsidRPr="007C7EA1">
        <w:rPr>
          <w:rFonts w:eastAsia="Calibri"/>
        </w:rPr>
        <w:t>f these three studies, no two used the same measures of depression or family support</w:t>
      </w:r>
      <w:r w:rsidR="005D4463" w:rsidRPr="007C7EA1">
        <w:rPr>
          <w:rFonts w:eastAsia="Calibri"/>
        </w:rPr>
        <w:t>, which limits comparability.</w:t>
      </w:r>
      <w:r w:rsidR="00F86ABF" w:rsidRPr="007C7EA1">
        <w:rPr>
          <w:rFonts w:eastAsia="Calibri"/>
        </w:rPr>
        <w:t xml:space="preserve"> Simons</w:t>
      </w:r>
      <w:r w:rsidR="005D4463" w:rsidRPr="007C7EA1">
        <w:rPr>
          <w:rFonts w:eastAsia="Calibri"/>
        </w:rPr>
        <w:t xml:space="preserve"> et al. (2013) also</w:t>
      </w:r>
      <w:r w:rsidR="00F86ABF" w:rsidRPr="007C7EA1">
        <w:rPr>
          <w:rFonts w:eastAsia="Calibri"/>
        </w:rPr>
        <w:t xml:space="preserve"> restricted</w:t>
      </w:r>
      <w:r w:rsidRPr="007C7EA1">
        <w:rPr>
          <w:rFonts w:eastAsia="Calibri"/>
        </w:rPr>
        <w:t xml:space="preserve"> enrollment</w:t>
      </w:r>
      <w:r w:rsidR="00F86ABF" w:rsidRPr="007C7EA1">
        <w:rPr>
          <w:rFonts w:eastAsia="Calibri"/>
        </w:rPr>
        <w:t xml:space="preserve"> to a subset of GMY </w:t>
      </w:r>
      <w:r w:rsidR="005D4463" w:rsidRPr="007C7EA1">
        <w:rPr>
          <w:rFonts w:eastAsia="Calibri"/>
        </w:rPr>
        <w:t xml:space="preserve">who desired HRT, though </w:t>
      </w:r>
      <w:r w:rsidR="00F86ABF" w:rsidRPr="007C7EA1">
        <w:rPr>
          <w:rFonts w:eastAsia="Calibri"/>
        </w:rPr>
        <w:t>still had similar results</w:t>
      </w:r>
      <w:r w:rsidRPr="007C7EA1">
        <w:rPr>
          <w:rFonts w:eastAsia="Calibri"/>
        </w:rPr>
        <w:t>, so results may not be generalizable to GMY as a whole</w:t>
      </w:r>
      <w:r w:rsidR="005D4463" w:rsidRPr="007C7EA1">
        <w:rPr>
          <w:rFonts w:eastAsia="Calibri"/>
        </w:rPr>
        <w:t xml:space="preserve">. Further research with consistent measures of gender identity, depression and family support with nationally representative data sets </w:t>
      </w:r>
      <w:r w:rsidR="006863CE" w:rsidRPr="007C7EA1">
        <w:rPr>
          <w:rFonts w:eastAsia="Calibri"/>
        </w:rPr>
        <w:t>are</w:t>
      </w:r>
      <w:r w:rsidR="005D4463" w:rsidRPr="007C7EA1">
        <w:rPr>
          <w:rFonts w:eastAsia="Calibri"/>
        </w:rPr>
        <w:t xml:space="preserve"> needed</w:t>
      </w:r>
      <w:r w:rsidRPr="007C7EA1">
        <w:rPr>
          <w:rFonts w:eastAsia="Calibri"/>
        </w:rPr>
        <w:t xml:space="preserve">, though preliminary research </w:t>
      </w:r>
      <w:r w:rsidRPr="007C7EA1">
        <w:rPr>
          <w:rFonts w:eastAsia="Calibri"/>
        </w:rPr>
        <w:lastRenderedPageBreak/>
        <w:t>indicates an association between increased family support and a reduction in depression among GMY</w:t>
      </w:r>
      <w:r w:rsidR="005D4463" w:rsidRPr="007C7EA1">
        <w:rPr>
          <w:rFonts w:eastAsia="Calibri"/>
        </w:rPr>
        <w:t>.</w:t>
      </w:r>
    </w:p>
    <w:p w14:paraId="15489DBF" w14:textId="77777777" w:rsidR="000304D5" w:rsidRPr="007C7EA1" w:rsidRDefault="000304D5" w:rsidP="00D57AC2">
      <w:pPr>
        <w:rPr>
          <w:rFonts w:eastAsia="Calibri"/>
        </w:rPr>
      </w:pPr>
    </w:p>
    <w:p w14:paraId="6FA8514D" w14:textId="6E9832D0" w:rsidR="004D51F5" w:rsidRPr="00F45F68" w:rsidRDefault="004D51F5" w:rsidP="00F45F68">
      <w:pPr>
        <w:pStyle w:val="Heading3"/>
      </w:pPr>
      <w:bookmarkStart w:id="6" w:name="_Toc39049732"/>
      <w:r w:rsidRPr="00F45F68">
        <w:t>1.3.1 Factors</w:t>
      </w:r>
      <w:r w:rsidR="00FE5727" w:rsidRPr="00F45F68">
        <w:t xml:space="preserve"> Related </w:t>
      </w:r>
      <w:r w:rsidR="00FE5727">
        <w:t>t</w:t>
      </w:r>
      <w:r w:rsidR="00FE5727" w:rsidRPr="00F45F68">
        <w:t>o Family Suppor</w:t>
      </w:r>
      <w:r w:rsidRPr="00F45F68">
        <w:t>t</w:t>
      </w:r>
      <w:bookmarkEnd w:id="6"/>
    </w:p>
    <w:p w14:paraId="7E436206" w14:textId="06BEA03C" w:rsidR="0046704C" w:rsidRPr="007C7EA1" w:rsidRDefault="0046704C" w:rsidP="00F45F68">
      <w:pPr>
        <w:spacing w:line="480" w:lineRule="auto"/>
        <w:ind w:firstLine="720"/>
        <w:rPr>
          <w:rFonts w:eastAsia="Calibri"/>
        </w:rPr>
      </w:pPr>
      <w:r w:rsidRPr="007C7EA1">
        <w:rPr>
          <w:rFonts w:eastAsia="Calibri"/>
        </w:rPr>
        <w:t>Family</w:t>
      </w:r>
      <w:r w:rsidR="00D57AC2" w:rsidRPr="007C7EA1">
        <w:rPr>
          <w:rFonts w:eastAsia="Calibri"/>
        </w:rPr>
        <w:t xml:space="preserve"> support may increase the likelihood of GMY having access to social transition-related resources, and (if needed) gender affirming care</w:t>
      </w:r>
      <w:r w:rsidRPr="007C7EA1">
        <w:rPr>
          <w:rFonts w:eastAsia="Calibri"/>
        </w:rPr>
        <w:t>. Both social transition and gender affirming care</w:t>
      </w:r>
      <w:r w:rsidR="00D57AC2" w:rsidRPr="007C7EA1">
        <w:rPr>
          <w:rFonts w:eastAsia="Calibri"/>
        </w:rPr>
        <w:t xml:space="preserve"> have been associated with reduced mental health disparities.</w:t>
      </w:r>
      <w:r w:rsidR="00B81CA7" w:rsidRPr="007C7EA1">
        <w:rPr>
          <w:rFonts w:eastAsia="Calibri"/>
        </w:rPr>
        <w:t xml:space="preserve"> </w:t>
      </w:r>
      <w:r w:rsidRPr="007C7EA1">
        <w:rPr>
          <w:rFonts w:eastAsia="Calibri"/>
        </w:rPr>
        <w:t>For instance, o</w:t>
      </w:r>
      <w:r w:rsidR="0039087E" w:rsidRPr="007C7EA1">
        <w:rPr>
          <w:rFonts w:eastAsia="Calibri"/>
        </w:rPr>
        <w:t xml:space="preserve">ne </w:t>
      </w:r>
      <w:r w:rsidRPr="007C7EA1">
        <w:rPr>
          <w:rFonts w:eastAsia="Calibri"/>
        </w:rPr>
        <w:t>indicator of social transition</w:t>
      </w:r>
      <w:r w:rsidR="0039087E" w:rsidRPr="007C7EA1">
        <w:rPr>
          <w:rFonts w:eastAsia="Calibri"/>
        </w:rPr>
        <w:t xml:space="preserve"> is whether or not GMY with chosen names (names that they have selected as part of affirming their gender identity) are able to use these names</w:t>
      </w:r>
      <w:r w:rsidRPr="007C7EA1">
        <w:rPr>
          <w:rFonts w:eastAsia="Calibri"/>
        </w:rPr>
        <w:t xml:space="preserve"> in various contexts in their lives (e.g. work, home, school, with friends)</w:t>
      </w:r>
      <w:r w:rsidR="0039087E" w:rsidRPr="007C7EA1">
        <w:rPr>
          <w:rFonts w:eastAsia="Calibri"/>
        </w:rPr>
        <w:t xml:space="preserve">. </w:t>
      </w:r>
      <w:r w:rsidR="00B81CA7" w:rsidRPr="007C7EA1">
        <w:rPr>
          <w:rFonts w:eastAsia="Calibri"/>
        </w:rPr>
        <w:t xml:space="preserve">In a multi-site </w:t>
      </w:r>
      <w:r w:rsidR="00930254" w:rsidRPr="007C7EA1">
        <w:rPr>
          <w:rFonts w:eastAsia="Calibri"/>
        </w:rPr>
        <w:t>convenience sample</w:t>
      </w:r>
      <w:r w:rsidR="00B81CA7" w:rsidRPr="007C7EA1">
        <w:rPr>
          <w:rFonts w:eastAsia="Calibri"/>
        </w:rPr>
        <w:t xml:space="preserve"> of 74 GMY ages 15-21 with a </w:t>
      </w:r>
      <w:r w:rsidR="00930254" w:rsidRPr="007C7EA1">
        <w:rPr>
          <w:rFonts w:eastAsia="Calibri"/>
        </w:rPr>
        <w:t>chosen</w:t>
      </w:r>
      <w:r w:rsidR="00B81CA7" w:rsidRPr="007C7EA1">
        <w:rPr>
          <w:rFonts w:eastAsia="Calibri"/>
        </w:rPr>
        <w:t xml:space="preserve"> names, Russell et al. (2018) found that </w:t>
      </w:r>
      <w:r w:rsidRPr="007C7EA1">
        <w:rPr>
          <w:rFonts w:eastAsia="Calibri"/>
        </w:rPr>
        <w:t>a one-unit increase in</w:t>
      </w:r>
      <w:r w:rsidR="00B81CA7" w:rsidRPr="007C7EA1">
        <w:rPr>
          <w:rFonts w:eastAsia="Calibri"/>
        </w:rPr>
        <w:t xml:space="preserve"> the number of contexts in which GMY could use a chosen name resulted in a 5.27-unit decrease</w:t>
      </w:r>
      <w:r w:rsidR="00CC17CB">
        <w:rPr>
          <w:rFonts w:eastAsia="Calibri"/>
        </w:rPr>
        <w:t xml:space="preserve"> </w:t>
      </w:r>
      <w:r w:rsidR="00CC17CB" w:rsidRPr="007C7EA1">
        <w:rPr>
          <w:rFonts w:eastAsia="Calibri"/>
        </w:rPr>
        <w:t>(95% CI: -8.20, -2.55)</w:t>
      </w:r>
      <w:r w:rsidR="00B81CA7" w:rsidRPr="007C7EA1">
        <w:rPr>
          <w:rFonts w:eastAsia="Calibri"/>
        </w:rPr>
        <w:t xml:space="preserve"> in depressive symptoms </w:t>
      </w:r>
      <w:r w:rsidR="00D523D9" w:rsidRPr="007C7EA1">
        <w:rPr>
          <w:rFonts w:eastAsia="Calibri"/>
        </w:rPr>
        <w:fldChar w:fldCharType="begin"/>
      </w:r>
      <w:r w:rsidR="009E526F">
        <w:rPr>
          <w:rFonts w:eastAsia="Calibri"/>
        </w:rPr>
        <w:instrText>ADDIN F1000_CSL_CITATION&lt;~#@#~&gt;[{"DOI":"10.1016/j.jadohealth.2018.02.003","First":false,"Last":false,"PMCID":"PMC6165713","PMID":"29609917","abstract":"&lt;strong&gt;PURPOSE:&lt;/strong&gt; This study aimed to examine the relation between chosen name use, as a proxy for youths' gender affirmation in various contexts, and mental health among transgender youth.&lt;br&gt;&lt;br&gt;&lt;strong&gt;METHODS:&lt;/strong&gt; Data come from a community cohort sample of 129 transgender and gender nonconforming youth from three U.S. cities. We assessed chosen name use across multiple contexts and examined its association with depression, suicidal ideation, and suicidal behavior.&lt;br&gt;&lt;br&gt;&lt;strong&gt;RESULTS:&lt;/strong&gt; After adjusting for personal characteristics and social support, chosen name use in more contexts was associated with lower depression, suicidal ideation, and suicidal behavior. Depression, suicidal ideation, and suicidal behavior were lowest when chosen names could be used in all four contexts.&lt;br&gt;&lt;br&gt;&lt;strong&gt;CONCLUSION:&lt;/strong&gt; For transgender youth who choose a name different from the one given at birth, use of their chosen name in multiple contexts affirms their gender identity and reduces mental health risks known to be high in this group.&lt;br&gt;&lt;br&gt;Copyright © 2018 The Society for Adolescent Health and Medicine. Published by Elsevier Inc. All rights reserved.","author":[{"family":"Russell","given":"Stephen T"},{"family":"Pollitt","given":"Amanda M"},{"family":"Li","given":"Gu"},{"family":"Grossman","given":"Arnold H"}],"authorYearDisplayFormat":false,"citation-label":"5888219","container-title":"The Journal of Adolescent Health","container-title-short":"J. Adolesc. Health","id":"5888219","invisible":false,"issue":"4","issued":{"date-parts":[["2018","3","30"]]},"journalAbbreviation":"J. Adolesc. Health","page":"503-505","suppress-author":false,"title":"Chosen name use is linked to reduced depressive symptoms, suicidal ideation, and suicidal behavior among transgender youth.","type":"article-journal","volume":"63"}]</w:instrText>
      </w:r>
      <w:r w:rsidR="00D523D9" w:rsidRPr="007C7EA1">
        <w:rPr>
          <w:rFonts w:eastAsia="Calibri"/>
        </w:rPr>
        <w:fldChar w:fldCharType="separate"/>
      </w:r>
      <w:r w:rsidR="00F96D9F" w:rsidRPr="00F96D9F">
        <w:rPr>
          <w:rFonts w:eastAsia="Calibri"/>
          <w:noProof/>
        </w:rPr>
        <w:t>(Russell, Pollitt, Li, &amp; Grossman, 2018)</w:t>
      </w:r>
      <w:r w:rsidR="00D523D9" w:rsidRPr="007C7EA1">
        <w:rPr>
          <w:rFonts w:eastAsia="Calibri"/>
        </w:rPr>
        <w:fldChar w:fldCharType="end"/>
      </w:r>
      <w:r w:rsidR="009E526F">
        <w:rPr>
          <w:rFonts w:eastAsia="Calibri"/>
        </w:rPr>
        <w:t>.</w:t>
      </w:r>
      <w:r w:rsidR="00B81CA7" w:rsidRPr="007C7EA1">
        <w:rPr>
          <w:rFonts w:eastAsia="Calibri"/>
        </w:rPr>
        <w:t xml:space="preserve"> This study adjusted for social support, study site, socioeconomic position, age, sexual </w:t>
      </w:r>
      <w:r w:rsidR="00461EFB">
        <w:rPr>
          <w:rFonts w:eastAsia="Calibri"/>
        </w:rPr>
        <w:t>identity</w:t>
      </w:r>
      <w:r w:rsidR="00B81CA7" w:rsidRPr="007C7EA1">
        <w:rPr>
          <w:rFonts w:eastAsia="Calibri"/>
        </w:rPr>
        <w:t xml:space="preserve">, race/ethnicity, and gender identity; depression was measured with the Beck Depression Inventory. </w:t>
      </w:r>
      <w:r w:rsidR="0039087E" w:rsidRPr="007C7EA1">
        <w:rPr>
          <w:rFonts w:eastAsia="Calibri"/>
        </w:rPr>
        <w:t xml:space="preserve">Additionally, </w:t>
      </w:r>
      <w:r w:rsidR="00B81CA7" w:rsidRPr="007C7EA1">
        <w:rPr>
          <w:rFonts w:eastAsia="Calibri"/>
        </w:rPr>
        <w:t>Pollitt et al. (2019)</w:t>
      </w:r>
      <w:r w:rsidR="00930254" w:rsidRPr="007C7EA1">
        <w:rPr>
          <w:rFonts w:eastAsia="Calibri"/>
        </w:rPr>
        <w:t xml:space="preserve"> analyzed a multi-site convenience sample of 129 GMY ages 15-21 and found that</w:t>
      </w:r>
      <w:r w:rsidRPr="007C7EA1">
        <w:rPr>
          <w:rFonts w:eastAsia="Calibri"/>
        </w:rPr>
        <w:t>,</w:t>
      </w:r>
      <w:r w:rsidR="00930254" w:rsidRPr="007C7EA1">
        <w:rPr>
          <w:rFonts w:eastAsia="Calibri"/>
        </w:rPr>
        <w:t xml:space="preserve"> among those who had a chosen name, use of a chose name at home was associated with fewer depression symptoms (β=-0.52; SE=0.18)</w:t>
      </w:r>
      <w:r w:rsidR="009E526F">
        <w:rPr>
          <w:rFonts w:eastAsia="Calibri"/>
        </w:rPr>
        <w:t xml:space="preserve"> </w:t>
      </w:r>
      <w:r w:rsidR="00D523D9" w:rsidRPr="007C7EA1">
        <w:rPr>
          <w:rFonts w:eastAsia="Calibri"/>
        </w:rPr>
        <w:fldChar w:fldCharType="begin"/>
      </w:r>
      <w:r w:rsidR="009E526F">
        <w:rPr>
          <w:rFonts w:eastAsia="Calibri"/>
        </w:rPr>
        <w:instrText>ADDIN F1000_CSL_CITATION&lt;~#@#~&gt;[{"DOI":"10.1177/0044118X19855898","First":false,"Last":false,"author":[{"family":"Pollitt","given":"A M"},{"family":"Ioverno","given":"S"},{"family":"Russell","given":"S T"},{"family":"Li","given":"G"},{"family":"Grossman","given":"A H"}],"authorYearDisplayFormat":false,"citation-label":"7168049","container-title":"Youth &amp; society","container-title-short":"Youth Soc.","id":"7168049","invisible":false,"issued":{"date-parts":[["2019","6","16"]]},"journalAbbreviation":"Youth Soc.","page":"0044118X1985589","suppress-author":false,"title":"Predictors and mental health benefits of chosen name use among transgender youth","type":"article-journal"}]</w:instrText>
      </w:r>
      <w:r w:rsidR="00D523D9" w:rsidRPr="007C7EA1">
        <w:rPr>
          <w:rFonts w:eastAsia="Calibri"/>
        </w:rPr>
        <w:fldChar w:fldCharType="separate"/>
      </w:r>
      <w:r w:rsidR="00F96D9F" w:rsidRPr="00F96D9F">
        <w:rPr>
          <w:rFonts w:eastAsia="Calibri"/>
          <w:noProof/>
        </w:rPr>
        <w:t>(Pollitt, Ioverno, Russell, Li, &amp; Grossman, 2019)</w:t>
      </w:r>
      <w:r w:rsidR="00D523D9" w:rsidRPr="007C7EA1">
        <w:rPr>
          <w:rFonts w:eastAsia="Calibri"/>
        </w:rPr>
        <w:fldChar w:fldCharType="end"/>
      </w:r>
      <w:r w:rsidR="009E526F">
        <w:rPr>
          <w:rFonts w:eastAsia="Calibri"/>
        </w:rPr>
        <w:t>.</w:t>
      </w:r>
      <w:r w:rsidR="00930254" w:rsidRPr="007C7EA1">
        <w:rPr>
          <w:rFonts w:eastAsia="Calibri"/>
        </w:rPr>
        <w:t xml:space="preserve"> (</w:t>
      </w:r>
      <w:r w:rsidRPr="007C7EA1">
        <w:rPr>
          <w:rFonts w:eastAsia="Calibri"/>
        </w:rPr>
        <w:t>In this univariate model,</w:t>
      </w:r>
      <w:r w:rsidR="00930254" w:rsidRPr="007C7EA1">
        <w:rPr>
          <w:rFonts w:eastAsia="Calibri"/>
        </w:rPr>
        <w:t xml:space="preserve"> depression symptoms </w:t>
      </w:r>
      <w:r w:rsidRPr="007C7EA1">
        <w:rPr>
          <w:rFonts w:eastAsia="Calibri"/>
        </w:rPr>
        <w:t>scores came from the</w:t>
      </w:r>
      <w:r w:rsidR="00930254" w:rsidRPr="007C7EA1">
        <w:rPr>
          <w:rFonts w:eastAsia="Calibri"/>
        </w:rPr>
        <w:t xml:space="preserve"> Beck Depression Inventory.)</w:t>
      </w:r>
      <w:r w:rsidR="003D7DA0" w:rsidRPr="007C7EA1">
        <w:rPr>
          <w:rFonts w:eastAsia="Calibri"/>
        </w:rPr>
        <w:t xml:space="preserve"> </w:t>
      </w:r>
    </w:p>
    <w:p w14:paraId="65E4A4C4" w14:textId="37F286D6" w:rsidR="00C30FE5" w:rsidRPr="007C7EA1" w:rsidRDefault="0039087E" w:rsidP="00F45F68">
      <w:pPr>
        <w:spacing w:line="480" w:lineRule="auto"/>
        <w:ind w:firstLine="720"/>
        <w:rPr>
          <w:rFonts w:eastAsia="Calibri"/>
        </w:rPr>
      </w:pPr>
      <w:r w:rsidRPr="007C7EA1">
        <w:rPr>
          <w:rFonts w:eastAsia="Calibri"/>
        </w:rPr>
        <w:t>Another marker of social transition</w:t>
      </w:r>
      <w:r w:rsidR="009E2AE0" w:rsidRPr="007C7EA1">
        <w:rPr>
          <w:rFonts w:eastAsia="Calibri"/>
        </w:rPr>
        <w:t xml:space="preserve"> is the correct use of pronouns</w:t>
      </w:r>
      <w:r w:rsidR="00CC17CB">
        <w:rPr>
          <w:rFonts w:eastAsia="Calibri"/>
        </w:rPr>
        <w:t>.</w:t>
      </w:r>
      <w:r w:rsidRPr="007C7EA1">
        <w:rPr>
          <w:rFonts w:eastAsia="Calibri"/>
        </w:rPr>
        <w:t xml:space="preserve"> </w:t>
      </w:r>
      <w:proofErr w:type="spellStart"/>
      <w:r w:rsidRPr="007C7EA1">
        <w:rPr>
          <w:rFonts w:eastAsia="Calibri"/>
        </w:rPr>
        <w:t>Durwood</w:t>
      </w:r>
      <w:proofErr w:type="spellEnd"/>
      <w:r w:rsidRPr="007C7EA1">
        <w:rPr>
          <w:rFonts w:eastAsia="Calibri"/>
        </w:rPr>
        <w:t xml:space="preserve"> et al. (2017) conducted an analysis of 63 binary-identified GMY ages 9-14 who had socially transitioned and 63 age-matched controls</w:t>
      </w:r>
      <w:r w:rsidR="00CC17CB">
        <w:rPr>
          <w:rFonts w:eastAsia="Calibri"/>
        </w:rPr>
        <w:t xml:space="preserve"> </w:t>
      </w:r>
      <w:r w:rsidR="00D523D9" w:rsidRPr="007C7EA1">
        <w:rPr>
          <w:rFonts w:eastAsia="Calibri"/>
        </w:rPr>
        <w:fldChar w:fldCharType="begin"/>
      </w:r>
      <w:r w:rsidR="009E526F">
        <w:rPr>
          <w:rFonts w:eastAsia="Calibri"/>
        </w:rPr>
        <w:instrText>ADDIN F1000_CSL_CITATION&lt;~#@#~&gt;[{"DOI":"10.1016/j.jaac.2016.10.016","First":false,"Last":false,"PMCID":"PMC5302003","PMID":"28117057","abstract":"&lt;strong&gt;OBJECTIVE:&lt;/strong&gt; Social transitions are increasingly common for transgender children. A social transition involves a child presenting to other people as a member of the \"opposite\" gender in all contexts (e.g., wearing clothes and using pronouns of that gender). Little is known about the well-being of socially transitioned transgender children. This study examined self-reported depression, anxiety, and self-worth in socially transitioned transgender children compared with 2 control groups: age- and gender-matched controls and siblings of transgender children.&lt;br&gt;&lt;br&gt;&lt;strong&gt;METHOD:&lt;/strong&gt; As part of a longitudinal study (TransYouth Project), children (9-14 years old) and their parents completed measurements of depression and anxiety (n = 63 transgender children, n = 63 controls, n = 38 siblings). Children (6-14 years old; n = 116 transgender children, n = 122 controls, n = 72 siblings) also reported on their self-worth. Mental health and self-worth were compared across groups.&lt;br&gt;&lt;br&gt;&lt;strong&gt;RESULTS:&lt;/strong&gt; Transgender children reported depression and self-worth that did not differ from their matched-control or sibling peers (p = .311), and they reported marginally higher anxiety (p = .076). Compared with national averages, transgender children showed typical rates of depression (p = .290) and marginally higher rates of anxiety (p = .096). Parents similarly reported that their transgender children experienced more anxiety than children in the control groups (p = .002) and rated their transgender children as having equivalent levels of depression (p = .728).&lt;br&gt;&lt;br&gt;&lt;strong&gt;CONCLUSION:&lt;/strong&gt; These findings are in striking contrast to previous work with gender-nonconforming children who had not socially transitioned, which found very high rates of depression and anxiety. These findings lessen concerns from previous work that parents of socially transitioned children could be systematically underreporting mental health problems.&lt;br&gt;&lt;br&gt;Copyright © 2016 American Academy of Child and Adolescent Psychiatry. Published by Elsevier Inc. All rights reserved.","author":[{"family":"Durwood","given":"Lily"},{"family":"McLaughlin","given":"Katie A"},{"family":"Olson","given":"Kristina R"}],"authorYearDisplayFormat":false,"citation-label":"3157663","container-title":"Journal of the American Academy of Child and Adolescent Psychiatry","container-title-short":"J. Am. Acad. Child Adolesc. Psychiatry","id":"3157663","invisible":false,"issue":"2","issued":{"date-parts":[["2017","2"]]},"journalAbbreviation":"J. Am. Acad. Child Adolesc. Psychiatry","page":"116-123.e2","suppress-author":false,"title":"Mental Health and Self-Worth in Socially Transitioned Transgender Youth.","type":"article-journal","volume":"56"}]</w:instrText>
      </w:r>
      <w:r w:rsidR="00D523D9" w:rsidRPr="007C7EA1">
        <w:rPr>
          <w:rFonts w:eastAsia="Calibri"/>
        </w:rPr>
        <w:fldChar w:fldCharType="separate"/>
      </w:r>
      <w:r w:rsidR="00F96D9F" w:rsidRPr="00F96D9F">
        <w:rPr>
          <w:rFonts w:eastAsia="Calibri"/>
          <w:noProof/>
        </w:rPr>
        <w:t>(Durwood, McLaughlin, &amp; Olson, 2017)</w:t>
      </w:r>
      <w:r w:rsidR="00D523D9" w:rsidRPr="007C7EA1">
        <w:rPr>
          <w:rFonts w:eastAsia="Calibri"/>
        </w:rPr>
        <w:fldChar w:fldCharType="end"/>
      </w:r>
      <w:r w:rsidR="00CC17CB">
        <w:rPr>
          <w:rFonts w:eastAsia="Calibri"/>
        </w:rPr>
        <w:t>.</w:t>
      </w:r>
      <w:r w:rsidR="009E2AE0" w:rsidRPr="007C7EA1">
        <w:rPr>
          <w:rFonts w:eastAsia="Calibri"/>
        </w:rPr>
        <w:t xml:space="preserve"> In this study, social transition </w:t>
      </w:r>
      <w:r w:rsidR="009E2AE0" w:rsidRPr="007C7EA1">
        <w:rPr>
          <w:rFonts w:eastAsia="Calibri"/>
        </w:rPr>
        <w:lastRenderedPageBreak/>
        <w:t xml:space="preserve">was defined as a youth using their affirmed pronouns in all </w:t>
      </w:r>
      <w:r w:rsidR="0046704C" w:rsidRPr="007C7EA1">
        <w:rPr>
          <w:rFonts w:eastAsia="Calibri"/>
        </w:rPr>
        <w:t>contexts</w:t>
      </w:r>
      <w:r w:rsidR="009E2AE0" w:rsidRPr="007C7EA1">
        <w:rPr>
          <w:rFonts w:eastAsia="Calibri"/>
        </w:rPr>
        <w:t>.</w:t>
      </w:r>
      <w:r w:rsidRPr="007C7EA1">
        <w:rPr>
          <w:rFonts w:eastAsia="Calibri"/>
        </w:rPr>
        <w:t xml:space="preserve"> Using the PROMIS scale T-scores for depression, the authors found no difference in depression scores between GMY, cisgender controls, or national averages. </w:t>
      </w:r>
      <w:r w:rsidR="009E526F">
        <w:rPr>
          <w:rFonts w:eastAsia="Calibri"/>
        </w:rPr>
        <w:t xml:space="preserve">K. R. </w:t>
      </w:r>
      <w:r w:rsidR="00C30FE5" w:rsidRPr="007C7EA1">
        <w:rPr>
          <w:rFonts w:eastAsia="Calibri"/>
        </w:rPr>
        <w:t>Olson et al. (2016) conducted a</w:t>
      </w:r>
      <w:r w:rsidR="0046704C" w:rsidRPr="007C7EA1">
        <w:rPr>
          <w:rFonts w:eastAsia="Calibri"/>
        </w:rPr>
        <w:t xml:space="preserve"> similar</w:t>
      </w:r>
      <w:r w:rsidR="00C30FE5" w:rsidRPr="007C7EA1">
        <w:rPr>
          <w:rFonts w:eastAsia="Calibri"/>
        </w:rPr>
        <w:t xml:space="preserve"> study of 73 socially transitioned GMY, ages 3-12 from a national convenience sample, and 73 gender-matched cisgender controls</w:t>
      </w:r>
      <w:r w:rsidR="009E526F">
        <w:rPr>
          <w:rFonts w:eastAsia="Calibri"/>
        </w:rPr>
        <w:t xml:space="preserve"> </w:t>
      </w:r>
      <w:r w:rsidR="00D523D9" w:rsidRPr="007C7EA1">
        <w:rPr>
          <w:rFonts w:eastAsia="Calibri"/>
        </w:rPr>
        <w:fldChar w:fldCharType="begin"/>
      </w:r>
      <w:r w:rsidR="009E526F">
        <w:rPr>
          <w:rFonts w:eastAsia="Calibri"/>
        </w:rPr>
        <w:instrText>ADDIN F1000_CSL_CITATION&lt;~#@#~&gt;[{"DOI":"10.1542/peds.2015-3223","First":false,"Last":false,"PMCID":"PMC4771131","PMID":"26921285","abstract":"&lt;strong&gt;OBJECTIVE:&lt;/strong&gt; Transgender children who have socially transitioned, that is, who identify as the gender \"opposite\" their natal sex and are supported to live openly as that gender, are increasingly visible in society, yet we know nothing about their mental health. Previous work with children with gender identity disorder (GID; now termed gender dysphoria) has found remarkably high rates of anxiety and depression in these children. Here we examine, for the first time, mental health in a sample of socially transitioned transgender children.&lt;br&gt;&lt;br&gt;&lt;strong&gt;METHODS:&lt;/strong&gt; A community-based national sample of transgender, prepubescent children (n = 73, aged 3-12 years), along with control groups of nontransgender children in the same age range (n = 73 age- and gender-matched community controls; n = 49 sibling of transgender participants), were recruited as part of the TransYouth Project. Parents completed anxiety and depression measures.&lt;br&gt;&lt;br&gt;&lt;strong&gt;RESULTS:&lt;/strong&gt; Transgender children showed no elevations in depression and slightly elevated anxiety relative to population averages. They did not differ from the control groups on depression symptoms and had only marginally higher anxiety symptoms.&lt;br&gt;&lt;br&gt;&lt;strong&gt;CONCLUSIONS:&lt;/strong&gt; Socially transitioned transgender children who are supported in their gender identity have developmentally normative levels of depression and only minimal elevations in anxiety, suggesting that psychopathology is not inevitable within this group. Especially striking is the comparison with reports of children with GID; socially transitioned transgender children have notably lower rates of internalizing psychopathology than previously reported among children with GID living as their natal sex.&lt;br&gt;&lt;br&gt;Copyright © 2016 by the American Academy of Pediatrics.","author":[{"family":"Olson","given":"Kristina R"},{"family":"Durwood","given":"Lily"},{"family":"DeMeules","given":"Madeleine"},{"family":"McLaughlin","given":"Katie A"}],"authorYearDisplayFormat":false,"citation-label":"1455206","container-title":"Pediatrics","container-title-short":"Pediatrics","id":"1455206","invisible":false,"issue":"3","issued":{"date-parts":[["2016","3"]]},"journalAbbreviation":"Pediatrics","page":"e20153223","suppress-author":false,"title":"Mental health of transgender children who are supported in their identities.","type":"article-journal","volume":"137"}]</w:instrText>
      </w:r>
      <w:r w:rsidR="00D523D9" w:rsidRPr="007C7EA1">
        <w:rPr>
          <w:rFonts w:eastAsia="Calibri"/>
        </w:rPr>
        <w:fldChar w:fldCharType="separate"/>
      </w:r>
      <w:r w:rsidR="00F96D9F" w:rsidRPr="00F96D9F">
        <w:rPr>
          <w:rFonts w:eastAsia="Calibri"/>
          <w:noProof/>
        </w:rPr>
        <w:t>(K. R. Olson, Durwood, DeMeules, &amp; McLaughlin, 2016)</w:t>
      </w:r>
      <w:r w:rsidR="00D523D9" w:rsidRPr="007C7EA1">
        <w:rPr>
          <w:rFonts w:eastAsia="Calibri"/>
        </w:rPr>
        <w:fldChar w:fldCharType="end"/>
      </w:r>
      <w:r w:rsidR="009E526F">
        <w:rPr>
          <w:rFonts w:eastAsia="Calibri"/>
        </w:rPr>
        <w:t>.</w:t>
      </w:r>
      <w:r w:rsidR="00C30FE5" w:rsidRPr="007C7EA1">
        <w:rPr>
          <w:rFonts w:eastAsia="Calibri"/>
        </w:rPr>
        <w:t xml:space="preserve"> In this study, social transition was defined as</w:t>
      </w:r>
      <w:r w:rsidR="00552503" w:rsidRPr="007C7EA1">
        <w:rPr>
          <w:rFonts w:eastAsia="Calibri"/>
        </w:rPr>
        <w:t xml:space="preserve"> both</w:t>
      </w:r>
      <w:r w:rsidR="00C30FE5" w:rsidRPr="007C7EA1">
        <w:rPr>
          <w:rFonts w:eastAsia="Calibri"/>
        </w:rPr>
        <w:t xml:space="preserve"> being out as their gender and using affirming pronouns in all contexts. T score comparisons showed no difference in depression symptoms (as measured by an NIH-validated parental proxy short form) between GMY, matched controls, or national averages</w:t>
      </w:r>
      <w:r w:rsidR="00552503" w:rsidRPr="007C7EA1">
        <w:rPr>
          <w:rFonts w:eastAsia="Calibri"/>
        </w:rPr>
        <w:t>, indicating that social transition may mitigate depression severity among GMY</w:t>
      </w:r>
      <w:r w:rsidR="00C30FE5" w:rsidRPr="007C7EA1">
        <w:rPr>
          <w:rFonts w:eastAsia="Calibri"/>
        </w:rPr>
        <w:t>.</w:t>
      </w:r>
    </w:p>
    <w:p w14:paraId="604B21A3" w14:textId="16686091" w:rsidR="00270247" w:rsidRPr="007C7EA1" w:rsidRDefault="00C30FE5" w:rsidP="009154EF">
      <w:pPr>
        <w:pStyle w:val="Style1"/>
      </w:pPr>
      <w:r w:rsidRPr="007C7EA1">
        <w:t>An additional</w:t>
      </w:r>
      <w:r w:rsidR="0039087E" w:rsidRPr="007C7EA1">
        <w:t xml:space="preserve"> indicator of gender-specific family support can be access to gender afforming medical care, including pubertal blockers. </w:t>
      </w:r>
      <w:r w:rsidR="003D7DA0" w:rsidRPr="007C7EA1">
        <w:t>Turban et al</w:t>
      </w:r>
      <w:r w:rsidR="0039087E" w:rsidRPr="007C7EA1">
        <w:t>.</w:t>
      </w:r>
      <w:r w:rsidR="003D7DA0" w:rsidRPr="007C7EA1">
        <w:t xml:space="preserve"> (2020) conducted a retrospective cohort study of 3494 gender minority individuals form the US Transgender survey among adults who had ever received or wanted to receive pubertal blockers</w:t>
      </w:r>
      <w:r w:rsidR="009E526F">
        <w:t xml:space="preserve"> </w:t>
      </w:r>
      <w:r w:rsidR="00D523D9" w:rsidRPr="007C7EA1">
        <w:fldChar w:fldCharType="begin"/>
      </w:r>
      <w:r w:rsidR="009E526F">
        <w:instrText>ADDIN F1000_CSL_CITATION&lt;~#@#~&gt;[{"DOI":"10.1542/peds.2019-1725","First":false,"Last":false,"PMCID":"PMC7073269","PMID":"31974216","abstract":"&lt;strong&gt;BACKGROUND AND OBJECTIVES:&lt;/strong&gt; Gonadotropin-releasing hormone analogues are commonly prescribed to suppress endogenous puberty for transgender adolescents. There are limited data regarding the mental health benefits of this treatment. Our objective for this study was to examine associations between access to pubertal suppression during adolescence and adult mental health outcomes.&lt;br&gt;&lt;br&gt;&lt;strong&gt;METHODS:&lt;/strong&gt; Using a cross-sectional survey of 20 619 transgender adults aged 18 to 36 years, we examined self-reported history of pubertal suppression during adolescence. Using multivariable logistic regression, we examined associations between access to pubertal suppression and adult mental health outcomes, including multiple measures of suicidality.&lt;br&gt;&lt;br&gt;&lt;strong&gt;RESULTS:&lt;/strong&gt; Of the sample, 16.9% reported that they ever wanted pubertal suppression as part of their gender-related care. Their mean age was 23.4 years, and 45.2% were assigned male sex at birth. Of them, 2.5% received pubertal suppression. After adjustment for demographic variables and level of family support for gender identity, those who received treatment with pubertal suppression, when compared with those who wanted pubertal suppression but did not receive it, had lower odds of lifetime suicidal ideation (adjusted odds ratio = 0.3; 95% confidence interval = 0.2-0.6).&lt;br&gt;&lt;br&gt;&lt;strong&gt;CONCLUSIONS:&lt;/strong&gt; This is the first study in which associations between access to pubertal suppression and suicidality are examined. There is a significant inverse association between treatment with pubertal suppression during adolescence and lifetime suicidal ideation among transgender adults who ever wanted this treatment. These results align with past literature, suggesting that pubertal suppression for transgender adolescents who want this treatment is associated with favorable mental health outcomes.&lt;br&gt;&lt;br&gt;Copyright © 2020 by the American Academy of Pediatrics.","author":[{"family":"Turban","given":"Jack L"},{"family":"King","given":"Dana"},{"family":"Carswell","given":"Jeremi M"},{"family":"Keuroghlian","given":"Alex S"}],"authorYearDisplayFormat":false,"citation-label":"8177749","container-title":"Pediatrics","container-title-short":"Pediatrics","id":"8177749","invisible":false,"issue":"2","issued":{"date-parts":[["2020","2"]]},"journalAbbreviation":"Pediatrics","suppress-author":false,"title":"Pubertal suppression for transgender youth and risk of suicidal ideation.","type":"article-journal","volume":"145"}]</w:instrText>
      </w:r>
      <w:r w:rsidR="00D523D9" w:rsidRPr="007C7EA1">
        <w:fldChar w:fldCharType="separate"/>
      </w:r>
      <w:r w:rsidR="00F96D9F" w:rsidRPr="00F96D9F">
        <w:rPr>
          <w:noProof/>
        </w:rPr>
        <w:t>(Turban, King, Carswell, &amp; Keuroghlian, 2020)</w:t>
      </w:r>
      <w:r w:rsidR="00D523D9" w:rsidRPr="007C7EA1">
        <w:fldChar w:fldCharType="end"/>
      </w:r>
      <w:r w:rsidR="009E526F">
        <w:t>.</w:t>
      </w:r>
      <w:r w:rsidR="003D7DA0" w:rsidRPr="007C7EA1">
        <w:t xml:space="preserve"> They found that access to pubertal blockers before the age of 17 reduced odds of suicidal ideation across the lifetime by 70% (OR: 0.3</w:t>
      </w:r>
      <w:r w:rsidR="009E526F">
        <w:t xml:space="preserve"> [</w:t>
      </w:r>
      <w:r w:rsidR="003D7DA0" w:rsidRPr="007C7EA1">
        <w:t>95% CI: 0.2-0.6</w:t>
      </w:r>
      <w:r w:rsidR="009E526F">
        <w:t>]</w:t>
      </w:r>
      <w:r w:rsidR="003D7DA0" w:rsidRPr="007C7EA1">
        <w:t xml:space="preserve">) when adjusting for demographics correlated with suicidal ideation, including family support, sexual </w:t>
      </w:r>
      <w:r w:rsidR="00461EFB">
        <w:t>identity</w:t>
      </w:r>
      <w:r w:rsidR="003D7DA0" w:rsidRPr="007C7EA1">
        <w:t xml:space="preserve">, education level, employment status, and total household income. </w:t>
      </w:r>
      <w:r w:rsidRPr="007C7EA1">
        <w:t>Overall, existing literatures shows that access to social and medical transition can reduce GMY depression disparities</w:t>
      </w:r>
      <w:r w:rsidR="00552503" w:rsidRPr="007C7EA1">
        <w:t>, and</w:t>
      </w:r>
      <w:r w:rsidRPr="007C7EA1">
        <w:t xml:space="preserve"> family support </w:t>
      </w:r>
      <w:r w:rsidR="00552503" w:rsidRPr="007C7EA1">
        <w:t>may</w:t>
      </w:r>
      <w:r w:rsidRPr="007C7EA1">
        <w:t xml:space="preserve"> play a critical role in ensuring such access.</w:t>
      </w:r>
    </w:p>
    <w:p w14:paraId="2B6675AB" w14:textId="08D0343A" w:rsidR="004D51F5" w:rsidRPr="00E836C9" w:rsidRDefault="004D51F5" w:rsidP="009154EF">
      <w:pPr>
        <w:pStyle w:val="Heading2"/>
      </w:pPr>
      <w:bookmarkStart w:id="7" w:name="_Toc39049733"/>
      <w:r w:rsidRPr="00E836C9">
        <w:t xml:space="preserve">1.4 Outness </w:t>
      </w:r>
      <w:r w:rsidR="00FE5727">
        <w:t>A</w:t>
      </w:r>
      <w:r w:rsidRPr="00E836C9">
        <w:t>mong GMY</w:t>
      </w:r>
      <w:bookmarkEnd w:id="7"/>
    </w:p>
    <w:p w14:paraId="4420B692" w14:textId="0ABCDFAD" w:rsidR="0067277D" w:rsidRPr="007C7EA1" w:rsidRDefault="00A31769" w:rsidP="009154EF">
      <w:pPr>
        <w:spacing w:line="480" w:lineRule="auto"/>
        <w:ind w:firstLine="720"/>
        <w:rPr>
          <w:rFonts w:eastAsia="Calibri"/>
        </w:rPr>
      </w:pPr>
      <w:r>
        <w:rPr>
          <w:rFonts w:eastAsia="Calibri"/>
        </w:rPr>
        <w:t>An</w:t>
      </w:r>
      <w:r w:rsidR="00D57AC2" w:rsidRPr="007C7EA1">
        <w:rPr>
          <w:rFonts w:eastAsia="Calibri"/>
        </w:rPr>
        <w:t xml:space="preserve"> additional factor that </w:t>
      </w:r>
      <w:r w:rsidR="00552503" w:rsidRPr="007C7EA1">
        <w:rPr>
          <w:rFonts w:eastAsia="Calibri"/>
        </w:rPr>
        <w:t>may</w:t>
      </w:r>
      <w:r w:rsidR="00D57AC2" w:rsidRPr="007C7EA1">
        <w:rPr>
          <w:rFonts w:eastAsia="Calibri"/>
        </w:rPr>
        <w:t xml:space="preserve"> be associated with mental health disparities among GMY is outness to families. Outness (or disclosure) is the degree to which a sexual or gender minority </w:t>
      </w:r>
      <w:r w:rsidR="00D57AC2" w:rsidRPr="007C7EA1">
        <w:rPr>
          <w:rFonts w:eastAsia="Calibri"/>
        </w:rPr>
        <w:lastRenderedPageBreak/>
        <w:t>individual is to others open about their identity</w:t>
      </w:r>
      <w:r>
        <w:rPr>
          <w:rFonts w:eastAsia="Calibri"/>
        </w:rPr>
        <w:t>. While outness can be measured as dichotomous (i.e. “Does everyone in your life (your friends, family members, coworkers, etc.) know your gender identity?), a gender minority individual can be out to varying degrees in different context of their life. For example, someone may be out to all friends, only immediate family members, and no coworkers</w:t>
      </w:r>
      <w:r w:rsidR="00D57AC2" w:rsidRPr="007C7EA1">
        <w:rPr>
          <w:rFonts w:eastAsia="Calibri"/>
        </w:rPr>
        <w:t xml:space="preserve">. Among GMY, literature on outness is limited, and outness to family has rarely been examined. </w:t>
      </w:r>
      <w:r w:rsidR="00855F9C" w:rsidRPr="007C7EA1">
        <w:rPr>
          <w:rFonts w:eastAsia="Calibri"/>
        </w:rPr>
        <w:t>Of those studies</w:t>
      </w:r>
      <w:r>
        <w:rPr>
          <w:rFonts w:eastAsia="Calibri"/>
        </w:rPr>
        <w:t xml:space="preserve"> identified for this literature review</w:t>
      </w:r>
      <w:r w:rsidR="00855F9C" w:rsidRPr="007C7EA1">
        <w:rPr>
          <w:rFonts w:eastAsia="Calibri"/>
        </w:rPr>
        <w:t xml:space="preserve"> three studies examining </w:t>
      </w:r>
      <w:r w:rsidR="00D57AC2" w:rsidRPr="007C7EA1">
        <w:rPr>
          <w:rFonts w:eastAsia="Calibri"/>
        </w:rPr>
        <w:t>GMY</w:t>
      </w:r>
      <w:r w:rsidR="00855F9C" w:rsidRPr="007C7EA1">
        <w:rPr>
          <w:rFonts w:eastAsia="Calibri"/>
        </w:rPr>
        <w:t>, two</w:t>
      </w:r>
      <w:r w:rsidR="00D57AC2" w:rsidRPr="007C7EA1">
        <w:rPr>
          <w:rFonts w:eastAsia="Calibri"/>
        </w:rPr>
        <w:t xml:space="preserve"> </w:t>
      </w:r>
      <w:r w:rsidR="00855F9C" w:rsidRPr="007C7EA1">
        <w:rPr>
          <w:rFonts w:eastAsia="Calibri"/>
        </w:rPr>
        <w:t>occurred</w:t>
      </w:r>
      <w:r w:rsidR="00D57AC2" w:rsidRPr="007C7EA1">
        <w:rPr>
          <w:rFonts w:eastAsia="Calibri"/>
        </w:rPr>
        <w:t xml:space="preserve"> in campus settings and examine outness as an outcome of factors such as positive school climate, social support, and less discrimination and stigma.</w:t>
      </w:r>
      <w:r w:rsidR="005B5C0B" w:rsidRPr="007C7EA1">
        <w:rPr>
          <w:rFonts w:eastAsia="Calibri"/>
        </w:rPr>
        <w:t xml:space="preserve"> di </w:t>
      </w:r>
      <w:proofErr w:type="spellStart"/>
      <w:r w:rsidR="005B5C0B" w:rsidRPr="007C7EA1">
        <w:rPr>
          <w:rFonts w:eastAsia="Calibri"/>
        </w:rPr>
        <w:t>Bartolo</w:t>
      </w:r>
      <w:proofErr w:type="spellEnd"/>
      <w:r w:rsidR="005B5C0B" w:rsidRPr="007C7EA1">
        <w:rPr>
          <w:rFonts w:eastAsia="Calibri"/>
        </w:rPr>
        <w:t xml:space="preserve"> (2013) analyzed data on the outness of 519 GMY from a national survey of college campuses</w:t>
      </w:r>
      <w:r w:rsidR="009E526F">
        <w:rPr>
          <w:rFonts w:eastAsia="Calibri"/>
        </w:rPr>
        <w:t xml:space="preserve"> </w:t>
      </w:r>
      <w:r w:rsidR="00D523D9" w:rsidRPr="007C7EA1">
        <w:rPr>
          <w:rFonts w:eastAsia="Calibri"/>
        </w:rPr>
        <w:fldChar w:fldCharType="begin"/>
      </w:r>
      <w:r w:rsidR="009E526F">
        <w:rPr>
          <w:rFonts w:eastAsia="Calibri"/>
        </w:rPr>
        <w:instrText>ADDIN F1000_CSL_CITATION&lt;~#@#~&gt;[{"First":false,"Last":false,"author":[{"family":"di Bartolo","given":"Adriana N."}],"authorYearDisplayFormat":false,"citation-label":"8094052","container-title":"ProQuest LLC","container-title-short":"ProQuest LLC","id":"8094052","invisible":false,"issued":{"date-parts":[["2013"]]},"journalAbbreviation":"ProQuest LLC","suppress-author":false,"title":"Is There a Difference? The Impact of Campus Climate on Sexual Minority and Gender Minority Students' Levels of Outness.","type":"article-journal"}]</w:instrText>
      </w:r>
      <w:r w:rsidR="00D523D9" w:rsidRPr="007C7EA1">
        <w:rPr>
          <w:rFonts w:eastAsia="Calibri"/>
        </w:rPr>
        <w:fldChar w:fldCharType="separate"/>
      </w:r>
      <w:r w:rsidR="00F96D9F" w:rsidRPr="00F96D9F">
        <w:rPr>
          <w:rFonts w:eastAsia="Calibri"/>
          <w:noProof/>
        </w:rPr>
        <w:t>(di Bartolo, 2013)</w:t>
      </w:r>
      <w:r w:rsidR="00D523D9" w:rsidRPr="007C7EA1">
        <w:rPr>
          <w:rFonts w:eastAsia="Calibri"/>
        </w:rPr>
        <w:fldChar w:fldCharType="end"/>
      </w:r>
      <w:r w:rsidR="009E526F">
        <w:rPr>
          <w:rFonts w:eastAsia="Calibri"/>
        </w:rPr>
        <w:t>.</w:t>
      </w:r>
      <w:r w:rsidR="005B5C0B" w:rsidRPr="007C7EA1">
        <w:rPr>
          <w:rFonts w:eastAsia="Calibri"/>
        </w:rPr>
        <w:t xml:space="preserve"> The </w:t>
      </w:r>
      <w:r w:rsidR="00552503" w:rsidRPr="007C7EA1">
        <w:rPr>
          <w:rFonts w:eastAsia="Calibri"/>
        </w:rPr>
        <w:t>author</w:t>
      </w:r>
      <w:r w:rsidR="005B5C0B" w:rsidRPr="007C7EA1">
        <w:rPr>
          <w:rFonts w:eastAsia="Calibri"/>
        </w:rPr>
        <w:t xml:space="preserve"> found harassment was associated with </w:t>
      </w:r>
      <w:r w:rsidR="00CC17CB">
        <w:rPr>
          <w:rFonts w:eastAsia="Calibri"/>
        </w:rPr>
        <w:t xml:space="preserve">33% </w:t>
      </w:r>
      <w:r w:rsidR="005B5C0B" w:rsidRPr="007C7EA1">
        <w:rPr>
          <w:rFonts w:eastAsia="Calibri"/>
        </w:rPr>
        <w:t>lower odds of being out (OR</w:t>
      </w:r>
      <w:r w:rsidR="009E526F">
        <w:rPr>
          <w:rFonts w:eastAsia="Calibri"/>
        </w:rPr>
        <w:t xml:space="preserve">: </w:t>
      </w:r>
      <w:r w:rsidR="005B5C0B" w:rsidRPr="007C7EA1">
        <w:rPr>
          <w:rFonts w:eastAsia="Calibri"/>
        </w:rPr>
        <w:t>0.665, p</w:t>
      </w:r>
      <w:r w:rsidR="009E526F">
        <w:rPr>
          <w:rFonts w:eastAsia="Calibri"/>
        </w:rPr>
        <w:t xml:space="preserve">-value: </w:t>
      </w:r>
      <w:r w:rsidR="005B5C0B" w:rsidRPr="007C7EA1">
        <w:rPr>
          <w:rFonts w:eastAsia="Calibri"/>
        </w:rPr>
        <w:t>0.002), greater perceived safety was associated with greater</w:t>
      </w:r>
      <w:r w:rsidR="00CC17CB">
        <w:rPr>
          <w:rFonts w:eastAsia="Calibri"/>
        </w:rPr>
        <w:t xml:space="preserve"> 44%</w:t>
      </w:r>
      <w:r w:rsidR="005B5C0B" w:rsidRPr="007C7EA1">
        <w:rPr>
          <w:rFonts w:eastAsia="Calibri"/>
        </w:rPr>
        <w:t xml:space="preserve"> odds of being out (OR</w:t>
      </w:r>
      <w:r w:rsidR="009E526F">
        <w:rPr>
          <w:rFonts w:eastAsia="Calibri"/>
        </w:rPr>
        <w:t xml:space="preserve">: </w:t>
      </w:r>
      <w:r w:rsidR="005B5C0B" w:rsidRPr="007C7EA1">
        <w:rPr>
          <w:rFonts w:eastAsia="Calibri"/>
        </w:rPr>
        <w:t>1.440, p</w:t>
      </w:r>
      <w:r w:rsidR="009E526F">
        <w:rPr>
          <w:rFonts w:eastAsia="Calibri"/>
        </w:rPr>
        <w:t xml:space="preserve">-value: </w:t>
      </w:r>
      <w:r w:rsidR="005B5C0B" w:rsidRPr="007C7EA1">
        <w:rPr>
          <w:rFonts w:eastAsia="Calibri"/>
        </w:rPr>
        <w:t xml:space="preserve">0.046), greater perception of classroom safety was associated with </w:t>
      </w:r>
      <w:r w:rsidR="00CC17CB">
        <w:rPr>
          <w:rFonts w:eastAsia="Calibri"/>
        </w:rPr>
        <w:t xml:space="preserve">30% </w:t>
      </w:r>
      <w:r w:rsidR="005B5C0B" w:rsidRPr="007C7EA1">
        <w:rPr>
          <w:rFonts w:eastAsia="Calibri"/>
        </w:rPr>
        <w:t>greater odds of being out (OR</w:t>
      </w:r>
      <w:r w:rsidR="00CC17CB">
        <w:rPr>
          <w:rFonts w:eastAsia="Calibri"/>
        </w:rPr>
        <w:t>:</w:t>
      </w:r>
      <w:r w:rsidR="005B5C0B" w:rsidRPr="007C7EA1">
        <w:rPr>
          <w:rFonts w:eastAsia="Calibri"/>
        </w:rPr>
        <w:t xml:space="preserve"> 1.298, p</w:t>
      </w:r>
      <w:r w:rsidR="00CC17CB">
        <w:rPr>
          <w:rFonts w:eastAsia="Calibri"/>
        </w:rPr>
        <w:t xml:space="preserve">-value: </w:t>
      </w:r>
      <w:r w:rsidR="005B5C0B" w:rsidRPr="007C7EA1">
        <w:rPr>
          <w:rFonts w:eastAsia="Calibri"/>
        </w:rPr>
        <w:t xml:space="preserve">0.015), and greater campus response to harassment was associated with </w:t>
      </w:r>
      <w:r w:rsidR="00CC17CB">
        <w:rPr>
          <w:rFonts w:eastAsia="Calibri"/>
        </w:rPr>
        <w:t xml:space="preserve">18% </w:t>
      </w:r>
      <w:r w:rsidR="005B5C0B" w:rsidRPr="007C7EA1">
        <w:rPr>
          <w:rFonts w:eastAsia="Calibri"/>
        </w:rPr>
        <w:t>greater odds of being out (OR: 1.182, p</w:t>
      </w:r>
      <w:r w:rsidR="00CC17CB">
        <w:rPr>
          <w:rFonts w:eastAsia="Calibri"/>
        </w:rPr>
        <w:t xml:space="preserve">-value: </w:t>
      </w:r>
      <w:r w:rsidR="005B5C0B" w:rsidRPr="007C7EA1">
        <w:rPr>
          <w:rFonts w:eastAsia="Calibri"/>
        </w:rPr>
        <w:t>0.018</w:t>
      </w:r>
      <w:r w:rsidR="00CC17CB">
        <w:rPr>
          <w:rFonts w:eastAsia="Calibri"/>
        </w:rPr>
        <w:t>).</w:t>
      </w:r>
      <w:r w:rsidR="00552503" w:rsidRPr="007C7EA1">
        <w:rPr>
          <w:rFonts w:eastAsia="Calibri"/>
        </w:rPr>
        <w:t xml:space="preserve"> </w:t>
      </w:r>
      <w:r w:rsidR="00CC17CB">
        <w:rPr>
          <w:rFonts w:eastAsia="Calibri"/>
        </w:rPr>
        <w:t>(A</w:t>
      </w:r>
      <w:r w:rsidR="005B5C0B" w:rsidRPr="007C7EA1">
        <w:rPr>
          <w:rFonts w:eastAsia="Calibri"/>
        </w:rPr>
        <w:t>ll constructs mentioned were included</w:t>
      </w:r>
      <w:r w:rsidR="00552503" w:rsidRPr="007C7EA1">
        <w:rPr>
          <w:rFonts w:eastAsia="Calibri"/>
        </w:rPr>
        <w:t xml:space="preserve"> as covariates</w:t>
      </w:r>
      <w:r w:rsidR="005B5C0B" w:rsidRPr="007C7EA1">
        <w:rPr>
          <w:rFonts w:eastAsia="Calibri"/>
        </w:rPr>
        <w:t xml:space="preserve"> in a single model.)</w:t>
      </w:r>
      <w:r w:rsidR="004D77AC" w:rsidRPr="007C7EA1">
        <w:rPr>
          <w:rFonts w:eastAsia="Calibri"/>
        </w:rPr>
        <w:t xml:space="preserve"> </w:t>
      </w:r>
      <w:proofErr w:type="spellStart"/>
      <w:r w:rsidR="004D77AC" w:rsidRPr="007C7EA1">
        <w:rPr>
          <w:rFonts w:eastAsia="Calibri"/>
        </w:rPr>
        <w:t>Mansh</w:t>
      </w:r>
      <w:proofErr w:type="spellEnd"/>
      <w:r w:rsidR="004D77AC" w:rsidRPr="007C7EA1">
        <w:rPr>
          <w:rFonts w:eastAsia="Calibri"/>
        </w:rPr>
        <w:t xml:space="preserve"> et al. (2015) conducted a study of gender minority medical students from medical schools across the US and Canada.</w:t>
      </w:r>
      <w:r w:rsidR="00D523D9" w:rsidRPr="007C7EA1">
        <w:rPr>
          <w:rFonts w:eastAsia="Calibri"/>
        </w:rPr>
        <w:fldChar w:fldCharType="begin"/>
      </w:r>
      <w:r w:rsidR="009E526F">
        <w:rPr>
          <w:rFonts w:eastAsia="Calibri"/>
        </w:rPr>
        <w:instrText>ADDIN F1000_CSL_CITATION&lt;~#@#~&gt;[{"DOI":"10.1097/ACM.0000000000000657","First":false,"Last":false,"PMID":"25692563","abstract":"&lt;strong&gt;PURPOSE:&lt;/strong&gt; To assess identity disclosure among sexual and gender minority (SGM) students pursuing undergraduate medical training in the United States and Canada.&lt;br&gt;&lt;br&gt;&lt;strong&gt;METHOD:&lt;/strong&gt; From 2009 to 2010, a survey was made available to all medical students enrolled in the 176 MD- and DO-granting medical schools in the United States and Canada. Respondents were asked about their sexual and gender identity, whether they were \"out\" (i.e., had publicly disclosed their identity), and, if they were not, their reasons for concealing their identity. The authors used a mixed-methods approach and analyzed quantitative and qualitative survey data.&lt;br&gt;&lt;br&gt;&lt;strong&gt;RESULTS:&lt;/strong&gt; Of 5,812 completed responses (of 101,473 eligible respondents; response rate 5.7%), 920 (15.8%) students from 152 (of 176; 86.4%) institutions identified as SGMs. Of the 912 sexual minorities, 269 (29.5%) concealed their sexual identity in medical school. Factors associated with sexual identity concealment included sexual minority identity other than lesbian or gay, male gender, East Asian race, and medical school enrollment in the South or Central regions of North America. The most common reasons for concealing one's sexual identity were \"nobody's business\" (165/269; 61.3%), fear of discrimination in medical school (117/269; 43.5%), and social or cultural norms (110/269; 40.9%). Of the 35 gender minorities, 21 (60.0%) concealed their gender identity, citing fear of discrimination in medical school (9/21; 42.9%) and lack of support (9/21; 42.9%).&lt;br&gt;&lt;br&gt;&lt;strong&gt;CONCLUSIONS:&lt;/strong&gt; SGM students continue to conceal their identity during undergraduate medical training. Medical institutions should adopt targeted policies and programs to better support these individuals.","author":[{"family":"Mansh","given":"Matthew"},{"family":"White","given":"William"},{"family":"Gee-Tong","given":"Lea"},{"family":"Lunn","given":"Mitchell R"},{"family":"Obedin-Maliver","given":"Juno"},{"family":"Stewart","given":"Leslie"},{"family":"Goldsmith","given":"Elizabeth"},{"family":"Brenman","given":"Stephanie"},{"family":"Tran","given":"Eric"},{"family":"Wells","given":"Maggie"},{"family":"Fetterman","given":"David"},{"family":"Garcia","given":"Gabriel"}],"authorYearDisplayFormat":false,"citation-label":"4115735","container-title":"Academic Medicine","container-title-short":"Acad. Med.","id":"4115735","invisible":false,"issue":"5","issued":{"date-parts":[["2015","5"]]},"journalAbbreviation":"Acad. Med.","page":"634-644","suppress-author":false,"title":"Sexual and gender minority identity disclosure during undergraduate medical education: \"in the closet\" in medical school.","type":"article-journal","volume":"90"}]</w:instrText>
      </w:r>
      <w:r w:rsidR="00D523D9" w:rsidRPr="007C7EA1">
        <w:rPr>
          <w:rFonts w:eastAsia="Calibri"/>
        </w:rPr>
        <w:fldChar w:fldCharType="separate"/>
      </w:r>
      <w:r w:rsidR="00F96D9F" w:rsidRPr="00F96D9F">
        <w:rPr>
          <w:rFonts w:eastAsia="Calibri"/>
          <w:noProof/>
        </w:rPr>
        <w:t>(Mansh et al., 2015)</w:t>
      </w:r>
      <w:r w:rsidR="00D523D9" w:rsidRPr="007C7EA1">
        <w:rPr>
          <w:rFonts w:eastAsia="Calibri"/>
        </w:rPr>
        <w:fldChar w:fldCharType="end"/>
      </w:r>
      <w:r w:rsidR="004D77AC" w:rsidRPr="007C7EA1">
        <w:rPr>
          <w:rFonts w:eastAsia="Calibri"/>
        </w:rPr>
        <w:t xml:space="preserve"> Of the 5812 respondents, 35 were gender minorities</w:t>
      </w:r>
      <w:r w:rsidR="00552503" w:rsidRPr="007C7EA1">
        <w:rPr>
          <w:rFonts w:eastAsia="Calibri"/>
        </w:rPr>
        <w:t>. O</w:t>
      </w:r>
      <w:r w:rsidR="004D77AC" w:rsidRPr="007C7EA1">
        <w:rPr>
          <w:rFonts w:eastAsia="Calibri"/>
        </w:rPr>
        <w:t>f those</w:t>
      </w:r>
      <w:r w:rsidR="00552503" w:rsidRPr="007C7EA1">
        <w:rPr>
          <w:rFonts w:eastAsia="Calibri"/>
        </w:rPr>
        <w:t xml:space="preserve"> gender minorities,</w:t>
      </w:r>
      <w:r w:rsidR="004D77AC" w:rsidRPr="007C7EA1">
        <w:rPr>
          <w:rFonts w:eastAsia="Calibri"/>
        </w:rPr>
        <w:t xml:space="preserve"> 12 were out at school, 21 were not, and 2 declined to answer.</w:t>
      </w:r>
      <w:r w:rsidR="00552503" w:rsidRPr="007C7EA1">
        <w:rPr>
          <w:rFonts w:eastAsia="Calibri"/>
        </w:rPr>
        <w:t xml:space="preserve"> GMY</w:t>
      </w:r>
      <w:r w:rsidR="004D77AC" w:rsidRPr="007C7EA1">
        <w:rPr>
          <w:rFonts w:eastAsia="Calibri"/>
        </w:rPr>
        <w:t xml:space="preserve"> who were not out </w:t>
      </w:r>
      <w:r w:rsidR="00552503" w:rsidRPr="007C7EA1">
        <w:rPr>
          <w:rFonts w:eastAsia="Calibri"/>
        </w:rPr>
        <w:t>identified</w:t>
      </w:r>
      <w:r w:rsidR="004D77AC" w:rsidRPr="007C7EA1">
        <w:rPr>
          <w:rFonts w:eastAsia="Calibri"/>
        </w:rPr>
        <w:t xml:space="preserve"> their reasons for not being out</w:t>
      </w:r>
      <w:r w:rsidR="00552503" w:rsidRPr="007C7EA1">
        <w:rPr>
          <w:rFonts w:eastAsia="Calibri"/>
        </w:rPr>
        <w:t xml:space="preserve"> as</w:t>
      </w:r>
      <w:r w:rsidR="004D77AC" w:rsidRPr="007C7EA1">
        <w:rPr>
          <w:rFonts w:eastAsia="Calibri"/>
        </w:rPr>
        <w:t xml:space="preserve"> fear of discrimination in school (9/21; 42.9%) and lack of support (9/21; 42.9%).</w:t>
      </w:r>
    </w:p>
    <w:p w14:paraId="696A9505" w14:textId="0229E989" w:rsidR="0067277D" w:rsidRPr="007C7EA1" w:rsidRDefault="00552503" w:rsidP="009154EF">
      <w:pPr>
        <w:spacing w:line="480" w:lineRule="auto"/>
        <w:ind w:firstLine="720"/>
        <w:rPr>
          <w:rFonts w:eastAsia="Calibri"/>
        </w:rPr>
      </w:pPr>
      <w:r w:rsidRPr="007C7EA1">
        <w:rPr>
          <w:rFonts w:eastAsia="Calibri"/>
        </w:rPr>
        <w:t>One study found</w:t>
      </w:r>
      <w:r w:rsidR="00855F9C" w:rsidRPr="007C7EA1">
        <w:rPr>
          <w:rFonts w:eastAsia="Calibri"/>
        </w:rPr>
        <w:t xml:space="preserve"> o</w:t>
      </w:r>
      <w:r w:rsidR="00D57AC2" w:rsidRPr="007C7EA1">
        <w:rPr>
          <w:rFonts w:eastAsia="Calibri"/>
        </w:rPr>
        <w:t xml:space="preserve">utness to </w:t>
      </w:r>
      <w:r w:rsidRPr="007C7EA1">
        <w:rPr>
          <w:rFonts w:eastAsia="Calibri"/>
        </w:rPr>
        <w:t>family to be</w:t>
      </w:r>
      <w:r w:rsidR="00D57AC2" w:rsidRPr="007C7EA1">
        <w:rPr>
          <w:rFonts w:eastAsia="Calibri"/>
        </w:rPr>
        <w:t xml:space="preserve"> associated with greater odds of GMY reporting using a chosen name at home</w:t>
      </w:r>
      <w:r w:rsidR="00CC17CB">
        <w:rPr>
          <w:rFonts w:eastAsia="Calibri"/>
        </w:rPr>
        <w:t xml:space="preserve"> </w:t>
      </w:r>
      <w:r w:rsidR="00D57AC2" w:rsidRPr="007C7EA1">
        <w:rPr>
          <w:rFonts w:eastAsia="Calibri"/>
        </w:rPr>
        <w:fldChar w:fldCharType="begin"/>
      </w:r>
      <w:r w:rsidR="009E526F">
        <w:rPr>
          <w:rFonts w:eastAsia="Calibri"/>
        </w:rPr>
        <w:instrText>ADDIN F1000_CSL_CITATION&lt;~#@#~&gt;[{"DOI":"10.1177/0044118X19855898","First":false,"Last":false,"author":[{"family":"Pollitt","given":"A M"},{"family":"Ioverno","given":"S"},{"family":"Russell","given":"S T"},{"family":"Li","given":"G"},{"family":"Grossman","given":"A H"}],"authorYearDisplayFormat":false,"citation-label":"7168049","container-title":"Youth &amp; society","container-title-short":"Youth Soc.","id":"7168049","invisible":false,"issued":{"date-parts":[["2019","6","16"]]},"journalAbbreviation":"Youth Soc.","page":"0044118X1985589","suppress-author":false,"title":"Predictors and mental health benefits of chosen name use among transgender youth","type":"article-journal"}]</w:instrText>
      </w:r>
      <w:r w:rsidR="00D57AC2" w:rsidRPr="007C7EA1">
        <w:rPr>
          <w:rFonts w:eastAsia="Calibri"/>
        </w:rPr>
        <w:fldChar w:fldCharType="separate"/>
      </w:r>
      <w:r w:rsidR="00F96D9F" w:rsidRPr="00F96D9F">
        <w:rPr>
          <w:rFonts w:eastAsia="Calibri"/>
        </w:rPr>
        <w:t>(Pollitt et al., 2019)</w:t>
      </w:r>
      <w:r w:rsidR="00D57AC2" w:rsidRPr="007C7EA1">
        <w:rPr>
          <w:rFonts w:eastAsia="Calibri"/>
        </w:rPr>
        <w:fldChar w:fldCharType="end"/>
      </w:r>
      <w:r w:rsidR="00CC17CB">
        <w:rPr>
          <w:rFonts w:eastAsia="Calibri"/>
        </w:rPr>
        <w:t>.</w:t>
      </w:r>
      <w:r w:rsidR="00D57AC2" w:rsidRPr="007C7EA1">
        <w:rPr>
          <w:rFonts w:eastAsia="Calibri"/>
        </w:rPr>
        <w:t xml:space="preserve"> </w:t>
      </w:r>
      <w:r w:rsidR="004D77AC" w:rsidRPr="007C7EA1">
        <w:rPr>
          <w:rFonts w:eastAsia="Calibri"/>
        </w:rPr>
        <w:t>Pollitt et al. (2019</w:t>
      </w:r>
      <w:r w:rsidR="009E0506" w:rsidRPr="007C7EA1">
        <w:rPr>
          <w:rFonts w:eastAsia="Calibri"/>
        </w:rPr>
        <w:t xml:space="preserve">) analyzed a sample of 129 GMY ages 15-21 recruited at community groups or college campuses and </w:t>
      </w:r>
      <w:r w:rsidRPr="007C7EA1">
        <w:rPr>
          <w:rFonts w:eastAsia="Calibri"/>
        </w:rPr>
        <w:t>reported</w:t>
      </w:r>
      <w:r w:rsidR="009E0506" w:rsidRPr="007C7EA1">
        <w:rPr>
          <w:rFonts w:eastAsia="Calibri"/>
        </w:rPr>
        <w:t xml:space="preserve"> greater </w:t>
      </w:r>
      <w:r w:rsidR="009E0506" w:rsidRPr="007C7EA1">
        <w:rPr>
          <w:rFonts w:eastAsia="Calibri"/>
        </w:rPr>
        <w:lastRenderedPageBreak/>
        <w:t>outness to family was associated with 3.92</w:t>
      </w:r>
      <w:r w:rsidR="00CC17CB">
        <w:rPr>
          <w:rFonts w:eastAsia="Calibri"/>
        </w:rPr>
        <w:t xml:space="preserve"> times</w:t>
      </w:r>
      <w:r w:rsidR="009E0506" w:rsidRPr="007C7EA1">
        <w:rPr>
          <w:rFonts w:eastAsia="Calibri"/>
        </w:rPr>
        <w:t xml:space="preserve"> higher odds of using a chosen name at home</w:t>
      </w:r>
      <w:r w:rsidR="00CC17CB">
        <w:rPr>
          <w:rFonts w:eastAsia="Calibri"/>
        </w:rPr>
        <w:t xml:space="preserve"> </w:t>
      </w:r>
      <w:r w:rsidR="00CC17CB" w:rsidRPr="007C7EA1">
        <w:rPr>
          <w:rFonts w:eastAsia="Calibri"/>
        </w:rPr>
        <w:t>(95% CI: 2.00, 7.68)</w:t>
      </w:r>
      <w:r w:rsidRPr="007C7EA1">
        <w:rPr>
          <w:rFonts w:eastAsia="Calibri"/>
        </w:rPr>
        <w:t>,</w:t>
      </w:r>
      <w:r w:rsidR="009E0506" w:rsidRPr="007C7EA1">
        <w:rPr>
          <w:rFonts w:eastAsia="Calibri"/>
        </w:rPr>
        <w:t xml:space="preserve"> among those who had a chosen name </w:t>
      </w:r>
      <w:r w:rsidR="00D523D9" w:rsidRPr="007C7EA1">
        <w:rPr>
          <w:rFonts w:eastAsia="Calibri"/>
        </w:rPr>
        <w:fldChar w:fldCharType="begin"/>
      </w:r>
      <w:r w:rsidR="009E526F">
        <w:rPr>
          <w:rFonts w:eastAsia="Calibri"/>
        </w:rPr>
        <w:instrText>ADDIN F1000_CSL_CITATION&lt;~#@#~&gt;[{"DOI":"10.1177/0044118X19855898","First":false,"Last":false,"author":[{"family":"Pollitt","given":"A M"},{"family":"Ioverno","given":"S"},{"family":"Russell","given":"S T"},{"family":"Li","given":"G"},{"family":"Grossman","given":"A H"}],"authorYearDisplayFormat":false,"citation-label":"7168049","container-title":"Youth &amp; society","container-title-short":"Youth Soc.","id":"7168049","invisible":false,"issued":{"date-parts":[["2019","6","16"]]},"journalAbbreviation":"Youth Soc.","page":"0044118X1985589","suppress-author":false,"title":"Predictors and mental health benefits of chosen name use among transgender youth","type":"article-journal"}]</w:instrText>
      </w:r>
      <w:r w:rsidR="00D523D9" w:rsidRPr="007C7EA1">
        <w:rPr>
          <w:rFonts w:eastAsia="Calibri"/>
        </w:rPr>
        <w:fldChar w:fldCharType="separate"/>
      </w:r>
      <w:r w:rsidR="00F96D9F" w:rsidRPr="00F96D9F">
        <w:rPr>
          <w:rFonts w:eastAsia="Calibri"/>
          <w:noProof/>
        </w:rPr>
        <w:t>(Pollitt et al., 2019)</w:t>
      </w:r>
      <w:r w:rsidR="00D523D9" w:rsidRPr="007C7EA1">
        <w:rPr>
          <w:rFonts w:eastAsia="Calibri"/>
        </w:rPr>
        <w:fldChar w:fldCharType="end"/>
      </w:r>
      <w:r w:rsidR="00CC17CB">
        <w:rPr>
          <w:rFonts w:eastAsia="Calibri"/>
        </w:rPr>
        <w:t>.</w:t>
      </w:r>
      <w:r w:rsidR="009E0506" w:rsidRPr="007C7EA1">
        <w:rPr>
          <w:rFonts w:eastAsia="Calibri"/>
        </w:rPr>
        <w:t xml:space="preserve"> This may be because GMY who come out to their families are more likely to come out if they perceive their families as supportive. </w:t>
      </w:r>
      <w:r w:rsidR="000C5E71" w:rsidRPr="007C7EA1">
        <w:rPr>
          <w:rFonts w:eastAsia="Calibri"/>
        </w:rPr>
        <w:t xml:space="preserve">Additionally, GMY who are out to their families may </w:t>
      </w:r>
      <w:r w:rsidR="0014372E" w:rsidRPr="007C7EA1">
        <w:rPr>
          <w:rFonts w:eastAsia="Calibri"/>
        </w:rPr>
        <w:t>receive more family support</w:t>
      </w:r>
      <w:r w:rsidR="000C5E71" w:rsidRPr="007C7EA1">
        <w:rPr>
          <w:rFonts w:eastAsia="Calibri"/>
        </w:rPr>
        <w:t xml:space="preserve"> than GMY who are not out if their families affirm their use of a chosen name, pronouns, and/or help them access gender affirming medical care</w:t>
      </w:r>
      <w:r w:rsidR="0014372E" w:rsidRPr="007C7EA1">
        <w:rPr>
          <w:rFonts w:eastAsia="Calibri"/>
        </w:rPr>
        <w:t>, This m</w:t>
      </w:r>
      <w:r w:rsidR="000C5E71" w:rsidRPr="007C7EA1">
        <w:rPr>
          <w:rFonts w:eastAsia="Calibri"/>
        </w:rPr>
        <w:t>ay in turn reduce depression severity</w:t>
      </w:r>
      <w:r w:rsidR="0014372E" w:rsidRPr="007C7EA1">
        <w:rPr>
          <w:rFonts w:eastAsia="Calibri"/>
        </w:rPr>
        <w:t>, indicating that outness to family may interact with associations between family support and depression severity</w:t>
      </w:r>
      <w:r w:rsidR="000C5E71" w:rsidRPr="007C7EA1">
        <w:rPr>
          <w:rFonts w:eastAsia="Calibri"/>
        </w:rPr>
        <w:t>. Further research is needed to explore whether outness</w:t>
      </w:r>
      <w:r w:rsidR="0014372E" w:rsidRPr="007C7EA1">
        <w:rPr>
          <w:rFonts w:eastAsia="Calibri"/>
        </w:rPr>
        <w:t xml:space="preserve"> to family</w:t>
      </w:r>
      <w:r w:rsidR="000C5E71" w:rsidRPr="007C7EA1">
        <w:rPr>
          <w:rFonts w:eastAsia="Calibri"/>
        </w:rPr>
        <w:t xml:space="preserve"> </w:t>
      </w:r>
      <w:proofErr w:type="gramStart"/>
      <w:r w:rsidR="000C5E71" w:rsidRPr="007C7EA1">
        <w:rPr>
          <w:rFonts w:eastAsia="Calibri"/>
        </w:rPr>
        <w:t>moderates</w:t>
      </w:r>
      <w:proofErr w:type="gramEnd"/>
      <w:r w:rsidR="000C5E71" w:rsidRPr="007C7EA1">
        <w:rPr>
          <w:rFonts w:eastAsia="Calibri"/>
        </w:rPr>
        <w:t xml:space="preserve"> associations between family support and depression severity among gender minority youth.</w:t>
      </w:r>
    </w:p>
    <w:p w14:paraId="6BED5AE0" w14:textId="237329C3" w:rsidR="00D57AC2" w:rsidRPr="007C7EA1" w:rsidRDefault="00D57AC2" w:rsidP="009154EF">
      <w:pPr>
        <w:pStyle w:val="Heading2"/>
      </w:pPr>
      <w:bookmarkStart w:id="8" w:name="_Toc39049734"/>
      <w:r w:rsidRPr="007C7EA1">
        <w:t>1.</w:t>
      </w:r>
      <w:r w:rsidR="004D51F5" w:rsidRPr="007C7EA1">
        <w:t>5</w:t>
      </w:r>
      <w:r w:rsidRPr="007C7EA1">
        <w:t xml:space="preserve"> Gaps in Knowledge</w:t>
      </w:r>
      <w:bookmarkEnd w:id="8"/>
    </w:p>
    <w:p w14:paraId="0BC42FF3" w14:textId="12086CF7" w:rsidR="00D57AC2" w:rsidRPr="007C7EA1" w:rsidRDefault="007D4ABC" w:rsidP="007D4ABC">
      <w:pPr>
        <w:spacing w:line="480" w:lineRule="auto"/>
        <w:ind w:firstLine="720"/>
        <w:rPr>
          <w:rFonts w:eastAsia="Calibri"/>
        </w:rPr>
      </w:pPr>
      <w:r>
        <w:rPr>
          <w:rFonts w:eastAsia="Calibri"/>
        </w:rPr>
        <w:t xml:space="preserve">All future studies of GMY should </w:t>
      </w:r>
      <w:r w:rsidR="002C7F11">
        <w:rPr>
          <w:rFonts w:eastAsia="Calibri"/>
        </w:rPr>
        <w:t>employ</w:t>
      </w:r>
      <w:r>
        <w:rPr>
          <w:rFonts w:eastAsia="Calibri"/>
        </w:rPr>
        <w:t xml:space="preserve"> an inclusive, culturally competent measure of gender identity. Population-level studies should </w:t>
      </w:r>
      <w:r w:rsidR="002C7F11">
        <w:rPr>
          <w:rFonts w:eastAsia="Calibri"/>
        </w:rPr>
        <w:t xml:space="preserve">continue to </w:t>
      </w:r>
      <w:r>
        <w:rPr>
          <w:rFonts w:eastAsia="Calibri"/>
        </w:rPr>
        <w:t>assess the size of the gender minority population</w:t>
      </w:r>
      <w:r w:rsidR="002C7F11">
        <w:rPr>
          <w:rFonts w:eastAsia="Calibri"/>
        </w:rPr>
        <w:t>s</w:t>
      </w:r>
      <w:r>
        <w:rPr>
          <w:rFonts w:eastAsia="Calibri"/>
        </w:rPr>
        <w:t xml:space="preserve"> among adults and adolescents. </w:t>
      </w:r>
      <w:r w:rsidR="002C7F11">
        <w:rPr>
          <w:rFonts w:eastAsia="Calibri"/>
        </w:rPr>
        <w:t>Further n</w:t>
      </w:r>
      <w:r>
        <w:rPr>
          <w:rFonts w:eastAsia="Calibri"/>
        </w:rPr>
        <w:t>ationally representative cohort studies are also</w:t>
      </w:r>
      <w:r w:rsidR="00C30FE5" w:rsidRPr="007C7EA1">
        <w:rPr>
          <w:rFonts w:eastAsia="Calibri"/>
        </w:rPr>
        <w:t xml:space="preserve"> needed to examine disparities in depression experienced by GMY</w:t>
      </w:r>
      <w:r>
        <w:rPr>
          <w:rFonts w:eastAsia="Calibri"/>
        </w:rPr>
        <w:t xml:space="preserve"> compared to cisgender youth. </w:t>
      </w:r>
      <w:r w:rsidR="00EB5194">
        <w:rPr>
          <w:rFonts w:eastAsia="Calibri"/>
        </w:rPr>
        <w:t>Large, nationally representative c</w:t>
      </w:r>
      <w:r>
        <w:rPr>
          <w:rFonts w:eastAsia="Calibri"/>
        </w:rPr>
        <w:t xml:space="preserve">ohort studies of GMY </w:t>
      </w:r>
      <w:r w:rsidR="002C7F11">
        <w:rPr>
          <w:rFonts w:eastAsia="Calibri"/>
        </w:rPr>
        <w:t>are needed to</w:t>
      </w:r>
      <w:r>
        <w:rPr>
          <w:rFonts w:eastAsia="Calibri"/>
        </w:rPr>
        <w:t xml:space="preserve"> assess the</w:t>
      </w:r>
      <w:r w:rsidR="00C30FE5" w:rsidRPr="007C7EA1">
        <w:rPr>
          <w:rFonts w:eastAsia="Calibri"/>
        </w:rPr>
        <w:t xml:space="preserve"> role of family support in mitigating these disparities</w:t>
      </w:r>
      <w:r w:rsidR="00EB5194">
        <w:rPr>
          <w:rFonts w:eastAsia="Calibri"/>
        </w:rPr>
        <w:t xml:space="preserve">, as well as </w:t>
      </w:r>
      <w:r w:rsidR="00653008">
        <w:rPr>
          <w:rFonts w:eastAsia="Calibri"/>
        </w:rPr>
        <w:t>mediators of the</w:t>
      </w:r>
      <w:r w:rsidR="00EB5194">
        <w:rPr>
          <w:rFonts w:eastAsia="Calibri"/>
        </w:rPr>
        <w:t xml:space="preserve"> pathway between </w:t>
      </w:r>
      <w:r w:rsidR="00653008">
        <w:rPr>
          <w:rFonts w:eastAsia="Calibri"/>
        </w:rPr>
        <w:t>family support and depression severity</w:t>
      </w:r>
      <w:r w:rsidR="00C30FE5" w:rsidRPr="007C7EA1">
        <w:rPr>
          <w:rFonts w:eastAsia="Calibri"/>
        </w:rPr>
        <w:t xml:space="preserve">. </w:t>
      </w:r>
      <w:r w:rsidR="00EB5194">
        <w:rPr>
          <w:rFonts w:eastAsia="Calibri"/>
        </w:rPr>
        <w:t xml:space="preserve">Studies should also use rigorous analytic techniques to adjust for potential confounders. </w:t>
      </w:r>
      <w:r w:rsidR="00D57AC2" w:rsidRPr="007C7EA1">
        <w:rPr>
          <w:rFonts w:eastAsia="Calibri"/>
        </w:rPr>
        <w:t xml:space="preserve">No studies have examined relationships between outness to families and depressive symptoms to depressive symptoms. Additionally, no studies have examined potential relationships between family support, outness to families, and depressive severity. </w:t>
      </w:r>
    </w:p>
    <w:p w14:paraId="6C306097" w14:textId="7584F1E7" w:rsidR="00D57AC2" w:rsidRPr="007C7EA1" w:rsidRDefault="00D57AC2" w:rsidP="009154EF">
      <w:pPr>
        <w:pStyle w:val="Heading2"/>
      </w:pPr>
      <w:bookmarkStart w:id="9" w:name="_Toc39049735"/>
      <w:r w:rsidRPr="007C7EA1">
        <w:lastRenderedPageBreak/>
        <w:t>1.</w:t>
      </w:r>
      <w:r w:rsidR="004D51F5" w:rsidRPr="007C7EA1">
        <w:t>6</w:t>
      </w:r>
      <w:r w:rsidRPr="007C7EA1">
        <w:t xml:space="preserve"> Public Health Significance</w:t>
      </w:r>
      <w:bookmarkEnd w:id="9"/>
    </w:p>
    <w:p w14:paraId="47A45C6D" w14:textId="6213943A" w:rsidR="004D51F5" w:rsidRDefault="00351709" w:rsidP="00E836C9">
      <w:pPr>
        <w:spacing w:line="480" w:lineRule="auto"/>
        <w:ind w:firstLine="720"/>
        <w:rPr>
          <w:rFonts w:eastAsia="Calibri"/>
        </w:rPr>
      </w:pPr>
      <w:r>
        <w:rPr>
          <w:rFonts w:eastAsia="Calibri"/>
        </w:rPr>
        <w:t>Disparities of depression diagnoses and severity among GMY as compared to cisgender youth are stark and require intervention. A</w:t>
      </w:r>
      <w:r w:rsidR="00224320">
        <w:rPr>
          <w:rFonts w:eastAsia="Calibri"/>
        </w:rPr>
        <w:t>dditionally,</w:t>
      </w:r>
      <w:r>
        <w:rPr>
          <w:rFonts w:eastAsia="Calibri"/>
        </w:rPr>
        <w:t xml:space="preserve"> estimates of the GMY population </w:t>
      </w:r>
      <w:r w:rsidR="00224320">
        <w:rPr>
          <w:rFonts w:eastAsia="Calibri"/>
        </w:rPr>
        <w:t xml:space="preserve">are </w:t>
      </w:r>
      <w:r>
        <w:rPr>
          <w:rFonts w:eastAsia="Calibri"/>
        </w:rPr>
        <w:t>grow</w:t>
      </w:r>
      <w:r w:rsidR="00224320">
        <w:rPr>
          <w:rFonts w:eastAsia="Calibri"/>
        </w:rPr>
        <w:t>ing</w:t>
      </w:r>
      <w:r>
        <w:rPr>
          <w:rFonts w:eastAsia="Calibri"/>
        </w:rPr>
        <w:t xml:space="preserve">, which further </w:t>
      </w:r>
      <w:r w:rsidR="00224320">
        <w:rPr>
          <w:rFonts w:eastAsia="Calibri"/>
        </w:rPr>
        <w:t>highlights</w:t>
      </w:r>
      <w:r>
        <w:rPr>
          <w:rFonts w:eastAsia="Calibri"/>
        </w:rPr>
        <w:t xml:space="preserve"> the importance of this public health concern. By</w:t>
      </w:r>
      <w:r w:rsidR="00D57AC2" w:rsidRPr="007C7EA1">
        <w:rPr>
          <w:rFonts w:eastAsia="Calibri"/>
        </w:rPr>
        <w:t xml:space="preserve"> examining potential protective factors (family support and outness to family) for depression severity among GMY, this study will add to a growing body of literature seeking to identify causes of and subsequently reduce</w:t>
      </w:r>
      <w:r>
        <w:rPr>
          <w:rFonts w:eastAsia="Calibri"/>
        </w:rPr>
        <w:t xml:space="preserve"> substantial</w:t>
      </w:r>
      <w:r w:rsidR="00D57AC2" w:rsidRPr="007C7EA1">
        <w:rPr>
          <w:rFonts w:eastAsia="Calibri"/>
        </w:rPr>
        <w:t xml:space="preserve"> mental health disparities</w:t>
      </w:r>
      <w:r>
        <w:rPr>
          <w:rFonts w:eastAsia="Calibri"/>
        </w:rPr>
        <w:t xml:space="preserve"> experienced by GMY</w:t>
      </w:r>
      <w:r w:rsidR="00D57AC2" w:rsidRPr="007C7EA1">
        <w:rPr>
          <w:rFonts w:eastAsia="Calibri"/>
        </w:rPr>
        <w:t>.</w:t>
      </w:r>
    </w:p>
    <w:p w14:paraId="242A5428" w14:textId="06EB4944" w:rsidR="009154EF" w:rsidRDefault="009154EF" w:rsidP="00E836C9">
      <w:pPr>
        <w:spacing w:line="480" w:lineRule="auto"/>
        <w:ind w:firstLine="720"/>
        <w:rPr>
          <w:rFonts w:eastAsia="Calibri"/>
        </w:rPr>
      </w:pPr>
    </w:p>
    <w:p w14:paraId="0B667B2A" w14:textId="758FBC57" w:rsidR="009154EF" w:rsidRDefault="009154EF" w:rsidP="00E836C9">
      <w:pPr>
        <w:spacing w:line="480" w:lineRule="auto"/>
        <w:ind w:firstLine="720"/>
        <w:rPr>
          <w:rFonts w:eastAsia="Calibri"/>
        </w:rPr>
      </w:pPr>
    </w:p>
    <w:p w14:paraId="26395DC1" w14:textId="01CE6A3E" w:rsidR="009154EF" w:rsidRDefault="009154EF" w:rsidP="00E836C9">
      <w:pPr>
        <w:spacing w:line="480" w:lineRule="auto"/>
        <w:ind w:firstLine="720"/>
        <w:rPr>
          <w:rFonts w:eastAsia="Calibri"/>
        </w:rPr>
      </w:pPr>
    </w:p>
    <w:p w14:paraId="66CE77AE" w14:textId="19D24008" w:rsidR="009154EF" w:rsidRDefault="009154EF" w:rsidP="00E836C9">
      <w:pPr>
        <w:spacing w:line="480" w:lineRule="auto"/>
        <w:ind w:firstLine="720"/>
        <w:rPr>
          <w:rFonts w:eastAsia="Calibri"/>
        </w:rPr>
      </w:pPr>
    </w:p>
    <w:p w14:paraId="31EF3A04" w14:textId="41916D64" w:rsidR="009154EF" w:rsidRDefault="009154EF" w:rsidP="00E836C9">
      <w:pPr>
        <w:spacing w:line="480" w:lineRule="auto"/>
        <w:ind w:firstLine="720"/>
        <w:rPr>
          <w:rFonts w:eastAsia="Calibri"/>
        </w:rPr>
      </w:pPr>
    </w:p>
    <w:p w14:paraId="031E692D" w14:textId="40B5A0A4" w:rsidR="009154EF" w:rsidRDefault="009154EF" w:rsidP="00E836C9">
      <w:pPr>
        <w:spacing w:line="480" w:lineRule="auto"/>
        <w:ind w:firstLine="720"/>
        <w:rPr>
          <w:rFonts w:eastAsia="Calibri"/>
        </w:rPr>
      </w:pPr>
    </w:p>
    <w:p w14:paraId="12E07D63" w14:textId="49370639" w:rsidR="009154EF" w:rsidRDefault="009154EF" w:rsidP="00E836C9">
      <w:pPr>
        <w:spacing w:line="480" w:lineRule="auto"/>
        <w:ind w:firstLine="720"/>
        <w:rPr>
          <w:rFonts w:eastAsia="Calibri"/>
        </w:rPr>
      </w:pPr>
    </w:p>
    <w:p w14:paraId="5EF68894" w14:textId="32E287BC" w:rsidR="009154EF" w:rsidRDefault="009154EF" w:rsidP="00E836C9">
      <w:pPr>
        <w:spacing w:line="480" w:lineRule="auto"/>
        <w:ind w:firstLine="720"/>
        <w:rPr>
          <w:rFonts w:eastAsia="Calibri"/>
        </w:rPr>
      </w:pPr>
    </w:p>
    <w:p w14:paraId="377DF557" w14:textId="7639CD5D" w:rsidR="009154EF" w:rsidRDefault="009154EF" w:rsidP="00E836C9">
      <w:pPr>
        <w:spacing w:line="480" w:lineRule="auto"/>
        <w:ind w:firstLine="720"/>
        <w:rPr>
          <w:rFonts w:eastAsia="Calibri"/>
        </w:rPr>
      </w:pPr>
    </w:p>
    <w:p w14:paraId="228862EC" w14:textId="6547AE35" w:rsidR="009154EF" w:rsidRDefault="009154EF" w:rsidP="00E836C9">
      <w:pPr>
        <w:spacing w:line="480" w:lineRule="auto"/>
        <w:ind w:firstLine="720"/>
        <w:rPr>
          <w:rFonts w:eastAsia="Calibri"/>
        </w:rPr>
      </w:pPr>
    </w:p>
    <w:p w14:paraId="09F3031F" w14:textId="4ACB63E6" w:rsidR="009154EF" w:rsidRDefault="009154EF" w:rsidP="00E836C9">
      <w:pPr>
        <w:spacing w:line="480" w:lineRule="auto"/>
        <w:ind w:firstLine="720"/>
        <w:rPr>
          <w:rFonts w:eastAsia="Calibri"/>
        </w:rPr>
      </w:pPr>
    </w:p>
    <w:p w14:paraId="77C44BC3" w14:textId="409B768B" w:rsidR="009154EF" w:rsidRDefault="009154EF" w:rsidP="00E836C9">
      <w:pPr>
        <w:spacing w:line="480" w:lineRule="auto"/>
        <w:ind w:firstLine="720"/>
        <w:rPr>
          <w:rFonts w:eastAsia="Calibri"/>
        </w:rPr>
      </w:pPr>
    </w:p>
    <w:p w14:paraId="271F9255" w14:textId="013D8692" w:rsidR="009154EF" w:rsidRDefault="009154EF" w:rsidP="00E836C9">
      <w:pPr>
        <w:spacing w:line="480" w:lineRule="auto"/>
        <w:ind w:firstLine="720"/>
        <w:rPr>
          <w:rFonts w:eastAsia="Calibri"/>
        </w:rPr>
      </w:pPr>
    </w:p>
    <w:p w14:paraId="306051A7" w14:textId="7A293980" w:rsidR="009154EF" w:rsidRDefault="009154EF" w:rsidP="00E836C9">
      <w:pPr>
        <w:spacing w:line="480" w:lineRule="auto"/>
        <w:ind w:firstLine="720"/>
        <w:rPr>
          <w:rFonts w:eastAsia="Calibri"/>
        </w:rPr>
      </w:pPr>
    </w:p>
    <w:p w14:paraId="1A8FD3EF" w14:textId="1AC22D67" w:rsidR="009154EF" w:rsidRDefault="009154EF" w:rsidP="00E836C9">
      <w:pPr>
        <w:spacing w:line="480" w:lineRule="auto"/>
        <w:ind w:firstLine="720"/>
        <w:rPr>
          <w:rFonts w:eastAsia="Calibri"/>
        </w:rPr>
      </w:pPr>
    </w:p>
    <w:p w14:paraId="26547706" w14:textId="77777777" w:rsidR="009154EF" w:rsidRPr="007C7EA1" w:rsidRDefault="009154EF" w:rsidP="00E836C9">
      <w:pPr>
        <w:spacing w:line="480" w:lineRule="auto"/>
        <w:ind w:firstLine="720"/>
        <w:rPr>
          <w:rFonts w:eastAsia="Calibri"/>
        </w:rPr>
      </w:pPr>
    </w:p>
    <w:p w14:paraId="7423DDEB" w14:textId="74556ECD" w:rsidR="004D51F5" w:rsidRPr="007C7EA1" w:rsidRDefault="004D51F5" w:rsidP="009154EF">
      <w:pPr>
        <w:pStyle w:val="Heading1"/>
      </w:pPr>
      <w:bookmarkStart w:id="10" w:name="_Toc39049736"/>
      <w:r w:rsidRPr="007C7EA1">
        <w:lastRenderedPageBreak/>
        <w:t>2.0 Objectives</w:t>
      </w:r>
      <w:bookmarkEnd w:id="10"/>
    </w:p>
    <w:p w14:paraId="2F566DD8" w14:textId="79F181B2" w:rsidR="004D51F5" w:rsidRDefault="00614D91" w:rsidP="009154EF">
      <w:pPr>
        <w:spacing w:line="480" w:lineRule="auto"/>
        <w:ind w:firstLine="720"/>
        <w:rPr>
          <w:rFonts w:eastAsia="Calibri"/>
        </w:rPr>
      </w:pPr>
      <w:r w:rsidRPr="007C7EA1">
        <w:rPr>
          <w:rFonts w:eastAsia="Calibri"/>
        </w:rPr>
        <w:t>The first objective of this study was</w:t>
      </w:r>
      <w:r w:rsidR="004D51F5" w:rsidRPr="007C7EA1">
        <w:rPr>
          <w:rFonts w:eastAsia="Calibri"/>
        </w:rPr>
        <w:t xml:space="preserve"> to assess associations between </w:t>
      </w:r>
      <w:r w:rsidR="003131F4" w:rsidRPr="007C7EA1">
        <w:rPr>
          <w:rFonts w:eastAsia="Calibri"/>
        </w:rPr>
        <w:t>gender identity (independent variable)</w:t>
      </w:r>
      <w:r w:rsidRPr="007C7EA1">
        <w:rPr>
          <w:rFonts w:eastAsia="Calibri"/>
        </w:rPr>
        <w:t xml:space="preserve"> and</w:t>
      </w:r>
      <w:r w:rsidR="003131F4" w:rsidRPr="007C7EA1">
        <w:rPr>
          <w:rFonts w:eastAsia="Calibri"/>
        </w:rPr>
        <w:t xml:space="preserve"> </w:t>
      </w:r>
      <w:r w:rsidR="004D51F5" w:rsidRPr="007C7EA1">
        <w:rPr>
          <w:rFonts w:eastAsia="Calibri"/>
        </w:rPr>
        <w:t>family support,</w:t>
      </w:r>
      <w:r w:rsidRPr="007C7EA1">
        <w:rPr>
          <w:rFonts w:eastAsia="Calibri"/>
        </w:rPr>
        <w:t xml:space="preserve"> gender identity and</w:t>
      </w:r>
      <w:r w:rsidR="004D51F5" w:rsidRPr="007C7EA1">
        <w:rPr>
          <w:rFonts w:eastAsia="Calibri"/>
        </w:rPr>
        <w:t xml:space="preserve"> outness to family, </w:t>
      </w:r>
      <w:r w:rsidR="003131F4" w:rsidRPr="007C7EA1">
        <w:rPr>
          <w:rFonts w:eastAsia="Calibri"/>
        </w:rPr>
        <w:t>and</w:t>
      </w:r>
      <w:r w:rsidRPr="007C7EA1">
        <w:rPr>
          <w:rFonts w:eastAsia="Calibri"/>
        </w:rPr>
        <w:t xml:space="preserve"> gender identity and</w:t>
      </w:r>
      <w:r w:rsidR="003131F4" w:rsidRPr="007C7EA1">
        <w:rPr>
          <w:rFonts w:eastAsia="Calibri"/>
        </w:rPr>
        <w:t xml:space="preserve"> </w:t>
      </w:r>
      <w:r w:rsidR="004D51F5" w:rsidRPr="007C7EA1">
        <w:rPr>
          <w:rFonts w:eastAsia="Calibri"/>
        </w:rPr>
        <w:t xml:space="preserve">depression severity </w:t>
      </w:r>
      <w:r w:rsidRPr="007C7EA1">
        <w:rPr>
          <w:rFonts w:eastAsia="Calibri"/>
        </w:rPr>
        <w:t>in</w:t>
      </w:r>
      <w:r w:rsidR="004D51F5" w:rsidRPr="007C7EA1">
        <w:rPr>
          <w:rFonts w:eastAsia="Calibri"/>
        </w:rPr>
        <w:t xml:space="preserve"> a sample of sexual and gender minority youth (SGMY)</w:t>
      </w:r>
      <w:r w:rsidRPr="007C7EA1">
        <w:rPr>
          <w:rFonts w:eastAsia="Calibri"/>
        </w:rPr>
        <w:t>. We hypothesized that GMY would report less family support, less outness to family, and greater depression severity than cisgender SMY. The second objective was to</w:t>
      </w:r>
      <w:r w:rsidR="004D51F5" w:rsidRPr="007C7EA1">
        <w:rPr>
          <w:rFonts w:eastAsia="Calibri"/>
        </w:rPr>
        <w:t xml:space="preserve"> assess </w:t>
      </w:r>
      <w:r w:rsidRPr="007C7EA1">
        <w:rPr>
          <w:rFonts w:eastAsia="Calibri"/>
        </w:rPr>
        <w:t>associations among GMY between family support and depression severity, and</w:t>
      </w:r>
      <w:r w:rsidR="004D51F5" w:rsidRPr="007C7EA1">
        <w:rPr>
          <w:rFonts w:eastAsia="Calibri"/>
        </w:rPr>
        <w:t xml:space="preserve"> between outness to family and depression severity</w:t>
      </w:r>
      <w:r w:rsidRPr="007C7EA1">
        <w:rPr>
          <w:rFonts w:eastAsia="Calibri"/>
        </w:rPr>
        <w:t>. We hypothesized that family support would be associated with less depression severity and that outness to family would be associated with less depression severity</w:t>
      </w:r>
      <w:r w:rsidR="0054647F" w:rsidRPr="007C7EA1">
        <w:rPr>
          <w:rFonts w:eastAsia="Calibri"/>
        </w:rPr>
        <w:t xml:space="preserve">. </w:t>
      </w:r>
      <w:r w:rsidRPr="007C7EA1">
        <w:rPr>
          <w:rFonts w:eastAsia="Calibri"/>
        </w:rPr>
        <w:t>The last objective was to</w:t>
      </w:r>
      <w:r w:rsidR="004D51F5" w:rsidRPr="007C7EA1">
        <w:rPr>
          <w:rFonts w:eastAsia="Calibri"/>
        </w:rPr>
        <w:t xml:space="preserve"> assess whether outness to family </w:t>
      </w:r>
      <w:r w:rsidRPr="007C7EA1">
        <w:rPr>
          <w:rFonts w:eastAsia="Calibri"/>
        </w:rPr>
        <w:t>serves as an effect modifier of</w:t>
      </w:r>
      <w:r w:rsidR="004D51F5" w:rsidRPr="007C7EA1">
        <w:rPr>
          <w:rFonts w:eastAsia="Calibri"/>
        </w:rPr>
        <w:t xml:space="preserve"> an association between family support and depression severity.</w:t>
      </w:r>
      <w:r w:rsidR="0054647F" w:rsidRPr="007C7EA1">
        <w:rPr>
          <w:rFonts w:eastAsia="Calibri"/>
        </w:rPr>
        <w:t xml:space="preserve"> We hypothesized that as outness to family increased, the magnitude of the association between family support and depression severity would be greater. </w:t>
      </w:r>
    </w:p>
    <w:p w14:paraId="41098DC3" w14:textId="269054AC" w:rsidR="00032F79" w:rsidRDefault="00032F79" w:rsidP="009154EF">
      <w:pPr>
        <w:spacing w:line="480" w:lineRule="auto"/>
        <w:ind w:firstLine="720"/>
        <w:rPr>
          <w:rFonts w:eastAsia="Calibri"/>
        </w:rPr>
      </w:pPr>
    </w:p>
    <w:p w14:paraId="0A0D145E" w14:textId="32D3115F" w:rsidR="00032F79" w:rsidRDefault="00032F79" w:rsidP="009154EF">
      <w:pPr>
        <w:spacing w:line="480" w:lineRule="auto"/>
        <w:ind w:firstLine="720"/>
        <w:rPr>
          <w:rFonts w:eastAsia="Calibri"/>
        </w:rPr>
      </w:pPr>
    </w:p>
    <w:p w14:paraId="664E3E54" w14:textId="62BA0E08" w:rsidR="00032F79" w:rsidRDefault="00032F79" w:rsidP="009154EF">
      <w:pPr>
        <w:spacing w:line="480" w:lineRule="auto"/>
        <w:ind w:firstLine="720"/>
        <w:rPr>
          <w:rFonts w:eastAsia="Calibri"/>
        </w:rPr>
      </w:pPr>
    </w:p>
    <w:p w14:paraId="16B929DE" w14:textId="5887DEC5" w:rsidR="00032F79" w:rsidRDefault="00032F79" w:rsidP="009154EF">
      <w:pPr>
        <w:spacing w:line="480" w:lineRule="auto"/>
        <w:ind w:firstLine="720"/>
        <w:rPr>
          <w:rFonts w:eastAsia="Calibri"/>
        </w:rPr>
      </w:pPr>
    </w:p>
    <w:p w14:paraId="6F7A2373" w14:textId="3BAEE498" w:rsidR="00032F79" w:rsidRDefault="00032F79" w:rsidP="009154EF">
      <w:pPr>
        <w:spacing w:line="480" w:lineRule="auto"/>
        <w:ind w:firstLine="720"/>
        <w:rPr>
          <w:rFonts w:eastAsia="Calibri"/>
        </w:rPr>
      </w:pPr>
    </w:p>
    <w:p w14:paraId="3F8471C3" w14:textId="570D17CF" w:rsidR="00032F79" w:rsidRDefault="00032F79" w:rsidP="009154EF">
      <w:pPr>
        <w:spacing w:line="480" w:lineRule="auto"/>
        <w:ind w:firstLine="720"/>
        <w:rPr>
          <w:rFonts w:eastAsia="Calibri"/>
        </w:rPr>
      </w:pPr>
    </w:p>
    <w:p w14:paraId="2C575577" w14:textId="77777777" w:rsidR="00032F79" w:rsidRPr="009154EF" w:rsidRDefault="00032F79" w:rsidP="009154EF">
      <w:pPr>
        <w:spacing w:line="480" w:lineRule="auto"/>
        <w:ind w:firstLine="720"/>
        <w:rPr>
          <w:rFonts w:eastAsia="Calibri"/>
        </w:rPr>
      </w:pPr>
    </w:p>
    <w:p w14:paraId="7978DFEB" w14:textId="2D7673F9" w:rsidR="004D51F5" w:rsidRPr="007C7EA1" w:rsidRDefault="004D51F5" w:rsidP="00032F79">
      <w:pPr>
        <w:pStyle w:val="Heading1"/>
      </w:pPr>
      <w:bookmarkStart w:id="11" w:name="_Toc39049737"/>
      <w:r w:rsidRPr="007C7EA1">
        <w:lastRenderedPageBreak/>
        <w:t>3.0 Methods</w:t>
      </w:r>
      <w:bookmarkEnd w:id="11"/>
    </w:p>
    <w:p w14:paraId="2D3320E0" w14:textId="65BB4B8B" w:rsidR="004D51F5" w:rsidRPr="007C7EA1" w:rsidRDefault="004D51F5" w:rsidP="00032F79">
      <w:pPr>
        <w:pStyle w:val="Heading2"/>
      </w:pPr>
      <w:bookmarkStart w:id="12" w:name="_Toc39049738"/>
      <w:r w:rsidRPr="007C7EA1">
        <w:t>3.1 Study Sample</w:t>
      </w:r>
      <w:bookmarkEnd w:id="12"/>
    </w:p>
    <w:p w14:paraId="1D80F76F" w14:textId="5F730716" w:rsidR="004D51F5" w:rsidRPr="007C7EA1" w:rsidRDefault="004D51F5" w:rsidP="00032F79">
      <w:pPr>
        <w:spacing w:line="480" w:lineRule="auto"/>
        <w:ind w:firstLine="720"/>
        <w:rPr>
          <w:rFonts w:eastAsia="Calibri"/>
        </w:rPr>
      </w:pPr>
      <w:r w:rsidRPr="007C7EA1">
        <w:rPr>
          <w:rFonts w:eastAsia="Calibri"/>
        </w:rPr>
        <w:t>Data came from the baseline survey of participants enrolled in a pilot testing of a 2-arm RCT for a game-based intervention designed to increase self-efficacy and reduce disparities in substance use, victimization, and mental health outcomes among SGMY. Eligible youth were English literate, living in the United States, were between ages 14-18, had experienced bullying or cyberbullying in the past year, identified as a sexual or gender minority, had access to a personal computer, and had an email address. This study had a waiver of parental consent so that youth were not required to disclose their sexual or gender identity to parents in order to participate. Recruitment occurred through advertisements on social media platforms, predominantly Facebook</w:t>
      </w:r>
      <w:r w:rsidR="003131F4" w:rsidRPr="007C7EA1">
        <w:rPr>
          <w:rFonts w:eastAsia="Calibri"/>
        </w:rPr>
        <w:t xml:space="preserve"> and Instagram</w:t>
      </w:r>
      <w:r w:rsidRPr="007C7EA1">
        <w:rPr>
          <w:rFonts w:eastAsia="Calibri"/>
        </w:rPr>
        <w:t xml:space="preserve">. </w:t>
      </w:r>
      <w:r w:rsidRPr="007C7EA1">
        <w:rPr>
          <w:rFonts w:eastAsia="Calibri"/>
        </w:rPr>
        <w:fldChar w:fldCharType="begin"/>
      </w:r>
      <w:r w:rsidR="009E526F">
        <w:rPr>
          <w:rFonts w:eastAsia="Calibri"/>
        </w:rPr>
        <w:instrText>ADDIN F1000_CSL_CITATION&lt;~#@#~&gt;[{"DOI":"10.2196/12164","First":false,"Last":false,"PMCID":"PMC6416896","PMID":"30767903","author":[{"family":"Coulter","given":"Robert Ws"},{"family":"Sang","given":"Jordan M"},{"family":"Louth-Marquez","given":"William"},{"family":"Henderson","given":"Emmett R"},{"family":"Espelage","given":"Dorothy"},{"family":"Hunter","given":"Simon C"},{"family":"DeLucas","given":"Matthew"},{"family":"Abebe","given":"Kaleab Z"},{"family":"Miller","given":"Elizabeth"},{"family":"Morrill","given":"Brooke A"},{"family":"Hieftje","given":"Kimberly"},{"family":"Friedman","given":"Mark S"},{"family":"Egan","given":"James E"}],"authorYearDisplayFormat":false,"citation-label":"6712347","container-title":"JMIR research protocols","container-title-short":"JMIR Res. Protoc.","id":"6712347","invisible":false,"issue":"2","issued":{"date-parts":[["2019","2","15"]]},"journalAbbreviation":"JMIR Res. Protoc.","page":"e12164","suppress-author":false,"title":"Pilot testing the feasibility of a game intervention aimed at improving help seeking and coping among sexual and gender minority youth: protocol for a randomized controlled trial.","type":"article-journal","volume":"8"}]</w:instrText>
      </w:r>
      <w:r w:rsidRPr="007C7EA1">
        <w:rPr>
          <w:rFonts w:eastAsia="Calibri"/>
        </w:rPr>
        <w:fldChar w:fldCharType="separate"/>
      </w:r>
      <w:r w:rsidR="00F96D9F" w:rsidRPr="00F96D9F">
        <w:rPr>
          <w:rFonts w:eastAsia="Calibri"/>
        </w:rPr>
        <w:t>(Coulter et al., 2019)</w:t>
      </w:r>
      <w:r w:rsidRPr="007C7EA1">
        <w:rPr>
          <w:rFonts w:eastAsia="Calibri"/>
        </w:rPr>
        <w:fldChar w:fldCharType="end"/>
      </w:r>
    </w:p>
    <w:p w14:paraId="2617B639" w14:textId="5B213268" w:rsidR="004D51F5" w:rsidRPr="007C7EA1" w:rsidRDefault="004D51F5" w:rsidP="00032F79">
      <w:pPr>
        <w:pStyle w:val="Heading2"/>
      </w:pPr>
      <w:bookmarkStart w:id="13" w:name="_Toc39049739"/>
      <w:r w:rsidRPr="007C7EA1">
        <w:t>3.2 Measures</w:t>
      </w:r>
      <w:bookmarkEnd w:id="13"/>
    </w:p>
    <w:p w14:paraId="76B65E21" w14:textId="77777777" w:rsidR="004D51F5" w:rsidRPr="007C7EA1" w:rsidRDefault="004D51F5" w:rsidP="00032F79">
      <w:pPr>
        <w:pStyle w:val="Heading3"/>
        <w:rPr>
          <w:rFonts w:eastAsia="Calibri"/>
        </w:rPr>
      </w:pPr>
      <w:bookmarkStart w:id="14" w:name="_Toc39049740"/>
      <w:r w:rsidRPr="007C7EA1">
        <w:rPr>
          <w:rFonts w:eastAsia="Calibri"/>
        </w:rPr>
        <w:t>3.2.1 Predictors</w:t>
      </w:r>
      <w:bookmarkEnd w:id="14"/>
    </w:p>
    <w:p w14:paraId="4D460562" w14:textId="0564DBEE" w:rsidR="004D51F5" w:rsidRPr="007C7EA1" w:rsidRDefault="004D51F5" w:rsidP="00032F79">
      <w:pPr>
        <w:spacing w:line="480" w:lineRule="auto"/>
        <w:ind w:firstLine="720"/>
        <w:rPr>
          <w:rFonts w:eastAsia="Calibri"/>
        </w:rPr>
      </w:pPr>
      <w:r w:rsidRPr="007C7EA1">
        <w:rPr>
          <w:rFonts w:eastAsia="Calibri"/>
        </w:rPr>
        <w:t xml:space="preserve">Gender minority status was determined through a “check-all that apply” question with over 20 different gender identity choices (Appendix 1). Answers to this question were compared to a question regarding sex assigned at birth. Any individuals who expressed gender discordance (wherein their sex assigned at birth did not match their gender identity), or who identified as a gender minority were coded as gender minority youth. Family support was measured using the validated family support subscale in the Multidimensional Scale of Perceived Social Support and a mean score variable was created (range 1-7). </w:t>
      </w:r>
      <w:r w:rsidRPr="007C7EA1">
        <w:rPr>
          <w:rFonts w:eastAsia="Calibri"/>
        </w:rPr>
        <w:fldChar w:fldCharType="begin"/>
      </w:r>
      <w:r w:rsidR="009E526F">
        <w:rPr>
          <w:rFonts w:eastAsia="Calibri"/>
        </w:rPr>
        <w:instrText>ADDIN F1000_CSL_CITATION&lt;~#@#~&gt;[{"DOI":"10.1207/s15327752jpa5201_2","First":false,"Last":false,"abstract":"Developed a self-report measure of subjectively assessed social support, the Multidimensional Scale of Perceived Social Support (MSPSS), which was administered to 275 undergraduates. Three subscales, each addressing a different source of support, were identified and found to have strong factorial validity: Family, Friends, and Significant Other. In addition, the research demonstrated that the MSPSS has good internal and test–retest reliability as well as moderate construct validity. As predicted, high levels of perceived social support were associated with low levels of depression and anxiety symptomatology as measured by the Hopkins Symptom Checklist. Gender differences with respect to the MSPSS are also presented. (PsycINFO Database Record (c) 2016 APA, all rights reserved)","author":[{"family":"Zimet","given":"G D"},{"family":"Dahlem","given":"N W"},{"family":"Zimet","given":"S G"},{"family":"Farley","given":"G K"}],"authorYearDisplayFormat":false,"citation-label":"3943653","container-title":"Journal of personality assessment","container-title-short":"J. Pers. Assess.","id":"3943653","invisible":false,"issue":"1","issued":{"date-parts":[["1988","3"]]},"journalAbbreviation":"J. Pers. Assess.","page":"30-41","suppress-author":false,"title":"The Multidimensional Scale of Perceived Social Support","type":"article-journal","volume":"52"}]</w:instrText>
      </w:r>
      <w:r w:rsidRPr="007C7EA1">
        <w:rPr>
          <w:rFonts w:eastAsia="Calibri"/>
        </w:rPr>
        <w:fldChar w:fldCharType="separate"/>
      </w:r>
      <w:r w:rsidR="00F96D9F" w:rsidRPr="00F96D9F">
        <w:rPr>
          <w:rFonts w:eastAsia="Calibri"/>
        </w:rPr>
        <w:t>(Zimet, Dahlem, Zimet, &amp; Farley, 1988)</w:t>
      </w:r>
      <w:r w:rsidRPr="007C7EA1">
        <w:rPr>
          <w:rFonts w:eastAsia="Calibri"/>
        </w:rPr>
        <w:fldChar w:fldCharType="end"/>
      </w:r>
      <w:r w:rsidRPr="007C7EA1">
        <w:rPr>
          <w:rFonts w:eastAsia="Calibri"/>
        </w:rPr>
        <w:t xml:space="preserve"> Outness to family was assessed with a single question asking participants to describe their level of </w:t>
      </w:r>
      <w:r w:rsidRPr="007C7EA1">
        <w:rPr>
          <w:rFonts w:eastAsia="Calibri"/>
        </w:rPr>
        <w:lastRenderedPageBreak/>
        <w:t>outness to family on a 5</w:t>
      </w:r>
      <w:r w:rsidR="003131F4" w:rsidRPr="007C7EA1">
        <w:rPr>
          <w:rFonts w:eastAsia="Calibri"/>
        </w:rPr>
        <w:t xml:space="preserve"> </w:t>
      </w:r>
      <w:r w:rsidRPr="007C7EA1">
        <w:rPr>
          <w:rFonts w:eastAsia="Calibri"/>
        </w:rPr>
        <w:t>p</w:t>
      </w:r>
      <w:r w:rsidR="003131F4" w:rsidRPr="007C7EA1">
        <w:rPr>
          <w:rFonts w:eastAsia="Calibri"/>
        </w:rPr>
        <w:t>oin</w:t>
      </w:r>
      <w:r w:rsidRPr="007C7EA1">
        <w:rPr>
          <w:rFonts w:eastAsia="Calibri"/>
        </w:rPr>
        <w:t xml:space="preserve">t scale of “no one knows” to “everyone knows”. </w:t>
      </w:r>
      <w:r w:rsidRPr="007C7EA1">
        <w:rPr>
          <w:rFonts w:eastAsia="Calibri"/>
        </w:rPr>
        <w:fldChar w:fldCharType="begin"/>
      </w:r>
      <w:r w:rsidR="009E526F">
        <w:rPr>
          <w:rFonts w:eastAsia="Calibri"/>
        </w:rPr>
        <w:instrText>ADDIN F1000_CSL_CITATION&lt;~#@#~&gt;[{"DOI":"10.1037/h0080345","First":false,"Last":false,"PMID":"9686289","abstract":"Lesbian, gay, and bisexual youngsters, aged 14-21 and living at home, were studied for patterns of disclosure of sexual orientation to families. Three-quarters had told at least one parent, more often the mother than the father. Those who had disclosed were generally more open about their sexual orientation than those who had not, and few of the nondisclosed expected parental acceptance. Those who had disclosed reported verbal and physical abuse by family members, and acknowledged more suicidality than those who had not \"come out\" to their families.","author":[{"family":"D'Augelli","given":"A R"},{"family":"Hershberger","given":"S L"},{"family":"Pilkington","given":"N W"}],"authorYearDisplayFormat":false,"citation-label":"3081252","container-title":"The American journal of orthopsychiatry","container-title-short":"Am. J. Orthopsychiatry","id":"3081252","invisible":false,"issue":"3","issued":{"date-parts":[["1998","7"]]},"journalAbbreviation":"Am. J. Orthopsychiatry","page":"361-71; discussion 372","suppress-author":false,"title":"Lesbian, gay, and bisexual youth and their families: disclosure of sexual orientation and its consequences.","type":"article-journal","volume":"68"}]</w:instrText>
      </w:r>
      <w:r w:rsidRPr="007C7EA1">
        <w:rPr>
          <w:rFonts w:eastAsia="Calibri"/>
        </w:rPr>
        <w:fldChar w:fldCharType="separate"/>
      </w:r>
      <w:r w:rsidR="00F96D9F" w:rsidRPr="00F96D9F">
        <w:rPr>
          <w:rFonts w:eastAsia="Calibri"/>
        </w:rPr>
        <w:t>(A R D’Augelli, Hershberger, &amp; Pilkington, 1998)</w:t>
      </w:r>
      <w:r w:rsidRPr="007C7EA1">
        <w:rPr>
          <w:rFonts w:eastAsia="Calibri"/>
        </w:rPr>
        <w:fldChar w:fldCharType="end"/>
      </w:r>
      <w:r w:rsidRPr="007C7EA1">
        <w:rPr>
          <w:rFonts w:eastAsia="Calibri"/>
        </w:rPr>
        <w:t xml:space="preserve"> </w:t>
      </w:r>
    </w:p>
    <w:p w14:paraId="243EE5CB" w14:textId="77777777" w:rsidR="004D51F5" w:rsidRPr="007C7EA1" w:rsidRDefault="004D51F5" w:rsidP="00032F79">
      <w:pPr>
        <w:pStyle w:val="Heading3"/>
        <w:rPr>
          <w:rFonts w:eastAsia="Calibri"/>
        </w:rPr>
      </w:pPr>
      <w:bookmarkStart w:id="15" w:name="_Toc39049741"/>
      <w:r w:rsidRPr="007C7EA1">
        <w:rPr>
          <w:rFonts w:eastAsia="Calibri"/>
        </w:rPr>
        <w:t>3.2.2 Covariates</w:t>
      </w:r>
      <w:bookmarkEnd w:id="15"/>
    </w:p>
    <w:p w14:paraId="1C0259AA" w14:textId="432A056F" w:rsidR="004D51F5" w:rsidRPr="007C7EA1" w:rsidRDefault="004D51F5" w:rsidP="00032F79">
      <w:pPr>
        <w:spacing w:line="480" w:lineRule="auto"/>
        <w:ind w:firstLine="720"/>
        <w:rPr>
          <w:rFonts w:eastAsia="Calibri"/>
        </w:rPr>
      </w:pPr>
      <w:r w:rsidRPr="007C7EA1">
        <w:rPr>
          <w:rFonts w:eastAsia="Calibri"/>
        </w:rPr>
        <w:t xml:space="preserve">Youth were asked to self-report the demographic information, including race/ethnicity, parent education, and sexual </w:t>
      </w:r>
      <w:r w:rsidR="00351709">
        <w:rPr>
          <w:rFonts w:eastAsia="Calibri"/>
        </w:rPr>
        <w:t>identity</w:t>
      </w:r>
      <w:r w:rsidRPr="007C7EA1">
        <w:rPr>
          <w:rFonts w:eastAsia="Calibri"/>
        </w:rPr>
        <w:t xml:space="preserve">. Race/ethnicity was measured with two separate questions; one regarding racial identity, and one regarding Hispanic or Latinx ethnic identity. </w:t>
      </w:r>
      <w:r w:rsidR="00A27BA6" w:rsidRPr="007C7EA1">
        <w:rPr>
          <w:rFonts w:eastAsia="Calibri"/>
        </w:rPr>
        <w:t xml:space="preserve">For parent education, youth selected one of five options indicating the highest level of education that </w:t>
      </w:r>
      <w:r w:rsidR="00D60A19" w:rsidRPr="007C7EA1">
        <w:rPr>
          <w:rFonts w:eastAsia="Calibri"/>
        </w:rPr>
        <w:t>a</w:t>
      </w:r>
      <w:r w:rsidR="00A27BA6" w:rsidRPr="007C7EA1">
        <w:rPr>
          <w:rFonts w:eastAsia="Calibri"/>
        </w:rPr>
        <w:t xml:space="preserve"> parent or guardian </w:t>
      </w:r>
      <w:r w:rsidR="00D60A19" w:rsidRPr="007C7EA1">
        <w:rPr>
          <w:rFonts w:eastAsia="Calibri"/>
        </w:rPr>
        <w:t>had</w:t>
      </w:r>
      <w:r w:rsidR="00A27BA6" w:rsidRPr="007C7EA1">
        <w:rPr>
          <w:rFonts w:eastAsia="Calibri"/>
        </w:rPr>
        <w:t xml:space="preserve"> obtained: “Did not finish high school,” “Graduated from high school,” “Attempted college but did not complete a 4 year degree,” “Graduated college,” and “Don’t know.” Sexual </w:t>
      </w:r>
      <w:r w:rsidR="00351709">
        <w:rPr>
          <w:rFonts w:eastAsia="Calibri"/>
        </w:rPr>
        <w:t>identity</w:t>
      </w:r>
      <w:r w:rsidR="00A27BA6" w:rsidRPr="007C7EA1">
        <w:rPr>
          <w:rFonts w:eastAsia="Calibri"/>
        </w:rPr>
        <w:t xml:space="preserve"> was measured as a check-all that apply question with six</w:t>
      </w:r>
      <w:r w:rsidR="00D60A19" w:rsidRPr="007C7EA1">
        <w:rPr>
          <w:rFonts w:eastAsia="Calibri"/>
        </w:rPr>
        <w:t xml:space="preserve"> options (Heterosexual, Gay/Lesbian, Bisexual, Queer, Another non-heterosexual identity, Not sure.)</w:t>
      </w:r>
      <w:r w:rsidR="00A27BA6" w:rsidRPr="007C7EA1">
        <w:rPr>
          <w:rFonts w:eastAsia="Calibri"/>
        </w:rPr>
        <w:t xml:space="preserve">  </w:t>
      </w:r>
      <w:r w:rsidRPr="007C7EA1">
        <w:rPr>
          <w:rFonts w:eastAsia="Calibri"/>
        </w:rPr>
        <w:t xml:space="preserve">Covariates were selected </w:t>
      </w:r>
      <w:r w:rsidRPr="007C7EA1">
        <w:rPr>
          <w:rFonts w:eastAsia="Calibri"/>
          <w:i/>
        </w:rPr>
        <w:t xml:space="preserve">a priori </w:t>
      </w:r>
      <w:r w:rsidRPr="007C7EA1">
        <w:rPr>
          <w:rFonts w:eastAsia="Calibri"/>
        </w:rPr>
        <w:t>based on previous literature</w:t>
      </w:r>
      <w:r w:rsidR="00461EFB">
        <w:rPr>
          <w:rFonts w:eastAsia="Calibri"/>
        </w:rPr>
        <w:t>,</w:t>
      </w:r>
      <w:r w:rsidR="00351709">
        <w:rPr>
          <w:rFonts w:eastAsia="Calibri"/>
        </w:rPr>
        <w:t xml:space="preserve"> </w:t>
      </w:r>
      <w:r w:rsidR="00461EFB">
        <w:rPr>
          <w:rFonts w:eastAsia="Calibri"/>
        </w:rPr>
        <w:t xml:space="preserve">which has showed differences in mental health outcomes among gender minorities based on race/ethnicity, socioeconomic position, and sexual identity </w:t>
      </w:r>
      <w:r w:rsidR="00461EFB">
        <w:rPr>
          <w:rFonts w:eastAsia="Calibri"/>
        </w:rPr>
        <w:fldChar w:fldCharType="begin"/>
      </w:r>
      <w:r w:rsidR="00F96D9F">
        <w:rPr>
          <w:rFonts w:eastAsia="Calibri"/>
        </w:rPr>
        <w:instrText>ADDIN F1000_CSL_CITATION&lt;~#@#~&gt;[{"First":false,"Last":false,"author":[{"family":"Grant","given":"Jaime M."},{"family":"Mottet","given":"Lisa A."},{"family":"Tanis","given":"Justin"},{"family":"Herman","given":"Jody L"},{"family":"Keisling","given":"Mara"}],"authorYearDisplayFormat":false,"citation-label":"7167781","id":"7167781","invisible":false,"issued":{"date-parts":[["2011"]]},"publisher":"National Center for Transgender Equality and National Gay and Lesbian Task Force","publisher-place":"Washington","suppress-author":false,"title":"Injustice at Every Turn: A Report of the National Transgender   Discrimination Survey","type":"report"},{"DOI":"10.1542/peds.2019-1725","First":false,"Last":false,"PMCID":"PMC7073269","PMID":"31974216","abstract":"&lt;strong&gt;BACKGROUND AND OBJECTIVES:&lt;/strong&gt; Gonadotropin-releasing hormone analogues are commonly prescribed to suppress endogenous puberty for transgender adolescents. There are limited data regarding the mental health benefits of this treatment. Our objective for this study was to examine associations between access to pubertal suppression during adolescence and adult mental health outcomes.&lt;br&gt;&lt;br&gt;&lt;strong&gt;METHODS:&lt;/strong&gt; Using a cross-sectional survey of 20 619 transgender adults aged 18 to 36 years, we examined self-reported history of pubertal suppression during adolescence. Using multivariable logistic regression, we examined associations between access to pubertal suppression and adult mental health outcomes, including multiple measures of suicidality.&lt;br&gt;&lt;br&gt;&lt;strong&gt;RESULTS:&lt;/strong&gt; Of the sample, 16.9% reported that they ever wanted pubertal suppression as part of their gender-related care. Their mean age was 23.4 years, and 45.2% were assigned male sex at birth. Of them, 2.5% received pubertal suppression. After adjustment for demographic variables and level of family support for gender identity, those who received treatment with pubertal suppression, when compared with those who wanted pubertal suppression but did not receive it, had lower odds of lifetime suicidal ideation (adjusted odds ratio = 0.3; 95% confidence interval = 0.2-0.6).&lt;br&gt;&lt;br&gt;&lt;strong&gt;CONCLUSIONS:&lt;/strong&gt; This is the first study in which associations between access to pubertal suppression and suicidality are examined. There is a significant inverse association between treatment with pubertal suppression during adolescence and lifetime suicidal ideation among transgender adults who ever wanted this treatment. These results align with past literature, suggesting that pubertal suppression for transgender adolescents who want this treatment is associated with favorable mental health outcomes.&lt;br&gt;&lt;br&gt;Copyright © 2020 by the American Academy of Pediatrics.","author":[{"family":"Turban","given":"Jack L"},{"family":"King","given":"Dana"},{"family":"Carswell","given":"Jeremi M"},{"family":"Keuroghlian","given":"Alex S"}],"authorYearDisplayFormat":false,"citation-label":"8177749","container-title":"Pediatrics","container-title-short":"Pediatrics","id":"8177749","invisible":false,"issue":"2","issued":{"date-parts":[["2020","2"]]},"journalAbbreviation":"Pediatrics","suppress-author":false,"title":"Pubertal suppression for transgender youth and risk of suicidal ideation.","type":"article-journal","volume":"145"}]</w:instrText>
      </w:r>
      <w:r w:rsidR="00461EFB">
        <w:rPr>
          <w:rFonts w:eastAsia="Calibri"/>
        </w:rPr>
        <w:fldChar w:fldCharType="separate"/>
      </w:r>
      <w:r w:rsidR="00F96D9F" w:rsidRPr="00F96D9F">
        <w:rPr>
          <w:rFonts w:eastAsia="Calibri"/>
          <w:noProof/>
        </w:rPr>
        <w:t>(Grant et al., 2011; Turban et al., 2020)</w:t>
      </w:r>
      <w:r w:rsidR="00461EFB">
        <w:rPr>
          <w:rFonts w:eastAsia="Calibri"/>
        </w:rPr>
        <w:fldChar w:fldCharType="end"/>
      </w:r>
      <w:r w:rsidRPr="007C7EA1">
        <w:rPr>
          <w:rFonts w:eastAsia="Calibri"/>
        </w:rPr>
        <w:t xml:space="preserve">. </w:t>
      </w:r>
    </w:p>
    <w:p w14:paraId="470EBCDA" w14:textId="77777777" w:rsidR="004D51F5" w:rsidRPr="007C7EA1" w:rsidRDefault="004D51F5" w:rsidP="00032F79">
      <w:pPr>
        <w:pStyle w:val="Heading3"/>
        <w:rPr>
          <w:rFonts w:eastAsia="Calibri"/>
        </w:rPr>
      </w:pPr>
      <w:bookmarkStart w:id="16" w:name="_Toc39049742"/>
      <w:r w:rsidRPr="007C7EA1">
        <w:rPr>
          <w:rFonts w:eastAsia="Calibri"/>
        </w:rPr>
        <w:t>3.2.3 Outcome</w:t>
      </w:r>
      <w:bookmarkEnd w:id="16"/>
    </w:p>
    <w:p w14:paraId="1B6FCE44" w14:textId="5F679283" w:rsidR="004D51F5" w:rsidRPr="007C7EA1" w:rsidRDefault="004D51F5" w:rsidP="00032F79">
      <w:pPr>
        <w:spacing w:line="480" w:lineRule="auto"/>
        <w:ind w:firstLine="720"/>
        <w:rPr>
          <w:rFonts w:eastAsia="Calibri"/>
        </w:rPr>
      </w:pPr>
      <w:r w:rsidRPr="007C7EA1">
        <w:rPr>
          <w:rFonts w:eastAsia="Calibri"/>
        </w:rPr>
        <w:t>Depression severity was measured and scored as a summary variable using the Patient Health Questionnaire</w:t>
      </w:r>
      <w:r w:rsidR="003131F4" w:rsidRPr="007C7EA1">
        <w:rPr>
          <w:rFonts w:eastAsia="Calibri"/>
        </w:rPr>
        <w:t>-9</w:t>
      </w:r>
      <w:r w:rsidRPr="007C7EA1">
        <w:rPr>
          <w:rFonts w:eastAsia="Calibri"/>
        </w:rPr>
        <w:t xml:space="preserve"> ( PHQ-9; range 0-27)</w:t>
      </w:r>
      <w:r w:rsidR="00D60A19" w:rsidRPr="007C7EA1">
        <w:rPr>
          <w:rFonts w:eastAsia="Calibri"/>
        </w:rPr>
        <w:t xml:space="preserve">, </w:t>
      </w:r>
      <w:r w:rsidR="00F96D9F">
        <w:rPr>
          <w:rFonts w:eastAsia="Calibri"/>
        </w:rPr>
        <w:t xml:space="preserve">a scale with high validity and reliability for adults and adolescents </w:t>
      </w:r>
      <w:r w:rsidRPr="007C7EA1">
        <w:rPr>
          <w:rFonts w:eastAsia="Calibri"/>
        </w:rPr>
        <w:fldChar w:fldCharType="begin"/>
      </w:r>
      <w:r w:rsidR="00F96D9F">
        <w:rPr>
          <w:rFonts w:eastAsia="Calibri"/>
        </w:rPr>
        <w:instrText>ADDIN F1000_CSL_CITATION&lt;~#@#~&gt;[{"First":false,"Last":false,"PMCID":"PMC1495268","PMID":"11556941","abstract":"&lt;strong&gt;OBJECTIVE:&lt;/strong&gt; While considerable attention has focused on improving the detection of depression, assessment of severity is also important in guiding treatment decisions. Therefore, we examined the validity of a brief, new measure of depression severity.\n&lt;br&gt;\n&lt;br&gt;\n&lt;strong&gt;MEASUREMENTS:&lt;/strong&gt;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patients.\n&lt;br&gt;\n&lt;br&gt;\n&lt;strong&gt;RESULTS:&lt;/strong&gt; As PHQ-9 depression severity increased, there was a substantial decrease in functional status on all 6 SF-20 subscales. Also, symptom-related difficulty, sick days, and health care utilization increased. Using the MHP reinterview as the criterion standard, a PHQ-9 score &amp;gt; or =10 had a sensitivity of 88% and a specificity of 88% for major depression. PHQ-9 scores of 5, 10, 15, and 20 represented mild, moderate, moderately severe, and severe depression, respectively. Results were similar in the primary care and obstetrics-gynecology samples.\n&lt;br&gt;\n&lt;br&gt;\n&lt;strong&gt;CONCLUSION:&lt;/strong&gt; In addition to making criteria-based diagnoses of depressive disorders, the PHQ-9 is also a reliable and valid measure of depression severity. These characteristics plus its brevity make the PHQ-9 a useful clinical and research tool.","author":[{"family":"Kroenke","given":"K"},{"family":"Spitzer","given":"R L"},{"family":"Williams","given":"J B"}],"authorYearDisplayFormat":false,"citation-label":"1242607","container-title":"Journal of General Internal Medicine","container-title-short":"J. Gen. Intern. Med.","id":"1242607","invisible":false,"issue":"9","issued":{"date-parts":[["2001","9"]]},"journalAbbreviation":"J. Gen. Intern. Med.","page":"606-613","suppress-author":false,"title":"The PHQ-9: validity of a brief depression severity measure.","type":"article-journal","volume":"16"},{"DOI":"10.1542/peds.2010-0852","First":false,"Last":false,"PMCID":"PMC3217785","PMID":"21041282","abstract":"&lt;strong&gt;OBJECTIVE:&lt;/strong&gt; The purpose of this study was to examine the performance characteristics and validity of the Patient Health Questionnaire-9 Item (PHQ-9) as a screening tool for depression among adolescents.&lt;br&gt;&lt;br&gt;&lt;strong&gt;METHODS:&lt;/strong&gt; The PHQ-9 was completed by 442 youth (aged 13-17 years) who were enrolled in a large health care-delivery system and participated in a study on depression outcomes. Criterion validity and performance characteristics were assessed against an independent structured mental health interview (the Child Diagnostic Interview Schedule [DISC-IV]). Construct validity was tested by examining associations between the PHQ-9 and a self-report measure of functional impairment, as well as parental reports of child psychosocial impairment and internalizing symptoms.&lt;br&gt;&lt;br&gt;&lt;strong&gt;RESULTS:&lt;/strong&gt; A PHQ-9 score of 11 or more had a sensitivity of 89.5% and a specificity of 77.5% for detecting youth who met the Diagnostic and Statistical Manual of Mental Disorders, Fourth Edition criteria for major depression on the DISC-IV. Receiver-operator-curve analysis revealed that the PHQ-9 had an area under the curve of 0.88 (95% confidence interval: 0.82-0.94), and the cut point of 11 was optimal for maximizing sensitivity without loss of specificity. Increasing PHQ-9 scores were significantly correlated with increasing levels of functional impairment, as well as parental report of internalizing symptoms and psychosocial problems.&lt;br&gt;&lt;br&gt;&lt;strong&gt;CONCLUSIONS:&lt;/strong&gt; Although the optimal cut point is higher among adolescents, the sensitivity and specificity of the PHQ-9 are similar to those of adult populations. The brief nature and ease of scoring of this instrument make this tool an excellent choice for providers and researchers seeking to implement depression screening in primary care settings.","author":[{"family":"Richardson","given":"Laura P"},{"family":"McCauley","given":"Elizabeth"},{"family":"Grossman","given":"David C"},{"family":"McCarty","given":"Carolyn A"},{"family":"Richards","given":"Julie"},{"family":"Russo","given":"Joan E"},{"family":"Rockhill","given":"Carol"},{"family":"Katon","given":"Wayne"}],"authorYearDisplayFormat":false,"citation-label":"4612926","container-title":"Pediatrics","container-title-short":"Pediatrics","id":"4612926","invisible":false,"issue":"6","issued":{"date-parts":[["2010","12"]]},"journalAbbreviation":"Pediatrics","page":"1117-1123","suppress-author":false,"title":"Evaluation of the Patient Health Questionnaire-9 Item for detecting major depression among adolescents.","type":"article-journal","volume":"126"}]</w:instrText>
      </w:r>
      <w:r w:rsidRPr="007C7EA1">
        <w:rPr>
          <w:rFonts w:eastAsia="Calibri"/>
        </w:rPr>
        <w:fldChar w:fldCharType="separate"/>
      </w:r>
      <w:r w:rsidR="00F96D9F" w:rsidRPr="00F96D9F">
        <w:rPr>
          <w:rFonts w:eastAsia="Calibri"/>
        </w:rPr>
        <w:t>(Kroenke, Spitzer, &amp; Williams, 2001; Richardson et al., 2010)</w:t>
      </w:r>
      <w:r w:rsidRPr="007C7EA1">
        <w:rPr>
          <w:rFonts w:eastAsia="Calibri"/>
        </w:rPr>
        <w:fldChar w:fldCharType="end"/>
      </w:r>
      <w:r w:rsidR="00F96D9F">
        <w:rPr>
          <w:rFonts w:eastAsia="Calibri"/>
        </w:rPr>
        <w:t xml:space="preserve">. </w:t>
      </w:r>
    </w:p>
    <w:p w14:paraId="207D03FD" w14:textId="6E07CBB6" w:rsidR="004D51F5" w:rsidRPr="007C7EA1" w:rsidRDefault="004D51F5" w:rsidP="00032F79">
      <w:pPr>
        <w:pStyle w:val="Heading2"/>
      </w:pPr>
      <w:bookmarkStart w:id="17" w:name="_Toc39049743"/>
      <w:r w:rsidRPr="007C7EA1">
        <w:t xml:space="preserve">3.4 </w:t>
      </w:r>
      <w:r w:rsidR="00032F79">
        <w:t>S</w:t>
      </w:r>
      <w:r w:rsidRPr="007C7EA1">
        <w:t>tatistical Analysis</w:t>
      </w:r>
      <w:bookmarkEnd w:id="17"/>
    </w:p>
    <w:p w14:paraId="770EC145" w14:textId="66815064" w:rsidR="004D51F5" w:rsidRPr="007C7EA1" w:rsidRDefault="004D51F5" w:rsidP="00032F79">
      <w:pPr>
        <w:spacing w:line="480" w:lineRule="auto"/>
        <w:ind w:firstLine="720"/>
        <w:rPr>
          <w:rFonts w:eastAsia="Calibri"/>
        </w:rPr>
      </w:pPr>
      <w:r w:rsidRPr="007C7EA1">
        <w:rPr>
          <w:rFonts w:eastAsia="Calibri"/>
        </w:rPr>
        <w:t xml:space="preserve">T-test and chi square tests determined </w:t>
      </w:r>
      <w:r w:rsidR="003131F4" w:rsidRPr="007C7EA1">
        <w:rPr>
          <w:rFonts w:eastAsia="Calibri"/>
        </w:rPr>
        <w:t xml:space="preserve">unadjusted </w:t>
      </w:r>
      <w:r w:rsidRPr="007C7EA1">
        <w:rPr>
          <w:rFonts w:eastAsia="Calibri"/>
        </w:rPr>
        <w:t xml:space="preserve">differences by gender identity in demographic characteristics, family support, outness to family regarding gender identity, and </w:t>
      </w:r>
      <w:r w:rsidRPr="007C7EA1">
        <w:rPr>
          <w:rFonts w:eastAsia="Calibri"/>
        </w:rPr>
        <w:lastRenderedPageBreak/>
        <w:t xml:space="preserve">depression </w:t>
      </w:r>
      <w:r w:rsidR="00B42F4E">
        <w:rPr>
          <w:rFonts w:eastAsia="Calibri"/>
        </w:rPr>
        <w:t xml:space="preserve">severity. </w:t>
      </w:r>
      <w:r w:rsidRPr="007C7EA1">
        <w:rPr>
          <w:rFonts w:eastAsia="Calibri"/>
        </w:rPr>
        <w:t xml:space="preserve">Generalized linear models with an identity link and gaussian family assessed differences in family support, outness to family, and depression severity by gender identity (comparing gender minorities to cisgender sexual minorities), controlling for race/ethnicity, parent education, and sexual </w:t>
      </w:r>
      <w:r w:rsidR="00F96D9F">
        <w:rPr>
          <w:rFonts w:eastAsia="Calibri"/>
        </w:rPr>
        <w:t>identity</w:t>
      </w:r>
      <w:r w:rsidRPr="007C7EA1">
        <w:rPr>
          <w:rFonts w:eastAsia="Calibri"/>
        </w:rPr>
        <w:t xml:space="preserve">. </w:t>
      </w:r>
    </w:p>
    <w:p w14:paraId="47B96AF3" w14:textId="5275F5F8" w:rsidR="004D51F5" w:rsidRDefault="00D60A19" w:rsidP="00032F79">
      <w:pPr>
        <w:spacing w:line="480" w:lineRule="auto"/>
        <w:ind w:firstLine="720"/>
        <w:rPr>
          <w:rFonts w:eastAsia="Calibri"/>
        </w:rPr>
      </w:pPr>
      <w:r w:rsidRPr="007C7EA1">
        <w:rPr>
          <w:rFonts w:eastAsia="Calibri"/>
        </w:rPr>
        <w:t xml:space="preserve">Among </w:t>
      </w:r>
      <w:r w:rsidR="00E91EC1">
        <w:rPr>
          <w:rFonts w:eastAsia="Calibri"/>
        </w:rPr>
        <w:t>GMY</w:t>
      </w:r>
      <w:r w:rsidRPr="007C7EA1">
        <w:rPr>
          <w:rFonts w:eastAsia="Calibri"/>
        </w:rPr>
        <w:t xml:space="preserve"> only, we examined association of family support and outness to family on depression severity using g</w:t>
      </w:r>
      <w:r w:rsidR="004D51F5" w:rsidRPr="007C7EA1">
        <w:rPr>
          <w:rFonts w:eastAsia="Calibri"/>
        </w:rPr>
        <w:t>eneralized linear models with an identity link and gaussian family. Unadjusted bivariate models assessed differences between depression severity and family support, and depression severity and outness to family. Model 1A</w:t>
      </w:r>
      <w:r w:rsidRPr="007C7EA1">
        <w:rPr>
          <w:rFonts w:eastAsia="Calibri"/>
        </w:rPr>
        <w:t xml:space="preserve"> examined association between family support and depression severity,</w:t>
      </w:r>
      <w:r w:rsidR="004D51F5" w:rsidRPr="007C7EA1">
        <w:rPr>
          <w:rFonts w:eastAsia="Calibri"/>
        </w:rPr>
        <w:t xml:space="preserve"> </w:t>
      </w:r>
      <w:r w:rsidR="00E91EC1">
        <w:rPr>
          <w:rFonts w:eastAsia="Calibri"/>
        </w:rPr>
        <w:t>controlling</w:t>
      </w:r>
      <w:r w:rsidR="004D51F5" w:rsidRPr="007C7EA1">
        <w:rPr>
          <w:rFonts w:eastAsia="Calibri"/>
        </w:rPr>
        <w:t xml:space="preserve"> for race/ethnicity, parent education, and sexual </w:t>
      </w:r>
      <w:r w:rsidR="00E91EC1">
        <w:rPr>
          <w:rFonts w:eastAsia="Calibri"/>
        </w:rPr>
        <w:t>identity</w:t>
      </w:r>
      <w:r w:rsidR="004D51F5" w:rsidRPr="007C7EA1">
        <w:rPr>
          <w:rFonts w:eastAsia="Calibri"/>
        </w:rPr>
        <w:t xml:space="preserve">. </w:t>
      </w:r>
      <w:r w:rsidRPr="007C7EA1">
        <w:rPr>
          <w:rFonts w:eastAsia="Calibri"/>
        </w:rPr>
        <w:t xml:space="preserve">Model 1B examined association between outness to family and depression severity, </w:t>
      </w:r>
      <w:r w:rsidR="00E91EC1">
        <w:rPr>
          <w:rFonts w:eastAsia="Calibri"/>
        </w:rPr>
        <w:t>controlling</w:t>
      </w:r>
      <w:r w:rsidRPr="007C7EA1">
        <w:rPr>
          <w:rFonts w:eastAsia="Calibri"/>
        </w:rPr>
        <w:t xml:space="preserve"> for race/ethnicity, parent education, and sexual </w:t>
      </w:r>
      <w:r w:rsidR="00E91EC1">
        <w:rPr>
          <w:rFonts w:eastAsia="Calibri"/>
        </w:rPr>
        <w:t>identity</w:t>
      </w:r>
      <w:r w:rsidRPr="007C7EA1">
        <w:rPr>
          <w:rFonts w:eastAsia="Calibri"/>
        </w:rPr>
        <w:t xml:space="preserve">. </w:t>
      </w:r>
      <w:r w:rsidR="004D51F5" w:rsidRPr="007C7EA1">
        <w:rPr>
          <w:rFonts w:eastAsia="Calibri"/>
        </w:rPr>
        <w:t>Model 2 contained both independent variables and all covariates. A final model included all variables in Model 2, as well as the interaction term between family support and outness to family. All analyses were conducted in Stata SE 15.1.</w:t>
      </w:r>
    </w:p>
    <w:p w14:paraId="126A00D1" w14:textId="07ADFD9D" w:rsidR="00032F79" w:rsidRDefault="00032F79" w:rsidP="00032F79">
      <w:pPr>
        <w:spacing w:line="480" w:lineRule="auto"/>
        <w:ind w:firstLine="720"/>
        <w:rPr>
          <w:rFonts w:eastAsia="Calibri"/>
        </w:rPr>
      </w:pPr>
    </w:p>
    <w:p w14:paraId="38E71F8A" w14:textId="15B1D11E" w:rsidR="00032F79" w:rsidRDefault="00032F79" w:rsidP="00032F79">
      <w:pPr>
        <w:spacing w:line="480" w:lineRule="auto"/>
        <w:ind w:firstLine="720"/>
        <w:rPr>
          <w:rFonts w:eastAsia="Calibri"/>
        </w:rPr>
      </w:pPr>
    </w:p>
    <w:p w14:paraId="61B03986" w14:textId="409BAA6A" w:rsidR="00032F79" w:rsidRDefault="00032F79" w:rsidP="00032F79">
      <w:pPr>
        <w:spacing w:line="480" w:lineRule="auto"/>
        <w:ind w:firstLine="720"/>
        <w:rPr>
          <w:rFonts w:eastAsia="Calibri"/>
        </w:rPr>
      </w:pPr>
    </w:p>
    <w:p w14:paraId="2EE56B17" w14:textId="324A2F3E" w:rsidR="00032F79" w:rsidRDefault="00032F79" w:rsidP="00032F79">
      <w:pPr>
        <w:spacing w:line="480" w:lineRule="auto"/>
        <w:ind w:firstLine="720"/>
        <w:rPr>
          <w:rFonts w:eastAsia="Calibri"/>
        </w:rPr>
      </w:pPr>
    </w:p>
    <w:p w14:paraId="630327DA" w14:textId="0B1CB73B" w:rsidR="00032F79" w:rsidRDefault="00032F79" w:rsidP="00032F79">
      <w:pPr>
        <w:spacing w:line="480" w:lineRule="auto"/>
        <w:ind w:firstLine="720"/>
        <w:rPr>
          <w:rFonts w:eastAsia="Calibri"/>
        </w:rPr>
      </w:pPr>
    </w:p>
    <w:p w14:paraId="67AE0E86" w14:textId="1B701E72" w:rsidR="00032F79" w:rsidRDefault="00032F79" w:rsidP="00032F79">
      <w:pPr>
        <w:spacing w:line="480" w:lineRule="auto"/>
        <w:ind w:firstLine="720"/>
        <w:rPr>
          <w:rFonts w:eastAsia="Calibri"/>
        </w:rPr>
      </w:pPr>
    </w:p>
    <w:p w14:paraId="374CC73E" w14:textId="17846879" w:rsidR="00032F79" w:rsidRDefault="00032F79" w:rsidP="00032F79">
      <w:pPr>
        <w:spacing w:line="480" w:lineRule="auto"/>
        <w:ind w:firstLine="720"/>
        <w:rPr>
          <w:rFonts w:eastAsia="Calibri"/>
        </w:rPr>
      </w:pPr>
    </w:p>
    <w:p w14:paraId="4DA8A05B" w14:textId="591C97F3" w:rsidR="00032F79" w:rsidRDefault="00032F79" w:rsidP="00032F79">
      <w:pPr>
        <w:spacing w:line="480" w:lineRule="auto"/>
        <w:ind w:firstLine="720"/>
        <w:rPr>
          <w:rFonts w:eastAsia="Calibri"/>
        </w:rPr>
      </w:pPr>
    </w:p>
    <w:p w14:paraId="38FE3DC3" w14:textId="77777777" w:rsidR="00032F79" w:rsidRPr="007C7EA1" w:rsidRDefault="00032F79" w:rsidP="00032F79">
      <w:pPr>
        <w:spacing w:line="480" w:lineRule="auto"/>
        <w:ind w:firstLine="720"/>
        <w:rPr>
          <w:rFonts w:eastAsia="Calibri"/>
        </w:rPr>
      </w:pPr>
    </w:p>
    <w:p w14:paraId="1466EFC6" w14:textId="77777777" w:rsidR="004D51F5" w:rsidRPr="007C7EA1" w:rsidRDefault="004D51F5" w:rsidP="00032F79">
      <w:pPr>
        <w:pStyle w:val="Heading1"/>
      </w:pPr>
      <w:bookmarkStart w:id="18" w:name="_Toc39049744"/>
      <w:r w:rsidRPr="007C7EA1">
        <w:lastRenderedPageBreak/>
        <w:t>4.0 Results</w:t>
      </w:r>
      <w:bookmarkEnd w:id="18"/>
    </w:p>
    <w:p w14:paraId="4C093CF8" w14:textId="4413F741" w:rsidR="004D51F5" w:rsidRPr="007C7EA1" w:rsidRDefault="004D51F5" w:rsidP="00032F79">
      <w:pPr>
        <w:spacing w:line="480" w:lineRule="auto"/>
        <w:ind w:firstLine="720"/>
        <w:rPr>
          <w:rFonts w:eastAsia="Calibri"/>
        </w:rPr>
      </w:pPr>
      <w:r w:rsidRPr="007C7EA1">
        <w:rPr>
          <w:rFonts w:eastAsia="Calibri"/>
        </w:rPr>
        <w:t>The total sample (N=240) was predominantly white (62%) and Latinx (21%). GMY represented 49% (n=118) of the entire sample (Table 1). There were no differences in age, race/ethnicity, or parent education by gender identity. Sexual orientation differed significantly by gender identity, where GMY were less likely (25% vs 64%) to identify as gay/lesbian and more likely to identify as queer (19% vs 3%), as multiple sexual orientations (28% vs 9%), or as a</w:t>
      </w:r>
      <w:r w:rsidR="00E91EC1">
        <w:rPr>
          <w:rFonts w:eastAsia="Calibri"/>
        </w:rPr>
        <w:t>n</w:t>
      </w:r>
      <w:r w:rsidRPr="007C7EA1">
        <w:rPr>
          <w:rFonts w:eastAsia="Calibri"/>
        </w:rPr>
        <w:t xml:space="preserve">other sexual </w:t>
      </w:r>
      <w:r w:rsidR="00E91EC1">
        <w:rPr>
          <w:rFonts w:eastAsia="Calibri"/>
        </w:rPr>
        <w:t>identity</w:t>
      </w:r>
      <w:r w:rsidRPr="007C7EA1">
        <w:rPr>
          <w:rFonts w:eastAsia="Calibri"/>
        </w:rPr>
        <w:t xml:space="preserve"> (12% vs 3%) (Table 1). T-tests indicated that GMY were less out to their families regarding their gender identity than cisgender SMY (Mean ± standard deviation: 2.7 ± 1.5 vs 4.4 ± 1.3) and had greater depression severity (17.2 ± 6.9 vs 12.9 ± 6.7). </w:t>
      </w:r>
      <w:r w:rsidR="0028438B" w:rsidRPr="007C7EA1">
        <w:rPr>
          <w:rFonts w:eastAsia="Calibri"/>
        </w:rPr>
        <w:t>T</w:t>
      </w:r>
      <w:r w:rsidRPr="007C7EA1">
        <w:rPr>
          <w:rFonts w:eastAsia="Calibri"/>
        </w:rPr>
        <w:t>here were no differences in family support by gender identity.</w:t>
      </w:r>
    </w:p>
    <w:p w14:paraId="33A43B1D" w14:textId="3B6B4D9D" w:rsidR="004D51F5" w:rsidRPr="007C7EA1" w:rsidRDefault="003131F4" w:rsidP="00032F79">
      <w:pPr>
        <w:spacing w:line="480" w:lineRule="auto"/>
        <w:ind w:firstLine="720"/>
        <w:rPr>
          <w:rFonts w:eastAsia="Calibri"/>
        </w:rPr>
      </w:pPr>
      <w:r w:rsidRPr="007C7EA1">
        <w:rPr>
          <w:rFonts w:eastAsia="Calibri"/>
        </w:rPr>
        <w:t xml:space="preserve">Adjusting for demographics, GMY had lower </w:t>
      </w:r>
      <w:r w:rsidR="00E91EC1">
        <w:rPr>
          <w:rFonts w:eastAsia="Calibri"/>
        </w:rPr>
        <w:t xml:space="preserve">levels of </w:t>
      </w:r>
      <w:r w:rsidRPr="007C7EA1">
        <w:rPr>
          <w:rFonts w:eastAsia="Calibri"/>
        </w:rPr>
        <w:t>outness to family</w:t>
      </w:r>
      <w:r w:rsidR="00E91EC1">
        <w:rPr>
          <w:rFonts w:eastAsia="Calibri"/>
        </w:rPr>
        <w:t xml:space="preserve"> regarding gender identity than</w:t>
      </w:r>
      <w:r w:rsidR="004D51F5" w:rsidRPr="007C7EA1">
        <w:rPr>
          <w:rFonts w:eastAsia="Calibri"/>
        </w:rPr>
        <w:t xml:space="preserve"> cisgender sexual minority youth (</w:t>
      </w:r>
      <w:r w:rsidR="004D51F5" w:rsidRPr="007C7EA1">
        <w:rPr>
          <w:rFonts w:ascii="Cambria Math" w:eastAsia="Calibri" w:hAnsi="Cambria Math" w:cs="Cambria Math"/>
          <w:color w:val="000000"/>
        </w:rPr>
        <w:t>𝞫</w:t>
      </w:r>
      <w:r w:rsidR="004D51F5" w:rsidRPr="007C7EA1">
        <w:rPr>
          <w:rFonts w:eastAsia="Calibri"/>
          <w:color w:val="000000"/>
        </w:rPr>
        <w:t xml:space="preserve"> [95% CI]: -1.86 [-2.26, -1.46]</w:t>
      </w:r>
      <w:r w:rsidR="004D51F5" w:rsidRPr="007C7EA1">
        <w:rPr>
          <w:rFonts w:eastAsia="Calibri"/>
        </w:rPr>
        <w:t>)</w:t>
      </w:r>
      <w:r w:rsidRPr="007C7EA1">
        <w:rPr>
          <w:rFonts w:eastAsia="Calibri"/>
        </w:rPr>
        <w:t>. Additionally, GMY (versus cisgender SMY) had significantly higher</w:t>
      </w:r>
      <w:r w:rsidR="004D51F5" w:rsidRPr="007C7EA1">
        <w:rPr>
          <w:rFonts w:eastAsia="Calibri"/>
        </w:rPr>
        <w:t xml:space="preserve"> depression severity (</w:t>
      </w:r>
      <w:r w:rsidR="004D51F5" w:rsidRPr="007C7EA1">
        <w:rPr>
          <w:rFonts w:ascii="Cambria Math" w:eastAsia="Calibri" w:hAnsi="Cambria Math" w:cs="Cambria Math"/>
          <w:color w:val="000000"/>
        </w:rPr>
        <w:t>𝞫</w:t>
      </w:r>
      <w:r w:rsidR="004D51F5" w:rsidRPr="007C7EA1">
        <w:rPr>
          <w:rFonts w:eastAsia="Calibri"/>
          <w:color w:val="000000"/>
        </w:rPr>
        <w:t xml:space="preserve"> [95% CI]: 3.54 [1.50, 5.57]) (Table 2). </w:t>
      </w:r>
      <w:r w:rsidR="0028438B" w:rsidRPr="007C7EA1">
        <w:rPr>
          <w:rFonts w:eastAsia="Calibri"/>
        </w:rPr>
        <w:t>G</w:t>
      </w:r>
      <w:r w:rsidRPr="007C7EA1">
        <w:rPr>
          <w:rFonts w:eastAsia="Calibri"/>
        </w:rPr>
        <w:t>ender identity was not associated with family support</w:t>
      </w:r>
      <w:r w:rsidR="004D51F5" w:rsidRPr="007C7EA1">
        <w:rPr>
          <w:rFonts w:eastAsia="Calibri"/>
        </w:rPr>
        <w:t xml:space="preserve"> (</w:t>
      </w:r>
      <w:r w:rsidR="004D51F5" w:rsidRPr="007C7EA1">
        <w:rPr>
          <w:rFonts w:ascii="Cambria Math" w:eastAsia="Calibri" w:hAnsi="Cambria Math" w:cs="Cambria Math"/>
        </w:rPr>
        <w:t>𝞫</w:t>
      </w:r>
      <w:r w:rsidR="004D51F5" w:rsidRPr="007C7EA1">
        <w:rPr>
          <w:rFonts w:eastAsia="Calibri"/>
        </w:rPr>
        <w:t xml:space="preserve"> [95% CI]: -0.41 [-0.89, 0.0</w:t>
      </w:r>
      <w:r w:rsidR="00E91EC1">
        <w:rPr>
          <w:rFonts w:eastAsia="Calibri"/>
        </w:rPr>
        <w:t>4</w:t>
      </w:r>
      <w:r w:rsidR="004D51F5" w:rsidRPr="007C7EA1">
        <w:rPr>
          <w:rFonts w:eastAsia="Calibri"/>
        </w:rPr>
        <w:t>]) (Table 2).</w:t>
      </w:r>
    </w:p>
    <w:p w14:paraId="4EB4ECA2" w14:textId="1E8D571B" w:rsidR="004D51F5" w:rsidRPr="007C7EA1" w:rsidRDefault="004D51F5" w:rsidP="00032F79">
      <w:pPr>
        <w:spacing w:line="480" w:lineRule="auto"/>
        <w:ind w:firstLine="720"/>
        <w:rPr>
          <w:rFonts w:eastAsia="Calibri"/>
        </w:rPr>
      </w:pPr>
      <w:r w:rsidRPr="007C7EA1">
        <w:rPr>
          <w:rFonts w:eastAsia="Calibri"/>
        </w:rPr>
        <w:t xml:space="preserve">Among GMY, increased family support was associated with lower depression severity (Models 1A and 2, Table 3). On the other hand, outness to family was not associated with depression severity (Models 1B and 2). </w:t>
      </w:r>
      <w:r w:rsidR="003131F4" w:rsidRPr="007C7EA1">
        <w:rPr>
          <w:rFonts w:eastAsia="Calibri"/>
        </w:rPr>
        <w:t>T</w:t>
      </w:r>
      <w:r w:rsidRPr="007C7EA1">
        <w:rPr>
          <w:rFonts w:eastAsia="Calibri"/>
        </w:rPr>
        <w:t>he interaction of family support and outness to family was not significant,</w:t>
      </w:r>
      <w:r w:rsidR="00E91EC1">
        <w:rPr>
          <w:rFonts w:eastAsia="Calibri"/>
        </w:rPr>
        <w:t xml:space="preserve"> </w:t>
      </w:r>
      <w:r w:rsidRPr="007C7EA1">
        <w:rPr>
          <w:rFonts w:eastAsia="Calibri"/>
        </w:rPr>
        <w:t>(</w:t>
      </w:r>
      <w:r w:rsidRPr="007C7EA1">
        <w:rPr>
          <w:rFonts w:ascii="Cambria Math" w:eastAsia="Calibri" w:hAnsi="Cambria Math" w:cs="Cambria Math"/>
        </w:rPr>
        <w:t>𝞫</w:t>
      </w:r>
      <w:r w:rsidRPr="007C7EA1">
        <w:rPr>
          <w:rFonts w:eastAsia="Calibri"/>
        </w:rPr>
        <w:t xml:space="preserve"> [95% CI]: -0.02 [-0.60, 0.57]; p= 0.958), indicating that the association between family support and depression severity did not differ by outness to family.</w:t>
      </w:r>
    </w:p>
    <w:p w14:paraId="0DE6D919" w14:textId="0C943EAE" w:rsidR="004D51F5" w:rsidRDefault="004D51F5" w:rsidP="004D51F5">
      <w:pPr>
        <w:spacing w:line="480" w:lineRule="auto"/>
        <w:rPr>
          <w:rFonts w:eastAsia="Calibri"/>
        </w:rPr>
      </w:pPr>
    </w:p>
    <w:p w14:paraId="2E354EB6" w14:textId="4E196A1E" w:rsidR="00032F79" w:rsidRDefault="00032F79" w:rsidP="004D51F5">
      <w:pPr>
        <w:spacing w:line="480" w:lineRule="auto"/>
        <w:rPr>
          <w:rFonts w:eastAsia="Calibri"/>
        </w:rPr>
      </w:pPr>
    </w:p>
    <w:p w14:paraId="4008DE1C" w14:textId="2F3DB084" w:rsidR="00032F79" w:rsidRDefault="00032F79" w:rsidP="004D51F5">
      <w:pPr>
        <w:spacing w:line="480" w:lineRule="auto"/>
        <w:rPr>
          <w:rFonts w:eastAsia="Calibri"/>
        </w:rPr>
      </w:pPr>
    </w:p>
    <w:p w14:paraId="6C234A2E" w14:textId="77777777" w:rsidR="004D51F5" w:rsidRPr="007C7EA1" w:rsidRDefault="004D51F5" w:rsidP="00032F79">
      <w:pPr>
        <w:pStyle w:val="Heading1"/>
      </w:pPr>
      <w:bookmarkStart w:id="19" w:name="_Toc39049745"/>
      <w:r w:rsidRPr="007C7EA1">
        <w:lastRenderedPageBreak/>
        <w:t>5.0 Discussion</w:t>
      </w:r>
      <w:bookmarkEnd w:id="19"/>
    </w:p>
    <w:p w14:paraId="20E1A619" w14:textId="5D4D405B" w:rsidR="004D51F5" w:rsidRPr="007C7EA1" w:rsidRDefault="004D51F5" w:rsidP="00032F79">
      <w:pPr>
        <w:spacing w:line="480" w:lineRule="auto"/>
        <w:ind w:firstLine="720"/>
        <w:rPr>
          <w:rFonts w:eastAsia="Calibri"/>
        </w:rPr>
      </w:pPr>
      <w:r w:rsidRPr="007C7EA1">
        <w:rPr>
          <w:rFonts w:eastAsia="Calibri"/>
        </w:rPr>
        <w:t xml:space="preserve">GMY were more likely to identify as queer and with multiple sexual </w:t>
      </w:r>
      <w:r w:rsidR="00FA74B2">
        <w:rPr>
          <w:rFonts w:eastAsia="Calibri"/>
        </w:rPr>
        <w:t>identities</w:t>
      </w:r>
      <w:r w:rsidRPr="007C7EA1">
        <w:rPr>
          <w:rFonts w:eastAsia="Calibri"/>
        </w:rPr>
        <w:t xml:space="preserve"> in comparison to cisgender SMY (Table 1). GMY were also less likely to be out to their families about their gender identity than cisgender sexual minority youth (SMY) and had greater depression severity. Among GMY, family support</w:t>
      </w:r>
      <w:r w:rsidR="00E91EC1">
        <w:rPr>
          <w:rFonts w:eastAsia="Calibri"/>
        </w:rPr>
        <w:t>, but not outness to family,</w:t>
      </w:r>
      <w:r w:rsidRPr="007C7EA1">
        <w:rPr>
          <w:rFonts w:eastAsia="Calibri"/>
        </w:rPr>
        <w:t xml:space="preserve"> was associated with lower depression severity. Outness to family did not moderate the associations between family support and depression. </w:t>
      </w:r>
    </w:p>
    <w:p w14:paraId="2514305D" w14:textId="3519ACA6" w:rsidR="004D51F5" w:rsidRPr="007C7EA1" w:rsidRDefault="004D51F5" w:rsidP="00032F79">
      <w:pPr>
        <w:spacing w:line="480" w:lineRule="auto"/>
        <w:ind w:firstLine="720"/>
        <w:rPr>
          <w:rFonts w:eastAsia="Calibri"/>
        </w:rPr>
      </w:pPr>
      <w:r w:rsidRPr="007C7EA1">
        <w:rPr>
          <w:rFonts w:eastAsia="Calibri"/>
        </w:rPr>
        <w:t xml:space="preserve">Differences in sexual </w:t>
      </w:r>
      <w:r w:rsidR="00FA74B2">
        <w:rPr>
          <w:rFonts w:eastAsia="Calibri"/>
        </w:rPr>
        <w:t>identity</w:t>
      </w:r>
      <w:r w:rsidRPr="007C7EA1">
        <w:rPr>
          <w:rFonts w:eastAsia="Calibri"/>
        </w:rPr>
        <w:t xml:space="preserve"> by gender identity may be associated with nonbinary participants. Nonbinary participants are less likely to identify as gay/lesbian exclusively because gay/lesbian identities are rooted in binary concepts of gender </w:t>
      </w:r>
      <w:r w:rsidRPr="007C7EA1">
        <w:rPr>
          <w:rFonts w:eastAsia="Calibri"/>
        </w:rPr>
        <w:fldChar w:fldCharType="begin"/>
      </w:r>
      <w:r w:rsidR="009E526F">
        <w:rPr>
          <w:rFonts w:eastAsia="Calibri"/>
        </w:rPr>
        <w:instrText>ADDIN F1000_CSL_CITATION&lt;~#@#~&gt;[{"DOI":"10.1080/15532739.2016.1189373","First":false,"Last":false,"abstract":"The conceptualization and measurement of sexual orientation for transgender individuals is uniquely complicated by the way sexual orientation is rooted in dichotomous notions of sex and gender. The present research investigates the conceptualization of sexual orientation among transgender individuals by exploring the sexual identity labels they choose, the descriptions they provide for these labels, and their general descriptions of their sexuality. Participants included 172 adult U.S. residents, ranging in age from 18 to 65, who self-identified as transgender, transsexual, gender variant, or having a transgender history. Participants individually completed an online survey. Qualitative responses were analyzed via thematic analysis. Six themes were identified related to transgender individuals' descriptions of their sexuality: (1) trans sexuality as complex; (2) shifts in trans sexuality; (3) focus on beloved; (4) relationship style and status; (5) sexuality, bondage &amp; discipline / domination &amp; su...","author":[{"family":"Galupo","given":"M. Paz"},{"family":"Henise","given":"Shane B."},{"family":"Mercer","given":"Nicholas L."}],"authorYearDisplayFormat":false,"citation-label":"5077020","container-title":"International Journal of Transgenderism","container-title-short":"International Journal of Transgenderism","id":"5077020","invisible":false,"issue":"2","issued":{"date-parts":[["2016","4","2"]]},"journalAbbreviation":"International Journal of Transgenderism","page":"93-104","suppress-author":false,"title":"“The labels don't work very well”: Transgender individuals' conceptualizations of sexual orientation and sexual identity","type":"article-journal","volume":"17"}]</w:instrText>
      </w:r>
      <w:r w:rsidRPr="007C7EA1">
        <w:rPr>
          <w:rFonts w:eastAsia="Calibri"/>
        </w:rPr>
        <w:fldChar w:fldCharType="separate"/>
      </w:r>
      <w:r w:rsidR="00F96D9F" w:rsidRPr="00F96D9F">
        <w:rPr>
          <w:rFonts w:eastAsia="Calibri"/>
        </w:rPr>
        <w:t>(Galupo, Henise, &amp; Mercer, 2016)</w:t>
      </w:r>
      <w:r w:rsidRPr="007C7EA1">
        <w:rPr>
          <w:rFonts w:eastAsia="Calibri"/>
        </w:rPr>
        <w:fldChar w:fldCharType="end"/>
      </w:r>
      <w:r w:rsidR="00E91EC1">
        <w:rPr>
          <w:rFonts w:eastAsia="Calibri"/>
        </w:rPr>
        <w:t>.</w:t>
      </w:r>
      <w:r w:rsidRPr="007C7EA1">
        <w:rPr>
          <w:rFonts w:eastAsia="Calibri"/>
        </w:rPr>
        <w:t xml:space="preserve"> Depression severity was positively associated with being a gender minority; these results corroborate the findings of previous studies</w:t>
      </w:r>
      <w:r w:rsidR="00E91EC1">
        <w:rPr>
          <w:rFonts w:eastAsia="Calibri"/>
        </w:rPr>
        <w:t xml:space="preserve"> </w:t>
      </w:r>
      <w:r w:rsidRPr="007C7EA1">
        <w:rPr>
          <w:rFonts w:eastAsia="Calibri"/>
        </w:rPr>
        <w:fldChar w:fldCharType="begin"/>
      </w:r>
      <w:r w:rsidR="009E526F">
        <w:rPr>
          <w:rFonts w:eastAsia="Calibri"/>
        </w:rPr>
        <w:instrText>ADDIN F1000_CSL_CITATION&lt;~#@#~&gt;[{"DOI":"10.1016/j.jadohealth.2014.10.264","First":false,"Last":false,"PMCID":"PMC4339405","PMID":"25577670","abstract":"&lt;strong&gt;PURPOSE:&lt;/strong&gt; Transgender youth represent a vulnerable population at risk for negative mental health outcomes including depression, anxiety, self-harm, and suicidality. Limited data exist to compare the mental health of transgender adolescents and emerging adults to cisgender youth accessing community-based clinical services; the present study aimed to fill this gap.&lt;br&gt;&lt;br&gt;&lt;strong&gt;METHODS:&lt;/strong&gt; A retrospective cohort study of electronic health record data from 180 transgender patients aged 12-29 years seen between 2002 and 2011 at a Boston-based community health center was performed. The 106 female-to-male (FTM) and 74 male-to-female (MTF) patients were matched on gender identity, age, visit date, and race/ethnicity to cisgender controls. Mental health outcomes were extracted and analyzed using conditional logistic regression models. Logistic regression models compared FTM with MTF youth on mental health outcomes.&lt;br&gt;&lt;br&gt;&lt;strong&gt;RESULTS:&lt;/strong&gt; The sample (N = 360) had a mean age of 19.6 years (standard deviation, 3.0); 43% white, 33% racial/ethnic minority, and 24% race/ethnicity unknown. Compared with cisgender matched controls, transgender youth had a twofold to threefold increased risk of depression, anxiety disorder, suicidal ideation, suicide attempt, self-harm without lethal intent, and both inpatient and outpatient mental health treatment (all p &lt;  .05). No statistically significant differences in mental health outcomes were observed comparing FTM and MTF patients, adjusting for age, race/ethnicity, and hormone use.&lt;br&gt;&lt;br&gt;&lt;strong&gt;CONCLUSIONS:&lt;/strong&gt; Transgender youth were found to have a disparity in negative mental health outcomes compared with cisgender youth, with equally high burden in FTM and MTF patients. Identifying gender identity differences in clinical settings and providing appropriate services and supports are important steps in addressing this disparity.&lt;br&gt;&lt;br&gt;Copyright © 2015 Society for Adolescent Health and Medicine. Published by Elsevier Inc. All rights reserved.","author":[{"family":"Reisner","given":"Sari L"},{"family":"Vetters","given":"Ralph"},{"family":"Leclerc","given":"M"},{"family":"Zaslow","given":"Shayne"},{"family":"Wolfrum","given":"Sarah"},{"family":"Shumer","given":"Daniel"},{"family":"Mimiaga","given":"Matthew J"}],"authorYearDisplayFormat":false,"citation-label":"3046392","container-title":"The Journal of Adolescent Health","container-title-short":"J. Adolesc. Health","id":"3046392","invisible":false,"issue":"3","issued":{"date-parts":[["2015","3"]]},"journalAbbreviation":"J. Adolesc. Health","page":"274-279","suppress-author":false,"title":"Mental health of transgender youth in care at an adolescent urban community health center: a matched retrospective cohort study.","type":"article-journal","volume":"56"},{"DOI":"10.1542/peds.2011-0907","First":false,"Last":false,"PMID":"22351896","abstract":"&lt;strong&gt;OBJECTIVES:&lt;/strong&gt; To describe the patients with gender identity disorder referred to a pediatric medical center. We identify changes in patients after creation of the multidisciplinary Gender Management Service by expanding the Disorders of Sex Development clinic to include transgender patients.&lt;br&gt;&lt;br&gt;&lt;strong&gt;METHODS:&lt;/strong&gt; Data gathered on 97 consecutive patients &lt; 21 years, with initial visits between January 1998 and February 2010, who fulfilled the following criteria: long-standing cross-gender behaviors, provided letters from current mental health professional, and parental support. Main descriptive measures included gender, age, Tanner stage, history of gender identity development, and psychiatric comorbidity.&lt;br&gt;&lt;br&gt;&lt;strong&gt;RESULTS:&lt;/strong&gt; Genotypic male:female ratio was 43:54 (0.8:1); there was a slight preponderance of female patients but not significant from 1:1. Age of presentation was 14.8 ± 3.4 years (mean ± SD) without sex difference (P = .11). Tanner stage at presentation was 4.1 ± 1.4 for genotypic female patients and 3.6 ± 1.5 for genotypic male patients (P = .02). Age at start of medical treatment was 15.6 ± 2.8 years. Forty-three patients (44.3%) presented with significant psychiatric history, including 20 reporting self-mutilation (20.6%) and suicide attempts (9.3%).&lt;br&gt;&lt;br&gt;&lt;strong&gt;CONCLUSIONS:&lt;/strong&gt; After establishment of a multidisciplinary gender clinic, the gender identity disorder population increased fourfold. Complex clinical presentations required additional mental health support as the patient population grew. Mean age and Tanner Stage were too advanced for pubertal suppressive therapy to be an affordable option for most patients. Two-thirds of patients were started on cross-sex hormone therapy. Greater awareness of the benefit of early medical intervention is needed. Psychological and physical effects of pubertal suppression and/or cross-sex hormones in our patients require further investigation.","author":[{"family":"Spack","given":"Norman P"},{"family":"Edwards-Leeper","given":"Laura"},{"family":"Feldman","given":"Henry A"},{"family":"Leibowitz","given":"Scott"},{"family":"Mandel","given":"Francie"},{"family":"Diamond","given":"David A"},{"family":"Vance","given":"Stanley R"}],"authorYearDisplayFormat":false,"citation-label":"3372367","container-title":"Pediatrics","container-title-short":"Pediatrics","id":"3372367","invisible":false,"issue":"3","issued":{"date-parts":[["2012","3"]]},"journalAbbreviation":"Pediatrics","page":"418-425","suppress-author":false,"title":"Children and adolescents with gender identity disorder referred to a pediatric medical center.","type":"article-journal","volume":"129"},{"First":false,"Last":false,"author":[{"family":"Grant","given":"Jaime M."},{"family":"Mottet","given":"Lisa A."},{"family":"Tanis","given":"Justin"},{"family":"Herman","given":"Jody L"},{"family":"Keisling","given":"Mara"}],"authorYearDisplayFormat":false,"citation-label":"7167781","id":"7167781","invisible":false,"issued":{"date-parts":[["2011"]]},"publisher":"National Center for Transgender Equality and National Gay and Lesbian Task Force","publisher-place":"Washington","suppress-author":false,"title":"Injustice at Every Turn: A Report of the National Transgender   Discrimination Survey","type":"report"},{"DOI":"10.1016/j.jadohealth.2016.09.014","First":false,"Last":false,"PMCID":"PMC5630273","PMID":"28007056","abstract":"&lt;strong&gt;PURPOSE:&lt;/strong&gt; This study documented the prevalence of mental health problems among transgender youth in Canada and made comparisons with population-based studies. This study also compared gender identity subgroups and age subgroups (14-18 and 19-25).&lt;br&gt;&lt;br&gt;&lt;strong&gt;METHODS:&lt;/strong&gt; A nonprobability sample of 923 transgender youth from Canada completed an online survey. Participants were recruited through community organizations, health care settings, social media, and researchers' networks. Mental health measures were drawn from the British Columbia Adolescent Health Survey and the Canadian Community Health Survey.&lt;br&gt;&lt;br&gt;&lt;strong&gt;RESULTS:&lt;/strong&gt; Transgender youth had a higher risk of reporting psychological distress, self-harm, major depressive episodes, and suicide. For example, 65% of transgender 14- to 18-year olds seriously considered suicide in the past year compared with 13% in the British Columbia Adolescent Health Survey, and only a quarter of participants reported their mental health was good or excellent. Transgender boys/men and nonbinary youth were most likely to report self-harm and overall mental health remained stable across age subgroups.&lt;br&gt;&lt;br&gt;&lt;strong&gt;CONCLUSIONS:&lt;/strong&gt; Although a notable minority of transgender youth did not report negative health outcomes, this study shows the mental health disparities faced by transgender youth in Canada are considerable.&lt;br&gt;&lt;br&gt;Copyright Â© 2016 Society for Adolescent Health and Medicine. Published by Elsevier Inc. All rights reserved.","author":[{"family":"Veale","given":"Jaimie F"},{"family":"Watson","given":"Ryan J"},{"family":"Peter","given":"Tracey"},{"family":"Saewyc","given":"Elizabeth M"}],"authorYearDisplayFormat":false,"citation-label":"3091706","container-title":"The Journal of Adolescent Health","container-title-short":"J. Adolesc. Health","id":"3091706","invisible":false,"issue":"1","issued":{"date-parts":[["2017"]]},"journalAbbreviation":"J. Adolesc. Health","page":"44-49","suppress-author":false,"title":"Mental health disparities among Canadian transgender youth.","type":"article-journal","volume":"60"},{"DOI":"10.1016/j.jadohealth.2015.04.027","First":false,"Last":false,"PMCID":"PMC5033041","PMID":"26208863","abstract":"&lt;strong&gt;PURPOSE:&lt;/strong&gt; The purpose of this study was to describe baseline characteristics of participants in a prospective observational study of transgender youth (aged 12-24 years) seeking care for gender dysphoria at a large, urban transgender youth clinic.&lt;br&gt;&lt;br&gt;&lt;strong&gt;METHODS:&lt;/strong&gt; Eligible participants presented consecutively for care at between February 2011 and June 2013 and completed a computer-assisted survey at their initial study visit. Physiologic data were abstracted from medical charts. Data were analyzed by descriptive statistics, with limited comparisons between transmasculine and transfeminine participants.&lt;br&gt;&lt;br&gt;&lt;strong&gt;RESULTS:&lt;/strong&gt; A total of 101 youth were evaluated for physiologic parameters, 96 completed surveys assessing psychosocial parameters. About half (50.5%) of the youth were assigned a male sex at birth. Baseline physiologic values were within normal ranges for assigned sex at birth. Youth recognized gender incongruence at a mean age of 8.3 years (standard deviation = 4.5), yet disclosed to their family much later (mean = 17.1; standard deviation = 4.2). Gender dysphoria was high among all participants. Thirty-five percent of the participants reported depression symptoms in the clinical range. More than half of the youth reported having thought about suicide at least once in their lifetime, and nearly a third had made at least one attempt.&lt;br&gt;&lt;br&gt;&lt;strong&gt;CONCLUSIONS:&lt;/strong&gt; Baseline physiologic parameters were within normal ranges for assigned sex at birth. Transgender youth are aware of the incongruence between their internal gender identity and their assigned sex at early ages. Prevalence of depression and suicidality demonstrates that youth may benefit from timely and appropriate intervention. Evaluation of these youth over time will help determine the impact of medical intervention and mental health therapy.&lt;br&gt;&lt;br&gt;Copyright © 2015 Society for Adolescent Health and Medicine. Published by Elsevier Inc. All rights reserved.","author":[{"family":"Olson","given":"Johanna"},{"family":"Schrager","given":"Sheree M"},{"family":"Belzer","given":"Marvin"},{"family":"Simons","given":"Lisa K"},{"family":"Clark","given":"Leslie F"}],"authorYearDisplayFormat":false,"citation-label":"1455201","container-title":"The Journal of Adolescent Health","container-title-short":"J. Adolesc. Health","id":"1455201","invisible":false,"issue":"4","issued":{"date-parts":[["2015","10"]]},"journalAbbreviation":"J. Adolesc. Health","page":"374-380","suppress-author":false,"title":"Baseline physiologic and psychosocial characteristics of transgender youth seeking care for gender dysphoria.","type":"article-journal","volume":"57"},{"DOI":"10.1016/j.jadohealth.2018.07.006","First":false,"Last":false,"PMCID":"PMC6528476","PMID":"30241721","abstract":"&lt;strong&gt;PURPOSE:&lt;/strong&gt; Transgender and gender-nonconforming (TGNC) adolescents and young adults experience mental health problems, including anxiety and depression, at an elevated rate as compared to their cisgender counterparts. A growing literature suggests that vulnerability to psychiatric problems in TGNC individuals results from social discrimination and minority stress.&lt;br&gt;&lt;br&gt;&lt;strong&gt;METHODS:&lt;/strong&gt; The sample consisted of adolescent TGNC patients (N = 109) who completed behavior health screening questionnaires as standard of care at their first clinical visit to an interdisciplinary gender program within a pediatric academic medical center in a metropolitan Midwestern city. Binary logistic regressions were used to assess whether the likelihood that participants met clinical diagnostic criteria for Major Depressive Disorder (MDD) and Generalized Anxiety Disorder (GAD) was predicted by gender identity appearance congruence, proximal forms of minority stress (e.g., negative expectations of the future related to gender identity; internalized transphobia) and community connectedness (i.e., resilience) .&lt;br&gt;&lt;br&gt;&lt;strong&gt;RESULTS:&lt;/strong&gt; Overall, 33% (n = 36) of the sample met diagnostic criteria for MDD and 48% (n = 53) met diagnostic criteria for GAD. Those with high levels of internalized transphobia were significantly more likely to meet diagnostic criteria for both MDD and GAD. Those with low levels of gender identity appearance congruence were significantly more likely to meet diagnostic criteria for MDD but not GAD.&lt;br&gt;&lt;br&gt;&lt;strong&gt;CONCLUSION:&lt;/strong&gt; There are several unique factors that may predict mental illness among TGNC youth. Understanding these factors may offer opportunities for targeted clinical and structural interventions.&lt;br&gt;&lt;br&gt;Copyright © 2018 Society for Adolescent Health and Medicine. Published by Elsevier Inc. All rights reserved.","author":[{"family":"Chodzen","given":"Gia"},{"family":"Hidalgo","given":"Marco A"},{"family":"Chen","given":"Diane"},{"family":"Garofalo","given":"Robert"}],"authorYearDisplayFormat":false,"citation-label":"7168011","container-title":"The Journal of Adolescent Health","container-title-short":"J. Adolesc. Health","id":"7168011","invisible":false,"issue":"4","issued":{"date-parts":[["2019","4"]]},"journalAbbreviation":"J. Adolesc. Health","page":"467-471","suppress-author":false,"title":"Minority Stress Factors Associated With Depression and Anxiety Among Transgender and Gender-Nonconforming Youth.","type":"article-journal","volume":"64"}]</w:instrText>
      </w:r>
      <w:r w:rsidRPr="007C7EA1">
        <w:rPr>
          <w:rFonts w:eastAsia="Calibri"/>
        </w:rPr>
        <w:fldChar w:fldCharType="separate"/>
      </w:r>
      <w:r w:rsidR="00F96D9F" w:rsidRPr="00F96D9F">
        <w:rPr>
          <w:rFonts w:eastAsia="Calibri"/>
        </w:rPr>
        <w:t>(Chodzen et al., 2019; Grant et al., 2011; J. Olson et al., 2015; Reisner et al., 2015; Spack et al., 2012; Veale, Watson, et al., 2017)</w:t>
      </w:r>
      <w:r w:rsidRPr="007C7EA1">
        <w:rPr>
          <w:rFonts w:eastAsia="Calibri"/>
        </w:rPr>
        <w:fldChar w:fldCharType="end"/>
      </w:r>
      <w:r w:rsidR="00E91EC1">
        <w:rPr>
          <w:rFonts w:eastAsia="Calibri"/>
        </w:rPr>
        <w:t>.</w:t>
      </w:r>
    </w:p>
    <w:p w14:paraId="12901F41" w14:textId="3B6E426B" w:rsidR="004D51F5" w:rsidRPr="007C7EA1" w:rsidRDefault="00032F79" w:rsidP="004D51F5">
      <w:pPr>
        <w:spacing w:line="480" w:lineRule="auto"/>
        <w:rPr>
          <w:rFonts w:eastAsia="Calibri"/>
        </w:rPr>
      </w:pPr>
      <w:r>
        <w:rPr>
          <w:rFonts w:eastAsia="Calibri"/>
        </w:rPr>
        <w:tab/>
      </w:r>
    </w:p>
    <w:p w14:paraId="3E0BAE52" w14:textId="6481E0A0" w:rsidR="004D51F5" w:rsidRPr="007C7EA1" w:rsidRDefault="004D51F5" w:rsidP="00032F79">
      <w:pPr>
        <w:spacing w:line="480" w:lineRule="auto"/>
        <w:ind w:firstLine="720"/>
        <w:rPr>
          <w:rFonts w:eastAsia="Calibri"/>
        </w:rPr>
      </w:pPr>
      <w:r w:rsidRPr="007C7EA1">
        <w:rPr>
          <w:rFonts w:eastAsia="Calibri"/>
        </w:rPr>
        <w:t>Outness to family regarding gender identity was also associated with gender identity, as hypothesized. This is likely because cisgender people do not usually need to</w:t>
      </w:r>
      <w:r w:rsidR="0028438B" w:rsidRPr="007C7EA1">
        <w:rPr>
          <w:rFonts w:eastAsia="Calibri"/>
        </w:rPr>
        <w:t xml:space="preserve"> make the decision to</w:t>
      </w:r>
      <w:r w:rsidRPr="007C7EA1">
        <w:rPr>
          <w:rFonts w:eastAsia="Calibri"/>
        </w:rPr>
        <w:t xml:space="preserve"> disclo</w:t>
      </w:r>
      <w:r w:rsidR="0028438B" w:rsidRPr="007C7EA1">
        <w:rPr>
          <w:rFonts w:eastAsia="Calibri"/>
        </w:rPr>
        <w:t>se</w:t>
      </w:r>
      <w:r w:rsidRPr="007C7EA1">
        <w:rPr>
          <w:rFonts w:eastAsia="Calibri"/>
        </w:rPr>
        <w:t xml:space="preserve"> </w:t>
      </w:r>
      <w:r w:rsidR="0028438B" w:rsidRPr="007C7EA1">
        <w:rPr>
          <w:rFonts w:eastAsia="Calibri"/>
        </w:rPr>
        <w:t>their gender identity to their</w:t>
      </w:r>
      <w:r w:rsidRPr="007C7EA1">
        <w:rPr>
          <w:rFonts w:eastAsia="Calibri"/>
        </w:rPr>
        <w:t xml:space="preserve"> family. Gender minority youth may not disclose their identity to their family for a variety of reasons, including fear of stigma and discrimination </w:t>
      </w:r>
      <w:r w:rsidRPr="007C7EA1">
        <w:rPr>
          <w:rFonts w:eastAsia="Calibri"/>
        </w:rPr>
        <w:fldChar w:fldCharType="begin"/>
      </w:r>
      <w:r w:rsidR="009E526F">
        <w:rPr>
          <w:rFonts w:eastAsia="Calibri"/>
        </w:rPr>
        <w:instrText>ADDIN F1000_CSL_CITATION&lt;~#@#~&gt;[{"DOI":"10.1080/00918369.2016.1236574","First":false,"Last":false,"PMCID":"PMC5352544","PMID":"27633070","abstract":"Disclosure of a sexual or gender minority status has been associated with both positive and negative effects on wellbeing. Few studies have explored the disclosure and concealment process in young people. Interviews were conducted with 10 sexual and/or gender minority individuals, aged 18-22 years, of male birth sex. Data were analyzed qualitatively, yielding determinants and effects of disclosure and concealment. Determinants of disclosure included holding positive attitudes about one's identity and an implicit devaluation of acceptance by society. Coming out was shown to have both positive and negative effects on communication and social support and was associated with both increases and decreases in experiences of stigma. Determinants of concealment included lack of comfort with one's identity and various motivations to avoid discrimination. Concealment was also related to hypervigilance and unique strategies of accessing social support. Results are discussed in light of their clinical implications.","author":[{"family":"Bry","given":"Laura Jane"},{"family":"Mustanski","given":"Brian"},{"family":"Garofalo","given":"Robert"},{"family":"Burns","given":"Michelle Nicole"}],"authorYearDisplayFormat":false,"citation-label":"8094000","container-title":"Journal of homosexuality","container-title-short":"J. Homosex.","id":"8094000","invisible":false,"issue":"6","issued":{"date-parts":[["2017"]]},"journalAbbreviation":"J. Homosex.","page":"745-769","suppress-author":false,"title":"Management of a concealable stigmatized identity: A qualitative study of concealment, disclosure, and role flexing among young, resilient sexual and gender minority individuals.","type":"article-journal","volume":"64"},{"DOI":"10.1007/s10896-017-9937-0","First":false,"Last":false,"PMCID":"PMC6396286","PMID":"30828128","abstract":"Microaggressions are associated with mental and behavioral health problems and are common experiences for sexual and gender minority adolescents (SGMA). Little is known about the social ecological correlates of family-level interpersonal and environmental microaggressions for SGMA. Utilizing a national sample of SGMA (N = 1,177), this study (a) identified the frequencies of family-level interpersonal and environmental microaggressions by participant demographics and (b) examined individual-, family-, and structural-level factors associated with interpersonal and environmental microaggressions. Outness to parents, a transgender or genderqueer identity, and higher levels of gender role non-conformity were associated with higher frequencies of interpersonal microaggressions. Higher levels of family-level child maltreatment and religiosity were associated with higher frequencies of interpersonal and environmental microaggressions. State-level non-discrimination protections were associated with lower frequencies of environmental microaggressions. Suggestions for increased individual-level support for gender non-binary adolescents as well as family targeted preventive strategies are discussed. Areas for future research are highlighted.","author":[{"family":"Gartner","given":"Rachel E"},{"family":"Sterzing","given":"Paul R"}],"authorYearDisplayFormat":false,"citation-label":"8093994","container-title":"Journal of family violence","container-title-short":"J. Fam. Violence","id":"8093994","invisible":false,"issue":"1","issued":{"date-parts":[["2018","1"]]},"journalAbbreviation":"J. Fam. Violence","page":"1-16","suppress-author":false,"title":"Social Ecological Correlates of Family-Level Interpersonal and Environmental Microaggressions Toward Sexual and Gender Minority Adolescents.","type":"article-journal","volume":"33"},{"DOI":"10.1111/j.0022-2445.2005.00129.x","First":false,"Last":false,"author":[{"family":"D'Augelli","given":"Anthony R."},{"family":"Grossman","given":"Arnold H."},{"family":"Starks","given":"Michael T."}],"authorYearDisplayFormat":false,"citation-label":"4518309","container-title":"Journal of Marriage and Family","container-title-short":"J Marriage and Family","id":"4518309","invisible":false,"issue":"2","issued":{"date-parts":[["2005","5"]]},"journalAbbreviation":"J Marriage and Family","page":"474-482","suppress-author":false,"title":"Parents' awareness of lesbian, gay, and bisexual youths' sexual orientation","type":"article-journal","volume":"67"}]</w:instrText>
      </w:r>
      <w:r w:rsidRPr="007C7EA1">
        <w:rPr>
          <w:rFonts w:eastAsia="Calibri"/>
        </w:rPr>
        <w:fldChar w:fldCharType="separate"/>
      </w:r>
      <w:r w:rsidR="00F96D9F" w:rsidRPr="00F96D9F">
        <w:rPr>
          <w:rFonts w:eastAsia="Calibri"/>
        </w:rPr>
        <w:t>(Bry, Mustanski, Garofalo, &amp; Burns, 2017; Anthony R. D’Augelli, Grossman, &amp; Starks, 2005; Gartner &amp; Sterzing, 2018)</w:t>
      </w:r>
      <w:r w:rsidRPr="007C7EA1">
        <w:rPr>
          <w:rFonts w:eastAsia="Calibri"/>
        </w:rPr>
        <w:fldChar w:fldCharType="end"/>
      </w:r>
      <w:r w:rsidR="00E91EC1">
        <w:rPr>
          <w:rFonts w:eastAsia="Calibri"/>
        </w:rPr>
        <w:t>.</w:t>
      </w:r>
      <w:r w:rsidRPr="007C7EA1">
        <w:rPr>
          <w:rFonts w:eastAsia="Calibri"/>
        </w:rPr>
        <w:t xml:space="preserve"> Additionally, level of family support may not have been different by gender identity because SMY have also been shown to have lower levels of family support </w:t>
      </w:r>
      <w:r w:rsidRPr="007C7EA1">
        <w:rPr>
          <w:rFonts w:eastAsia="Calibri"/>
        </w:rPr>
        <w:fldChar w:fldCharType="begin"/>
      </w:r>
      <w:r w:rsidR="009E526F">
        <w:rPr>
          <w:rFonts w:eastAsia="Calibri"/>
        </w:rPr>
        <w:instrText>ADDIN F1000_CSL_CITATION&lt;~#@#~&gt;[{"DOI":"10.1007/s10964-012-9865-5","First":false,"Last":false,"PMID":"23196375","abstract":"Existing research suggests that sexual minority youth experience lower levels of well-being, in part because they perceive less social support than heterosexual youth. Sexual minority youth with strong family relationships may demonstrate resilience and increased well-being; however, it is also possible that the experience of sexual stigma may make these relationships less protective for sexual minority youth. Using two waves of data from the National Longitudinal Study of Adolescent Health, we explore the links between same-sex attraction, family relationships, and adolescent well-being in a sample of over 13,000 7th-12th grade adolescents (51 % female, 52 % non-Latino/a white, 17 % Latino, 21 % African American, and 7 % Asian). Specifically, we examine whether lower levels of parental closeness, parental involvement, and family support among same-sex attracted youth explain in part why these youth experience increased depressive symptoms and risk behaviors, including binge drinking, illegal drug use, and running away from home, relative to other-sex attracted youth. Second, we ask whether family relationships are equally protective against depressive symptoms and risk behaviors for same-sex attracted and other-sex attracted youth. We find that same-sex attracted youth, particularly girls, report higher levels of depressive symptoms, binge drinking, and drug use in part because they perceive less closeness with parents and less support from their families. Results also suggest that parental closeness and parental involvement may be less protective against risk behaviors for same-sex attracted boys than for their other-sex attracted peers. Findings thus suggest that interventions targeting the families of sexual minority youth should educate parents about the potentially negative effects of heteronormative assumptions and attitudes on positive adolescent development.","author":[{"family":"Pearson","given":"Jennifer"},{"family":"Wilkinson","given":"Lindsey"}],"authorYearDisplayFormat":false,"citation-label":"3941152","container-title":"Journal of Youth and Adolescence","container-title-short":"J. Youth Adolesc.","id":"3941152","invisible":false,"issue":"3","issued":{"date-parts":[["2013","3"]]},"journalAbbreviation":"J. Youth Adolesc.","page":"376-393","suppress-author":false,"title":"Family relationships and adolescent well-being: are families equally protective for same-sex attracted youth?","type":"article-journal","volume":"42"}]</w:instrText>
      </w:r>
      <w:r w:rsidRPr="007C7EA1">
        <w:rPr>
          <w:rFonts w:eastAsia="Calibri"/>
        </w:rPr>
        <w:fldChar w:fldCharType="separate"/>
      </w:r>
      <w:r w:rsidR="00F96D9F" w:rsidRPr="00F96D9F">
        <w:rPr>
          <w:rFonts w:eastAsia="Calibri"/>
        </w:rPr>
        <w:t>(Pearson &amp; Wilkinson, 2013)</w:t>
      </w:r>
      <w:r w:rsidRPr="007C7EA1">
        <w:rPr>
          <w:rFonts w:eastAsia="Calibri"/>
        </w:rPr>
        <w:fldChar w:fldCharType="end"/>
      </w:r>
      <w:r w:rsidR="00E91EC1">
        <w:rPr>
          <w:rFonts w:eastAsia="Calibri"/>
        </w:rPr>
        <w:t>.</w:t>
      </w:r>
    </w:p>
    <w:p w14:paraId="55F5145A" w14:textId="31E02A1B" w:rsidR="004D51F5" w:rsidRPr="007C7EA1" w:rsidRDefault="004D51F5" w:rsidP="00032F79">
      <w:pPr>
        <w:spacing w:line="480" w:lineRule="auto"/>
        <w:ind w:firstLine="720"/>
        <w:rPr>
          <w:rFonts w:eastAsia="Calibri"/>
        </w:rPr>
      </w:pPr>
      <w:r w:rsidRPr="007C7EA1">
        <w:rPr>
          <w:rFonts w:eastAsia="Calibri"/>
        </w:rPr>
        <w:lastRenderedPageBreak/>
        <w:t>Increased family support was associated with decreased depression severity among GMY. This finding supports the results of other studies</w:t>
      </w:r>
      <w:r w:rsidR="00E91EC1">
        <w:rPr>
          <w:rFonts w:eastAsia="Calibri"/>
        </w:rPr>
        <w:t xml:space="preserve"> </w:t>
      </w:r>
      <w:r w:rsidRPr="007C7EA1">
        <w:rPr>
          <w:rFonts w:eastAsia="Calibri"/>
        </w:rPr>
        <w:fldChar w:fldCharType="begin"/>
      </w:r>
      <w:r w:rsidR="009E526F">
        <w:rPr>
          <w:rFonts w:eastAsia="Calibri"/>
        </w:rPr>
        <w:instrText>ADDIN F1000_CSL_CITATION&lt;~#@#~&gt;[{"DOI":"10.1016/j.amepre.2018.06.030","First":false,"Last":false,"PMCID":"PMC6501838","PMID":"30344037","abstract":"&lt;strong&gt;INTRODUCTION:&lt;/strong&gt; Important mental and physical health disparities exist for transgender and gender diverse youth compared with cisgender youth (i.e., those whose birth-assigned sex and gender identity align), yet little is known about factors that protect transgender and gender diverse youth from health problems. The objective of this paper is to identify modifiable protective factors in the lives of transgender and gender diverse adolescents, with the goal of informing efforts to eliminate disparities in depression, suicidality, and substance use in this population.&lt;br&gt;&lt;br&gt;&lt;strong&gt;METHODS:&lt;/strong&gt; Secondary data analysis of the 2016 Minnesota Student Survey examined associations between eight protective factors (connectedness to parents, adult relatives, friends, adults in the community, and teachers; youth development opportunities; and feeling safe in the community and at school) and depression, suicidality, and substance use (alcohol, binge drinking, marijuana, nicotine) among 2,168 adolescents who identified as transgender, genderqueer, genderfluid, or questioning their gender. Logistic regressions assessed the role of each protective factor separately and simultaneously.&lt;br&gt;&lt;br&gt;&lt;strong&gt;RESULTS:&lt;/strong&gt; Each protective factor was associated with lower odds of emotional distress and substance use. When protective factors were examined simultaneously, parent connectedness was protective for all measures. Feeling safe at school and connected to adults in one's community protected against depression and suicidality; teacher connectedness buffered risk of substance use.&lt;br&gt;&lt;br&gt;&lt;strong&gt;CONCLUSIONS:&lt;/strong&gt; Given that transgender and gender diverse youth report lower levels of connectedness and safety, bolstering an explicitly transgender and gender diverse-friendly network of caring parents, safe and supportive schools, and connections to adults in the community may support efforts to eliminate disparities in depression, suicidality, and substance use.&lt;br&gt;&lt;br&gt;Copyright © 2018 American Journal of Preventive Medicine. Published by Elsevier Inc. All rights reserved.","author":[{"family":"Gower","given":"Amy L"},{"family":"Rider","given":"G Nic"},{"family":"Brown","given":"Camille"},{"family":"McMorris","given":"Barbara J"},{"family":"Coleman","given":"Eli"},{"family":"Taliaferro","given":"Lindsay A"},{"family":"Eisenberg","given":"Marla E"}],"authorYearDisplayFormat":false,"citation-label":"7167990","container-title":"American Journal of Preventive Medicine","container-title-short":"Am. J. Prev. Med.","id":"7167990","invisible":false,"issue":"6","issued":{"date-parts":[["2018","10","19"]]},"journalAbbreviation":"Am. J. Prev. Med.","page":"787-794","suppress-author":false,"title":"Supporting transgender and gender diverse youth: protection against emotional distress and substance use.","type":"article-journal","volume":"55"},{"DOI":"10.1177/0044118X19855898","First":false,"Last":false,"author":[{"family":"Pollitt","given":"A M"},{"family":"Ioverno","given":"S"},{"family":"Russell","given":"S T"},{"family":"Li","given":"G"},{"family":"Grossman","given":"A H"}],"authorYearDisplayFormat":false,"citation-label":"7168049","container-title":"Youth &amp; society","container-title-short":"Youth Soc.","id":"7168049","invisible":false,"issued":{"date-parts":[["2019","6","16"]]},"journalAbbreviation":"Youth Soc.","page":"0044118X1985589","suppress-author":false,"title":"Predictors and mental health benefits of chosen name use among transgender youth","type":"article-journal"},{"DOI":"10.1016/j.jadohealth.2018.02.003","First":false,"Last":false,"PMCID":"PMC6165713","PMID":"29609917","abstract":"&lt;strong&gt;PURPOSE:&lt;/strong&gt; This study aimed to examine the relation between chosen name use, as a proxy for youths' gender affirmation in various contexts, and mental health among transgender youth.&lt;br&gt;&lt;br&gt;&lt;strong&gt;METHODS:&lt;/strong&gt; Data come from a community cohort sample of 129 transgender and gender nonconforming youth from three U.S. cities. We assessed chosen name use across multiple contexts and examined its association with depression, suicidal ideation, and suicidal behavior.&lt;br&gt;&lt;br&gt;&lt;strong&gt;RESULTS:&lt;/strong&gt; After adjusting for personal characteristics and social support, chosen name use in more contexts was associated with lower depression, suicidal ideation, and suicidal behavior. Depression, suicidal ideation, and suicidal behavior were lowest when chosen names could be used in all four contexts.&lt;br&gt;&lt;br&gt;&lt;strong&gt;CONCLUSION:&lt;/strong&gt; For transgender youth who choose a name different from the one given at birth, use of their chosen name in multiple contexts affirms their gender identity and reduces mental health risks known to be high in this group.&lt;br&gt;&lt;br&gt;Copyright © 2018 The Society for Adolescent Health and Medicine. Published by Elsevier Inc. All rights reserved.","author":[{"family":"Russell","given":"Stephen T"},{"family":"Pollitt","given":"Amanda M"},{"family":"Li","given":"Gu"},{"family":"Grossman","given":"Arnold H"}],"authorYearDisplayFormat":false,"citation-label":"5888219","container-title":"The Journal of Adolescent Health","container-title-short":"J. Adolesc. Health","id":"5888219","invisible":false,"issue":"4","issued":{"date-parts":[["2018","3","30"]]},"journalAbbreviation":"J. Adolesc. Health","page":"503-505","suppress-author":false,"title":"Chosen name use is linked to reduced depressive symptoms, suicidal ideation, and suicidal behavior among transgender youth.","type":"article-journal","volume":"63"},{"DOI":"10.1016/j.jadohealth.2013.07.019","First":false,"Last":false,"PMCID":"PMC3838484","PMID":"24012067","abstract":"&lt;strong&gt;PURPOSE:&lt;/strong&gt; Family support is protective against health risks in sexual minority individuals. However, few studies have focused specifically on transgender youth, who often experience rejection, marginalization, and victimization that place them at risk for poor mental health. This study investigated the relationships among parental support, quality of life, and depression in transgender adolescents.&lt;br&gt;&lt;br&gt;&lt;strong&gt;METHODS:&lt;/strong&gt; A total of 66 transgender youth presenting for care at Children's Hospital Los Angeles completed a survey assessing parental support (defined as help, advice, and confidante support), quality of life, and depression. Regression analyses assessed the associations between parental support and mental health outcomes.&lt;br&gt;&lt;br&gt;&lt;strong&gt;RESULTS:&lt;/strong&gt; Parental support was significantly associated with higher life satisfaction, lower perceived burden of being transgender, and fewer depressive symptoms.&lt;br&gt;&lt;br&gt;&lt;strong&gt;CONCLUSIONS:&lt;/strong&gt; Parental support is associated with higher quality of life and is protective against depression in transgender adolescents. Interventions that promote parental support may significantly affect the mental health of transgender youth.&lt;br&gt;&lt;br&gt;Copyright © 2013 Society for Adolescent Health and Medicine. Published by Elsevier Inc. All rights reserved.","author":[{"family":"Simons","given":"Lisa"},{"family":"Schrager","given":"Sheree M"},{"family":"Clark","given":"Leslie F"},{"family":"Belzer","given":"Marvin"},{"family":"Olson","given":"Johanna"}],"authorYearDisplayFormat":false,"citation-label":"453162","container-title":"The Journal of Adolescent Health","container-title-short":"J. Adolesc. Health","id":"453162","invisible":false,"issue":"6","issued":{"date-parts":[["2013","12"]]},"journalAbbreviation":"J. Adolesc. Health","page":"791-793","suppress-author":false,"title":"Parental support and mental health among transgender adolescents.","type":"article-journal","volume":"53"},{"DOI":"10.1089/trgh.2017.0031","First":false,"Last":false,"PMCID":"PMC5734137","PMID":"29279875","abstract":"Purpose: We aimed to assess the Minority Stress Model which proposes that the stress of experiencing stigma leads to adverse mental health outcomes, but social supports (e.g., school and family connectedness) will reduce this negative effect. Methods: We measured stigma-related experiences, social supports, and mental health (self-injury, suicide, depression, and anxiety) among a sample of 923 Canadian transgender 14- to 25-year-old adolescents and young adults using a bilingual online survey. Logistic regression models were conducted to analyze the relationship between these risk and protective factors and dichotomous mental health outcomes among two separate age groups, 14- to 18-year-old and 19- to 25-year-old participants. Results: Experiences of discrimination, harassment, and violence (enacted stigma) were positively related to mental health problems and social support was negatively associated with mental health problems in all models among both age groups. Among 14-18 year olds, we examined school connectedness, family connectedness, and perception of friends caring separately, and family connectedness was always the strongest protective predictor in multivariate models. In all the mental health outcomes we examined, transgender youth reporting low levels of enacted stigma experiences and high levels of protective factors tended to report favorable mental health outcomes. Conversely, the majority of participants reporting high levels of enacted stigma and low levels of protective factors reported adverse mental health outcomes. Conclusion: While these findings are limited by nonprobability sampling procedures and potential additional unmeasured risk and protective factors, the results provide positive evidence for the Minority Stress Model in this population and affirm the need for policies and programs to support schools and families to support transgender youth.","author":[{"family":"Veale","given":"Jaimie F"},{"family":"Peter","given":"Tracey"},{"family":"Travers","given":"Robb"},{"family":"Saewyc","given":"Elizabeth M"}],"authorYearDisplayFormat":false,"citation-label":"8558455","container-title":"Transgender health","container-title-short":"Transgend Health","id":"8558455","invisible":false,"issue":"1","issued":{"date-parts":[["2017","12","1"]]},"journalAbbreviation":"Transgend Health","page":"207-216","suppress-author":false,"title":"Enacted stigma, mental health, and protective factors among transgender youth in canada.","type":"article-journal","volume":"2"}]</w:instrText>
      </w:r>
      <w:r w:rsidRPr="007C7EA1">
        <w:rPr>
          <w:rFonts w:eastAsia="Calibri"/>
        </w:rPr>
        <w:fldChar w:fldCharType="separate"/>
      </w:r>
      <w:r w:rsidR="00F96D9F" w:rsidRPr="00F96D9F">
        <w:rPr>
          <w:rFonts w:eastAsia="Calibri"/>
        </w:rPr>
        <w:t>(Gower et al., 2018; Pollitt et al., 2019; Russell et al., 2018; Simons et al., 2013; Veale, Peter, et al., 2017)</w:t>
      </w:r>
      <w:r w:rsidRPr="007C7EA1">
        <w:rPr>
          <w:rFonts w:eastAsia="Calibri"/>
        </w:rPr>
        <w:fldChar w:fldCharType="end"/>
      </w:r>
      <w:r w:rsidR="00E91EC1">
        <w:rPr>
          <w:rFonts w:eastAsia="Calibri"/>
        </w:rPr>
        <w:t>.</w:t>
      </w:r>
      <w:r w:rsidRPr="007C7EA1">
        <w:rPr>
          <w:rFonts w:eastAsia="Calibri"/>
        </w:rPr>
        <w:t xml:space="preserve"> While these data are cross sectional and causality cannot be inferred, increasing family support for GMY by providing families of GMY with gender minority-affirming resources may reduce depression severity among GMY. Additionally, multi-level associations may exist between structural discrimination, lack of family support and GMY depression severity </w:t>
      </w:r>
      <w:r w:rsidRPr="007C7EA1">
        <w:rPr>
          <w:rFonts w:eastAsia="Calibri"/>
        </w:rPr>
        <w:fldChar w:fldCharType="begin"/>
      </w:r>
      <w:r w:rsidR="009E526F">
        <w:rPr>
          <w:rFonts w:eastAsia="Calibri"/>
        </w:rPr>
        <w:instrText>ADDIN F1000_CSL_CITATION&lt;~#@#~&gt;[{"DOI":"10.1080/08964289.2015.1028322","First":false,"Last":false,"PMCID":"PMC4707041","PMID":"26287284","abstract":"This study assessed individual (ie, internalized transphobia) and structural forms of stigma as risk factors for suicide attempts among transgender adults. Internalized transphobia was assessed through a 26-item scale including four dimensions: pride, passing, alienation, and shame. State-level structural stigma was operationalized as a composite index, including density of same-sex couples; proportion of Gay-Straight Alliances per public high school; 5 policies related to sexual orientation discrimination; and aggregated public opinion toward homosexuality. Multivariable logistic generalized estimating equation models assessed associations of interest among an online sample of transgender adults (N = 1,229) representing 48 states and the District of Columbia. Lower levels of structural stigma were associated with fewer lifetime suicide attempts (AOR 0.96, 95% CI 0.92-0.997), and a higher score on the internalized transphobia scale was associated with greater lifetime suicide attempts (AOR 1.18, 95% CI 1.04-1.33). Addressing stigma at multiple levels is necessary to reduce the vulnerability of suicide attempts among transgender adults. ","author":[{"family":"Perez-Brumer","given":"Amaya"},{"family":"Hatzenbuehler","given":"Mark L"},{"family":"Oldenburg","given":"Catherine E"},{"family":"Bockting","given":"Walter"}],"authorYearDisplayFormat":false,"citation-label":"4193396","container-title":"Behavioral medicine (Washington, D.C.)","container-title-short":"Behav. Med.","id":"4193396","invisible":false,"issue":"3","issued":{"date-parts":[["2015","8","19"]]},"journalAbbreviation":"Behav. Med.","page":"164-171","suppress-author":false,"title":"Individual- and Structural-Level Risk Factors for Suicide Attempts Among Transgender Adults.","type":"article-journal","volume":"41"},{"DOI":"10.1007/s10896-017-9937-0","First":false,"Last":false,"PMCID":"PMC6396286","PMID":"30828128","abstract":"Microaggressions are associated with mental and behavioral health problems and are common experiences for sexual and gender minority adolescents (SGMA). Little is known about the social ecological correlates of family-level interpersonal and environmental microaggressions for SGMA. Utilizing a national sample of SGMA (N = 1,177), this study (a) identified the frequencies of family-level interpersonal and environmental microaggressions by participant demographics and (b) examined individual-, family-, and structural-level factors associated with interpersonal and environmental microaggressions. Outness to parents, a transgender or genderqueer identity, and higher levels of gender role non-conformity were associated with higher frequencies of interpersonal microaggressions. Higher levels of family-level child maltreatment and religiosity were associated with higher frequencies of interpersonal and environmental microaggressions. State-level non-discrimination protections were associated with lower frequencies of environmental microaggressions. Suggestions for increased individual-level support for gender non-binary adolescents as well as family targeted preventive strategies are discussed. Areas for future research are highlighted.","author":[{"family":"Gartner","given":"Rachel E"},{"family":"Sterzing","given":"Paul R"}],"authorYearDisplayFormat":false,"citation-label":"8093994","container-title":"Journal of family violence","container-title-short":"J. Fam. Violence","id":"8093994","invisible":false,"issue":"1","issued":{"date-parts":[["2018","1"]]},"journalAbbreviation":"J. Fam. Violence","page":"1-16","suppress-author":false,"title":"Social Ecological Correlates of Family-Level Interpersonal and Environmental Microaggressions Toward Sexual and Gender Minority Adolescents.","type":"article-journal","volume":"33"}]</w:instrText>
      </w:r>
      <w:r w:rsidRPr="007C7EA1">
        <w:rPr>
          <w:rFonts w:eastAsia="Calibri"/>
        </w:rPr>
        <w:fldChar w:fldCharType="separate"/>
      </w:r>
      <w:r w:rsidR="00F96D9F" w:rsidRPr="00F96D9F">
        <w:rPr>
          <w:rFonts w:eastAsia="Calibri"/>
        </w:rPr>
        <w:t>(Gartner &amp; Sterzing, 2018; Perez-Brumer, Hatzenbuehler, Oldenburg, &amp; Bockting, 2015)</w:t>
      </w:r>
      <w:r w:rsidRPr="007C7EA1">
        <w:rPr>
          <w:rFonts w:eastAsia="Calibri"/>
        </w:rPr>
        <w:fldChar w:fldCharType="end"/>
      </w:r>
      <w:r w:rsidR="00E91EC1">
        <w:rPr>
          <w:rFonts w:eastAsia="Calibri"/>
        </w:rPr>
        <w:t>.</w:t>
      </w:r>
    </w:p>
    <w:p w14:paraId="3556CF10" w14:textId="5A1B13D6" w:rsidR="004D51F5" w:rsidRPr="007C7EA1" w:rsidRDefault="004D51F5" w:rsidP="00032F79">
      <w:pPr>
        <w:spacing w:line="480" w:lineRule="auto"/>
        <w:ind w:firstLine="720"/>
        <w:rPr>
          <w:rFonts w:eastAsia="Calibri"/>
        </w:rPr>
      </w:pPr>
      <w:r w:rsidRPr="007C7EA1">
        <w:rPr>
          <w:rFonts w:eastAsia="Calibri"/>
        </w:rPr>
        <w:t xml:space="preserve">Outness to family was not associated with depression severity, nor did it moderate the association between family support and depression severity. This may be because increased outness to family may lead to two very different trajectories. For some youth, coming out to family may act to lessen current or future depression severity by allowing youth access to social transition and gender affirming care, which has been associated with improved mental health </w:t>
      </w:r>
      <w:r w:rsidRPr="007C7EA1">
        <w:rPr>
          <w:rFonts w:eastAsia="Calibri"/>
        </w:rPr>
        <w:fldChar w:fldCharType="begin"/>
      </w:r>
      <w:r w:rsidR="009E526F">
        <w:rPr>
          <w:rFonts w:eastAsia="Calibri"/>
        </w:rPr>
        <w:instrText>ADDIN F1000_CSL_CITATION&lt;~#@#~&gt;[{"DOI":"10.1016/j.jadohealth.2018.02.003","First":false,"Last":false,"PMCID":"PMC6165713","PMID":"29609917","abstract":"&lt;strong&gt;PURPOSE:&lt;/strong&gt; This study aimed to examine the relation between chosen name use, as a proxy for youths' gender affirmation in various contexts, and mental health among transgender youth.&lt;br&gt;&lt;br&gt;&lt;strong&gt;METHODS:&lt;/strong&gt; Data come from a community cohort sample of 129 transgender and gender nonconforming youth from three U.S. cities. We assessed chosen name use across multiple contexts and examined its association with depression, suicidal ideation, and suicidal behavior.&lt;br&gt;&lt;br&gt;&lt;strong&gt;RESULTS:&lt;/strong&gt; After adjusting for personal characteristics and social support, chosen name use in more contexts was associated with lower depression, suicidal ideation, and suicidal behavior. Depression, suicidal ideation, and suicidal behavior were lowest when chosen names could be used in all four contexts.&lt;br&gt;&lt;br&gt;&lt;strong&gt;CONCLUSION:&lt;/strong&gt; For transgender youth who choose a name different from the one given at birth, use of their chosen name in multiple contexts affirms their gender identity and reduces mental health risks known to be high in this group.&lt;br&gt;&lt;br&gt;Copyright © 2018 The Society for Adolescent Health and Medicine. Published by Elsevier Inc. All rights reserved.","author":[{"family":"Russell","given":"Stephen T"},{"family":"Pollitt","given":"Amanda M"},{"family":"Li","given":"Gu"},{"family":"Grossman","given":"Arnold H"}],"authorYearDisplayFormat":false,"citation-label":"5888219","container-title":"The Journal of Adolescent Health","container-title-short":"J. Adolesc. Health","id":"5888219","invisible":false,"issue":"4","issued":{"date-parts":[["2018","3","30"]]},"journalAbbreviation":"J. Adolesc. Health","page":"503-505","suppress-author":false,"title":"Chosen name use is linked to reduced depressive symptoms, suicidal ideation, and suicidal behavior among transgender youth.","type":"article-journal","volume":"63"},{"DOI":"10.1177/0044118X19855898","First":false,"Last":false,"author":[{"family":"Pollitt","given":"A M"},{"family":"Ioverno","given":"S"},{"family":"Russell","given":"S T"},{"family":"Li","given":"G"},{"family":"Grossman","given":"A H"}],"authorYearDisplayFormat":false,"citation-label":"7168049","container-title":"Youth &amp; society","container-title-short":"Youth Soc.","id":"7168049","invisible":false,"issued":{"date-parts":[["2019","6","16"]]},"journalAbbreviation":"Youth Soc.","page":"0044118X1985589","suppress-author":false,"title":"Predictors and mental health benefits of chosen name use among transgender youth","type":"article-journal"},{"DOI":"10.1542/peds.2019-1725","First":false,"Last":false,"PMCID":"PMC7073269","PMID":"31974216","abstract":"&lt;strong&gt;BACKGROUND AND OBJECTIVES:&lt;/strong&gt; Gonadotropin-releasing hormone analogues are commonly prescribed to suppress endogenous puberty for transgender adolescents. There are limited data regarding the mental health benefits of this treatment. Our objective for this study was to examine associations between access to pubertal suppression during adolescence and adult mental health outcomes.&lt;br&gt;&lt;br&gt;&lt;strong&gt;METHODS:&lt;/strong&gt; Using a cross-sectional survey of 20 619 transgender adults aged 18 to 36 years, we examined self-reported history of pubertal suppression during adolescence. Using multivariable logistic regression, we examined associations between access to pubertal suppression and adult mental health outcomes, including multiple measures of suicidality.&lt;br&gt;&lt;br&gt;&lt;strong&gt;RESULTS:&lt;/strong&gt; Of the sample, 16.9% reported that they ever wanted pubertal suppression as part of their gender-related care. Their mean age was 23.4 years, and 45.2% were assigned male sex at birth. Of them, 2.5% received pubertal suppression. After adjustment for demographic variables and level of family support for gender identity, those who received treatment with pubertal suppression, when compared with those who wanted pubertal suppression but did not receive it, had lower odds of lifetime suicidal ideation (adjusted odds ratio = 0.3; 95% confidence interval = 0.2-0.6).&lt;br&gt;&lt;br&gt;&lt;strong&gt;CONCLUSIONS:&lt;/strong&gt; This is the first study in which associations between access to pubertal suppression and suicidality are examined. There is a significant inverse association between treatment with pubertal suppression during adolescence and lifetime suicidal ideation among transgender adults who ever wanted this treatment. These results align with past literature, suggesting that pubertal suppression for transgender adolescents who want this treatment is associated with favorable mental health outcomes.&lt;br&gt;&lt;br&gt;Copyright © 2020 by the American Academy of Pediatrics.","author":[{"family":"Turban","given":"Jack L"},{"family":"King","given":"Dana"},{"family":"Carswell","given":"Jeremi M"},{"family":"Keuroghlian","given":"Alex S"}],"authorYearDisplayFormat":false,"citation-label":"8177749","container-title":"Pediatrics","container-title-short":"Pediatrics","id":"8177749","invisible":false,"issue":"2","issued":{"date-parts":[["2020","2"]]},"journalAbbreviation":"Pediatrics","suppress-author":false,"title":"Pubertal suppression for transgender youth and risk of suicidal ideation.","type":"article-journal","volume":"145"},{"DOI":"10.1016/j.jaac.2016.10.016","First":false,"Last":false,"PMCID":"PMC5302003","PMID":"28117057","abstract":"&lt;strong&gt;OBJECTIVE:&lt;/strong&gt; Social transitions are increasingly common for transgender children. A social transition involves a child presenting to other people as a member of the \"opposite\" gender in all contexts (e.g., wearing clothes and using pronouns of that gender). Little is known about the well-being of socially transitioned transgender children. This study examined self-reported depression, anxiety, and self-worth in socially transitioned transgender children compared with 2 control groups: age- and gender-matched controls and siblings of transgender children.&lt;br&gt;&lt;br&gt;&lt;strong&gt;METHOD:&lt;/strong&gt; As part of a longitudinal study (TransYouth Project), children (9-14 years old) and their parents completed measurements of depression and anxiety (n = 63 transgender children, n = 63 controls, n = 38 siblings). Children (6-14 years old; n = 116 transgender children, n = 122 controls, n = 72 siblings) also reported on their self-worth. Mental health and self-worth were compared across groups.&lt;br&gt;&lt;br&gt;&lt;strong&gt;RESULTS:&lt;/strong&gt; Transgender children reported depression and self-worth that did not differ from their matched-control or sibling peers (p = .311), and they reported marginally higher anxiety (p = .076). Compared with national averages, transgender children showed typical rates of depression (p = .290) and marginally higher rates of anxiety (p = .096). Parents similarly reported that their transgender children experienced more anxiety than children in the control groups (p = .002) and rated their transgender children as having equivalent levels of depression (p = .728).&lt;br&gt;&lt;br&gt;&lt;strong&gt;CONCLUSION:&lt;/strong&gt; These findings are in striking contrast to previous work with gender-nonconforming children who had not socially transitioned, which found very high rates of depression and anxiety. These findings lessen concerns from previous work that parents of socially transitioned children could be systematically underreporting mental health problems.&lt;br&gt;&lt;br&gt;Copyright © 2016 American Academy of Child and Adolescent Psychiatry. Published by Elsevier Inc. All rights reserved.","author":[{"family":"Durwood","given":"Lily"},{"family":"McLaughlin","given":"Katie A"},{"family":"Olson","given":"Kristina R"}],"authorYearDisplayFormat":false,"citation-label":"3157663","container-title":"Journal of the American Academy of Child and Adolescent Psychiatry","container-title-short":"J. Am. Acad. Child Adolesc. Psychiatry","id":"3157663","invisible":false,"issue":"2","issued":{"date-parts":[["2017","2"]]},"journalAbbreviation":"J. Am. Acad. Child Adolesc. Psychiatry","page":"116-123.e2","suppress-author":false,"title":"Mental Health and Self-Worth in Socially Transitioned Transgender Youth.","type":"article-journal","volume":"56"},{"DOI":"10.1542/peds.2015-3223","First":false,"Last":false,"PMCID":"PMC4771131","PMID":"26921285","abstract":"&lt;strong&gt;OBJECTIVE:&lt;/strong&gt; Transgender children who have socially transitioned, that is, who identify as the gender \"opposite\" their natal sex and are supported to live openly as that gender, are increasingly visible in society, yet we know nothing about their mental health. Previous work with children with gender identity disorder (GID; now termed gender dysphoria) has found remarkably high rates of anxiety and depression in these children. Here we examine, for the first time, mental health in a sample of socially transitioned transgender children.&lt;br&gt;&lt;br&gt;&lt;strong&gt;METHODS:&lt;/strong&gt; A community-based national sample of transgender, prepubescent children (n = 73, aged 3-12 years), along with control groups of nontransgender children in the same age range (n = 73 age- and gender-matched community controls; n = 49 sibling of transgender participants), were recruited as part of the TransYouth Project. Parents completed anxiety and depression measures.&lt;br&gt;&lt;br&gt;&lt;strong&gt;RESULTS:&lt;/strong&gt; Transgender children showed no elevations in depression and slightly elevated anxiety relative to population averages. They did not differ from the control groups on depression symptoms and had only marginally higher anxiety symptoms.&lt;br&gt;&lt;br&gt;&lt;strong&gt;CONCLUSIONS:&lt;/strong&gt; Socially transitioned transgender children who are supported in their gender identity have developmentally normative levels of depression and only minimal elevations in anxiety, suggesting that psychopathology is not inevitable within this group. Especially striking is the comparison with reports of children with GID; socially transitioned transgender children have notably lower rates of internalizing psychopathology than previously reported among children with GID living as their natal sex.&lt;br&gt;&lt;br&gt;Copyright © 2016 by the American Academy of Pediatrics.","author":[{"family":"Olson","given":"Kristina R"},{"family":"Durwood","given":"Lily"},{"family":"DeMeules","given":"Madeleine"},{"family":"McLaughlin","given":"Katie A"}],"authorYearDisplayFormat":false,"citation-label":"1455206","container-title":"Pediatrics","container-title-short":"Pediatrics","id":"1455206","invisible":false,"issue":"3","issued":{"date-parts":[["2016","3"]]},"journalAbbreviation":"Pediatrics","page":"e20153223","suppress-author":false,"title":"Mental health of transgender children who are supported in their identities.","type":"article-journal","volume":"137"}]</w:instrText>
      </w:r>
      <w:r w:rsidRPr="007C7EA1">
        <w:rPr>
          <w:rFonts w:eastAsia="Calibri"/>
        </w:rPr>
        <w:fldChar w:fldCharType="separate"/>
      </w:r>
      <w:r w:rsidR="00F96D9F" w:rsidRPr="00F96D9F">
        <w:rPr>
          <w:rFonts w:eastAsia="Calibri"/>
        </w:rPr>
        <w:t>(Durwood et al., 2017; K. R. Olson et al., 2016; Pollitt et al., 2019; Russell et al., 2018; Turban et al., 2020)</w:t>
      </w:r>
      <w:r w:rsidRPr="007C7EA1">
        <w:rPr>
          <w:rFonts w:eastAsia="Calibri"/>
        </w:rPr>
        <w:fldChar w:fldCharType="end"/>
      </w:r>
      <w:r w:rsidR="00E91EC1">
        <w:rPr>
          <w:rFonts w:eastAsia="Calibri"/>
        </w:rPr>
        <w:t>.</w:t>
      </w:r>
      <w:r w:rsidRPr="007C7EA1">
        <w:rPr>
          <w:rFonts w:eastAsia="Calibri"/>
        </w:rPr>
        <w:t xml:space="preserve"> In contrast, for other youth, coming out may result in family rejection and discrimination, which have been associated with worsening mental health</w:t>
      </w:r>
      <w:r w:rsidR="00E91EC1">
        <w:rPr>
          <w:rFonts w:eastAsia="Calibri"/>
        </w:rPr>
        <w:t xml:space="preserve"> </w:t>
      </w:r>
      <w:r w:rsidRPr="007C7EA1">
        <w:rPr>
          <w:rFonts w:eastAsia="Calibri"/>
        </w:rPr>
        <w:fldChar w:fldCharType="begin"/>
      </w:r>
      <w:r w:rsidR="009E526F">
        <w:rPr>
          <w:rFonts w:eastAsia="Calibri"/>
        </w:rPr>
        <w:instrText>ADDIN F1000_CSL_CITATION&lt;~#@#~&gt;[{"DOI":"10.1080/00918369.2016.1236574","First":false,"Last":false,"PMCID":"PMC5352544","PMID":"27633070","abstract":"Disclosure of a sexual or gender minority status has been associated with both positive and negative effects on wellbeing. Few studies have explored the disclosure and concealment process in young people. Interviews were conducted with 10 sexual and/or gender minority individuals, aged 18-22 years, of male birth sex. Data were analyzed qualitatively, yielding determinants and effects of disclosure and concealment. Determinants of disclosure included holding positive attitudes about one's identity and an implicit devaluation of acceptance by society. Coming out was shown to have both positive and negative effects on communication and social support and was associated with both increases and decreases in experiences of stigma. Determinants of concealment included lack of comfort with one's identity and various motivations to avoid discrimination. Concealment was also related to hypervigilance and unique strategies of accessing social support. Results are discussed in light of their clinical implications.","author":[{"family":"Bry","given":"Laura Jane"},{"family":"Mustanski","given":"Brian"},{"family":"Garofalo","given":"Robert"},{"family":"Burns","given":"Michelle Nicole"}],"authorYearDisplayFormat":false,"citation-label":"8094000","container-title":"Journal of homosexuality","container-title-short":"J. Homosex.","id":"8094000","invisible":false,"issue":"6","issued":{"date-parts":[["2017"]]},"journalAbbreviation":"J. Homosex.","page":"745-769","suppress-author":false,"title":"Management of a concealable stigmatized identity: A qualitative study of concealment, disclosure, and role flexing among young, resilient sexual and gender minority individuals.","type":"article-journal","volume":"64"},{"DOI":"10.1089/lgbt.2015.0111","First":false,"Last":false,"PMID":"27046450","abstract":"&lt;strong&gt;PURPOSE:&lt;/strong&gt; We examined associations between family rejection and risk of suicide attempts and substance misuse among a national sample of transgender and gender nonconforming adults.&lt;br&gt;&lt;br&gt;&lt;strong&gt;METHODS:&lt;/strong&gt; Data were drawn from the National Transgender Discrimination Survey (N = 6456). This secondary analysis was restricted to 3458 individuals who self-identified as transgender or gender nonconforming and provided complete data on study variables. We used multivariable logistic regression to examine health risks by level of reported family rejection (low/moderate/high), controlling for relevant sociodemographic characteristics.&lt;br&gt;&lt;br&gt;&lt;strong&gt;RESULTS:&lt;/strong&gt; Overall, 42.3% of the sample reported a suicide attempt and 26.3% reported misusing drugs or alcohol to cope with transgender-related discrimination. After controlling for age, race/ethnicity, sex assigned at birth, binary gender identity, income, education, and employment status, family rejection was associated with increased odds of both behaviors. Odds increased significantly with increasing levels of family rejection.&lt;br&gt;&lt;br&gt;&lt;strong&gt;CONCLUSIONS:&lt;/strong&gt; Family rejection related to gender identity is an understudied interpersonal stressor that may negatively affect health outcomes for transgender and gender nonconforming individuals. A better understanding of the role of close relationships in both risk and resilience for transgender individuals is critical in the development of effective public health interventions for this community.","author":[{"family":"Klein","given":"Augustus"},{"family":"Golub","given":"Sarit A"}],"authorYearDisplayFormat":false,"citation-label":"2062632","container-title":"LGBT Health","container-title-short":"LGBT Health","id":"2062632","invisible":false,"issue":"3","issued":{"date-parts":[["2016","4","5"]]},"journalAbbreviation":"LGBT Health","page":"193-199","suppress-author":false,"title":"Family rejection as a predictor of suicide attempts and substance misuse among transgender and gender nonconforming adults.","type":"article-journal","volume":"3"}]</w:instrText>
      </w:r>
      <w:r w:rsidRPr="007C7EA1">
        <w:rPr>
          <w:rFonts w:eastAsia="Calibri"/>
        </w:rPr>
        <w:fldChar w:fldCharType="separate"/>
      </w:r>
      <w:r w:rsidR="00F96D9F" w:rsidRPr="00F96D9F">
        <w:rPr>
          <w:rFonts w:eastAsia="Calibri"/>
        </w:rPr>
        <w:t>(Bry et al., 2017; Klein &amp; Golub, 2016)</w:t>
      </w:r>
      <w:r w:rsidRPr="007C7EA1">
        <w:rPr>
          <w:rFonts w:eastAsia="Calibri"/>
        </w:rPr>
        <w:fldChar w:fldCharType="end"/>
      </w:r>
      <w:r w:rsidR="00E91EC1">
        <w:rPr>
          <w:rFonts w:eastAsia="Calibri"/>
        </w:rPr>
        <w:t>.</w:t>
      </w:r>
      <w:r w:rsidRPr="007C7EA1">
        <w:rPr>
          <w:rFonts w:eastAsia="Calibri"/>
        </w:rPr>
        <w:t xml:space="preserve"> Consequently, </w:t>
      </w:r>
      <w:r w:rsidR="0028438B" w:rsidRPr="007C7EA1">
        <w:rPr>
          <w:rFonts w:eastAsia="Calibri"/>
        </w:rPr>
        <w:t xml:space="preserve">some </w:t>
      </w:r>
      <w:r w:rsidRPr="007C7EA1">
        <w:rPr>
          <w:rFonts w:eastAsia="Calibri"/>
        </w:rPr>
        <w:t xml:space="preserve">youth who are out to their families may be at increased risk for depression </w:t>
      </w:r>
      <w:r w:rsidR="0028438B" w:rsidRPr="007C7EA1">
        <w:rPr>
          <w:rFonts w:eastAsia="Calibri"/>
        </w:rPr>
        <w:t>sev</w:t>
      </w:r>
      <w:r w:rsidR="00E91EC1">
        <w:rPr>
          <w:rFonts w:eastAsia="Calibri"/>
        </w:rPr>
        <w:t>er</w:t>
      </w:r>
      <w:r w:rsidR="0028438B" w:rsidRPr="007C7EA1">
        <w:rPr>
          <w:rFonts w:eastAsia="Calibri"/>
        </w:rPr>
        <w:t>ity, while other youth who are out to families may be at decreased risk</w:t>
      </w:r>
      <w:r w:rsidR="00651BCD" w:rsidRPr="007C7EA1">
        <w:rPr>
          <w:rFonts w:eastAsia="Calibri"/>
        </w:rPr>
        <w:t xml:space="preserve"> depending on their family’s support of their gender identity</w:t>
      </w:r>
      <w:r w:rsidRPr="007C7EA1">
        <w:rPr>
          <w:rFonts w:eastAsia="Calibri"/>
        </w:rPr>
        <w:t xml:space="preserve">. </w:t>
      </w:r>
      <w:r w:rsidR="00651BCD" w:rsidRPr="007C7EA1">
        <w:rPr>
          <w:rFonts w:eastAsia="Calibri"/>
        </w:rPr>
        <w:t>M</w:t>
      </w:r>
      <w:r w:rsidRPr="007C7EA1">
        <w:rPr>
          <w:rFonts w:eastAsia="Calibri"/>
        </w:rPr>
        <w:t>easures of family support in this study did not capture information on gender-affirming family environment</w:t>
      </w:r>
      <w:r w:rsidR="00651BCD" w:rsidRPr="007C7EA1">
        <w:rPr>
          <w:rFonts w:eastAsia="Calibri"/>
        </w:rPr>
        <w:t>;</w:t>
      </w:r>
      <w:r w:rsidRPr="007C7EA1">
        <w:rPr>
          <w:rFonts w:eastAsia="Calibri"/>
        </w:rPr>
        <w:t xml:space="preserve"> including measures of family support of gender identity and experience of gender identity-based discrimination by family in future </w:t>
      </w:r>
      <w:r w:rsidR="00651BCD" w:rsidRPr="007C7EA1">
        <w:rPr>
          <w:rFonts w:eastAsia="Calibri"/>
        </w:rPr>
        <w:t>studies</w:t>
      </w:r>
      <w:r w:rsidRPr="007C7EA1">
        <w:rPr>
          <w:rFonts w:eastAsia="Calibri"/>
        </w:rPr>
        <w:t xml:space="preserve"> may further clarify potential relationships between outness to family, family support, and depression severity.</w:t>
      </w:r>
    </w:p>
    <w:p w14:paraId="1BFF829A" w14:textId="7DFFFE28" w:rsidR="004D51F5" w:rsidRPr="007C7EA1" w:rsidRDefault="004D51F5" w:rsidP="00032F79">
      <w:pPr>
        <w:pStyle w:val="Heading2"/>
      </w:pPr>
      <w:bookmarkStart w:id="20" w:name="_Toc39049746"/>
      <w:r w:rsidRPr="007C7EA1">
        <w:lastRenderedPageBreak/>
        <w:t>5.1 Limitations</w:t>
      </w:r>
      <w:r w:rsidR="00022C27">
        <w:t xml:space="preserve"> and Strengths</w:t>
      </w:r>
      <w:bookmarkEnd w:id="20"/>
    </w:p>
    <w:p w14:paraId="34420937" w14:textId="2965069A" w:rsidR="004D51F5" w:rsidRDefault="00022C27" w:rsidP="00022C27">
      <w:pPr>
        <w:spacing w:line="480" w:lineRule="auto"/>
        <w:ind w:firstLine="720"/>
        <w:rPr>
          <w:rFonts w:eastAsia="Calibri"/>
        </w:rPr>
      </w:pPr>
      <w:r>
        <w:rPr>
          <w:rFonts w:eastAsia="Calibri"/>
        </w:rPr>
        <w:t xml:space="preserve">This study had some limitations. </w:t>
      </w:r>
      <w:r w:rsidR="00651BCD" w:rsidRPr="007C7EA1">
        <w:rPr>
          <w:rFonts w:eastAsia="Calibri"/>
        </w:rPr>
        <w:t>SGMY participants in this sample had</w:t>
      </w:r>
      <w:r w:rsidR="004D51F5" w:rsidRPr="007C7EA1">
        <w:rPr>
          <w:rFonts w:eastAsia="Calibri"/>
        </w:rPr>
        <w:t xml:space="preserve"> reliable access to the internet and a computer. Additionally, Black youth were underrepresented in this sample</w:t>
      </w:r>
      <w:r>
        <w:rPr>
          <w:rFonts w:eastAsia="Calibri"/>
        </w:rPr>
        <w:t xml:space="preserve"> </w:t>
      </w:r>
      <w:r w:rsidR="004D51F5" w:rsidRPr="007C7EA1">
        <w:rPr>
          <w:rFonts w:eastAsia="Calibri"/>
        </w:rPr>
        <w:fldChar w:fldCharType="begin"/>
      </w:r>
      <w:r w:rsidR="009E526F">
        <w:rPr>
          <w:rFonts w:eastAsia="Calibri"/>
        </w:rPr>
        <w:instrText>ADDIN F1000_CSL_CITATION&lt;~#@#~&gt;[{"First":false,"Last":false,"URL":"https://www2.census.gov/programs-surveys/popproj/datasets/2017/2017-popproj/np2017_d1.csv","accessed":{"date-parts":[["2020","3","30"]]},"author":[{"family":"U.S. Census Bureau"}],"authorYearDisplayFormat":false,"citation-label":"8542017","genre":"Data Set","id":"8542017","invisible":false,"issued":{"date-parts":[["2017"]]},"publisher":"US Census Bureau","suppress-author":false,"title":"Projected population by single year of age, sex, race, and Hispanic Origin for the United States: 2016 to 2060 ","type":"report"}]</w:instrText>
      </w:r>
      <w:r w:rsidR="004D51F5" w:rsidRPr="007C7EA1">
        <w:rPr>
          <w:rFonts w:eastAsia="Calibri"/>
        </w:rPr>
        <w:fldChar w:fldCharType="separate"/>
      </w:r>
      <w:r w:rsidR="00F96D9F" w:rsidRPr="00F96D9F">
        <w:rPr>
          <w:rFonts w:eastAsia="Calibri"/>
        </w:rPr>
        <w:t>(U.S. Census Bureau, 2017)</w:t>
      </w:r>
      <w:r w:rsidR="004D51F5" w:rsidRPr="007C7EA1">
        <w:rPr>
          <w:rFonts w:eastAsia="Calibri"/>
        </w:rPr>
        <w:fldChar w:fldCharType="end"/>
      </w:r>
      <w:r>
        <w:rPr>
          <w:rFonts w:eastAsia="Calibri"/>
        </w:rPr>
        <w:t>.</w:t>
      </w:r>
      <w:r w:rsidR="004D51F5" w:rsidRPr="007C7EA1">
        <w:rPr>
          <w:rFonts w:eastAsia="Calibri"/>
        </w:rPr>
        <w:t xml:space="preserve"> For these reasons, the results of this study may not be generalizable to SGMY nationally. Some analyses compared GMY to cisgender SMY. As both populations have been shown to experience disparities in mental health and family support</w:t>
      </w:r>
      <w:r>
        <w:rPr>
          <w:rFonts w:eastAsia="Calibri"/>
        </w:rPr>
        <w:t xml:space="preserve"> </w:t>
      </w:r>
      <w:r w:rsidR="004D51F5" w:rsidRPr="007C7EA1">
        <w:rPr>
          <w:rFonts w:eastAsia="Calibri"/>
        </w:rPr>
        <w:fldChar w:fldCharType="begin"/>
      </w:r>
      <w:r w:rsidR="009E526F">
        <w:rPr>
          <w:rFonts w:eastAsia="Calibri"/>
        </w:rPr>
        <w:instrText>ADDIN F1000_CSL_CITATION&lt;~#@#~&gt;[{"DOI":"10.1007/s10964-012-9865-5","First":false,"Last":false,"PMID":"23196375","abstract":"Existing research suggests that sexual minority youth experience lower levels of well-being, in part because they perceive less social support than heterosexual youth. Sexual minority youth with strong family relationships may demonstrate resilience and increased well-being; however, it is also possible that the experience of sexual stigma may make these relationships less protective for sexual minority youth. Using two waves of data from the National Longitudinal Study of Adolescent Health, we explore the links between same-sex attraction, family relationships, and adolescent well-being in a sample of over 13,000 7th-12th grade adolescents (51 % female, 52 % non-Latino/a white, 17 % Latino, 21 % African American, and 7 % Asian). Specifically, we examine whether lower levels of parental closeness, parental involvement, and family support among same-sex attracted youth explain in part why these youth experience increased depressive symptoms and risk behaviors, including binge drinking, illegal drug use, and running away from home, relative to other-sex attracted youth. Second, we ask whether family relationships are equally protective against depressive symptoms and risk behaviors for same-sex attracted and other-sex attracted youth. We find that same-sex attracted youth, particularly girls, report higher levels of depressive symptoms, binge drinking, and drug use in part because they perceive less closeness with parents and less support from their families. Results also suggest that parental closeness and parental involvement may be less protective against risk behaviors for same-sex attracted boys than for their other-sex attracted peers. Findings thus suggest that interventions targeting the families of sexual minority youth should educate parents about the potentially negative effects of heteronormative assumptions and attitudes on positive adolescent development.","author":[{"family":"Pearson","given":"Jennifer"},{"family":"Wilkinson","given":"Lindsey"}],"authorYearDisplayFormat":false,"citation-label":"3941152","container-title":"Journal of Youth and Adolescence","container-title-short":"J. Youth Adolesc.","id":"3941152","invisible":false,"issue":"3","issued":{"date-parts":[["2013","3"]]},"journalAbbreviation":"J. Youth Adolesc.","page":"376-393","suppress-author":false,"title":"Family relationships and adolescent well-being: are families equally protective for same-sex attracted youth?","type":"article-journal","volume":"42"},{"DOI":"10.1080/00918369.2011.534038","First":false,"Last":false,"PMCID":"PMC3662085","PMID":"21213174","abstract":"Despite strong indications of elevated risk of suicidal behavior in lesbian, gay, bisexual, and transgender people, limited attention has been given to research, interventions or suicide prevention programs targeting these populations. This article is a culmination of a three-year effort by an expert panel to address the need for better understanding of suicidal behavior and suicide risk in sexual minority populations, and stimulate the development of needed prevention strategies, interventions and policy changes. This article summarizes existing research findings, and makes recommendations for addressing knowledge gaps and applying current knowledge to relevant areas of suicide prevention practice.","author":[{"family":"Haas","given":"Ann P"},{"family":"Eliason","given":"Mickey"},{"family":"Mays","given":"Vickie M"},{"family":"Mathy","given":"Robin M"},{"family":"Cochran","given":"Susan D"},{"family":"D'Augelli","given":"Anthony R"},{"family":"Silverman","given":"Morton M"},{"family":"Fisher","given":"Prudence W"},{"family":"Hughes","given":"Tonda"},{"family":"Rosario","given":"Margaret"},{"family":"Russell","given":"Stephen T"},{"family":"Malley","given":"Effie"},{"family":"Reed","given":"Jerry"},{"family":"Litts","given":"David A"},{"family":"Haller","given":"Ellen"},{"family":"Sell","given":"Randall L"},{"family":"Remafedi","given":"Gary"},{"family":"Bradford","given":"Judith"},{"family":"Beautrais","given":"Annette L"},{"family":"Brown","given":"Gregory K"},{"family":"Diamond","given":"Gary M"},{"family":"Friedman","given":"Mark S"},{"family":"Garofalo","given":"Robert"},{"family":"Turner","given":"Mason S"},{"family":"Hollibaugh","given":"Amber"},{"family":"Clayton","given":"Paula J"}],"authorYearDisplayFormat":false,"citation-label":"2062635","container-title":"Journal of homosexuality","container-title-short":"J. Homosex.","id":"2062635","invisible":false,"issue":"1","issued":{"date-parts":[["2011"]]},"journalAbbreviation":"J. Homosex.","page":"10-51","suppress-author":false,"title":"Suicide and suicide risk in lesbian, gay, bisexual, and transgender populations: review and recommendations.","type":"article-journal","volume":"58"}]</w:instrText>
      </w:r>
      <w:r w:rsidR="004D51F5" w:rsidRPr="007C7EA1">
        <w:rPr>
          <w:rFonts w:eastAsia="Calibri"/>
        </w:rPr>
        <w:fldChar w:fldCharType="separate"/>
      </w:r>
      <w:r w:rsidR="00F96D9F" w:rsidRPr="00F96D9F">
        <w:rPr>
          <w:rFonts w:eastAsia="Calibri"/>
        </w:rPr>
        <w:t>(Haas et al., 2011; Pearson &amp; Wilkinson, 2013)</w:t>
      </w:r>
      <w:r w:rsidR="004D51F5" w:rsidRPr="007C7EA1">
        <w:rPr>
          <w:rFonts w:eastAsia="Calibri"/>
        </w:rPr>
        <w:fldChar w:fldCharType="end"/>
      </w:r>
      <w:r>
        <w:rPr>
          <w:rFonts w:eastAsia="Calibri"/>
        </w:rPr>
        <w:t>,</w:t>
      </w:r>
      <w:r w:rsidR="004D51F5" w:rsidRPr="007C7EA1">
        <w:rPr>
          <w:rFonts w:eastAsia="Calibri"/>
        </w:rPr>
        <w:t xml:space="preserve"> cisgender SMY may not be the best comparator population for GMY. Comparing GMY to exclusively heterosexual cisgender youth, or to a nationally representative sample of cisgender heterosexual and SMY may have shown differences in family support and may have also shown an increase in the magnitude of association between depression severity and gender identity.</w:t>
      </w:r>
    </w:p>
    <w:p w14:paraId="2304F863" w14:textId="0F4A02C2" w:rsidR="00022C27" w:rsidRPr="007C7EA1" w:rsidRDefault="00022C27" w:rsidP="00022C27">
      <w:pPr>
        <w:spacing w:line="480" w:lineRule="auto"/>
        <w:ind w:firstLine="720"/>
        <w:rPr>
          <w:rFonts w:eastAsia="Calibri"/>
        </w:rPr>
      </w:pPr>
      <w:r>
        <w:rPr>
          <w:rFonts w:eastAsia="Calibri"/>
        </w:rPr>
        <w:t>The study also had several strengths. First, gender identity was measured using a “check all that apply” question with over 20 different genders listed, as well as a write-in option</w:t>
      </w:r>
      <w:r w:rsidR="00A602A7">
        <w:rPr>
          <w:rFonts w:eastAsia="Calibri"/>
        </w:rPr>
        <w:t>. This question was designed with community feedback and may have been able to identify a higher percentage of GMY than less culturally competent questions in other studies.</w:t>
      </w:r>
      <w:r>
        <w:rPr>
          <w:rFonts w:eastAsia="Calibri"/>
        </w:rPr>
        <w:t xml:space="preserve"> </w:t>
      </w:r>
      <w:r w:rsidR="00A602A7">
        <w:rPr>
          <w:rFonts w:eastAsia="Calibri"/>
        </w:rPr>
        <w:t>Additionally, t</w:t>
      </w:r>
      <w:r>
        <w:rPr>
          <w:rFonts w:eastAsia="Calibri"/>
        </w:rPr>
        <w:t xml:space="preserve">o the best of the author’s knowledge, this is the first study to assess associations between outness to family and depression severity, as well as the role of outness to family as a potential moderator of associations between family support and outness to family. </w:t>
      </w:r>
      <w:r w:rsidR="00A602A7">
        <w:rPr>
          <w:rFonts w:eastAsia="Calibri"/>
        </w:rPr>
        <w:t>Lastly, by assessing associations between family support and depression severity, this study adds to a small and emerging body of literature identifying the potential importance of family support in mitigating mental health disparities faced by GMY.</w:t>
      </w:r>
    </w:p>
    <w:p w14:paraId="10E36B4E" w14:textId="77777777" w:rsidR="004D51F5" w:rsidRPr="007C7EA1" w:rsidRDefault="004D51F5" w:rsidP="00032F79">
      <w:pPr>
        <w:pStyle w:val="Heading2"/>
      </w:pPr>
      <w:bookmarkStart w:id="21" w:name="_Toc39049747"/>
      <w:r w:rsidRPr="007C7EA1">
        <w:lastRenderedPageBreak/>
        <w:t>5.2 Future Directions</w:t>
      </w:r>
      <w:bookmarkEnd w:id="21"/>
    </w:p>
    <w:p w14:paraId="7F9837CB" w14:textId="5FA0BBDF" w:rsidR="004D51F5" w:rsidRPr="007C7EA1" w:rsidRDefault="004D51F5" w:rsidP="00032F79">
      <w:pPr>
        <w:spacing w:line="480" w:lineRule="auto"/>
        <w:ind w:firstLine="720"/>
        <w:rPr>
          <w:rFonts w:eastAsia="Calibri"/>
        </w:rPr>
      </w:pPr>
      <w:r w:rsidRPr="007C7EA1">
        <w:rPr>
          <w:rFonts w:eastAsia="Calibri"/>
        </w:rPr>
        <w:t xml:space="preserve">While </w:t>
      </w:r>
      <w:r w:rsidR="00651BCD" w:rsidRPr="007C7EA1">
        <w:rPr>
          <w:rFonts w:eastAsia="Calibri"/>
        </w:rPr>
        <w:t>epidemiological studies of family support and depression severity</w:t>
      </w:r>
      <w:r w:rsidRPr="007C7EA1">
        <w:rPr>
          <w:rFonts w:eastAsia="Calibri"/>
        </w:rPr>
        <w:t xml:space="preserve"> studies exist, population-level studies rarely measure gender identity in ways that gender minorities find affirming</w:t>
      </w:r>
      <w:r w:rsidR="00A602A7">
        <w:rPr>
          <w:rFonts w:eastAsia="Calibri"/>
        </w:rPr>
        <w:t xml:space="preserve"> </w:t>
      </w:r>
      <w:r w:rsidRPr="007C7EA1">
        <w:rPr>
          <w:rFonts w:eastAsia="Calibri"/>
        </w:rPr>
        <w:fldChar w:fldCharType="begin"/>
      </w:r>
      <w:r w:rsidR="009E526F">
        <w:rPr>
          <w:rFonts w:eastAsia="Calibri"/>
        </w:rPr>
        <w:instrText>ADDIN F1000_CSL_CITATION&lt;~#@#~&gt;[{"DOI":"10.13140/rg.2.2.13550.20802","First":false,"Last":false,"author":[{"family":"Temkin","given":"Deborah"},{"family":"Belford","given":"Jonathan"},{"family":"McDaniel","given":"Tyler"},{"family":"Stratford","given":"Brandon"},{"family":"Parris","given":"Dominique"}],"authorYearDisplayFormat":false,"citation-label":"8542230","container-title":"Child Trends, Inc.","container-title-short":"Child Trends, Inc.","id":"8542230","invisible":false,"issued":{"date-parts":[["2017"]]},"journalAbbreviation":"Child Trends, Inc.","suppress-author":false,"title":"Improving Measurement of Sexual Orientation and Gender Identity Among Middle and High School Students","type":"article-journal"},{"DOI":"10.1037/sgd0000266","First":false,"Last":false,"abstract":"In a survey of 19,385 U.S. high school students, we investigated which labels students used to describe their gender and sexual identities, and which of these labels were mentioned together. The survey offered five predefined categories for gender identity (male, female, trans male, trans female, or “different”), and four categories for sexual identity (heterosexual/straight, lesbian/gay, bisexual, or “other”). Adolescents were invited to provide their own labels if the offered categories did not adequately describe their identity. Most participants who opted to use the open-ended fields provided a single label, but some provided up to four. All open-ended responses were counted and subjected to a co-occurrence network analysis, where co-occurrence was defined as two labels being mentioned together by the same student. Analysis identified two distinct subnetworks or clusters: the first included primarily predefined traditional labels of gender identity and sexual identity, and the second included student-generated labels reported in the open-ended response fields, indicating that “different” gender identities and “other” sexual identities are often mentioned together. The use and implications of these labels are discussed. (PsycINFO Database Record (c) 2019 APA, all rights reserved)","author":[{"family":"White","given":"Arielle E."},{"family":"Moeller","given":"Julia"},{"family":"Ivcevic","given":"Zorana"},{"family":"Brackett","given":"Marc A."}],"authorYearDisplayFormat":false,"citation-label":"8542291","container-title":"Psychology of sexual orientation and gender diversity","container-title-short":"Psychol. Sex. Orientat. Gend. Divers.","id":"8542291","invisible":false,"issue":"2","issued":{"date-parts":[["2018","6"]]},"journalAbbreviation":"Psychol. Sex. Orientat. Gend. Divers.","page":"243-252","suppress-author":false,"title":"Gender identity and sexual identity labels used by U.S. high school students: A co-occurrence network analysis.","type":"article-journal","volume":"5"}]</w:instrText>
      </w:r>
      <w:r w:rsidRPr="007C7EA1">
        <w:rPr>
          <w:rFonts w:eastAsia="Calibri"/>
        </w:rPr>
        <w:fldChar w:fldCharType="separate"/>
      </w:r>
      <w:r w:rsidR="00F96D9F" w:rsidRPr="00F96D9F">
        <w:rPr>
          <w:rFonts w:eastAsia="Calibri"/>
        </w:rPr>
        <w:t>(Temkin, Belford, McDaniel, Stratford, &amp; Parris, 2017; White, Moeller, Ivcevic, &amp; Brackett, 2018)</w:t>
      </w:r>
      <w:r w:rsidRPr="007C7EA1">
        <w:rPr>
          <w:rFonts w:eastAsia="Calibri"/>
        </w:rPr>
        <w:fldChar w:fldCharType="end"/>
      </w:r>
      <w:r w:rsidR="00A602A7">
        <w:rPr>
          <w:rFonts w:eastAsia="Calibri"/>
        </w:rPr>
        <w:t>.</w:t>
      </w:r>
      <w:r w:rsidRPr="007C7EA1">
        <w:rPr>
          <w:rFonts w:eastAsia="Calibri"/>
        </w:rPr>
        <w:t xml:space="preserve">  Researchers should work in collaboration with GMY to develop culturally competent and developmentally appropriate measures of gender identity. Additionally, longitudinal research of family support and mental health outcomes among GMY is limited and urgently needed to better understand potential protective factors for mental health disparities. Future studies should also explore relationships between family support and other mental health outcomes, such as suicidality and anxiety. They should also examine relationships between outness to family, family support of gender identity, gender identity-based discrimination by family, and mental health outcomes. Future studies of interventions should explore opportunities to increase family support and assess potential effects on mental health of GMY. </w:t>
      </w:r>
    </w:p>
    <w:p w14:paraId="0475C456" w14:textId="79BBE74B" w:rsidR="004D51F5" w:rsidRPr="007C7EA1" w:rsidRDefault="00A602A7" w:rsidP="00032F79">
      <w:pPr>
        <w:spacing w:line="480" w:lineRule="auto"/>
        <w:ind w:firstLine="720"/>
        <w:rPr>
          <w:rFonts w:eastAsia="Calibri"/>
        </w:rPr>
      </w:pPr>
      <w:r>
        <w:rPr>
          <w:rFonts w:eastAsia="Calibri"/>
        </w:rPr>
        <w:t>T</w:t>
      </w:r>
      <w:r w:rsidR="004D51F5" w:rsidRPr="007C7EA1">
        <w:rPr>
          <w:rFonts w:eastAsia="Calibri"/>
        </w:rPr>
        <w:t xml:space="preserve">his study adds to a growing body of evidence demonstrating the connection between family support and depression severity among GMY. The public health significance of this work relates to the exceptionally high disparities in mental health experienced by GMY. Further research in this field can help identify the causes of these disparities, as well as ways to ameliorate them. </w:t>
      </w:r>
    </w:p>
    <w:p w14:paraId="0DA188C4" w14:textId="77777777" w:rsidR="003131F4" w:rsidRDefault="003131F4" w:rsidP="00993E20">
      <w:pPr>
        <w:widowControl w:val="0"/>
        <w:autoSpaceDE w:val="0"/>
        <w:autoSpaceDN w:val="0"/>
        <w:adjustRightInd w:val="0"/>
        <w:spacing w:line="480" w:lineRule="auto"/>
      </w:pPr>
    </w:p>
    <w:p w14:paraId="40DC3082" w14:textId="38D82BF9" w:rsidR="00FE5727" w:rsidRPr="007C7EA1" w:rsidRDefault="00FE5727" w:rsidP="00993E20">
      <w:pPr>
        <w:widowControl w:val="0"/>
        <w:autoSpaceDE w:val="0"/>
        <w:autoSpaceDN w:val="0"/>
        <w:adjustRightInd w:val="0"/>
        <w:spacing w:line="480" w:lineRule="auto"/>
        <w:sectPr w:rsidR="00FE5727" w:rsidRPr="007C7EA1" w:rsidSect="007779AA">
          <w:headerReference w:type="default" r:id="rId11"/>
          <w:footerReference w:type="even" r:id="rId12"/>
          <w:footerReference w:type="default" r:id="rId13"/>
          <w:pgSz w:w="12240" w:h="15840"/>
          <w:pgMar w:top="1440" w:right="1440" w:bottom="1440" w:left="1440" w:header="720" w:footer="720" w:gutter="0"/>
          <w:pgNumType w:start="1"/>
          <w:cols w:space="720"/>
          <w:titlePg/>
          <w:docGrid w:linePitch="360"/>
        </w:sectPr>
      </w:pPr>
    </w:p>
    <w:p w14:paraId="448CF38F" w14:textId="1FCAE890" w:rsidR="000C652F" w:rsidRPr="007C7EA1" w:rsidRDefault="000C652F" w:rsidP="000C652F">
      <w:pPr>
        <w:pStyle w:val="Heading"/>
      </w:pPr>
      <w:bookmarkStart w:id="22" w:name="_Toc39049748"/>
      <w:r w:rsidRPr="000C652F">
        <w:rPr>
          <w:b/>
        </w:rPr>
        <w:lastRenderedPageBreak/>
        <w:t>Appendix A Table</w:t>
      </w:r>
      <w:r>
        <w:t>s</w:t>
      </w:r>
      <w:bookmarkEnd w:id="22"/>
    </w:p>
    <w:p w14:paraId="07EE9DC0" w14:textId="68267350" w:rsidR="000C652F" w:rsidRDefault="000C652F" w:rsidP="003131F4">
      <w:pPr>
        <w:rPr>
          <w:b/>
          <w:bCs/>
        </w:rPr>
      </w:pPr>
    </w:p>
    <w:p w14:paraId="2622B67B" w14:textId="000EED68" w:rsidR="000C652F" w:rsidRPr="00D24938" w:rsidRDefault="000C652F" w:rsidP="000C652F">
      <w:pPr>
        <w:pStyle w:val="Caption"/>
        <w:rPr>
          <w:b/>
          <w:bCs/>
          <w:i w:val="0"/>
          <w:color w:val="auto"/>
          <w:sz w:val="22"/>
          <w:szCs w:val="22"/>
        </w:rPr>
      </w:pPr>
      <w:bookmarkStart w:id="23" w:name="_Toc39049226"/>
      <w:r w:rsidRPr="00D24938">
        <w:rPr>
          <w:b/>
          <w:i w:val="0"/>
          <w:color w:val="auto"/>
          <w:sz w:val="22"/>
          <w:szCs w:val="22"/>
        </w:rPr>
        <w:t xml:space="preserve">Table </w:t>
      </w:r>
      <w:r w:rsidRPr="00D24938">
        <w:rPr>
          <w:b/>
          <w:i w:val="0"/>
          <w:color w:val="auto"/>
          <w:sz w:val="22"/>
          <w:szCs w:val="22"/>
        </w:rPr>
        <w:fldChar w:fldCharType="begin"/>
      </w:r>
      <w:r w:rsidRPr="00D24938">
        <w:rPr>
          <w:b/>
          <w:i w:val="0"/>
          <w:color w:val="auto"/>
          <w:sz w:val="22"/>
          <w:szCs w:val="22"/>
        </w:rPr>
        <w:instrText xml:space="preserve"> SEQ Table \* ARABIC </w:instrText>
      </w:r>
      <w:r w:rsidRPr="00D24938">
        <w:rPr>
          <w:b/>
          <w:i w:val="0"/>
          <w:color w:val="auto"/>
          <w:sz w:val="22"/>
          <w:szCs w:val="22"/>
        </w:rPr>
        <w:fldChar w:fldCharType="separate"/>
      </w:r>
      <w:r w:rsidR="00D24938">
        <w:rPr>
          <w:b/>
          <w:i w:val="0"/>
          <w:noProof/>
          <w:color w:val="auto"/>
          <w:sz w:val="22"/>
          <w:szCs w:val="22"/>
        </w:rPr>
        <w:t>1</w:t>
      </w:r>
      <w:r w:rsidRPr="00D24938">
        <w:rPr>
          <w:b/>
          <w:i w:val="0"/>
          <w:color w:val="auto"/>
          <w:sz w:val="22"/>
          <w:szCs w:val="22"/>
        </w:rPr>
        <w:fldChar w:fldCharType="end"/>
      </w:r>
      <w:r w:rsidRPr="00D24938">
        <w:rPr>
          <w:b/>
          <w:i w:val="0"/>
          <w:color w:val="auto"/>
          <w:sz w:val="22"/>
          <w:szCs w:val="22"/>
        </w:rPr>
        <w:t xml:space="preserve"> Demographic Characteristics by Gender Identity</w:t>
      </w:r>
      <w:bookmarkEnd w:id="23"/>
    </w:p>
    <w:tbl>
      <w:tblPr>
        <w:tblW w:w="0" w:type="auto"/>
        <w:tblCellMar>
          <w:top w:w="15" w:type="dxa"/>
          <w:left w:w="15" w:type="dxa"/>
          <w:bottom w:w="15" w:type="dxa"/>
          <w:right w:w="15" w:type="dxa"/>
        </w:tblCellMar>
        <w:tblLook w:val="04A0" w:firstRow="1" w:lastRow="0" w:firstColumn="1" w:lastColumn="0" w:noHBand="0" w:noVBand="1"/>
      </w:tblPr>
      <w:tblGrid>
        <w:gridCol w:w="2464"/>
        <w:gridCol w:w="1236"/>
        <w:gridCol w:w="1541"/>
        <w:gridCol w:w="1004"/>
        <w:gridCol w:w="786"/>
      </w:tblGrid>
      <w:tr w:rsidR="003131F4" w:rsidRPr="007C7EA1" w14:paraId="0C8295FD" w14:textId="77777777" w:rsidTr="003131F4">
        <w:tc>
          <w:tcPr>
            <w:tcW w:w="0" w:type="auto"/>
            <w:tcBorders>
              <w:bottom w:val="single" w:sz="8" w:space="0" w:color="000000"/>
            </w:tcBorders>
            <w:tcMar>
              <w:top w:w="28" w:type="dxa"/>
              <w:left w:w="28" w:type="dxa"/>
              <w:bottom w:w="28" w:type="dxa"/>
              <w:right w:w="28" w:type="dxa"/>
            </w:tcMar>
            <w:hideMark/>
          </w:tcPr>
          <w:p w14:paraId="328DD9B2" w14:textId="77777777" w:rsidR="003131F4" w:rsidRPr="007C7EA1" w:rsidRDefault="003131F4" w:rsidP="003131F4"/>
        </w:tc>
        <w:tc>
          <w:tcPr>
            <w:tcW w:w="0" w:type="auto"/>
            <w:tcBorders>
              <w:bottom w:val="single" w:sz="8" w:space="0" w:color="000000"/>
            </w:tcBorders>
            <w:tcMar>
              <w:top w:w="28" w:type="dxa"/>
              <w:left w:w="28" w:type="dxa"/>
              <w:bottom w:w="28" w:type="dxa"/>
              <w:right w:w="28" w:type="dxa"/>
            </w:tcMar>
            <w:hideMark/>
          </w:tcPr>
          <w:p w14:paraId="06E556A3" w14:textId="77777777" w:rsidR="003131F4" w:rsidRPr="007C7EA1" w:rsidRDefault="003131F4" w:rsidP="003131F4">
            <w:r w:rsidRPr="007C7EA1">
              <w:rPr>
                <w:color w:val="000000"/>
                <w:sz w:val="22"/>
                <w:szCs w:val="22"/>
              </w:rPr>
              <w:t>Total Sample</w:t>
            </w:r>
          </w:p>
          <w:p w14:paraId="27395DF1" w14:textId="77777777" w:rsidR="003131F4" w:rsidRPr="007C7EA1" w:rsidRDefault="003131F4" w:rsidP="003131F4">
            <w:r w:rsidRPr="007C7EA1">
              <w:rPr>
                <w:color w:val="000000"/>
                <w:sz w:val="22"/>
                <w:szCs w:val="22"/>
              </w:rPr>
              <w:t>n=240</w:t>
            </w:r>
          </w:p>
        </w:tc>
        <w:tc>
          <w:tcPr>
            <w:tcW w:w="0" w:type="auto"/>
            <w:tcBorders>
              <w:bottom w:val="single" w:sz="8" w:space="0" w:color="000000"/>
            </w:tcBorders>
            <w:tcMar>
              <w:top w:w="28" w:type="dxa"/>
              <w:left w:w="28" w:type="dxa"/>
              <w:bottom w:w="28" w:type="dxa"/>
              <w:right w:w="28" w:type="dxa"/>
            </w:tcMar>
            <w:hideMark/>
          </w:tcPr>
          <w:p w14:paraId="5ED5BF44" w14:textId="77777777" w:rsidR="003131F4" w:rsidRPr="007C7EA1" w:rsidRDefault="003131F4" w:rsidP="003131F4">
            <w:r w:rsidRPr="007C7EA1">
              <w:rPr>
                <w:color w:val="000000"/>
                <w:sz w:val="22"/>
                <w:szCs w:val="22"/>
              </w:rPr>
              <w:t>Gender Minority</w:t>
            </w:r>
          </w:p>
          <w:p w14:paraId="49176FF1" w14:textId="77777777" w:rsidR="003131F4" w:rsidRPr="007C7EA1" w:rsidRDefault="003131F4" w:rsidP="003131F4">
            <w:r w:rsidRPr="007C7EA1">
              <w:rPr>
                <w:color w:val="000000"/>
                <w:sz w:val="22"/>
                <w:szCs w:val="22"/>
              </w:rPr>
              <w:t>n=118</w:t>
            </w:r>
          </w:p>
        </w:tc>
        <w:tc>
          <w:tcPr>
            <w:tcW w:w="0" w:type="auto"/>
            <w:tcBorders>
              <w:bottom w:val="single" w:sz="8" w:space="0" w:color="000000"/>
            </w:tcBorders>
            <w:tcMar>
              <w:top w:w="28" w:type="dxa"/>
              <w:left w:w="28" w:type="dxa"/>
              <w:bottom w:w="28" w:type="dxa"/>
              <w:right w:w="28" w:type="dxa"/>
            </w:tcMar>
            <w:hideMark/>
          </w:tcPr>
          <w:p w14:paraId="232E3B08" w14:textId="77777777" w:rsidR="003131F4" w:rsidRPr="007C7EA1" w:rsidRDefault="003131F4" w:rsidP="003131F4">
            <w:r w:rsidRPr="007C7EA1">
              <w:rPr>
                <w:color w:val="000000"/>
                <w:sz w:val="22"/>
                <w:szCs w:val="22"/>
              </w:rPr>
              <w:t>Cisgender </w:t>
            </w:r>
          </w:p>
          <w:p w14:paraId="3F9B6A83" w14:textId="77777777" w:rsidR="003131F4" w:rsidRPr="007C7EA1" w:rsidRDefault="003131F4" w:rsidP="003131F4">
            <w:r w:rsidRPr="007C7EA1">
              <w:rPr>
                <w:color w:val="000000"/>
                <w:sz w:val="22"/>
                <w:szCs w:val="22"/>
              </w:rPr>
              <w:t>n=122</w:t>
            </w:r>
          </w:p>
        </w:tc>
        <w:tc>
          <w:tcPr>
            <w:tcW w:w="0" w:type="auto"/>
            <w:tcBorders>
              <w:bottom w:val="single" w:sz="8" w:space="0" w:color="000000"/>
            </w:tcBorders>
            <w:tcMar>
              <w:top w:w="28" w:type="dxa"/>
              <w:left w:w="28" w:type="dxa"/>
              <w:bottom w:w="28" w:type="dxa"/>
              <w:right w:w="28" w:type="dxa"/>
            </w:tcMar>
            <w:hideMark/>
          </w:tcPr>
          <w:p w14:paraId="4851FDCE" w14:textId="77777777" w:rsidR="003131F4" w:rsidRPr="007C7EA1" w:rsidRDefault="003131F4" w:rsidP="003131F4">
            <w:r w:rsidRPr="007C7EA1">
              <w:rPr>
                <w:color w:val="000000"/>
                <w:sz w:val="22"/>
                <w:szCs w:val="22"/>
              </w:rPr>
              <w:t>p-value</w:t>
            </w:r>
          </w:p>
        </w:tc>
      </w:tr>
      <w:tr w:rsidR="003131F4" w:rsidRPr="007C7EA1" w14:paraId="623029EA" w14:textId="77777777" w:rsidTr="003131F4">
        <w:tc>
          <w:tcPr>
            <w:tcW w:w="0" w:type="auto"/>
            <w:tcBorders>
              <w:top w:val="single" w:sz="8" w:space="0" w:color="000000"/>
            </w:tcBorders>
            <w:tcMar>
              <w:top w:w="28" w:type="dxa"/>
              <w:left w:w="28" w:type="dxa"/>
              <w:bottom w:w="28" w:type="dxa"/>
              <w:right w:w="28" w:type="dxa"/>
            </w:tcMar>
            <w:hideMark/>
          </w:tcPr>
          <w:p w14:paraId="08C0CFB3" w14:textId="77777777" w:rsidR="003131F4" w:rsidRPr="007C7EA1" w:rsidRDefault="003131F4" w:rsidP="003131F4">
            <w:r w:rsidRPr="007C7EA1">
              <w:rPr>
                <w:color w:val="000000"/>
                <w:sz w:val="22"/>
                <w:szCs w:val="22"/>
              </w:rPr>
              <w:t>Age in years</w:t>
            </w:r>
          </w:p>
        </w:tc>
        <w:tc>
          <w:tcPr>
            <w:tcW w:w="0" w:type="auto"/>
            <w:tcBorders>
              <w:top w:val="single" w:sz="8" w:space="0" w:color="000000"/>
            </w:tcBorders>
            <w:tcMar>
              <w:top w:w="28" w:type="dxa"/>
              <w:left w:w="28" w:type="dxa"/>
              <w:bottom w:w="28" w:type="dxa"/>
              <w:right w:w="28" w:type="dxa"/>
            </w:tcMar>
            <w:hideMark/>
          </w:tcPr>
          <w:p w14:paraId="67ECAFC3" w14:textId="77777777" w:rsidR="003131F4" w:rsidRPr="007C7EA1" w:rsidRDefault="003131F4" w:rsidP="003131F4">
            <w:r w:rsidRPr="007C7EA1">
              <w:rPr>
                <w:color w:val="000000"/>
                <w:sz w:val="22"/>
                <w:szCs w:val="22"/>
              </w:rPr>
              <w:t>15.8 ± 1.1</w:t>
            </w:r>
          </w:p>
        </w:tc>
        <w:tc>
          <w:tcPr>
            <w:tcW w:w="0" w:type="auto"/>
            <w:tcBorders>
              <w:top w:val="single" w:sz="8" w:space="0" w:color="000000"/>
            </w:tcBorders>
            <w:tcMar>
              <w:top w:w="28" w:type="dxa"/>
              <w:left w:w="28" w:type="dxa"/>
              <w:bottom w:w="28" w:type="dxa"/>
              <w:right w:w="28" w:type="dxa"/>
            </w:tcMar>
            <w:hideMark/>
          </w:tcPr>
          <w:p w14:paraId="7E1FAC58" w14:textId="0F5484EB" w:rsidR="003131F4" w:rsidRPr="007C7EA1" w:rsidRDefault="003131F4" w:rsidP="003131F4">
            <w:r w:rsidRPr="007C7EA1">
              <w:rPr>
                <w:color w:val="000000"/>
                <w:sz w:val="22"/>
                <w:szCs w:val="22"/>
              </w:rPr>
              <w:t>15.7 ± 1.1</w:t>
            </w:r>
          </w:p>
        </w:tc>
        <w:tc>
          <w:tcPr>
            <w:tcW w:w="0" w:type="auto"/>
            <w:tcBorders>
              <w:top w:val="single" w:sz="8" w:space="0" w:color="000000"/>
            </w:tcBorders>
            <w:tcMar>
              <w:top w:w="28" w:type="dxa"/>
              <w:left w:w="28" w:type="dxa"/>
              <w:bottom w:w="28" w:type="dxa"/>
              <w:right w:w="28" w:type="dxa"/>
            </w:tcMar>
            <w:hideMark/>
          </w:tcPr>
          <w:p w14:paraId="2023AA60" w14:textId="77777777" w:rsidR="003131F4" w:rsidRPr="007C7EA1" w:rsidRDefault="003131F4" w:rsidP="003131F4">
            <w:r w:rsidRPr="007C7EA1">
              <w:rPr>
                <w:color w:val="000000"/>
                <w:sz w:val="22"/>
                <w:szCs w:val="22"/>
              </w:rPr>
              <w:t>15.8 ± 1.1</w:t>
            </w:r>
          </w:p>
        </w:tc>
        <w:tc>
          <w:tcPr>
            <w:tcW w:w="0" w:type="auto"/>
            <w:tcBorders>
              <w:top w:val="single" w:sz="8" w:space="0" w:color="000000"/>
            </w:tcBorders>
            <w:tcMar>
              <w:top w:w="28" w:type="dxa"/>
              <w:left w:w="28" w:type="dxa"/>
              <w:bottom w:w="28" w:type="dxa"/>
              <w:right w:w="28" w:type="dxa"/>
            </w:tcMar>
            <w:hideMark/>
          </w:tcPr>
          <w:p w14:paraId="134BE8D7" w14:textId="77777777" w:rsidR="003131F4" w:rsidRPr="007C7EA1" w:rsidRDefault="003131F4" w:rsidP="003131F4">
            <w:r w:rsidRPr="007C7EA1">
              <w:rPr>
                <w:color w:val="000000"/>
                <w:sz w:val="22"/>
                <w:szCs w:val="22"/>
              </w:rPr>
              <w:t>0.27</w:t>
            </w:r>
          </w:p>
        </w:tc>
      </w:tr>
      <w:tr w:rsidR="003131F4" w:rsidRPr="007C7EA1" w14:paraId="6F654DDE" w14:textId="77777777" w:rsidTr="003131F4">
        <w:tc>
          <w:tcPr>
            <w:tcW w:w="0" w:type="auto"/>
            <w:tcMar>
              <w:top w:w="28" w:type="dxa"/>
              <w:left w:w="28" w:type="dxa"/>
              <w:bottom w:w="28" w:type="dxa"/>
              <w:right w:w="28" w:type="dxa"/>
            </w:tcMar>
            <w:hideMark/>
          </w:tcPr>
          <w:p w14:paraId="6CC4DD7B" w14:textId="77777777" w:rsidR="003131F4" w:rsidRPr="007C7EA1" w:rsidRDefault="003131F4" w:rsidP="003131F4">
            <w:r w:rsidRPr="007C7EA1">
              <w:rPr>
                <w:color w:val="000000"/>
                <w:sz w:val="22"/>
                <w:szCs w:val="22"/>
              </w:rPr>
              <w:t>Race/Ethnicity </w:t>
            </w:r>
          </w:p>
        </w:tc>
        <w:tc>
          <w:tcPr>
            <w:tcW w:w="0" w:type="auto"/>
            <w:tcMar>
              <w:top w:w="28" w:type="dxa"/>
              <w:left w:w="28" w:type="dxa"/>
              <w:bottom w:w="28" w:type="dxa"/>
              <w:right w:w="28" w:type="dxa"/>
            </w:tcMar>
            <w:hideMark/>
          </w:tcPr>
          <w:p w14:paraId="5771B1F7" w14:textId="77777777" w:rsidR="003131F4" w:rsidRPr="007C7EA1" w:rsidRDefault="003131F4" w:rsidP="003131F4"/>
        </w:tc>
        <w:tc>
          <w:tcPr>
            <w:tcW w:w="0" w:type="auto"/>
            <w:tcMar>
              <w:top w:w="28" w:type="dxa"/>
              <w:left w:w="28" w:type="dxa"/>
              <w:bottom w:w="28" w:type="dxa"/>
              <w:right w:w="28" w:type="dxa"/>
            </w:tcMar>
            <w:hideMark/>
          </w:tcPr>
          <w:p w14:paraId="3FC53B5B" w14:textId="77777777" w:rsidR="003131F4" w:rsidRPr="007C7EA1" w:rsidRDefault="003131F4" w:rsidP="003131F4"/>
        </w:tc>
        <w:tc>
          <w:tcPr>
            <w:tcW w:w="0" w:type="auto"/>
            <w:tcMar>
              <w:top w:w="28" w:type="dxa"/>
              <w:left w:w="28" w:type="dxa"/>
              <w:bottom w:w="28" w:type="dxa"/>
              <w:right w:w="28" w:type="dxa"/>
            </w:tcMar>
            <w:hideMark/>
          </w:tcPr>
          <w:p w14:paraId="0C82D7BF" w14:textId="77777777" w:rsidR="003131F4" w:rsidRPr="007C7EA1" w:rsidRDefault="003131F4" w:rsidP="003131F4"/>
        </w:tc>
        <w:tc>
          <w:tcPr>
            <w:tcW w:w="0" w:type="auto"/>
            <w:tcMar>
              <w:top w:w="28" w:type="dxa"/>
              <w:left w:w="28" w:type="dxa"/>
              <w:bottom w:w="28" w:type="dxa"/>
              <w:right w:w="28" w:type="dxa"/>
            </w:tcMar>
            <w:hideMark/>
          </w:tcPr>
          <w:p w14:paraId="129B6B05" w14:textId="77777777" w:rsidR="003131F4" w:rsidRPr="007C7EA1" w:rsidRDefault="003131F4" w:rsidP="003131F4">
            <w:r w:rsidRPr="007C7EA1">
              <w:rPr>
                <w:color w:val="000000"/>
                <w:sz w:val="22"/>
                <w:szCs w:val="22"/>
              </w:rPr>
              <w:t>0.21</w:t>
            </w:r>
          </w:p>
        </w:tc>
      </w:tr>
      <w:tr w:rsidR="003131F4" w:rsidRPr="007C7EA1" w14:paraId="0D648FD4" w14:textId="77777777" w:rsidTr="003131F4">
        <w:tc>
          <w:tcPr>
            <w:tcW w:w="0" w:type="auto"/>
            <w:tcMar>
              <w:top w:w="28" w:type="dxa"/>
              <w:left w:w="28" w:type="dxa"/>
              <w:bottom w:w="28" w:type="dxa"/>
              <w:right w:w="28" w:type="dxa"/>
            </w:tcMar>
            <w:hideMark/>
          </w:tcPr>
          <w:p w14:paraId="1C69408D" w14:textId="77777777" w:rsidR="003131F4" w:rsidRPr="007C7EA1" w:rsidRDefault="003131F4" w:rsidP="003131F4">
            <w:r w:rsidRPr="007C7EA1">
              <w:rPr>
                <w:color w:val="000000"/>
                <w:sz w:val="22"/>
                <w:szCs w:val="22"/>
              </w:rPr>
              <w:t>  White</w:t>
            </w:r>
          </w:p>
        </w:tc>
        <w:tc>
          <w:tcPr>
            <w:tcW w:w="0" w:type="auto"/>
            <w:tcMar>
              <w:top w:w="28" w:type="dxa"/>
              <w:left w:w="28" w:type="dxa"/>
              <w:bottom w:w="28" w:type="dxa"/>
              <w:right w:w="28" w:type="dxa"/>
            </w:tcMar>
            <w:hideMark/>
          </w:tcPr>
          <w:p w14:paraId="0CDE214A" w14:textId="77777777" w:rsidR="003131F4" w:rsidRPr="007C7EA1" w:rsidRDefault="003131F4" w:rsidP="003131F4">
            <w:r w:rsidRPr="007C7EA1">
              <w:rPr>
                <w:color w:val="000000"/>
                <w:sz w:val="22"/>
                <w:szCs w:val="22"/>
              </w:rPr>
              <w:t>149 (62.1)</w:t>
            </w:r>
          </w:p>
        </w:tc>
        <w:tc>
          <w:tcPr>
            <w:tcW w:w="0" w:type="auto"/>
            <w:tcMar>
              <w:top w:w="28" w:type="dxa"/>
              <w:left w:w="28" w:type="dxa"/>
              <w:bottom w:w="28" w:type="dxa"/>
              <w:right w:w="28" w:type="dxa"/>
            </w:tcMar>
            <w:hideMark/>
          </w:tcPr>
          <w:p w14:paraId="40AFD2F9" w14:textId="77777777" w:rsidR="003131F4" w:rsidRPr="007C7EA1" w:rsidRDefault="003131F4" w:rsidP="003131F4">
            <w:r w:rsidRPr="007C7EA1">
              <w:rPr>
                <w:color w:val="000000"/>
                <w:sz w:val="22"/>
                <w:szCs w:val="22"/>
              </w:rPr>
              <w:t>81 (68.6)</w:t>
            </w:r>
          </w:p>
        </w:tc>
        <w:tc>
          <w:tcPr>
            <w:tcW w:w="0" w:type="auto"/>
            <w:tcMar>
              <w:top w:w="28" w:type="dxa"/>
              <w:left w:w="28" w:type="dxa"/>
              <w:bottom w:w="28" w:type="dxa"/>
              <w:right w:w="28" w:type="dxa"/>
            </w:tcMar>
            <w:hideMark/>
          </w:tcPr>
          <w:p w14:paraId="343D720D" w14:textId="77777777" w:rsidR="003131F4" w:rsidRPr="007C7EA1" w:rsidRDefault="003131F4" w:rsidP="003131F4">
            <w:r w:rsidRPr="007C7EA1">
              <w:rPr>
                <w:color w:val="000000"/>
                <w:sz w:val="22"/>
                <w:szCs w:val="22"/>
              </w:rPr>
              <w:t>68 (55.7)</w:t>
            </w:r>
          </w:p>
        </w:tc>
        <w:tc>
          <w:tcPr>
            <w:tcW w:w="0" w:type="auto"/>
            <w:tcMar>
              <w:top w:w="28" w:type="dxa"/>
              <w:left w:w="28" w:type="dxa"/>
              <w:bottom w:w="28" w:type="dxa"/>
              <w:right w:w="28" w:type="dxa"/>
            </w:tcMar>
            <w:hideMark/>
          </w:tcPr>
          <w:p w14:paraId="344D1D29" w14:textId="77777777" w:rsidR="003131F4" w:rsidRPr="007C7EA1" w:rsidRDefault="003131F4" w:rsidP="003131F4"/>
        </w:tc>
      </w:tr>
      <w:tr w:rsidR="003131F4" w:rsidRPr="007C7EA1" w14:paraId="6A5A1A49" w14:textId="77777777" w:rsidTr="003131F4">
        <w:tc>
          <w:tcPr>
            <w:tcW w:w="0" w:type="auto"/>
            <w:tcMar>
              <w:top w:w="28" w:type="dxa"/>
              <w:left w:w="28" w:type="dxa"/>
              <w:bottom w:w="28" w:type="dxa"/>
              <w:right w:w="28" w:type="dxa"/>
            </w:tcMar>
            <w:hideMark/>
          </w:tcPr>
          <w:p w14:paraId="65EE7B00" w14:textId="77777777" w:rsidR="003131F4" w:rsidRPr="007C7EA1" w:rsidRDefault="003131F4" w:rsidP="003131F4">
            <w:r w:rsidRPr="007C7EA1">
              <w:rPr>
                <w:color w:val="000000"/>
                <w:sz w:val="22"/>
                <w:szCs w:val="22"/>
              </w:rPr>
              <w:t>  Latinx</w:t>
            </w:r>
          </w:p>
        </w:tc>
        <w:tc>
          <w:tcPr>
            <w:tcW w:w="0" w:type="auto"/>
            <w:tcMar>
              <w:top w:w="28" w:type="dxa"/>
              <w:left w:w="28" w:type="dxa"/>
              <w:bottom w:w="28" w:type="dxa"/>
              <w:right w:w="28" w:type="dxa"/>
            </w:tcMar>
            <w:hideMark/>
          </w:tcPr>
          <w:p w14:paraId="08F197AE" w14:textId="77777777" w:rsidR="003131F4" w:rsidRPr="007C7EA1" w:rsidRDefault="003131F4" w:rsidP="003131F4">
            <w:r w:rsidRPr="007C7EA1">
              <w:rPr>
                <w:color w:val="000000"/>
                <w:sz w:val="22"/>
                <w:szCs w:val="22"/>
              </w:rPr>
              <w:t>50 (20.1)</w:t>
            </w:r>
          </w:p>
        </w:tc>
        <w:tc>
          <w:tcPr>
            <w:tcW w:w="0" w:type="auto"/>
            <w:tcMar>
              <w:top w:w="28" w:type="dxa"/>
              <w:left w:w="28" w:type="dxa"/>
              <w:bottom w:w="28" w:type="dxa"/>
              <w:right w:w="28" w:type="dxa"/>
            </w:tcMar>
            <w:hideMark/>
          </w:tcPr>
          <w:p w14:paraId="3754982C" w14:textId="77777777" w:rsidR="003131F4" w:rsidRPr="007C7EA1" w:rsidRDefault="003131F4" w:rsidP="003131F4">
            <w:r w:rsidRPr="007C7EA1">
              <w:rPr>
                <w:color w:val="000000"/>
                <w:sz w:val="22"/>
                <w:szCs w:val="22"/>
              </w:rPr>
              <w:t>18 (15.3)</w:t>
            </w:r>
          </w:p>
        </w:tc>
        <w:tc>
          <w:tcPr>
            <w:tcW w:w="0" w:type="auto"/>
            <w:tcMar>
              <w:top w:w="28" w:type="dxa"/>
              <w:left w:w="28" w:type="dxa"/>
              <w:bottom w:w="28" w:type="dxa"/>
              <w:right w:w="28" w:type="dxa"/>
            </w:tcMar>
            <w:hideMark/>
          </w:tcPr>
          <w:p w14:paraId="435E9F09" w14:textId="77777777" w:rsidR="003131F4" w:rsidRPr="007C7EA1" w:rsidRDefault="003131F4" w:rsidP="003131F4">
            <w:r w:rsidRPr="007C7EA1">
              <w:rPr>
                <w:color w:val="000000"/>
                <w:sz w:val="22"/>
                <w:szCs w:val="22"/>
              </w:rPr>
              <w:t>32 (26.2)</w:t>
            </w:r>
          </w:p>
        </w:tc>
        <w:tc>
          <w:tcPr>
            <w:tcW w:w="0" w:type="auto"/>
            <w:tcMar>
              <w:top w:w="28" w:type="dxa"/>
              <w:left w:w="28" w:type="dxa"/>
              <w:bottom w:w="28" w:type="dxa"/>
              <w:right w:w="28" w:type="dxa"/>
            </w:tcMar>
            <w:hideMark/>
          </w:tcPr>
          <w:p w14:paraId="2007E7F3" w14:textId="77777777" w:rsidR="003131F4" w:rsidRPr="007C7EA1" w:rsidRDefault="003131F4" w:rsidP="003131F4"/>
        </w:tc>
      </w:tr>
      <w:tr w:rsidR="003131F4" w:rsidRPr="007C7EA1" w14:paraId="0EF7573D" w14:textId="77777777" w:rsidTr="003131F4">
        <w:tc>
          <w:tcPr>
            <w:tcW w:w="0" w:type="auto"/>
            <w:tcMar>
              <w:top w:w="28" w:type="dxa"/>
              <w:left w:w="28" w:type="dxa"/>
              <w:bottom w:w="28" w:type="dxa"/>
              <w:right w:w="28" w:type="dxa"/>
            </w:tcMar>
            <w:hideMark/>
          </w:tcPr>
          <w:p w14:paraId="1DAF4786" w14:textId="77777777" w:rsidR="003131F4" w:rsidRPr="007C7EA1" w:rsidRDefault="003131F4" w:rsidP="003131F4">
            <w:r w:rsidRPr="007C7EA1">
              <w:rPr>
                <w:color w:val="000000"/>
                <w:sz w:val="22"/>
                <w:szCs w:val="22"/>
              </w:rPr>
              <w:t>  Asian or Pacific Islander</w:t>
            </w:r>
          </w:p>
        </w:tc>
        <w:tc>
          <w:tcPr>
            <w:tcW w:w="0" w:type="auto"/>
            <w:tcMar>
              <w:top w:w="28" w:type="dxa"/>
              <w:left w:w="28" w:type="dxa"/>
              <w:bottom w:w="28" w:type="dxa"/>
              <w:right w:w="28" w:type="dxa"/>
            </w:tcMar>
            <w:hideMark/>
          </w:tcPr>
          <w:p w14:paraId="6857B3D2" w14:textId="77777777" w:rsidR="003131F4" w:rsidRPr="007C7EA1" w:rsidRDefault="003131F4" w:rsidP="003131F4">
            <w:r w:rsidRPr="007C7EA1">
              <w:rPr>
                <w:color w:val="000000"/>
                <w:sz w:val="22"/>
                <w:szCs w:val="22"/>
              </w:rPr>
              <w:t>9 (3.8)</w:t>
            </w:r>
          </w:p>
        </w:tc>
        <w:tc>
          <w:tcPr>
            <w:tcW w:w="0" w:type="auto"/>
            <w:tcMar>
              <w:top w:w="28" w:type="dxa"/>
              <w:left w:w="28" w:type="dxa"/>
              <w:bottom w:w="28" w:type="dxa"/>
              <w:right w:w="28" w:type="dxa"/>
            </w:tcMar>
            <w:hideMark/>
          </w:tcPr>
          <w:p w14:paraId="079A7ED2" w14:textId="77777777" w:rsidR="003131F4" w:rsidRPr="007C7EA1" w:rsidRDefault="003131F4" w:rsidP="003131F4">
            <w:r w:rsidRPr="007C7EA1">
              <w:rPr>
                <w:color w:val="000000"/>
                <w:sz w:val="22"/>
                <w:szCs w:val="22"/>
              </w:rPr>
              <w:t>5 (4.2)</w:t>
            </w:r>
          </w:p>
        </w:tc>
        <w:tc>
          <w:tcPr>
            <w:tcW w:w="0" w:type="auto"/>
            <w:tcMar>
              <w:top w:w="28" w:type="dxa"/>
              <w:left w:w="28" w:type="dxa"/>
              <w:bottom w:w="28" w:type="dxa"/>
              <w:right w:w="28" w:type="dxa"/>
            </w:tcMar>
            <w:hideMark/>
          </w:tcPr>
          <w:p w14:paraId="4CFFF79C" w14:textId="77777777" w:rsidR="003131F4" w:rsidRPr="007C7EA1" w:rsidRDefault="003131F4" w:rsidP="003131F4">
            <w:r w:rsidRPr="007C7EA1">
              <w:rPr>
                <w:color w:val="000000"/>
                <w:sz w:val="22"/>
                <w:szCs w:val="22"/>
              </w:rPr>
              <w:t>4 (3.3)</w:t>
            </w:r>
          </w:p>
        </w:tc>
        <w:tc>
          <w:tcPr>
            <w:tcW w:w="0" w:type="auto"/>
            <w:tcMar>
              <w:top w:w="28" w:type="dxa"/>
              <w:left w:w="28" w:type="dxa"/>
              <w:bottom w:w="28" w:type="dxa"/>
              <w:right w:w="28" w:type="dxa"/>
            </w:tcMar>
            <w:hideMark/>
          </w:tcPr>
          <w:p w14:paraId="12CAF3CA" w14:textId="77777777" w:rsidR="003131F4" w:rsidRPr="007C7EA1" w:rsidRDefault="003131F4" w:rsidP="003131F4"/>
        </w:tc>
      </w:tr>
      <w:tr w:rsidR="003131F4" w:rsidRPr="007C7EA1" w14:paraId="04713513" w14:textId="77777777" w:rsidTr="003131F4">
        <w:tc>
          <w:tcPr>
            <w:tcW w:w="0" w:type="auto"/>
            <w:tcMar>
              <w:top w:w="28" w:type="dxa"/>
              <w:left w:w="28" w:type="dxa"/>
              <w:bottom w:w="28" w:type="dxa"/>
              <w:right w:w="28" w:type="dxa"/>
            </w:tcMar>
            <w:hideMark/>
          </w:tcPr>
          <w:p w14:paraId="41DA843F" w14:textId="77777777" w:rsidR="003131F4" w:rsidRPr="007C7EA1" w:rsidRDefault="003131F4" w:rsidP="003131F4">
            <w:r w:rsidRPr="007C7EA1">
              <w:rPr>
                <w:color w:val="000000"/>
                <w:sz w:val="22"/>
                <w:szCs w:val="22"/>
              </w:rPr>
              <w:t>  Black</w:t>
            </w:r>
          </w:p>
        </w:tc>
        <w:tc>
          <w:tcPr>
            <w:tcW w:w="0" w:type="auto"/>
            <w:tcMar>
              <w:top w:w="28" w:type="dxa"/>
              <w:left w:w="28" w:type="dxa"/>
              <w:bottom w:w="28" w:type="dxa"/>
              <w:right w:w="28" w:type="dxa"/>
            </w:tcMar>
            <w:hideMark/>
          </w:tcPr>
          <w:p w14:paraId="77102A7E" w14:textId="77777777" w:rsidR="003131F4" w:rsidRPr="007C7EA1" w:rsidRDefault="003131F4" w:rsidP="003131F4">
            <w:r w:rsidRPr="007C7EA1">
              <w:rPr>
                <w:color w:val="000000"/>
                <w:sz w:val="22"/>
                <w:szCs w:val="22"/>
              </w:rPr>
              <w:t>8 (3.3)</w:t>
            </w:r>
          </w:p>
        </w:tc>
        <w:tc>
          <w:tcPr>
            <w:tcW w:w="0" w:type="auto"/>
            <w:tcMar>
              <w:top w:w="28" w:type="dxa"/>
              <w:left w:w="28" w:type="dxa"/>
              <w:bottom w:w="28" w:type="dxa"/>
              <w:right w:w="28" w:type="dxa"/>
            </w:tcMar>
            <w:hideMark/>
          </w:tcPr>
          <w:p w14:paraId="423B1A29" w14:textId="77777777" w:rsidR="003131F4" w:rsidRPr="007C7EA1" w:rsidRDefault="003131F4" w:rsidP="003131F4">
            <w:r w:rsidRPr="007C7EA1">
              <w:rPr>
                <w:color w:val="000000"/>
                <w:sz w:val="22"/>
                <w:szCs w:val="22"/>
              </w:rPr>
              <w:t>3 (2.5)</w:t>
            </w:r>
          </w:p>
        </w:tc>
        <w:tc>
          <w:tcPr>
            <w:tcW w:w="0" w:type="auto"/>
            <w:tcMar>
              <w:top w:w="28" w:type="dxa"/>
              <w:left w:w="28" w:type="dxa"/>
              <w:bottom w:w="28" w:type="dxa"/>
              <w:right w:w="28" w:type="dxa"/>
            </w:tcMar>
            <w:hideMark/>
          </w:tcPr>
          <w:p w14:paraId="7067706E" w14:textId="77777777" w:rsidR="003131F4" w:rsidRPr="007C7EA1" w:rsidRDefault="003131F4" w:rsidP="003131F4">
            <w:r w:rsidRPr="007C7EA1">
              <w:rPr>
                <w:color w:val="000000"/>
                <w:sz w:val="22"/>
                <w:szCs w:val="22"/>
              </w:rPr>
              <w:t>5 (4.1)</w:t>
            </w:r>
          </w:p>
        </w:tc>
        <w:tc>
          <w:tcPr>
            <w:tcW w:w="0" w:type="auto"/>
            <w:tcMar>
              <w:top w:w="28" w:type="dxa"/>
              <w:left w:w="28" w:type="dxa"/>
              <w:bottom w:w="28" w:type="dxa"/>
              <w:right w:w="28" w:type="dxa"/>
            </w:tcMar>
            <w:hideMark/>
          </w:tcPr>
          <w:p w14:paraId="4B512E7C" w14:textId="77777777" w:rsidR="003131F4" w:rsidRPr="007C7EA1" w:rsidRDefault="003131F4" w:rsidP="003131F4"/>
        </w:tc>
      </w:tr>
      <w:tr w:rsidR="003131F4" w:rsidRPr="007C7EA1" w14:paraId="704933C6" w14:textId="77777777" w:rsidTr="003131F4">
        <w:tc>
          <w:tcPr>
            <w:tcW w:w="0" w:type="auto"/>
            <w:tcMar>
              <w:top w:w="28" w:type="dxa"/>
              <w:left w:w="28" w:type="dxa"/>
              <w:bottom w:w="28" w:type="dxa"/>
              <w:right w:w="28" w:type="dxa"/>
            </w:tcMar>
            <w:hideMark/>
          </w:tcPr>
          <w:p w14:paraId="060DCE35" w14:textId="77777777" w:rsidR="003131F4" w:rsidRPr="007C7EA1" w:rsidRDefault="003131F4" w:rsidP="003131F4">
            <w:r w:rsidRPr="007C7EA1">
              <w:rPr>
                <w:color w:val="000000"/>
                <w:sz w:val="22"/>
                <w:szCs w:val="22"/>
              </w:rPr>
              <w:t>  Multiracial</w:t>
            </w:r>
          </w:p>
        </w:tc>
        <w:tc>
          <w:tcPr>
            <w:tcW w:w="0" w:type="auto"/>
            <w:tcMar>
              <w:top w:w="28" w:type="dxa"/>
              <w:left w:w="28" w:type="dxa"/>
              <w:bottom w:w="28" w:type="dxa"/>
              <w:right w:w="28" w:type="dxa"/>
            </w:tcMar>
            <w:hideMark/>
          </w:tcPr>
          <w:p w14:paraId="5AAC727C" w14:textId="77777777" w:rsidR="003131F4" w:rsidRPr="007C7EA1" w:rsidRDefault="003131F4" w:rsidP="003131F4">
            <w:r w:rsidRPr="007C7EA1">
              <w:rPr>
                <w:color w:val="000000"/>
                <w:sz w:val="22"/>
                <w:szCs w:val="22"/>
              </w:rPr>
              <w:t>24 (10.0)</w:t>
            </w:r>
          </w:p>
        </w:tc>
        <w:tc>
          <w:tcPr>
            <w:tcW w:w="0" w:type="auto"/>
            <w:tcMar>
              <w:top w:w="28" w:type="dxa"/>
              <w:left w:w="28" w:type="dxa"/>
              <w:bottom w:w="28" w:type="dxa"/>
              <w:right w:w="28" w:type="dxa"/>
            </w:tcMar>
            <w:hideMark/>
          </w:tcPr>
          <w:p w14:paraId="24B0F7D5" w14:textId="77777777" w:rsidR="003131F4" w:rsidRPr="007C7EA1" w:rsidRDefault="003131F4" w:rsidP="003131F4">
            <w:r w:rsidRPr="007C7EA1">
              <w:rPr>
                <w:color w:val="000000"/>
                <w:sz w:val="22"/>
                <w:szCs w:val="22"/>
              </w:rPr>
              <w:t>11 (9.3)</w:t>
            </w:r>
          </w:p>
        </w:tc>
        <w:tc>
          <w:tcPr>
            <w:tcW w:w="0" w:type="auto"/>
            <w:tcMar>
              <w:top w:w="28" w:type="dxa"/>
              <w:left w:w="28" w:type="dxa"/>
              <w:bottom w:w="28" w:type="dxa"/>
              <w:right w:w="28" w:type="dxa"/>
            </w:tcMar>
            <w:hideMark/>
          </w:tcPr>
          <w:p w14:paraId="342078BA" w14:textId="77777777" w:rsidR="003131F4" w:rsidRPr="007C7EA1" w:rsidRDefault="003131F4" w:rsidP="003131F4">
            <w:r w:rsidRPr="007C7EA1">
              <w:rPr>
                <w:color w:val="000000"/>
                <w:sz w:val="22"/>
                <w:szCs w:val="22"/>
              </w:rPr>
              <w:t>13 (10.7)</w:t>
            </w:r>
          </w:p>
        </w:tc>
        <w:tc>
          <w:tcPr>
            <w:tcW w:w="0" w:type="auto"/>
            <w:tcMar>
              <w:top w:w="28" w:type="dxa"/>
              <w:left w:w="28" w:type="dxa"/>
              <w:bottom w:w="28" w:type="dxa"/>
              <w:right w:w="28" w:type="dxa"/>
            </w:tcMar>
            <w:hideMark/>
          </w:tcPr>
          <w:p w14:paraId="5CC442F2" w14:textId="77777777" w:rsidR="003131F4" w:rsidRPr="007C7EA1" w:rsidRDefault="003131F4" w:rsidP="003131F4"/>
        </w:tc>
      </w:tr>
      <w:tr w:rsidR="003131F4" w:rsidRPr="007C7EA1" w14:paraId="79D8E3DB" w14:textId="77777777" w:rsidTr="003131F4">
        <w:tc>
          <w:tcPr>
            <w:tcW w:w="0" w:type="auto"/>
            <w:tcMar>
              <w:top w:w="28" w:type="dxa"/>
              <w:left w:w="28" w:type="dxa"/>
              <w:bottom w:w="28" w:type="dxa"/>
              <w:right w:w="28" w:type="dxa"/>
            </w:tcMar>
            <w:hideMark/>
          </w:tcPr>
          <w:p w14:paraId="4354286B" w14:textId="77777777" w:rsidR="003131F4" w:rsidRPr="007C7EA1" w:rsidRDefault="003131F4" w:rsidP="003131F4">
            <w:r w:rsidRPr="007C7EA1">
              <w:rPr>
                <w:color w:val="000000"/>
                <w:sz w:val="22"/>
                <w:szCs w:val="22"/>
              </w:rPr>
              <w:t>Sexual Orientation </w:t>
            </w:r>
          </w:p>
        </w:tc>
        <w:tc>
          <w:tcPr>
            <w:tcW w:w="0" w:type="auto"/>
            <w:tcMar>
              <w:top w:w="28" w:type="dxa"/>
              <w:left w:w="28" w:type="dxa"/>
              <w:bottom w:w="28" w:type="dxa"/>
              <w:right w:w="28" w:type="dxa"/>
            </w:tcMar>
            <w:hideMark/>
          </w:tcPr>
          <w:p w14:paraId="0E9F6385" w14:textId="77777777" w:rsidR="003131F4" w:rsidRPr="007C7EA1" w:rsidRDefault="003131F4" w:rsidP="003131F4"/>
        </w:tc>
        <w:tc>
          <w:tcPr>
            <w:tcW w:w="0" w:type="auto"/>
            <w:tcMar>
              <w:top w:w="28" w:type="dxa"/>
              <w:left w:w="28" w:type="dxa"/>
              <w:bottom w:w="28" w:type="dxa"/>
              <w:right w:w="28" w:type="dxa"/>
            </w:tcMar>
            <w:hideMark/>
          </w:tcPr>
          <w:p w14:paraId="13B9A635" w14:textId="77777777" w:rsidR="003131F4" w:rsidRPr="007C7EA1" w:rsidRDefault="003131F4" w:rsidP="003131F4"/>
        </w:tc>
        <w:tc>
          <w:tcPr>
            <w:tcW w:w="0" w:type="auto"/>
            <w:tcMar>
              <w:top w:w="28" w:type="dxa"/>
              <w:left w:w="28" w:type="dxa"/>
              <w:bottom w:w="28" w:type="dxa"/>
              <w:right w:w="28" w:type="dxa"/>
            </w:tcMar>
            <w:hideMark/>
          </w:tcPr>
          <w:p w14:paraId="5429FE45" w14:textId="77777777" w:rsidR="003131F4" w:rsidRPr="007C7EA1" w:rsidRDefault="003131F4" w:rsidP="003131F4"/>
        </w:tc>
        <w:tc>
          <w:tcPr>
            <w:tcW w:w="0" w:type="auto"/>
            <w:tcMar>
              <w:top w:w="28" w:type="dxa"/>
              <w:left w:w="28" w:type="dxa"/>
              <w:bottom w:w="28" w:type="dxa"/>
              <w:right w:w="28" w:type="dxa"/>
            </w:tcMar>
            <w:hideMark/>
          </w:tcPr>
          <w:p w14:paraId="6A0C6DB0" w14:textId="77777777" w:rsidR="003131F4" w:rsidRPr="007C7EA1" w:rsidRDefault="003131F4" w:rsidP="003131F4">
            <w:r w:rsidRPr="007C7EA1">
              <w:rPr>
                <w:color w:val="000000"/>
                <w:sz w:val="22"/>
                <w:szCs w:val="22"/>
              </w:rPr>
              <w:t>&lt;0.0001</w:t>
            </w:r>
          </w:p>
        </w:tc>
      </w:tr>
      <w:tr w:rsidR="003131F4" w:rsidRPr="007C7EA1" w14:paraId="5AEDF390" w14:textId="77777777" w:rsidTr="003131F4">
        <w:tc>
          <w:tcPr>
            <w:tcW w:w="0" w:type="auto"/>
            <w:tcMar>
              <w:top w:w="28" w:type="dxa"/>
              <w:left w:w="28" w:type="dxa"/>
              <w:bottom w:w="28" w:type="dxa"/>
              <w:right w:w="28" w:type="dxa"/>
            </w:tcMar>
            <w:hideMark/>
          </w:tcPr>
          <w:p w14:paraId="10AA507B" w14:textId="77777777" w:rsidR="003131F4" w:rsidRPr="007C7EA1" w:rsidRDefault="003131F4" w:rsidP="003131F4">
            <w:r w:rsidRPr="007C7EA1">
              <w:rPr>
                <w:color w:val="000000"/>
                <w:sz w:val="22"/>
                <w:szCs w:val="22"/>
              </w:rPr>
              <w:t>  Gay/Lesbian</w:t>
            </w:r>
          </w:p>
        </w:tc>
        <w:tc>
          <w:tcPr>
            <w:tcW w:w="0" w:type="auto"/>
            <w:tcMar>
              <w:top w:w="28" w:type="dxa"/>
              <w:left w:w="28" w:type="dxa"/>
              <w:bottom w:w="28" w:type="dxa"/>
              <w:right w:w="28" w:type="dxa"/>
            </w:tcMar>
            <w:hideMark/>
          </w:tcPr>
          <w:p w14:paraId="70DE4557" w14:textId="77777777" w:rsidR="003131F4" w:rsidRPr="007C7EA1" w:rsidRDefault="003131F4" w:rsidP="003131F4">
            <w:r w:rsidRPr="007C7EA1">
              <w:rPr>
                <w:color w:val="000000"/>
                <w:sz w:val="22"/>
                <w:szCs w:val="22"/>
              </w:rPr>
              <w:t>108 (45.0)</w:t>
            </w:r>
          </w:p>
        </w:tc>
        <w:tc>
          <w:tcPr>
            <w:tcW w:w="0" w:type="auto"/>
            <w:tcMar>
              <w:top w:w="28" w:type="dxa"/>
              <w:left w:w="28" w:type="dxa"/>
              <w:bottom w:w="28" w:type="dxa"/>
              <w:right w:w="28" w:type="dxa"/>
            </w:tcMar>
            <w:hideMark/>
          </w:tcPr>
          <w:p w14:paraId="1A16FF76" w14:textId="77777777" w:rsidR="003131F4" w:rsidRPr="007C7EA1" w:rsidRDefault="003131F4" w:rsidP="003131F4">
            <w:r w:rsidRPr="007C7EA1">
              <w:rPr>
                <w:color w:val="000000"/>
                <w:sz w:val="22"/>
                <w:szCs w:val="22"/>
              </w:rPr>
              <w:t>30 (25.4)</w:t>
            </w:r>
          </w:p>
        </w:tc>
        <w:tc>
          <w:tcPr>
            <w:tcW w:w="0" w:type="auto"/>
            <w:tcMar>
              <w:top w:w="28" w:type="dxa"/>
              <w:left w:w="28" w:type="dxa"/>
              <w:bottom w:w="28" w:type="dxa"/>
              <w:right w:w="28" w:type="dxa"/>
            </w:tcMar>
            <w:hideMark/>
          </w:tcPr>
          <w:p w14:paraId="7F531839" w14:textId="77777777" w:rsidR="003131F4" w:rsidRPr="007C7EA1" w:rsidRDefault="003131F4" w:rsidP="003131F4">
            <w:r w:rsidRPr="007C7EA1">
              <w:rPr>
                <w:color w:val="000000"/>
                <w:sz w:val="22"/>
                <w:szCs w:val="22"/>
              </w:rPr>
              <w:t>78 (63.9)</w:t>
            </w:r>
          </w:p>
        </w:tc>
        <w:tc>
          <w:tcPr>
            <w:tcW w:w="0" w:type="auto"/>
            <w:tcMar>
              <w:top w:w="28" w:type="dxa"/>
              <w:left w:w="28" w:type="dxa"/>
              <w:bottom w:w="28" w:type="dxa"/>
              <w:right w:w="28" w:type="dxa"/>
            </w:tcMar>
            <w:hideMark/>
          </w:tcPr>
          <w:p w14:paraId="31D5320D" w14:textId="77777777" w:rsidR="003131F4" w:rsidRPr="007C7EA1" w:rsidRDefault="003131F4" w:rsidP="003131F4"/>
        </w:tc>
      </w:tr>
      <w:tr w:rsidR="003131F4" w:rsidRPr="007C7EA1" w14:paraId="748CB017" w14:textId="77777777" w:rsidTr="003131F4">
        <w:tc>
          <w:tcPr>
            <w:tcW w:w="0" w:type="auto"/>
            <w:tcMar>
              <w:top w:w="28" w:type="dxa"/>
              <w:left w:w="28" w:type="dxa"/>
              <w:bottom w:w="28" w:type="dxa"/>
              <w:right w:w="28" w:type="dxa"/>
            </w:tcMar>
            <w:hideMark/>
          </w:tcPr>
          <w:p w14:paraId="75A5C928" w14:textId="77777777" w:rsidR="003131F4" w:rsidRPr="007C7EA1" w:rsidRDefault="003131F4" w:rsidP="003131F4">
            <w:r w:rsidRPr="007C7EA1">
              <w:rPr>
                <w:color w:val="000000"/>
                <w:sz w:val="22"/>
                <w:szCs w:val="22"/>
              </w:rPr>
              <w:t>  Bisexual</w:t>
            </w:r>
          </w:p>
        </w:tc>
        <w:tc>
          <w:tcPr>
            <w:tcW w:w="0" w:type="auto"/>
            <w:tcMar>
              <w:top w:w="28" w:type="dxa"/>
              <w:left w:w="28" w:type="dxa"/>
              <w:bottom w:w="28" w:type="dxa"/>
              <w:right w:w="28" w:type="dxa"/>
            </w:tcMar>
            <w:hideMark/>
          </w:tcPr>
          <w:p w14:paraId="7422E84F" w14:textId="77777777" w:rsidR="003131F4" w:rsidRPr="007C7EA1" w:rsidRDefault="003131F4" w:rsidP="003131F4">
            <w:r w:rsidRPr="007C7EA1">
              <w:rPr>
                <w:color w:val="000000"/>
                <w:sz w:val="22"/>
                <w:szCs w:val="22"/>
              </w:rPr>
              <w:t>44 (18.3)</w:t>
            </w:r>
          </w:p>
        </w:tc>
        <w:tc>
          <w:tcPr>
            <w:tcW w:w="0" w:type="auto"/>
            <w:tcMar>
              <w:top w:w="28" w:type="dxa"/>
              <w:left w:w="28" w:type="dxa"/>
              <w:bottom w:w="28" w:type="dxa"/>
              <w:right w:w="28" w:type="dxa"/>
            </w:tcMar>
            <w:hideMark/>
          </w:tcPr>
          <w:p w14:paraId="7A370460" w14:textId="77777777" w:rsidR="003131F4" w:rsidRPr="007C7EA1" w:rsidRDefault="003131F4" w:rsidP="003131F4">
            <w:r w:rsidRPr="007C7EA1">
              <w:rPr>
                <w:color w:val="000000"/>
                <w:sz w:val="22"/>
                <w:szCs w:val="22"/>
              </w:rPr>
              <w:t>19 (16.1)</w:t>
            </w:r>
          </w:p>
        </w:tc>
        <w:tc>
          <w:tcPr>
            <w:tcW w:w="0" w:type="auto"/>
            <w:tcMar>
              <w:top w:w="28" w:type="dxa"/>
              <w:left w:w="28" w:type="dxa"/>
              <w:bottom w:w="28" w:type="dxa"/>
              <w:right w:w="28" w:type="dxa"/>
            </w:tcMar>
            <w:hideMark/>
          </w:tcPr>
          <w:p w14:paraId="2BAFC373" w14:textId="77777777" w:rsidR="003131F4" w:rsidRPr="007C7EA1" w:rsidRDefault="003131F4" w:rsidP="003131F4">
            <w:r w:rsidRPr="007C7EA1">
              <w:rPr>
                <w:color w:val="000000"/>
                <w:sz w:val="22"/>
                <w:szCs w:val="22"/>
              </w:rPr>
              <w:t>25 (20.5)</w:t>
            </w:r>
          </w:p>
        </w:tc>
        <w:tc>
          <w:tcPr>
            <w:tcW w:w="0" w:type="auto"/>
            <w:tcMar>
              <w:top w:w="28" w:type="dxa"/>
              <w:left w:w="28" w:type="dxa"/>
              <w:bottom w:w="28" w:type="dxa"/>
              <w:right w:w="28" w:type="dxa"/>
            </w:tcMar>
            <w:hideMark/>
          </w:tcPr>
          <w:p w14:paraId="10E9CDE6" w14:textId="77777777" w:rsidR="003131F4" w:rsidRPr="007C7EA1" w:rsidRDefault="003131F4" w:rsidP="003131F4"/>
        </w:tc>
      </w:tr>
      <w:tr w:rsidR="003131F4" w:rsidRPr="007C7EA1" w14:paraId="59AB3D43" w14:textId="77777777" w:rsidTr="003131F4">
        <w:tc>
          <w:tcPr>
            <w:tcW w:w="0" w:type="auto"/>
            <w:tcMar>
              <w:top w:w="28" w:type="dxa"/>
              <w:left w:w="28" w:type="dxa"/>
              <w:bottom w:w="28" w:type="dxa"/>
              <w:right w:w="28" w:type="dxa"/>
            </w:tcMar>
            <w:hideMark/>
          </w:tcPr>
          <w:p w14:paraId="544C63C1" w14:textId="77777777" w:rsidR="003131F4" w:rsidRPr="007C7EA1" w:rsidRDefault="003131F4" w:rsidP="003131F4">
            <w:r w:rsidRPr="007C7EA1">
              <w:rPr>
                <w:color w:val="000000"/>
                <w:sz w:val="22"/>
                <w:szCs w:val="22"/>
              </w:rPr>
              <w:t>  Queer</w:t>
            </w:r>
          </w:p>
        </w:tc>
        <w:tc>
          <w:tcPr>
            <w:tcW w:w="0" w:type="auto"/>
            <w:tcMar>
              <w:top w:w="28" w:type="dxa"/>
              <w:left w:w="28" w:type="dxa"/>
              <w:bottom w:w="28" w:type="dxa"/>
              <w:right w:w="28" w:type="dxa"/>
            </w:tcMar>
            <w:hideMark/>
          </w:tcPr>
          <w:p w14:paraId="119BD7A1" w14:textId="77777777" w:rsidR="003131F4" w:rsidRPr="007C7EA1" w:rsidRDefault="003131F4" w:rsidP="003131F4">
            <w:r w:rsidRPr="007C7EA1">
              <w:rPr>
                <w:color w:val="000000"/>
                <w:sz w:val="22"/>
                <w:szCs w:val="22"/>
              </w:rPr>
              <w:t>25 (10.4)</w:t>
            </w:r>
          </w:p>
        </w:tc>
        <w:tc>
          <w:tcPr>
            <w:tcW w:w="0" w:type="auto"/>
            <w:tcMar>
              <w:top w:w="28" w:type="dxa"/>
              <w:left w:w="28" w:type="dxa"/>
              <w:bottom w:w="28" w:type="dxa"/>
              <w:right w:w="28" w:type="dxa"/>
            </w:tcMar>
            <w:hideMark/>
          </w:tcPr>
          <w:p w14:paraId="22AC0046" w14:textId="77777777" w:rsidR="003131F4" w:rsidRPr="007C7EA1" w:rsidRDefault="003131F4" w:rsidP="003131F4">
            <w:r w:rsidRPr="007C7EA1">
              <w:rPr>
                <w:color w:val="000000"/>
                <w:sz w:val="22"/>
                <w:szCs w:val="22"/>
              </w:rPr>
              <w:t>22 (18.6)</w:t>
            </w:r>
          </w:p>
        </w:tc>
        <w:tc>
          <w:tcPr>
            <w:tcW w:w="0" w:type="auto"/>
            <w:tcMar>
              <w:top w:w="28" w:type="dxa"/>
              <w:left w:w="28" w:type="dxa"/>
              <w:bottom w:w="28" w:type="dxa"/>
              <w:right w:w="28" w:type="dxa"/>
            </w:tcMar>
            <w:hideMark/>
          </w:tcPr>
          <w:p w14:paraId="3B934D87" w14:textId="77777777" w:rsidR="003131F4" w:rsidRPr="007C7EA1" w:rsidRDefault="003131F4" w:rsidP="003131F4">
            <w:r w:rsidRPr="007C7EA1">
              <w:rPr>
                <w:color w:val="000000"/>
                <w:sz w:val="22"/>
                <w:szCs w:val="22"/>
              </w:rPr>
              <w:t>3 (2.5)</w:t>
            </w:r>
          </w:p>
        </w:tc>
        <w:tc>
          <w:tcPr>
            <w:tcW w:w="0" w:type="auto"/>
            <w:tcMar>
              <w:top w:w="28" w:type="dxa"/>
              <w:left w:w="28" w:type="dxa"/>
              <w:bottom w:w="28" w:type="dxa"/>
              <w:right w:w="28" w:type="dxa"/>
            </w:tcMar>
            <w:hideMark/>
          </w:tcPr>
          <w:p w14:paraId="1D12148E" w14:textId="77777777" w:rsidR="003131F4" w:rsidRPr="007C7EA1" w:rsidRDefault="003131F4" w:rsidP="003131F4"/>
        </w:tc>
      </w:tr>
      <w:tr w:rsidR="003131F4" w:rsidRPr="007C7EA1" w14:paraId="0A272D1B" w14:textId="77777777" w:rsidTr="003131F4">
        <w:tc>
          <w:tcPr>
            <w:tcW w:w="0" w:type="auto"/>
            <w:tcMar>
              <w:top w:w="28" w:type="dxa"/>
              <w:left w:w="28" w:type="dxa"/>
              <w:bottom w:w="28" w:type="dxa"/>
              <w:right w:w="28" w:type="dxa"/>
            </w:tcMar>
            <w:hideMark/>
          </w:tcPr>
          <w:p w14:paraId="195A1D97" w14:textId="77777777" w:rsidR="003131F4" w:rsidRPr="007C7EA1" w:rsidRDefault="003131F4" w:rsidP="003131F4">
            <w:r w:rsidRPr="007C7EA1">
              <w:rPr>
                <w:color w:val="000000"/>
                <w:sz w:val="22"/>
                <w:szCs w:val="22"/>
              </w:rPr>
              <w:t>  Unsure</w:t>
            </w:r>
          </w:p>
        </w:tc>
        <w:tc>
          <w:tcPr>
            <w:tcW w:w="0" w:type="auto"/>
            <w:tcMar>
              <w:top w:w="28" w:type="dxa"/>
              <w:left w:w="28" w:type="dxa"/>
              <w:bottom w:w="28" w:type="dxa"/>
              <w:right w:w="28" w:type="dxa"/>
            </w:tcMar>
            <w:hideMark/>
          </w:tcPr>
          <w:p w14:paraId="312DF310" w14:textId="77777777" w:rsidR="003131F4" w:rsidRPr="007C7EA1" w:rsidRDefault="003131F4" w:rsidP="003131F4">
            <w:r w:rsidRPr="007C7EA1">
              <w:rPr>
                <w:color w:val="000000"/>
                <w:sz w:val="22"/>
                <w:szCs w:val="22"/>
              </w:rPr>
              <w:t>1 (0.4)</w:t>
            </w:r>
          </w:p>
        </w:tc>
        <w:tc>
          <w:tcPr>
            <w:tcW w:w="0" w:type="auto"/>
            <w:tcMar>
              <w:top w:w="28" w:type="dxa"/>
              <w:left w:w="28" w:type="dxa"/>
              <w:bottom w:w="28" w:type="dxa"/>
              <w:right w:w="28" w:type="dxa"/>
            </w:tcMar>
            <w:hideMark/>
          </w:tcPr>
          <w:p w14:paraId="4AD2720C" w14:textId="77777777" w:rsidR="003131F4" w:rsidRPr="007C7EA1" w:rsidRDefault="003131F4" w:rsidP="003131F4">
            <w:r w:rsidRPr="007C7EA1">
              <w:rPr>
                <w:color w:val="000000"/>
                <w:sz w:val="22"/>
                <w:szCs w:val="22"/>
              </w:rPr>
              <w:t>0 (0)</w:t>
            </w:r>
          </w:p>
        </w:tc>
        <w:tc>
          <w:tcPr>
            <w:tcW w:w="0" w:type="auto"/>
            <w:tcMar>
              <w:top w:w="28" w:type="dxa"/>
              <w:left w:w="28" w:type="dxa"/>
              <w:bottom w:w="28" w:type="dxa"/>
              <w:right w:w="28" w:type="dxa"/>
            </w:tcMar>
            <w:hideMark/>
          </w:tcPr>
          <w:p w14:paraId="066E09E9" w14:textId="77777777" w:rsidR="003131F4" w:rsidRPr="007C7EA1" w:rsidRDefault="003131F4" w:rsidP="003131F4">
            <w:r w:rsidRPr="007C7EA1">
              <w:rPr>
                <w:color w:val="000000"/>
                <w:sz w:val="22"/>
                <w:szCs w:val="22"/>
              </w:rPr>
              <w:t>1 (0.8)</w:t>
            </w:r>
          </w:p>
        </w:tc>
        <w:tc>
          <w:tcPr>
            <w:tcW w:w="0" w:type="auto"/>
            <w:tcMar>
              <w:top w:w="28" w:type="dxa"/>
              <w:left w:w="28" w:type="dxa"/>
              <w:bottom w:w="28" w:type="dxa"/>
              <w:right w:w="28" w:type="dxa"/>
            </w:tcMar>
            <w:hideMark/>
          </w:tcPr>
          <w:p w14:paraId="467ED110" w14:textId="77777777" w:rsidR="003131F4" w:rsidRPr="007C7EA1" w:rsidRDefault="003131F4" w:rsidP="003131F4"/>
        </w:tc>
      </w:tr>
      <w:tr w:rsidR="003131F4" w:rsidRPr="007C7EA1" w14:paraId="272D957C" w14:textId="77777777" w:rsidTr="003131F4">
        <w:tc>
          <w:tcPr>
            <w:tcW w:w="0" w:type="auto"/>
            <w:tcMar>
              <w:top w:w="28" w:type="dxa"/>
              <w:left w:w="28" w:type="dxa"/>
              <w:bottom w:w="28" w:type="dxa"/>
              <w:right w:w="28" w:type="dxa"/>
            </w:tcMar>
            <w:hideMark/>
          </w:tcPr>
          <w:p w14:paraId="1BFA1391" w14:textId="77777777" w:rsidR="003131F4" w:rsidRPr="007C7EA1" w:rsidRDefault="003131F4" w:rsidP="003131F4">
            <w:r w:rsidRPr="007C7EA1">
              <w:rPr>
                <w:color w:val="000000"/>
                <w:sz w:val="22"/>
                <w:szCs w:val="22"/>
              </w:rPr>
              <w:t>  Multiple</w:t>
            </w:r>
          </w:p>
        </w:tc>
        <w:tc>
          <w:tcPr>
            <w:tcW w:w="0" w:type="auto"/>
            <w:tcMar>
              <w:top w:w="28" w:type="dxa"/>
              <w:left w:w="28" w:type="dxa"/>
              <w:bottom w:w="28" w:type="dxa"/>
              <w:right w:w="28" w:type="dxa"/>
            </w:tcMar>
            <w:hideMark/>
          </w:tcPr>
          <w:p w14:paraId="63CD6256" w14:textId="77777777" w:rsidR="003131F4" w:rsidRPr="007C7EA1" w:rsidRDefault="003131F4" w:rsidP="003131F4">
            <w:r w:rsidRPr="007C7EA1">
              <w:rPr>
                <w:color w:val="000000"/>
                <w:sz w:val="22"/>
                <w:szCs w:val="22"/>
              </w:rPr>
              <w:t>44 (18.3)</w:t>
            </w:r>
          </w:p>
        </w:tc>
        <w:tc>
          <w:tcPr>
            <w:tcW w:w="0" w:type="auto"/>
            <w:tcMar>
              <w:top w:w="28" w:type="dxa"/>
              <w:left w:w="28" w:type="dxa"/>
              <w:bottom w:w="28" w:type="dxa"/>
              <w:right w:w="28" w:type="dxa"/>
            </w:tcMar>
            <w:hideMark/>
          </w:tcPr>
          <w:p w14:paraId="59427414" w14:textId="77777777" w:rsidR="003131F4" w:rsidRPr="007C7EA1" w:rsidRDefault="003131F4" w:rsidP="003131F4">
            <w:r w:rsidRPr="007C7EA1">
              <w:rPr>
                <w:color w:val="000000"/>
                <w:sz w:val="22"/>
                <w:szCs w:val="22"/>
              </w:rPr>
              <w:t>33 (28.0)</w:t>
            </w:r>
          </w:p>
        </w:tc>
        <w:tc>
          <w:tcPr>
            <w:tcW w:w="0" w:type="auto"/>
            <w:tcMar>
              <w:top w:w="28" w:type="dxa"/>
              <w:left w:w="28" w:type="dxa"/>
              <w:bottom w:w="28" w:type="dxa"/>
              <w:right w:w="28" w:type="dxa"/>
            </w:tcMar>
            <w:hideMark/>
          </w:tcPr>
          <w:p w14:paraId="656C0040" w14:textId="77777777" w:rsidR="003131F4" w:rsidRPr="007C7EA1" w:rsidRDefault="003131F4" w:rsidP="003131F4">
            <w:r w:rsidRPr="007C7EA1">
              <w:rPr>
                <w:color w:val="000000"/>
                <w:sz w:val="22"/>
                <w:szCs w:val="22"/>
              </w:rPr>
              <w:t>11 (9.0)</w:t>
            </w:r>
          </w:p>
        </w:tc>
        <w:tc>
          <w:tcPr>
            <w:tcW w:w="0" w:type="auto"/>
            <w:tcMar>
              <w:top w:w="28" w:type="dxa"/>
              <w:left w:w="28" w:type="dxa"/>
              <w:bottom w:w="28" w:type="dxa"/>
              <w:right w:w="28" w:type="dxa"/>
            </w:tcMar>
            <w:hideMark/>
          </w:tcPr>
          <w:p w14:paraId="7B52810C" w14:textId="77777777" w:rsidR="003131F4" w:rsidRPr="007C7EA1" w:rsidRDefault="003131F4" w:rsidP="003131F4"/>
        </w:tc>
      </w:tr>
      <w:tr w:rsidR="003131F4" w:rsidRPr="007C7EA1" w14:paraId="5F8AB0D2" w14:textId="77777777" w:rsidTr="003131F4">
        <w:trPr>
          <w:trHeight w:val="19"/>
        </w:trPr>
        <w:tc>
          <w:tcPr>
            <w:tcW w:w="0" w:type="auto"/>
            <w:tcMar>
              <w:top w:w="28" w:type="dxa"/>
              <w:left w:w="28" w:type="dxa"/>
              <w:bottom w:w="28" w:type="dxa"/>
              <w:right w:w="28" w:type="dxa"/>
            </w:tcMar>
            <w:hideMark/>
          </w:tcPr>
          <w:p w14:paraId="1ACC6DB9" w14:textId="77777777" w:rsidR="003131F4" w:rsidRPr="007C7EA1" w:rsidRDefault="003131F4" w:rsidP="003131F4">
            <w:r w:rsidRPr="007C7EA1">
              <w:rPr>
                <w:color w:val="000000"/>
                <w:sz w:val="22"/>
                <w:szCs w:val="22"/>
              </w:rPr>
              <w:t>  Other</w:t>
            </w:r>
          </w:p>
        </w:tc>
        <w:tc>
          <w:tcPr>
            <w:tcW w:w="0" w:type="auto"/>
            <w:tcMar>
              <w:top w:w="28" w:type="dxa"/>
              <w:left w:w="28" w:type="dxa"/>
              <w:bottom w:w="28" w:type="dxa"/>
              <w:right w:w="28" w:type="dxa"/>
            </w:tcMar>
            <w:hideMark/>
          </w:tcPr>
          <w:p w14:paraId="2F9A041C" w14:textId="77777777" w:rsidR="003131F4" w:rsidRPr="007C7EA1" w:rsidRDefault="003131F4" w:rsidP="003131F4">
            <w:r w:rsidRPr="007C7EA1">
              <w:rPr>
                <w:color w:val="000000"/>
                <w:sz w:val="22"/>
                <w:szCs w:val="22"/>
              </w:rPr>
              <w:t>18 (7.5)</w:t>
            </w:r>
          </w:p>
        </w:tc>
        <w:tc>
          <w:tcPr>
            <w:tcW w:w="0" w:type="auto"/>
            <w:tcMar>
              <w:top w:w="28" w:type="dxa"/>
              <w:left w:w="28" w:type="dxa"/>
              <w:bottom w:w="28" w:type="dxa"/>
              <w:right w:w="28" w:type="dxa"/>
            </w:tcMar>
            <w:hideMark/>
          </w:tcPr>
          <w:p w14:paraId="429C7EF6" w14:textId="77777777" w:rsidR="003131F4" w:rsidRPr="007C7EA1" w:rsidRDefault="003131F4" w:rsidP="003131F4">
            <w:r w:rsidRPr="007C7EA1">
              <w:rPr>
                <w:color w:val="000000"/>
                <w:sz w:val="22"/>
                <w:szCs w:val="22"/>
              </w:rPr>
              <w:t>14 (11.9)</w:t>
            </w:r>
          </w:p>
        </w:tc>
        <w:tc>
          <w:tcPr>
            <w:tcW w:w="0" w:type="auto"/>
            <w:tcMar>
              <w:top w:w="28" w:type="dxa"/>
              <w:left w:w="28" w:type="dxa"/>
              <w:bottom w:w="28" w:type="dxa"/>
              <w:right w:w="28" w:type="dxa"/>
            </w:tcMar>
            <w:hideMark/>
          </w:tcPr>
          <w:p w14:paraId="08BF8693" w14:textId="77777777" w:rsidR="003131F4" w:rsidRPr="007C7EA1" w:rsidRDefault="003131F4" w:rsidP="003131F4">
            <w:r w:rsidRPr="007C7EA1">
              <w:rPr>
                <w:color w:val="000000"/>
                <w:sz w:val="22"/>
                <w:szCs w:val="22"/>
              </w:rPr>
              <w:t>4 (3.3)</w:t>
            </w:r>
          </w:p>
        </w:tc>
        <w:tc>
          <w:tcPr>
            <w:tcW w:w="0" w:type="auto"/>
            <w:tcMar>
              <w:top w:w="28" w:type="dxa"/>
              <w:left w:w="28" w:type="dxa"/>
              <w:bottom w:w="28" w:type="dxa"/>
              <w:right w:w="28" w:type="dxa"/>
            </w:tcMar>
            <w:hideMark/>
          </w:tcPr>
          <w:p w14:paraId="369A7BC3" w14:textId="77777777" w:rsidR="003131F4" w:rsidRPr="007C7EA1" w:rsidRDefault="003131F4" w:rsidP="003131F4"/>
        </w:tc>
      </w:tr>
      <w:tr w:rsidR="003131F4" w:rsidRPr="007C7EA1" w14:paraId="57EC2F4D" w14:textId="77777777" w:rsidTr="003131F4">
        <w:tc>
          <w:tcPr>
            <w:tcW w:w="0" w:type="auto"/>
            <w:tcMar>
              <w:top w:w="28" w:type="dxa"/>
              <w:left w:w="28" w:type="dxa"/>
              <w:bottom w:w="28" w:type="dxa"/>
              <w:right w:w="28" w:type="dxa"/>
            </w:tcMar>
            <w:hideMark/>
          </w:tcPr>
          <w:p w14:paraId="66AE3EFB" w14:textId="77777777" w:rsidR="003131F4" w:rsidRPr="007C7EA1" w:rsidRDefault="003131F4" w:rsidP="003131F4">
            <w:r w:rsidRPr="007C7EA1">
              <w:rPr>
                <w:color w:val="000000"/>
                <w:sz w:val="22"/>
                <w:szCs w:val="22"/>
              </w:rPr>
              <w:t>Parent Education </w:t>
            </w:r>
          </w:p>
        </w:tc>
        <w:tc>
          <w:tcPr>
            <w:tcW w:w="0" w:type="auto"/>
            <w:tcMar>
              <w:top w:w="28" w:type="dxa"/>
              <w:left w:w="28" w:type="dxa"/>
              <w:bottom w:w="28" w:type="dxa"/>
              <w:right w:w="28" w:type="dxa"/>
            </w:tcMar>
            <w:hideMark/>
          </w:tcPr>
          <w:p w14:paraId="45B30317" w14:textId="77777777" w:rsidR="003131F4" w:rsidRPr="007C7EA1" w:rsidRDefault="003131F4" w:rsidP="003131F4"/>
        </w:tc>
        <w:tc>
          <w:tcPr>
            <w:tcW w:w="0" w:type="auto"/>
            <w:tcMar>
              <w:top w:w="28" w:type="dxa"/>
              <w:left w:w="28" w:type="dxa"/>
              <w:bottom w:w="28" w:type="dxa"/>
              <w:right w:w="28" w:type="dxa"/>
            </w:tcMar>
            <w:hideMark/>
          </w:tcPr>
          <w:p w14:paraId="7F8A765F" w14:textId="77777777" w:rsidR="003131F4" w:rsidRPr="007C7EA1" w:rsidRDefault="003131F4" w:rsidP="003131F4"/>
        </w:tc>
        <w:tc>
          <w:tcPr>
            <w:tcW w:w="0" w:type="auto"/>
            <w:tcMar>
              <w:top w:w="28" w:type="dxa"/>
              <w:left w:w="28" w:type="dxa"/>
              <w:bottom w:w="28" w:type="dxa"/>
              <w:right w:w="28" w:type="dxa"/>
            </w:tcMar>
            <w:hideMark/>
          </w:tcPr>
          <w:p w14:paraId="7DEC25BA" w14:textId="77777777" w:rsidR="003131F4" w:rsidRPr="007C7EA1" w:rsidRDefault="003131F4" w:rsidP="003131F4"/>
        </w:tc>
        <w:tc>
          <w:tcPr>
            <w:tcW w:w="0" w:type="auto"/>
            <w:tcMar>
              <w:top w:w="28" w:type="dxa"/>
              <w:left w:w="28" w:type="dxa"/>
              <w:bottom w:w="28" w:type="dxa"/>
              <w:right w:w="28" w:type="dxa"/>
            </w:tcMar>
            <w:hideMark/>
          </w:tcPr>
          <w:p w14:paraId="67703D4A" w14:textId="77777777" w:rsidR="003131F4" w:rsidRPr="007C7EA1" w:rsidRDefault="003131F4" w:rsidP="003131F4">
            <w:r w:rsidRPr="007C7EA1">
              <w:rPr>
                <w:color w:val="000000"/>
                <w:sz w:val="22"/>
                <w:szCs w:val="22"/>
              </w:rPr>
              <w:t>0.97</w:t>
            </w:r>
          </w:p>
        </w:tc>
      </w:tr>
      <w:tr w:rsidR="003131F4" w:rsidRPr="007C7EA1" w14:paraId="573D07CB" w14:textId="77777777" w:rsidTr="003131F4">
        <w:tc>
          <w:tcPr>
            <w:tcW w:w="0" w:type="auto"/>
            <w:tcMar>
              <w:top w:w="28" w:type="dxa"/>
              <w:left w:w="28" w:type="dxa"/>
              <w:bottom w:w="28" w:type="dxa"/>
              <w:right w:w="28" w:type="dxa"/>
            </w:tcMar>
            <w:hideMark/>
          </w:tcPr>
          <w:p w14:paraId="1ADF7AA3" w14:textId="77777777" w:rsidR="003131F4" w:rsidRPr="007C7EA1" w:rsidRDefault="003131F4" w:rsidP="003131F4">
            <w:r w:rsidRPr="007C7EA1">
              <w:rPr>
                <w:color w:val="000000"/>
                <w:sz w:val="22"/>
                <w:szCs w:val="22"/>
              </w:rPr>
              <w:t>  Did not finish high school</w:t>
            </w:r>
          </w:p>
        </w:tc>
        <w:tc>
          <w:tcPr>
            <w:tcW w:w="0" w:type="auto"/>
            <w:tcMar>
              <w:top w:w="28" w:type="dxa"/>
              <w:left w:w="28" w:type="dxa"/>
              <w:bottom w:w="28" w:type="dxa"/>
              <w:right w:w="28" w:type="dxa"/>
            </w:tcMar>
            <w:hideMark/>
          </w:tcPr>
          <w:p w14:paraId="0A7074A4" w14:textId="77777777" w:rsidR="003131F4" w:rsidRPr="007C7EA1" w:rsidRDefault="003131F4" w:rsidP="003131F4">
            <w:r w:rsidRPr="007C7EA1">
              <w:rPr>
                <w:color w:val="000000"/>
                <w:sz w:val="22"/>
                <w:szCs w:val="22"/>
              </w:rPr>
              <w:t>24 (10.0)</w:t>
            </w:r>
          </w:p>
        </w:tc>
        <w:tc>
          <w:tcPr>
            <w:tcW w:w="0" w:type="auto"/>
            <w:tcMar>
              <w:top w:w="28" w:type="dxa"/>
              <w:left w:w="28" w:type="dxa"/>
              <w:bottom w:w="28" w:type="dxa"/>
              <w:right w:w="28" w:type="dxa"/>
            </w:tcMar>
            <w:hideMark/>
          </w:tcPr>
          <w:p w14:paraId="17377E9D" w14:textId="77777777" w:rsidR="003131F4" w:rsidRPr="007C7EA1" w:rsidRDefault="003131F4" w:rsidP="003131F4">
            <w:r w:rsidRPr="007C7EA1">
              <w:rPr>
                <w:color w:val="000000"/>
                <w:sz w:val="22"/>
                <w:szCs w:val="22"/>
              </w:rPr>
              <w:t>12 (10.2)</w:t>
            </w:r>
          </w:p>
        </w:tc>
        <w:tc>
          <w:tcPr>
            <w:tcW w:w="0" w:type="auto"/>
            <w:tcMar>
              <w:top w:w="28" w:type="dxa"/>
              <w:left w:w="28" w:type="dxa"/>
              <w:bottom w:w="28" w:type="dxa"/>
              <w:right w:w="28" w:type="dxa"/>
            </w:tcMar>
            <w:hideMark/>
          </w:tcPr>
          <w:p w14:paraId="47010801" w14:textId="77777777" w:rsidR="003131F4" w:rsidRPr="007C7EA1" w:rsidRDefault="003131F4" w:rsidP="003131F4">
            <w:r w:rsidRPr="007C7EA1">
              <w:rPr>
                <w:color w:val="000000"/>
                <w:sz w:val="22"/>
                <w:szCs w:val="22"/>
              </w:rPr>
              <w:t>12 (9.8)</w:t>
            </w:r>
          </w:p>
        </w:tc>
        <w:tc>
          <w:tcPr>
            <w:tcW w:w="0" w:type="auto"/>
            <w:tcMar>
              <w:top w:w="28" w:type="dxa"/>
              <w:left w:w="28" w:type="dxa"/>
              <w:bottom w:w="28" w:type="dxa"/>
              <w:right w:w="28" w:type="dxa"/>
            </w:tcMar>
            <w:hideMark/>
          </w:tcPr>
          <w:p w14:paraId="0D9CE655" w14:textId="77777777" w:rsidR="003131F4" w:rsidRPr="007C7EA1" w:rsidRDefault="003131F4" w:rsidP="003131F4"/>
        </w:tc>
      </w:tr>
      <w:tr w:rsidR="003131F4" w:rsidRPr="007C7EA1" w14:paraId="7CEF6297" w14:textId="77777777" w:rsidTr="003131F4">
        <w:tc>
          <w:tcPr>
            <w:tcW w:w="0" w:type="auto"/>
            <w:tcMar>
              <w:top w:w="28" w:type="dxa"/>
              <w:left w:w="28" w:type="dxa"/>
              <w:bottom w:w="28" w:type="dxa"/>
              <w:right w:w="28" w:type="dxa"/>
            </w:tcMar>
            <w:hideMark/>
          </w:tcPr>
          <w:p w14:paraId="5B60EA6F" w14:textId="77777777" w:rsidR="003131F4" w:rsidRPr="007C7EA1" w:rsidRDefault="003131F4" w:rsidP="003131F4">
            <w:r w:rsidRPr="007C7EA1">
              <w:rPr>
                <w:color w:val="000000"/>
                <w:sz w:val="22"/>
                <w:szCs w:val="22"/>
              </w:rPr>
              <w:t>  Graduated high school</w:t>
            </w:r>
          </w:p>
        </w:tc>
        <w:tc>
          <w:tcPr>
            <w:tcW w:w="0" w:type="auto"/>
            <w:tcMar>
              <w:top w:w="28" w:type="dxa"/>
              <w:left w:w="28" w:type="dxa"/>
              <w:bottom w:w="28" w:type="dxa"/>
              <w:right w:w="28" w:type="dxa"/>
            </w:tcMar>
            <w:hideMark/>
          </w:tcPr>
          <w:p w14:paraId="300E8F8C" w14:textId="77777777" w:rsidR="003131F4" w:rsidRPr="007C7EA1" w:rsidRDefault="003131F4" w:rsidP="003131F4">
            <w:r w:rsidRPr="007C7EA1">
              <w:rPr>
                <w:color w:val="000000"/>
                <w:sz w:val="22"/>
                <w:szCs w:val="22"/>
              </w:rPr>
              <w:t>38 (15.8)</w:t>
            </w:r>
          </w:p>
        </w:tc>
        <w:tc>
          <w:tcPr>
            <w:tcW w:w="0" w:type="auto"/>
            <w:tcMar>
              <w:top w:w="28" w:type="dxa"/>
              <w:left w:w="28" w:type="dxa"/>
              <w:bottom w:w="28" w:type="dxa"/>
              <w:right w:w="28" w:type="dxa"/>
            </w:tcMar>
            <w:hideMark/>
          </w:tcPr>
          <w:p w14:paraId="39A5C4ED" w14:textId="77777777" w:rsidR="003131F4" w:rsidRPr="007C7EA1" w:rsidRDefault="003131F4" w:rsidP="003131F4">
            <w:r w:rsidRPr="007C7EA1">
              <w:rPr>
                <w:color w:val="000000"/>
                <w:sz w:val="22"/>
                <w:szCs w:val="22"/>
              </w:rPr>
              <w:t>17 (14.4)</w:t>
            </w:r>
          </w:p>
        </w:tc>
        <w:tc>
          <w:tcPr>
            <w:tcW w:w="0" w:type="auto"/>
            <w:tcMar>
              <w:top w:w="28" w:type="dxa"/>
              <w:left w:w="28" w:type="dxa"/>
              <w:bottom w:w="28" w:type="dxa"/>
              <w:right w:w="28" w:type="dxa"/>
            </w:tcMar>
            <w:hideMark/>
          </w:tcPr>
          <w:p w14:paraId="2780947C" w14:textId="77777777" w:rsidR="003131F4" w:rsidRPr="007C7EA1" w:rsidRDefault="003131F4" w:rsidP="003131F4">
            <w:r w:rsidRPr="007C7EA1">
              <w:rPr>
                <w:color w:val="000000"/>
                <w:sz w:val="22"/>
                <w:szCs w:val="22"/>
              </w:rPr>
              <w:t>21 (17.2)</w:t>
            </w:r>
          </w:p>
        </w:tc>
        <w:tc>
          <w:tcPr>
            <w:tcW w:w="0" w:type="auto"/>
            <w:tcMar>
              <w:top w:w="28" w:type="dxa"/>
              <w:left w:w="28" w:type="dxa"/>
              <w:bottom w:w="28" w:type="dxa"/>
              <w:right w:w="28" w:type="dxa"/>
            </w:tcMar>
            <w:hideMark/>
          </w:tcPr>
          <w:p w14:paraId="0ACD3177" w14:textId="77777777" w:rsidR="003131F4" w:rsidRPr="007C7EA1" w:rsidRDefault="003131F4" w:rsidP="003131F4"/>
        </w:tc>
      </w:tr>
      <w:tr w:rsidR="003131F4" w:rsidRPr="007C7EA1" w14:paraId="5711403A" w14:textId="77777777" w:rsidTr="003131F4">
        <w:tc>
          <w:tcPr>
            <w:tcW w:w="0" w:type="auto"/>
            <w:tcMar>
              <w:top w:w="28" w:type="dxa"/>
              <w:left w:w="28" w:type="dxa"/>
              <w:bottom w:w="28" w:type="dxa"/>
              <w:right w:w="28" w:type="dxa"/>
            </w:tcMar>
            <w:hideMark/>
          </w:tcPr>
          <w:p w14:paraId="06A63C2F" w14:textId="77777777" w:rsidR="003131F4" w:rsidRPr="007C7EA1" w:rsidRDefault="003131F4" w:rsidP="003131F4">
            <w:r w:rsidRPr="007C7EA1">
              <w:rPr>
                <w:color w:val="000000"/>
                <w:sz w:val="22"/>
                <w:szCs w:val="22"/>
              </w:rPr>
              <w:t>  Attended college</w:t>
            </w:r>
          </w:p>
        </w:tc>
        <w:tc>
          <w:tcPr>
            <w:tcW w:w="0" w:type="auto"/>
            <w:tcMar>
              <w:top w:w="28" w:type="dxa"/>
              <w:left w:w="28" w:type="dxa"/>
              <w:bottom w:w="28" w:type="dxa"/>
              <w:right w:w="28" w:type="dxa"/>
            </w:tcMar>
            <w:hideMark/>
          </w:tcPr>
          <w:p w14:paraId="325F9E55" w14:textId="77777777" w:rsidR="003131F4" w:rsidRPr="007C7EA1" w:rsidRDefault="003131F4" w:rsidP="003131F4">
            <w:r w:rsidRPr="007C7EA1">
              <w:rPr>
                <w:color w:val="000000"/>
                <w:sz w:val="22"/>
                <w:szCs w:val="22"/>
              </w:rPr>
              <w:t>43 (17.9)</w:t>
            </w:r>
          </w:p>
        </w:tc>
        <w:tc>
          <w:tcPr>
            <w:tcW w:w="0" w:type="auto"/>
            <w:tcMar>
              <w:top w:w="28" w:type="dxa"/>
              <w:left w:w="28" w:type="dxa"/>
              <w:bottom w:w="28" w:type="dxa"/>
              <w:right w:w="28" w:type="dxa"/>
            </w:tcMar>
            <w:hideMark/>
          </w:tcPr>
          <w:p w14:paraId="1949F2C1" w14:textId="77777777" w:rsidR="003131F4" w:rsidRPr="007C7EA1" w:rsidRDefault="003131F4" w:rsidP="003131F4">
            <w:r w:rsidRPr="007C7EA1">
              <w:rPr>
                <w:color w:val="000000"/>
                <w:sz w:val="22"/>
                <w:szCs w:val="22"/>
              </w:rPr>
              <w:t>22 (18.6)</w:t>
            </w:r>
          </w:p>
        </w:tc>
        <w:tc>
          <w:tcPr>
            <w:tcW w:w="0" w:type="auto"/>
            <w:tcMar>
              <w:top w:w="28" w:type="dxa"/>
              <w:left w:w="28" w:type="dxa"/>
              <w:bottom w:w="28" w:type="dxa"/>
              <w:right w:w="28" w:type="dxa"/>
            </w:tcMar>
            <w:hideMark/>
          </w:tcPr>
          <w:p w14:paraId="44F2A1B7" w14:textId="77777777" w:rsidR="003131F4" w:rsidRPr="007C7EA1" w:rsidRDefault="003131F4" w:rsidP="003131F4">
            <w:r w:rsidRPr="007C7EA1">
              <w:rPr>
                <w:color w:val="000000"/>
                <w:sz w:val="22"/>
                <w:szCs w:val="22"/>
              </w:rPr>
              <w:t>21 (17.2)</w:t>
            </w:r>
          </w:p>
        </w:tc>
        <w:tc>
          <w:tcPr>
            <w:tcW w:w="0" w:type="auto"/>
            <w:tcMar>
              <w:top w:w="28" w:type="dxa"/>
              <w:left w:w="28" w:type="dxa"/>
              <w:bottom w:w="28" w:type="dxa"/>
              <w:right w:w="28" w:type="dxa"/>
            </w:tcMar>
            <w:hideMark/>
          </w:tcPr>
          <w:p w14:paraId="2B32CDE3" w14:textId="77777777" w:rsidR="003131F4" w:rsidRPr="007C7EA1" w:rsidRDefault="003131F4" w:rsidP="003131F4"/>
        </w:tc>
      </w:tr>
      <w:tr w:rsidR="003131F4" w:rsidRPr="007C7EA1" w14:paraId="3202BF4B" w14:textId="77777777" w:rsidTr="003131F4">
        <w:tc>
          <w:tcPr>
            <w:tcW w:w="0" w:type="auto"/>
            <w:tcMar>
              <w:top w:w="28" w:type="dxa"/>
              <w:left w:w="28" w:type="dxa"/>
              <w:bottom w:w="28" w:type="dxa"/>
              <w:right w:w="28" w:type="dxa"/>
            </w:tcMar>
            <w:hideMark/>
          </w:tcPr>
          <w:p w14:paraId="4BD9C4D7" w14:textId="77777777" w:rsidR="003131F4" w:rsidRPr="007C7EA1" w:rsidRDefault="003131F4" w:rsidP="003131F4">
            <w:r w:rsidRPr="007C7EA1">
              <w:rPr>
                <w:color w:val="000000"/>
                <w:sz w:val="22"/>
                <w:szCs w:val="22"/>
              </w:rPr>
              <w:t>  Graduated College</w:t>
            </w:r>
          </w:p>
        </w:tc>
        <w:tc>
          <w:tcPr>
            <w:tcW w:w="0" w:type="auto"/>
            <w:tcMar>
              <w:top w:w="28" w:type="dxa"/>
              <w:left w:w="28" w:type="dxa"/>
              <w:bottom w:w="28" w:type="dxa"/>
              <w:right w:w="28" w:type="dxa"/>
            </w:tcMar>
            <w:hideMark/>
          </w:tcPr>
          <w:p w14:paraId="7C6148CA" w14:textId="77777777" w:rsidR="003131F4" w:rsidRPr="007C7EA1" w:rsidRDefault="003131F4" w:rsidP="003131F4">
            <w:r w:rsidRPr="007C7EA1">
              <w:rPr>
                <w:color w:val="000000"/>
                <w:sz w:val="22"/>
                <w:szCs w:val="22"/>
              </w:rPr>
              <w:t>130 (54.2)</w:t>
            </w:r>
          </w:p>
        </w:tc>
        <w:tc>
          <w:tcPr>
            <w:tcW w:w="0" w:type="auto"/>
            <w:tcMar>
              <w:top w:w="28" w:type="dxa"/>
              <w:left w:w="28" w:type="dxa"/>
              <w:bottom w:w="28" w:type="dxa"/>
              <w:right w:w="28" w:type="dxa"/>
            </w:tcMar>
            <w:hideMark/>
          </w:tcPr>
          <w:p w14:paraId="3B3261AC" w14:textId="77777777" w:rsidR="003131F4" w:rsidRPr="007C7EA1" w:rsidRDefault="003131F4" w:rsidP="003131F4">
            <w:r w:rsidRPr="007C7EA1">
              <w:rPr>
                <w:color w:val="000000"/>
                <w:sz w:val="22"/>
                <w:szCs w:val="22"/>
              </w:rPr>
              <w:t>65 (55.1)</w:t>
            </w:r>
          </w:p>
        </w:tc>
        <w:tc>
          <w:tcPr>
            <w:tcW w:w="0" w:type="auto"/>
            <w:tcMar>
              <w:top w:w="28" w:type="dxa"/>
              <w:left w:w="28" w:type="dxa"/>
              <w:bottom w:w="28" w:type="dxa"/>
              <w:right w:w="28" w:type="dxa"/>
            </w:tcMar>
            <w:hideMark/>
          </w:tcPr>
          <w:p w14:paraId="16D9D9BB" w14:textId="77777777" w:rsidR="003131F4" w:rsidRPr="007C7EA1" w:rsidRDefault="003131F4" w:rsidP="003131F4">
            <w:r w:rsidRPr="007C7EA1">
              <w:rPr>
                <w:color w:val="000000"/>
                <w:sz w:val="22"/>
                <w:szCs w:val="22"/>
              </w:rPr>
              <w:t>65 (53.3)</w:t>
            </w:r>
          </w:p>
        </w:tc>
        <w:tc>
          <w:tcPr>
            <w:tcW w:w="0" w:type="auto"/>
            <w:tcMar>
              <w:top w:w="28" w:type="dxa"/>
              <w:left w:w="28" w:type="dxa"/>
              <w:bottom w:w="28" w:type="dxa"/>
              <w:right w:w="28" w:type="dxa"/>
            </w:tcMar>
            <w:hideMark/>
          </w:tcPr>
          <w:p w14:paraId="3E829108" w14:textId="77777777" w:rsidR="003131F4" w:rsidRPr="007C7EA1" w:rsidRDefault="003131F4" w:rsidP="003131F4"/>
        </w:tc>
      </w:tr>
      <w:tr w:rsidR="003131F4" w:rsidRPr="007C7EA1" w14:paraId="0D3FC747" w14:textId="77777777" w:rsidTr="003131F4">
        <w:tc>
          <w:tcPr>
            <w:tcW w:w="0" w:type="auto"/>
            <w:tcMar>
              <w:top w:w="28" w:type="dxa"/>
              <w:left w:w="28" w:type="dxa"/>
              <w:bottom w:w="28" w:type="dxa"/>
              <w:right w:w="28" w:type="dxa"/>
            </w:tcMar>
            <w:hideMark/>
          </w:tcPr>
          <w:p w14:paraId="2E715C7D" w14:textId="77777777" w:rsidR="003131F4" w:rsidRPr="007C7EA1" w:rsidRDefault="003131F4" w:rsidP="003131F4">
            <w:r w:rsidRPr="007C7EA1">
              <w:rPr>
                <w:color w:val="000000"/>
                <w:sz w:val="22"/>
                <w:szCs w:val="22"/>
              </w:rPr>
              <w:t>  Don’t know</w:t>
            </w:r>
          </w:p>
        </w:tc>
        <w:tc>
          <w:tcPr>
            <w:tcW w:w="0" w:type="auto"/>
            <w:tcMar>
              <w:top w:w="28" w:type="dxa"/>
              <w:left w:w="28" w:type="dxa"/>
              <w:bottom w:w="28" w:type="dxa"/>
              <w:right w:w="28" w:type="dxa"/>
            </w:tcMar>
            <w:hideMark/>
          </w:tcPr>
          <w:p w14:paraId="4DF602BF" w14:textId="77777777" w:rsidR="003131F4" w:rsidRPr="007C7EA1" w:rsidRDefault="003131F4" w:rsidP="003131F4">
            <w:r w:rsidRPr="007C7EA1">
              <w:rPr>
                <w:color w:val="000000"/>
                <w:sz w:val="22"/>
                <w:szCs w:val="22"/>
              </w:rPr>
              <w:t>5 (2.1)</w:t>
            </w:r>
          </w:p>
        </w:tc>
        <w:tc>
          <w:tcPr>
            <w:tcW w:w="0" w:type="auto"/>
            <w:tcMar>
              <w:top w:w="28" w:type="dxa"/>
              <w:left w:w="28" w:type="dxa"/>
              <w:bottom w:w="28" w:type="dxa"/>
              <w:right w:w="28" w:type="dxa"/>
            </w:tcMar>
            <w:hideMark/>
          </w:tcPr>
          <w:p w14:paraId="71D44355" w14:textId="77777777" w:rsidR="003131F4" w:rsidRPr="007C7EA1" w:rsidRDefault="003131F4" w:rsidP="003131F4">
            <w:r w:rsidRPr="007C7EA1">
              <w:rPr>
                <w:color w:val="000000"/>
                <w:sz w:val="22"/>
                <w:szCs w:val="22"/>
              </w:rPr>
              <w:t>2 (1.7)</w:t>
            </w:r>
          </w:p>
        </w:tc>
        <w:tc>
          <w:tcPr>
            <w:tcW w:w="0" w:type="auto"/>
            <w:tcMar>
              <w:top w:w="28" w:type="dxa"/>
              <w:left w:w="28" w:type="dxa"/>
              <w:bottom w:w="28" w:type="dxa"/>
              <w:right w:w="28" w:type="dxa"/>
            </w:tcMar>
            <w:hideMark/>
          </w:tcPr>
          <w:p w14:paraId="77280DEF" w14:textId="77777777" w:rsidR="003131F4" w:rsidRPr="007C7EA1" w:rsidRDefault="003131F4" w:rsidP="003131F4">
            <w:r w:rsidRPr="007C7EA1">
              <w:rPr>
                <w:color w:val="000000"/>
                <w:sz w:val="22"/>
                <w:szCs w:val="22"/>
              </w:rPr>
              <w:t>3 (2.5)</w:t>
            </w:r>
          </w:p>
        </w:tc>
        <w:tc>
          <w:tcPr>
            <w:tcW w:w="0" w:type="auto"/>
            <w:tcMar>
              <w:top w:w="28" w:type="dxa"/>
              <w:left w:w="28" w:type="dxa"/>
              <w:bottom w:w="28" w:type="dxa"/>
              <w:right w:w="28" w:type="dxa"/>
            </w:tcMar>
            <w:hideMark/>
          </w:tcPr>
          <w:p w14:paraId="56AB85FB" w14:textId="77777777" w:rsidR="003131F4" w:rsidRPr="007C7EA1" w:rsidRDefault="003131F4" w:rsidP="003131F4"/>
        </w:tc>
      </w:tr>
      <w:tr w:rsidR="003131F4" w:rsidRPr="007C7EA1" w14:paraId="2DE3CF3C" w14:textId="77777777" w:rsidTr="003131F4">
        <w:tc>
          <w:tcPr>
            <w:tcW w:w="0" w:type="auto"/>
            <w:tcMar>
              <w:top w:w="28" w:type="dxa"/>
              <w:left w:w="28" w:type="dxa"/>
              <w:bottom w:w="28" w:type="dxa"/>
              <w:right w:w="28" w:type="dxa"/>
            </w:tcMar>
            <w:hideMark/>
          </w:tcPr>
          <w:p w14:paraId="62CCA125" w14:textId="77777777" w:rsidR="003131F4" w:rsidRPr="007C7EA1" w:rsidRDefault="003131F4" w:rsidP="003131F4">
            <w:r w:rsidRPr="007C7EA1">
              <w:rPr>
                <w:color w:val="000000"/>
                <w:sz w:val="22"/>
                <w:szCs w:val="22"/>
              </w:rPr>
              <w:t>Family Support</w:t>
            </w:r>
          </w:p>
        </w:tc>
        <w:tc>
          <w:tcPr>
            <w:tcW w:w="0" w:type="auto"/>
            <w:tcMar>
              <w:top w:w="28" w:type="dxa"/>
              <w:left w:w="28" w:type="dxa"/>
              <w:bottom w:w="28" w:type="dxa"/>
              <w:right w:w="28" w:type="dxa"/>
            </w:tcMar>
            <w:hideMark/>
          </w:tcPr>
          <w:p w14:paraId="5F4EE4AD" w14:textId="77777777" w:rsidR="003131F4" w:rsidRPr="007C7EA1" w:rsidRDefault="003131F4" w:rsidP="003131F4">
            <w:r w:rsidRPr="007C7EA1">
              <w:rPr>
                <w:color w:val="000000"/>
                <w:sz w:val="22"/>
                <w:szCs w:val="22"/>
              </w:rPr>
              <w:t>3.8 ± 1.5</w:t>
            </w:r>
          </w:p>
        </w:tc>
        <w:tc>
          <w:tcPr>
            <w:tcW w:w="0" w:type="auto"/>
            <w:tcMar>
              <w:top w:w="28" w:type="dxa"/>
              <w:left w:w="28" w:type="dxa"/>
              <w:bottom w:w="28" w:type="dxa"/>
              <w:right w:w="28" w:type="dxa"/>
            </w:tcMar>
            <w:hideMark/>
          </w:tcPr>
          <w:p w14:paraId="70A7B1B0" w14:textId="77777777" w:rsidR="003131F4" w:rsidRPr="007C7EA1" w:rsidRDefault="003131F4" w:rsidP="003131F4">
            <w:r w:rsidRPr="007C7EA1">
              <w:rPr>
                <w:color w:val="000000"/>
                <w:sz w:val="22"/>
                <w:szCs w:val="22"/>
              </w:rPr>
              <w:t>3.6 ± 1.6</w:t>
            </w:r>
          </w:p>
        </w:tc>
        <w:tc>
          <w:tcPr>
            <w:tcW w:w="0" w:type="auto"/>
            <w:tcMar>
              <w:top w:w="28" w:type="dxa"/>
              <w:left w:w="28" w:type="dxa"/>
              <w:bottom w:w="28" w:type="dxa"/>
              <w:right w:w="28" w:type="dxa"/>
            </w:tcMar>
            <w:hideMark/>
          </w:tcPr>
          <w:p w14:paraId="6C589BE7" w14:textId="77777777" w:rsidR="003131F4" w:rsidRPr="007C7EA1" w:rsidRDefault="003131F4" w:rsidP="003131F4">
            <w:r w:rsidRPr="007C7EA1">
              <w:rPr>
                <w:color w:val="000000"/>
                <w:sz w:val="22"/>
                <w:szCs w:val="22"/>
              </w:rPr>
              <w:t>4.0 ± 1.5</w:t>
            </w:r>
          </w:p>
        </w:tc>
        <w:tc>
          <w:tcPr>
            <w:tcW w:w="0" w:type="auto"/>
            <w:tcMar>
              <w:top w:w="28" w:type="dxa"/>
              <w:left w:w="28" w:type="dxa"/>
              <w:bottom w:w="28" w:type="dxa"/>
              <w:right w:w="28" w:type="dxa"/>
            </w:tcMar>
            <w:hideMark/>
          </w:tcPr>
          <w:p w14:paraId="1E61ED92" w14:textId="77777777" w:rsidR="003131F4" w:rsidRPr="007C7EA1" w:rsidRDefault="003131F4" w:rsidP="003131F4">
            <w:r w:rsidRPr="007C7EA1">
              <w:rPr>
                <w:color w:val="000000"/>
                <w:sz w:val="22"/>
                <w:szCs w:val="22"/>
              </w:rPr>
              <w:t>0.054</w:t>
            </w:r>
          </w:p>
        </w:tc>
      </w:tr>
      <w:tr w:rsidR="003131F4" w:rsidRPr="007C7EA1" w14:paraId="5417FFA4" w14:textId="77777777" w:rsidTr="003131F4">
        <w:tc>
          <w:tcPr>
            <w:tcW w:w="0" w:type="auto"/>
            <w:tcMar>
              <w:top w:w="28" w:type="dxa"/>
              <w:left w:w="28" w:type="dxa"/>
              <w:bottom w:w="28" w:type="dxa"/>
              <w:right w:w="28" w:type="dxa"/>
            </w:tcMar>
            <w:hideMark/>
          </w:tcPr>
          <w:p w14:paraId="1791F86E" w14:textId="77777777" w:rsidR="003131F4" w:rsidRPr="007C7EA1" w:rsidRDefault="003131F4" w:rsidP="003131F4">
            <w:r w:rsidRPr="007C7EA1">
              <w:rPr>
                <w:color w:val="000000"/>
                <w:sz w:val="22"/>
                <w:szCs w:val="22"/>
              </w:rPr>
              <w:t>Outness to Family</w:t>
            </w:r>
          </w:p>
        </w:tc>
        <w:tc>
          <w:tcPr>
            <w:tcW w:w="0" w:type="auto"/>
            <w:tcMar>
              <w:top w:w="28" w:type="dxa"/>
              <w:left w:w="28" w:type="dxa"/>
              <w:bottom w:w="28" w:type="dxa"/>
              <w:right w:w="28" w:type="dxa"/>
            </w:tcMar>
            <w:hideMark/>
          </w:tcPr>
          <w:p w14:paraId="55F46050" w14:textId="77777777" w:rsidR="003131F4" w:rsidRPr="007C7EA1" w:rsidRDefault="003131F4" w:rsidP="003131F4">
            <w:r w:rsidRPr="007C7EA1">
              <w:rPr>
                <w:color w:val="000000"/>
                <w:sz w:val="22"/>
                <w:szCs w:val="22"/>
              </w:rPr>
              <w:t>3.6 ± 1.6</w:t>
            </w:r>
          </w:p>
        </w:tc>
        <w:tc>
          <w:tcPr>
            <w:tcW w:w="0" w:type="auto"/>
            <w:tcMar>
              <w:top w:w="28" w:type="dxa"/>
              <w:left w:w="28" w:type="dxa"/>
              <w:bottom w:w="28" w:type="dxa"/>
              <w:right w:w="28" w:type="dxa"/>
            </w:tcMar>
            <w:hideMark/>
          </w:tcPr>
          <w:p w14:paraId="1B1FBA6D" w14:textId="77777777" w:rsidR="003131F4" w:rsidRPr="007C7EA1" w:rsidRDefault="003131F4" w:rsidP="003131F4">
            <w:r w:rsidRPr="007C7EA1">
              <w:rPr>
                <w:color w:val="000000"/>
                <w:sz w:val="22"/>
                <w:szCs w:val="22"/>
              </w:rPr>
              <w:t>2.7 ± 1.5</w:t>
            </w:r>
          </w:p>
        </w:tc>
        <w:tc>
          <w:tcPr>
            <w:tcW w:w="0" w:type="auto"/>
            <w:tcMar>
              <w:top w:w="28" w:type="dxa"/>
              <w:left w:w="28" w:type="dxa"/>
              <w:bottom w:w="28" w:type="dxa"/>
              <w:right w:w="28" w:type="dxa"/>
            </w:tcMar>
            <w:hideMark/>
          </w:tcPr>
          <w:p w14:paraId="2B3FA783" w14:textId="77777777" w:rsidR="003131F4" w:rsidRPr="007C7EA1" w:rsidRDefault="003131F4" w:rsidP="003131F4">
            <w:r w:rsidRPr="007C7EA1">
              <w:rPr>
                <w:color w:val="000000"/>
                <w:sz w:val="22"/>
                <w:szCs w:val="22"/>
              </w:rPr>
              <w:t>4.4 ± 1.3</w:t>
            </w:r>
          </w:p>
        </w:tc>
        <w:tc>
          <w:tcPr>
            <w:tcW w:w="0" w:type="auto"/>
            <w:tcMar>
              <w:top w:w="28" w:type="dxa"/>
              <w:left w:w="28" w:type="dxa"/>
              <w:bottom w:w="28" w:type="dxa"/>
              <w:right w:w="28" w:type="dxa"/>
            </w:tcMar>
            <w:hideMark/>
          </w:tcPr>
          <w:p w14:paraId="440A241B" w14:textId="77777777" w:rsidR="003131F4" w:rsidRPr="007C7EA1" w:rsidRDefault="003131F4" w:rsidP="003131F4">
            <w:r w:rsidRPr="007C7EA1">
              <w:rPr>
                <w:color w:val="000000"/>
                <w:sz w:val="22"/>
                <w:szCs w:val="22"/>
              </w:rPr>
              <w:t>&lt;0.0001</w:t>
            </w:r>
          </w:p>
        </w:tc>
      </w:tr>
      <w:tr w:rsidR="003131F4" w:rsidRPr="007C7EA1" w14:paraId="4EBB55D0" w14:textId="77777777" w:rsidTr="003131F4">
        <w:tc>
          <w:tcPr>
            <w:tcW w:w="0" w:type="auto"/>
            <w:tcBorders>
              <w:bottom w:val="single" w:sz="8" w:space="0" w:color="000000"/>
            </w:tcBorders>
            <w:tcMar>
              <w:top w:w="28" w:type="dxa"/>
              <w:left w:w="28" w:type="dxa"/>
              <w:bottom w:w="28" w:type="dxa"/>
              <w:right w:w="28" w:type="dxa"/>
            </w:tcMar>
            <w:hideMark/>
          </w:tcPr>
          <w:p w14:paraId="37B71CA2" w14:textId="77777777" w:rsidR="003131F4" w:rsidRPr="007C7EA1" w:rsidRDefault="003131F4" w:rsidP="003131F4">
            <w:r w:rsidRPr="007C7EA1">
              <w:rPr>
                <w:color w:val="000000"/>
                <w:sz w:val="22"/>
                <w:szCs w:val="22"/>
              </w:rPr>
              <w:t>Depression Severity</w:t>
            </w:r>
          </w:p>
        </w:tc>
        <w:tc>
          <w:tcPr>
            <w:tcW w:w="0" w:type="auto"/>
            <w:tcBorders>
              <w:bottom w:val="single" w:sz="8" w:space="0" w:color="000000"/>
            </w:tcBorders>
            <w:tcMar>
              <w:top w:w="28" w:type="dxa"/>
              <w:left w:w="28" w:type="dxa"/>
              <w:bottom w:w="28" w:type="dxa"/>
              <w:right w:w="28" w:type="dxa"/>
            </w:tcMar>
            <w:hideMark/>
          </w:tcPr>
          <w:p w14:paraId="06D23577" w14:textId="77777777" w:rsidR="003131F4" w:rsidRPr="007C7EA1" w:rsidRDefault="003131F4" w:rsidP="003131F4">
            <w:r w:rsidRPr="007C7EA1">
              <w:rPr>
                <w:color w:val="000000"/>
                <w:sz w:val="22"/>
                <w:szCs w:val="22"/>
              </w:rPr>
              <w:t>15.0 ± 7.1</w:t>
            </w:r>
          </w:p>
        </w:tc>
        <w:tc>
          <w:tcPr>
            <w:tcW w:w="0" w:type="auto"/>
            <w:tcBorders>
              <w:bottom w:val="single" w:sz="8" w:space="0" w:color="000000"/>
            </w:tcBorders>
            <w:tcMar>
              <w:top w:w="28" w:type="dxa"/>
              <w:left w:w="28" w:type="dxa"/>
              <w:bottom w:w="28" w:type="dxa"/>
              <w:right w:w="28" w:type="dxa"/>
            </w:tcMar>
            <w:hideMark/>
          </w:tcPr>
          <w:p w14:paraId="4959DC10" w14:textId="77777777" w:rsidR="003131F4" w:rsidRPr="007C7EA1" w:rsidRDefault="003131F4" w:rsidP="003131F4">
            <w:r w:rsidRPr="007C7EA1">
              <w:rPr>
                <w:color w:val="000000"/>
                <w:sz w:val="22"/>
                <w:szCs w:val="22"/>
              </w:rPr>
              <w:t>17.2 ± 6.9</w:t>
            </w:r>
          </w:p>
        </w:tc>
        <w:tc>
          <w:tcPr>
            <w:tcW w:w="0" w:type="auto"/>
            <w:tcBorders>
              <w:bottom w:val="single" w:sz="8" w:space="0" w:color="000000"/>
            </w:tcBorders>
            <w:tcMar>
              <w:top w:w="28" w:type="dxa"/>
              <w:left w:w="28" w:type="dxa"/>
              <w:bottom w:w="28" w:type="dxa"/>
              <w:right w:w="28" w:type="dxa"/>
            </w:tcMar>
            <w:hideMark/>
          </w:tcPr>
          <w:p w14:paraId="175C36BE" w14:textId="77777777" w:rsidR="003131F4" w:rsidRPr="007C7EA1" w:rsidRDefault="003131F4" w:rsidP="003131F4">
            <w:r w:rsidRPr="007C7EA1">
              <w:rPr>
                <w:color w:val="000000"/>
                <w:sz w:val="22"/>
                <w:szCs w:val="22"/>
              </w:rPr>
              <w:t>12.9 ± 6.7</w:t>
            </w:r>
          </w:p>
        </w:tc>
        <w:tc>
          <w:tcPr>
            <w:tcW w:w="0" w:type="auto"/>
            <w:tcBorders>
              <w:bottom w:val="single" w:sz="8" w:space="0" w:color="000000"/>
            </w:tcBorders>
            <w:tcMar>
              <w:top w:w="28" w:type="dxa"/>
              <w:left w:w="28" w:type="dxa"/>
              <w:bottom w:w="28" w:type="dxa"/>
              <w:right w:w="28" w:type="dxa"/>
            </w:tcMar>
            <w:hideMark/>
          </w:tcPr>
          <w:p w14:paraId="47ACE433" w14:textId="77777777" w:rsidR="003131F4" w:rsidRPr="007C7EA1" w:rsidRDefault="003131F4" w:rsidP="003131F4">
            <w:r w:rsidRPr="007C7EA1">
              <w:rPr>
                <w:color w:val="000000"/>
                <w:sz w:val="22"/>
                <w:szCs w:val="22"/>
              </w:rPr>
              <w:t>&lt;0.0001</w:t>
            </w:r>
          </w:p>
        </w:tc>
      </w:tr>
    </w:tbl>
    <w:p w14:paraId="0D80A5A7" w14:textId="7EC42119" w:rsidR="003131F4" w:rsidRPr="007C7EA1" w:rsidRDefault="00AB2A85" w:rsidP="003131F4">
      <w:pPr>
        <w:jc w:val="both"/>
      </w:pPr>
      <w:r>
        <w:rPr>
          <w:color w:val="000000"/>
          <w:sz w:val="22"/>
          <w:szCs w:val="22"/>
        </w:rPr>
        <w:t xml:space="preserve">Values are </w:t>
      </w:r>
      <w:proofErr w:type="spellStart"/>
      <w:r w:rsidR="003131F4" w:rsidRPr="007C7EA1">
        <w:rPr>
          <w:color w:val="000000"/>
          <w:sz w:val="22"/>
          <w:szCs w:val="22"/>
        </w:rPr>
        <w:t>mean±standard</w:t>
      </w:r>
      <w:proofErr w:type="spellEnd"/>
      <w:r w:rsidR="003131F4" w:rsidRPr="007C7EA1">
        <w:rPr>
          <w:color w:val="000000"/>
          <w:sz w:val="22"/>
          <w:szCs w:val="22"/>
        </w:rPr>
        <w:t xml:space="preserve"> deviation or </w:t>
      </w:r>
      <w:proofErr w:type="gramStart"/>
      <w:r w:rsidR="003131F4" w:rsidRPr="007C7EA1">
        <w:rPr>
          <w:color w:val="000000"/>
          <w:sz w:val="22"/>
          <w:szCs w:val="22"/>
        </w:rPr>
        <w:t>n(</w:t>
      </w:r>
      <w:proofErr w:type="gramEnd"/>
      <w:r w:rsidR="003131F4" w:rsidRPr="007C7EA1">
        <w:rPr>
          <w:color w:val="000000"/>
          <w:sz w:val="22"/>
          <w:szCs w:val="22"/>
        </w:rPr>
        <w:t>%)</w:t>
      </w:r>
      <w:r>
        <w:rPr>
          <w:color w:val="000000"/>
          <w:sz w:val="22"/>
          <w:szCs w:val="22"/>
        </w:rPr>
        <w:t xml:space="preserve">. </w:t>
      </w:r>
      <w:r w:rsidR="003131F4" w:rsidRPr="007C7EA1">
        <w:rPr>
          <w:color w:val="000000"/>
          <w:sz w:val="22"/>
          <w:szCs w:val="22"/>
        </w:rPr>
        <w:t xml:space="preserve">P-values reported from t-tests, chi-squared tests, or Fischer’s exact tests, as appropriate. Percentages may not sum to 100 </w:t>
      </w:r>
      <w:proofErr w:type="gramStart"/>
      <w:r w:rsidR="003131F4" w:rsidRPr="007C7EA1">
        <w:rPr>
          <w:color w:val="000000"/>
          <w:sz w:val="22"/>
          <w:szCs w:val="22"/>
        </w:rPr>
        <w:t>due</w:t>
      </w:r>
      <w:proofErr w:type="gramEnd"/>
      <w:r w:rsidR="003131F4" w:rsidRPr="007C7EA1">
        <w:rPr>
          <w:color w:val="000000"/>
          <w:sz w:val="22"/>
          <w:szCs w:val="22"/>
        </w:rPr>
        <w:t xml:space="preserve"> to small amounts of missing data</w:t>
      </w:r>
    </w:p>
    <w:p w14:paraId="47AABDAA" w14:textId="77777777" w:rsidR="003131F4" w:rsidRPr="007C7EA1" w:rsidRDefault="003131F4" w:rsidP="003131F4">
      <w:pPr>
        <w:sectPr w:rsidR="003131F4" w:rsidRPr="007C7EA1" w:rsidSect="009418A4">
          <w:pgSz w:w="12240" w:h="15840"/>
          <w:pgMar w:top="1440" w:right="1440" w:bottom="1440" w:left="1440" w:header="720" w:footer="720" w:gutter="0"/>
          <w:cols w:space="720"/>
          <w:docGrid w:linePitch="360"/>
        </w:sectPr>
      </w:pPr>
    </w:p>
    <w:p w14:paraId="32F6DB7E" w14:textId="13E84681" w:rsidR="00D24938" w:rsidRDefault="00D24938" w:rsidP="003131F4">
      <w:pPr>
        <w:jc w:val="both"/>
        <w:rPr>
          <w:b/>
          <w:bCs/>
        </w:rPr>
      </w:pPr>
    </w:p>
    <w:p w14:paraId="50E5871F" w14:textId="77777777" w:rsidR="00D24938" w:rsidRPr="0086469C" w:rsidRDefault="00D24938" w:rsidP="003131F4">
      <w:pPr>
        <w:jc w:val="both"/>
        <w:rPr>
          <w:b/>
          <w:bCs/>
        </w:rPr>
      </w:pPr>
    </w:p>
    <w:p w14:paraId="2D8843BA" w14:textId="74E6940D" w:rsidR="003131F4" w:rsidRPr="00D24938" w:rsidRDefault="00D24938" w:rsidP="00D24938">
      <w:pPr>
        <w:pStyle w:val="Caption"/>
        <w:rPr>
          <w:b/>
          <w:i w:val="0"/>
          <w:color w:val="auto"/>
          <w:sz w:val="22"/>
          <w:szCs w:val="22"/>
        </w:rPr>
      </w:pPr>
      <w:bookmarkStart w:id="24" w:name="_Toc39049227"/>
      <w:r w:rsidRPr="00D24938">
        <w:rPr>
          <w:b/>
          <w:i w:val="0"/>
          <w:color w:val="auto"/>
          <w:sz w:val="22"/>
          <w:szCs w:val="22"/>
        </w:rPr>
        <w:t xml:space="preserve">Table </w:t>
      </w:r>
      <w:r w:rsidRPr="00D24938">
        <w:rPr>
          <w:b/>
          <w:i w:val="0"/>
          <w:color w:val="auto"/>
          <w:sz w:val="22"/>
          <w:szCs w:val="22"/>
        </w:rPr>
        <w:fldChar w:fldCharType="begin"/>
      </w:r>
      <w:r w:rsidRPr="00D24938">
        <w:rPr>
          <w:b/>
          <w:i w:val="0"/>
          <w:color w:val="auto"/>
          <w:sz w:val="22"/>
          <w:szCs w:val="22"/>
        </w:rPr>
        <w:instrText xml:space="preserve"> SEQ Table \* ARABIC </w:instrText>
      </w:r>
      <w:r w:rsidRPr="00D24938">
        <w:rPr>
          <w:b/>
          <w:i w:val="0"/>
          <w:color w:val="auto"/>
          <w:sz w:val="22"/>
          <w:szCs w:val="22"/>
        </w:rPr>
        <w:fldChar w:fldCharType="separate"/>
      </w:r>
      <w:r>
        <w:rPr>
          <w:b/>
          <w:i w:val="0"/>
          <w:noProof/>
          <w:color w:val="auto"/>
          <w:sz w:val="22"/>
          <w:szCs w:val="22"/>
        </w:rPr>
        <w:t>2</w:t>
      </w:r>
      <w:r w:rsidRPr="00D24938">
        <w:rPr>
          <w:b/>
          <w:i w:val="0"/>
          <w:color w:val="auto"/>
          <w:sz w:val="22"/>
          <w:szCs w:val="22"/>
        </w:rPr>
        <w:fldChar w:fldCharType="end"/>
      </w:r>
      <w:r w:rsidRPr="00D24938">
        <w:rPr>
          <w:b/>
          <w:i w:val="0"/>
          <w:color w:val="auto"/>
          <w:sz w:val="22"/>
          <w:szCs w:val="22"/>
        </w:rPr>
        <w:t xml:space="preserve"> Adjusted Models of Associations between Gender Minority Identity, Family Support, Outness to Family, and Depression Severity</w:t>
      </w:r>
      <w:bookmarkEnd w:id="24"/>
    </w:p>
    <w:tbl>
      <w:tblPr>
        <w:tblW w:w="0" w:type="auto"/>
        <w:tblCellMar>
          <w:top w:w="15" w:type="dxa"/>
          <w:left w:w="15" w:type="dxa"/>
          <w:bottom w:w="15" w:type="dxa"/>
          <w:right w:w="15" w:type="dxa"/>
        </w:tblCellMar>
        <w:tblLook w:val="04A0" w:firstRow="1" w:lastRow="0" w:firstColumn="1" w:lastColumn="0" w:noHBand="0" w:noVBand="1"/>
      </w:tblPr>
      <w:tblGrid>
        <w:gridCol w:w="2256"/>
        <w:gridCol w:w="1936"/>
        <w:gridCol w:w="2016"/>
        <w:gridCol w:w="1996"/>
      </w:tblGrid>
      <w:tr w:rsidR="003131F4" w:rsidRPr="007C7EA1" w14:paraId="7357AF8C" w14:textId="77777777" w:rsidTr="003131F4">
        <w:tc>
          <w:tcPr>
            <w:tcW w:w="0" w:type="auto"/>
            <w:tcBorders>
              <w:bottom w:val="single" w:sz="8" w:space="0" w:color="000000"/>
            </w:tcBorders>
            <w:tcMar>
              <w:top w:w="28" w:type="dxa"/>
              <w:left w:w="28" w:type="dxa"/>
              <w:bottom w:w="28" w:type="dxa"/>
              <w:right w:w="28" w:type="dxa"/>
            </w:tcMar>
            <w:hideMark/>
          </w:tcPr>
          <w:p w14:paraId="5F9AFA87" w14:textId="77777777" w:rsidR="003131F4" w:rsidRPr="007C7EA1" w:rsidRDefault="003131F4" w:rsidP="003131F4"/>
        </w:tc>
        <w:tc>
          <w:tcPr>
            <w:tcW w:w="0" w:type="auto"/>
            <w:tcBorders>
              <w:bottom w:val="single" w:sz="8" w:space="0" w:color="000000"/>
            </w:tcBorders>
            <w:tcMar>
              <w:top w:w="28" w:type="dxa"/>
              <w:left w:w="28" w:type="dxa"/>
              <w:bottom w:w="28" w:type="dxa"/>
              <w:right w:w="28" w:type="dxa"/>
            </w:tcMar>
            <w:hideMark/>
          </w:tcPr>
          <w:p w14:paraId="578A0394" w14:textId="77777777" w:rsidR="003131F4" w:rsidRPr="007C7EA1" w:rsidRDefault="003131F4" w:rsidP="003131F4">
            <w:r w:rsidRPr="007C7EA1">
              <w:rPr>
                <w:color w:val="000000"/>
              </w:rPr>
              <w:t>Family Support</w:t>
            </w:r>
          </w:p>
          <w:p w14:paraId="64B82C3D" w14:textId="77777777" w:rsidR="003131F4" w:rsidRPr="007C7EA1" w:rsidRDefault="003131F4" w:rsidP="003131F4">
            <w:r w:rsidRPr="007C7EA1">
              <w:rPr>
                <w:rFonts w:ascii="Cambria Math" w:hAnsi="Cambria Math" w:cs="Cambria Math"/>
                <w:color w:val="000000"/>
              </w:rPr>
              <w:t>𝞫</w:t>
            </w:r>
            <w:r w:rsidRPr="007C7EA1">
              <w:rPr>
                <w:color w:val="000000"/>
              </w:rPr>
              <w:t xml:space="preserve"> (95% CI)</w:t>
            </w:r>
          </w:p>
        </w:tc>
        <w:tc>
          <w:tcPr>
            <w:tcW w:w="0" w:type="auto"/>
            <w:tcBorders>
              <w:bottom w:val="single" w:sz="8" w:space="0" w:color="000000"/>
            </w:tcBorders>
            <w:tcMar>
              <w:top w:w="28" w:type="dxa"/>
              <w:left w:w="28" w:type="dxa"/>
              <w:bottom w:w="28" w:type="dxa"/>
              <w:right w:w="28" w:type="dxa"/>
            </w:tcMar>
            <w:hideMark/>
          </w:tcPr>
          <w:p w14:paraId="08861A72" w14:textId="77777777" w:rsidR="003131F4" w:rsidRPr="007C7EA1" w:rsidRDefault="003131F4" w:rsidP="003131F4">
            <w:r w:rsidRPr="007C7EA1">
              <w:rPr>
                <w:color w:val="000000"/>
              </w:rPr>
              <w:t>Outness to Family</w:t>
            </w:r>
          </w:p>
          <w:p w14:paraId="1BB14BAD" w14:textId="77777777" w:rsidR="003131F4" w:rsidRPr="007C7EA1" w:rsidRDefault="003131F4" w:rsidP="003131F4">
            <w:r w:rsidRPr="007C7EA1">
              <w:rPr>
                <w:rFonts w:ascii="Cambria Math" w:hAnsi="Cambria Math" w:cs="Cambria Math"/>
                <w:color w:val="000000"/>
              </w:rPr>
              <w:t>𝞫</w:t>
            </w:r>
            <w:r w:rsidRPr="007C7EA1">
              <w:rPr>
                <w:color w:val="000000"/>
              </w:rPr>
              <w:t xml:space="preserve"> (95% CI)</w:t>
            </w:r>
          </w:p>
        </w:tc>
        <w:tc>
          <w:tcPr>
            <w:tcW w:w="0" w:type="auto"/>
            <w:tcBorders>
              <w:bottom w:val="single" w:sz="8" w:space="0" w:color="000000"/>
            </w:tcBorders>
            <w:tcMar>
              <w:top w:w="28" w:type="dxa"/>
              <w:left w:w="28" w:type="dxa"/>
              <w:bottom w:w="28" w:type="dxa"/>
              <w:right w:w="28" w:type="dxa"/>
            </w:tcMar>
            <w:hideMark/>
          </w:tcPr>
          <w:p w14:paraId="7BB0F187" w14:textId="77777777" w:rsidR="003131F4" w:rsidRPr="007C7EA1" w:rsidRDefault="003131F4" w:rsidP="003131F4">
            <w:r w:rsidRPr="007C7EA1">
              <w:rPr>
                <w:color w:val="000000"/>
              </w:rPr>
              <w:t>Depression Severity</w:t>
            </w:r>
          </w:p>
          <w:p w14:paraId="4E2EC566" w14:textId="77777777" w:rsidR="003131F4" w:rsidRPr="007C7EA1" w:rsidRDefault="003131F4" w:rsidP="003131F4">
            <w:r w:rsidRPr="007C7EA1">
              <w:rPr>
                <w:rFonts w:ascii="Cambria Math" w:hAnsi="Cambria Math" w:cs="Cambria Math"/>
                <w:color w:val="000000"/>
              </w:rPr>
              <w:t>𝞫</w:t>
            </w:r>
            <w:r w:rsidRPr="007C7EA1">
              <w:rPr>
                <w:color w:val="000000"/>
              </w:rPr>
              <w:t xml:space="preserve"> (95% CI)</w:t>
            </w:r>
          </w:p>
        </w:tc>
      </w:tr>
      <w:tr w:rsidR="003131F4" w:rsidRPr="007C7EA1" w14:paraId="11248370" w14:textId="77777777" w:rsidTr="003131F4">
        <w:tc>
          <w:tcPr>
            <w:tcW w:w="0" w:type="auto"/>
            <w:tcBorders>
              <w:top w:val="single" w:sz="8" w:space="0" w:color="000000"/>
            </w:tcBorders>
            <w:tcMar>
              <w:top w:w="28" w:type="dxa"/>
              <w:left w:w="28" w:type="dxa"/>
              <w:bottom w:w="28" w:type="dxa"/>
              <w:right w:w="28" w:type="dxa"/>
            </w:tcMar>
            <w:hideMark/>
          </w:tcPr>
          <w:p w14:paraId="05F6715E" w14:textId="77777777" w:rsidR="003131F4" w:rsidRPr="007C7EA1" w:rsidRDefault="003131F4" w:rsidP="003131F4">
            <w:r w:rsidRPr="007C7EA1">
              <w:rPr>
                <w:color w:val="000000"/>
              </w:rPr>
              <w:t>Cisgender youth</w:t>
            </w:r>
          </w:p>
        </w:tc>
        <w:tc>
          <w:tcPr>
            <w:tcW w:w="0" w:type="auto"/>
            <w:tcBorders>
              <w:top w:val="single" w:sz="8" w:space="0" w:color="000000"/>
            </w:tcBorders>
            <w:tcMar>
              <w:top w:w="28" w:type="dxa"/>
              <w:left w:w="28" w:type="dxa"/>
              <w:bottom w:w="28" w:type="dxa"/>
              <w:right w:w="28" w:type="dxa"/>
            </w:tcMar>
            <w:hideMark/>
          </w:tcPr>
          <w:p w14:paraId="5A67DF04" w14:textId="77777777" w:rsidR="003131F4" w:rsidRPr="007C7EA1" w:rsidRDefault="003131F4" w:rsidP="003131F4">
            <w:r w:rsidRPr="007C7EA1">
              <w:rPr>
                <w:color w:val="000000"/>
              </w:rPr>
              <w:t>REF</w:t>
            </w:r>
          </w:p>
        </w:tc>
        <w:tc>
          <w:tcPr>
            <w:tcW w:w="0" w:type="auto"/>
            <w:tcBorders>
              <w:top w:val="single" w:sz="8" w:space="0" w:color="000000"/>
            </w:tcBorders>
            <w:tcMar>
              <w:top w:w="28" w:type="dxa"/>
              <w:left w:w="28" w:type="dxa"/>
              <w:bottom w:w="28" w:type="dxa"/>
              <w:right w:w="28" w:type="dxa"/>
            </w:tcMar>
            <w:hideMark/>
          </w:tcPr>
          <w:p w14:paraId="5DE37B50" w14:textId="77777777" w:rsidR="003131F4" w:rsidRPr="007C7EA1" w:rsidRDefault="003131F4" w:rsidP="003131F4">
            <w:r w:rsidRPr="007C7EA1">
              <w:rPr>
                <w:color w:val="000000"/>
              </w:rPr>
              <w:t>REF</w:t>
            </w:r>
          </w:p>
        </w:tc>
        <w:tc>
          <w:tcPr>
            <w:tcW w:w="0" w:type="auto"/>
            <w:tcBorders>
              <w:top w:val="single" w:sz="8" w:space="0" w:color="000000"/>
            </w:tcBorders>
            <w:tcMar>
              <w:top w:w="28" w:type="dxa"/>
              <w:left w:w="28" w:type="dxa"/>
              <w:bottom w:w="28" w:type="dxa"/>
              <w:right w:w="28" w:type="dxa"/>
            </w:tcMar>
            <w:hideMark/>
          </w:tcPr>
          <w:p w14:paraId="7AFE8440" w14:textId="77777777" w:rsidR="003131F4" w:rsidRPr="007C7EA1" w:rsidRDefault="003131F4" w:rsidP="003131F4">
            <w:r w:rsidRPr="007C7EA1">
              <w:rPr>
                <w:color w:val="000000"/>
              </w:rPr>
              <w:t>REF</w:t>
            </w:r>
          </w:p>
        </w:tc>
      </w:tr>
      <w:tr w:rsidR="003131F4" w:rsidRPr="007C7EA1" w14:paraId="0CB72848" w14:textId="77777777" w:rsidTr="003131F4">
        <w:tc>
          <w:tcPr>
            <w:tcW w:w="0" w:type="auto"/>
            <w:tcBorders>
              <w:bottom w:val="single" w:sz="8" w:space="0" w:color="000000"/>
            </w:tcBorders>
            <w:tcMar>
              <w:top w:w="28" w:type="dxa"/>
              <w:left w:w="28" w:type="dxa"/>
              <w:bottom w:w="28" w:type="dxa"/>
              <w:right w:w="28" w:type="dxa"/>
            </w:tcMar>
            <w:hideMark/>
          </w:tcPr>
          <w:p w14:paraId="40D320A7" w14:textId="77777777" w:rsidR="003131F4" w:rsidRPr="007C7EA1" w:rsidRDefault="003131F4" w:rsidP="003131F4">
            <w:r w:rsidRPr="007C7EA1">
              <w:rPr>
                <w:color w:val="000000"/>
              </w:rPr>
              <w:t>Gender minority youth</w:t>
            </w:r>
          </w:p>
        </w:tc>
        <w:tc>
          <w:tcPr>
            <w:tcW w:w="0" w:type="auto"/>
            <w:tcBorders>
              <w:bottom w:val="single" w:sz="8" w:space="0" w:color="000000"/>
            </w:tcBorders>
            <w:tcMar>
              <w:top w:w="28" w:type="dxa"/>
              <w:left w:w="28" w:type="dxa"/>
              <w:bottom w:w="28" w:type="dxa"/>
              <w:right w:w="28" w:type="dxa"/>
            </w:tcMar>
            <w:hideMark/>
          </w:tcPr>
          <w:p w14:paraId="7E986CA6" w14:textId="77777777" w:rsidR="003131F4" w:rsidRPr="007C7EA1" w:rsidRDefault="003131F4" w:rsidP="003131F4">
            <w:r w:rsidRPr="007C7EA1">
              <w:rPr>
                <w:color w:val="000000"/>
              </w:rPr>
              <w:t>-0.41 (-0.86, 0.034)</w:t>
            </w:r>
          </w:p>
        </w:tc>
        <w:tc>
          <w:tcPr>
            <w:tcW w:w="0" w:type="auto"/>
            <w:tcBorders>
              <w:bottom w:val="single" w:sz="8" w:space="0" w:color="000000"/>
            </w:tcBorders>
            <w:tcMar>
              <w:top w:w="28" w:type="dxa"/>
              <w:left w:w="28" w:type="dxa"/>
              <w:bottom w:w="28" w:type="dxa"/>
              <w:right w:w="28" w:type="dxa"/>
            </w:tcMar>
            <w:hideMark/>
          </w:tcPr>
          <w:p w14:paraId="388D0F2C" w14:textId="77777777" w:rsidR="003131F4" w:rsidRPr="007C7EA1" w:rsidRDefault="003131F4" w:rsidP="003131F4">
            <w:r w:rsidRPr="007C7EA1">
              <w:rPr>
                <w:color w:val="000000"/>
              </w:rPr>
              <w:t>-1.86 (-2.25, -1.</w:t>
            </w:r>
            <w:proofErr w:type="gramStart"/>
            <w:r w:rsidRPr="007C7EA1">
              <w:rPr>
                <w:color w:val="000000"/>
              </w:rPr>
              <w:t>46)*</w:t>
            </w:r>
            <w:proofErr w:type="gramEnd"/>
          </w:p>
        </w:tc>
        <w:tc>
          <w:tcPr>
            <w:tcW w:w="0" w:type="auto"/>
            <w:tcBorders>
              <w:bottom w:val="single" w:sz="8" w:space="0" w:color="000000"/>
            </w:tcBorders>
            <w:tcMar>
              <w:top w:w="28" w:type="dxa"/>
              <w:left w:w="28" w:type="dxa"/>
              <w:bottom w:w="28" w:type="dxa"/>
              <w:right w:w="28" w:type="dxa"/>
            </w:tcMar>
            <w:hideMark/>
          </w:tcPr>
          <w:p w14:paraId="168BCFFF" w14:textId="77777777" w:rsidR="003131F4" w:rsidRPr="007C7EA1" w:rsidRDefault="003131F4" w:rsidP="003131F4">
            <w:r w:rsidRPr="007C7EA1">
              <w:rPr>
                <w:color w:val="000000"/>
              </w:rPr>
              <w:t xml:space="preserve">3.54 (1.51, </w:t>
            </w:r>
            <w:proofErr w:type="gramStart"/>
            <w:r w:rsidRPr="007C7EA1">
              <w:rPr>
                <w:color w:val="000000"/>
              </w:rPr>
              <w:t>5.56)*</w:t>
            </w:r>
            <w:proofErr w:type="gramEnd"/>
          </w:p>
        </w:tc>
      </w:tr>
    </w:tbl>
    <w:p w14:paraId="7AB77359" w14:textId="30588C2C" w:rsidR="003131F4" w:rsidRDefault="003131F4" w:rsidP="00D24938">
      <w:pPr>
        <w:jc w:val="both"/>
        <w:rPr>
          <w:color w:val="000000"/>
          <w:sz w:val="22"/>
          <w:szCs w:val="22"/>
        </w:rPr>
      </w:pPr>
      <w:r w:rsidRPr="00D24938">
        <w:rPr>
          <w:color w:val="000000"/>
          <w:sz w:val="22"/>
          <w:szCs w:val="22"/>
        </w:rPr>
        <w:t>CI: Confidence Interval. All models adjusted for race/ethnicity, parent education, and sexual orientation; *p&lt;0.05</w:t>
      </w:r>
    </w:p>
    <w:p w14:paraId="50065278" w14:textId="6F5B43B9" w:rsidR="00D24938" w:rsidRDefault="00D24938" w:rsidP="00D24938">
      <w:pPr>
        <w:jc w:val="both"/>
      </w:pPr>
    </w:p>
    <w:p w14:paraId="1B41F4EA" w14:textId="4C5D6D47" w:rsidR="00D24938" w:rsidRDefault="00D24938" w:rsidP="00D24938">
      <w:pPr>
        <w:jc w:val="both"/>
      </w:pPr>
    </w:p>
    <w:p w14:paraId="0EE93301" w14:textId="0DCC3B02" w:rsidR="00D24938" w:rsidRDefault="00D24938" w:rsidP="003131F4">
      <w:pPr>
        <w:jc w:val="both"/>
        <w:rPr>
          <w:b/>
          <w:bCs/>
        </w:rPr>
      </w:pPr>
    </w:p>
    <w:p w14:paraId="6F006B87" w14:textId="039428F9" w:rsidR="00D24938" w:rsidRPr="00D24938" w:rsidRDefault="00D24938" w:rsidP="00D24938">
      <w:pPr>
        <w:pStyle w:val="Caption"/>
        <w:spacing w:after="0"/>
        <w:rPr>
          <w:b/>
          <w:bCs/>
          <w:i w:val="0"/>
          <w:color w:val="auto"/>
          <w:sz w:val="22"/>
          <w:szCs w:val="22"/>
        </w:rPr>
      </w:pPr>
      <w:bookmarkStart w:id="25" w:name="_Toc39049228"/>
      <w:r w:rsidRPr="00D24938">
        <w:rPr>
          <w:b/>
          <w:i w:val="0"/>
          <w:color w:val="auto"/>
          <w:sz w:val="22"/>
          <w:szCs w:val="22"/>
        </w:rPr>
        <w:t xml:space="preserve">Table </w:t>
      </w:r>
      <w:r w:rsidRPr="00D24938">
        <w:rPr>
          <w:b/>
          <w:i w:val="0"/>
          <w:color w:val="auto"/>
          <w:sz w:val="22"/>
          <w:szCs w:val="22"/>
        </w:rPr>
        <w:fldChar w:fldCharType="begin"/>
      </w:r>
      <w:r w:rsidRPr="00D24938">
        <w:rPr>
          <w:b/>
          <w:i w:val="0"/>
          <w:color w:val="auto"/>
          <w:sz w:val="22"/>
          <w:szCs w:val="22"/>
        </w:rPr>
        <w:instrText xml:space="preserve"> SEQ Table \* ARABIC </w:instrText>
      </w:r>
      <w:r w:rsidRPr="00D24938">
        <w:rPr>
          <w:b/>
          <w:i w:val="0"/>
          <w:color w:val="auto"/>
          <w:sz w:val="22"/>
          <w:szCs w:val="22"/>
        </w:rPr>
        <w:fldChar w:fldCharType="separate"/>
      </w:r>
      <w:r w:rsidRPr="00D24938">
        <w:rPr>
          <w:b/>
          <w:i w:val="0"/>
          <w:noProof/>
          <w:color w:val="auto"/>
          <w:sz w:val="22"/>
          <w:szCs w:val="22"/>
        </w:rPr>
        <w:t>3</w:t>
      </w:r>
      <w:r w:rsidRPr="00D24938">
        <w:rPr>
          <w:b/>
          <w:i w:val="0"/>
          <w:color w:val="auto"/>
          <w:sz w:val="22"/>
          <w:szCs w:val="22"/>
        </w:rPr>
        <w:fldChar w:fldCharType="end"/>
      </w:r>
      <w:r w:rsidRPr="00D24938">
        <w:rPr>
          <w:b/>
          <w:i w:val="0"/>
          <w:color w:val="auto"/>
          <w:sz w:val="22"/>
          <w:szCs w:val="22"/>
        </w:rPr>
        <w:t xml:space="preserve"> Associations between Family Support and Outness to Families on Depression Severity Among Gender Minority Youth</w:t>
      </w:r>
      <w:bookmarkEnd w:id="25"/>
    </w:p>
    <w:tbl>
      <w:tblPr>
        <w:tblW w:w="0" w:type="auto"/>
        <w:tblCellMar>
          <w:top w:w="15" w:type="dxa"/>
          <w:left w:w="15" w:type="dxa"/>
          <w:bottom w:w="15" w:type="dxa"/>
          <w:right w:w="15" w:type="dxa"/>
        </w:tblCellMar>
        <w:tblLook w:val="04A0" w:firstRow="1" w:lastRow="0" w:firstColumn="1" w:lastColumn="0" w:noHBand="0" w:noVBand="1"/>
      </w:tblPr>
      <w:tblGrid>
        <w:gridCol w:w="1601"/>
        <w:gridCol w:w="1902"/>
        <w:gridCol w:w="1744"/>
        <w:gridCol w:w="1529"/>
        <w:gridCol w:w="2584"/>
      </w:tblGrid>
      <w:tr w:rsidR="003131F4" w:rsidRPr="007C7EA1" w14:paraId="313D052E" w14:textId="77777777" w:rsidTr="003131F4">
        <w:tc>
          <w:tcPr>
            <w:tcW w:w="0" w:type="auto"/>
            <w:tcBorders>
              <w:bottom w:val="single" w:sz="8" w:space="0" w:color="000000"/>
            </w:tcBorders>
            <w:tcMar>
              <w:top w:w="100" w:type="dxa"/>
              <w:left w:w="100" w:type="dxa"/>
              <w:bottom w:w="100" w:type="dxa"/>
              <w:right w:w="100" w:type="dxa"/>
            </w:tcMar>
            <w:hideMark/>
          </w:tcPr>
          <w:p w14:paraId="7447186D" w14:textId="77777777" w:rsidR="003131F4" w:rsidRPr="007C7EA1" w:rsidRDefault="003131F4" w:rsidP="003131F4"/>
        </w:tc>
        <w:tc>
          <w:tcPr>
            <w:tcW w:w="0" w:type="auto"/>
            <w:tcBorders>
              <w:bottom w:val="single" w:sz="8" w:space="0" w:color="000000"/>
            </w:tcBorders>
            <w:tcMar>
              <w:top w:w="100" w:type="dxa"/>
              <w:left w:w="100" w:type="dxa"/>
              <w:bottom w:w="100" w:type="dxa"/>
              <w:right w:w="100" w:type="dxa"/>
            </w:tcMar>
            <w:vAlign w:val="bottom"/>
            <w:hideMark/>
          </w:tcPr>
          <w:p w14:paraId="668105DB" w14:textId="77777777" w:rsidR="003131F4" w:rsidRPr="007C7EA1" w:rsidRDefault="003131F4" w:rsidP="003131F4">
            <w:r w:rsidRPr="007C7EA1">
              <w:rPr>
                <w:color w:val="000000"/>
                <w:sz w:val="20"/>
                <w:szCs w:val="20"/>
              </w:rPr>
              <w:t xml:space="preserve">Unadjusted </w:t>
            </w:r>
            <w:proofErr w:type="spellStart"/>
            <w:r w:rsidRPr="007C7EA1">
              <w:rPr>
                <w:color w:val="000000"/>
                <w:sz w:val="20"/>
                <w:szCs w:val="20"/>
              </w:rPr>
              <w:t>Bivariates</w:t>
            </w:r>
            <w:proofErr w:type="spellEnd"/>
          </w:p>
          <w:p w14:paraId="7ECA90ED" w14:textId="77777777" w:rsidR="003131F4" w:rsidRPr="007C7EA1" w:rsidRDefault="003131F4" w:rsidP="003131F4">
            <w:r w:rsidRPr="007C7EA1">
              <w:rPr>
                <w:rFonts w:ascii="Cambria Math" w:hAnsi="Cambria Math" w:cs="Cambria Math"/>
                <w:color w:val="000000"/>
                <w:sz w:val="20"/>
                <w:szCs w:val="20"/>
              </w:rPr>
              <w:t>𝞫</w:t>
            </w:r>
            <w:r w:rsidRPr="007C7EA1">
              <w:rPr>
                <w:color w:val="000000"/>
                <w:sz w:val="20"/>
                <w:szCs w:val="20"/>
              </w:rPr>
              <w:t xml:space="preserve"> (95% CI)</w:t>
            </w:r>
          </w:p>
        </w:tc>
        <w:tc>
          <w:tcPr>
            <w:tcW w:w="0" w:type="auto"/>
            <w:tcBorders>
              <w:bottom w:val="single" w:sz="8" w:space="0" w:color="000000"/>
            </w:tcBorders>
            <w:tcMar>
              <w:top w:w="100" w:type="dxa"/>
              <w:left w:w="100" w:type="dxa"/>
              <w:bottom w:w="100" w:type="dxa"/>
              <w:right w:w="100" w:type="dxa"/>
            </w:tcMar>
            <w:vAlign w:val="bottom"/>
            <w:hideMark/>
          </w:tcPr>
          <w:p w14:paraId="3C26C34B" w14:textId="77777777" w:rsidR="003131F4" w:rsidRPr="007C7EA1" w:rsidRDefault="003131F4" w:rsidP="003131F4">
            <w:r w:rsidRPr="007C7EA1">
              <w:rPr>
                <w:color w:val="000000"/>
                <w:sz w:val="20"/>
                <w:szCs w:val="20"/>
              </w:rPr>
              <w:t>Model 1A</w:t>
            </w:r>
          </w:p>
          <w:p w14:paraId="361EDD01" w14:textId="77777777" w:rsidR="003131F4" w:rsidRPr="007C7EA1" w:rsidRDefault="003131F4" w:rsidP="003131F4">
            <w:r w:rsidRPr="007C7EA1">
              <w:rPr>
                <w:rFonts w:ascii="Cambria Math" w:hAnsi="Cambria Math" w:cs="Cambria Math"/>
                <w:color w:val="000000"/>
                <w:sz w:val="20"/>
                <w:szCs w:val="20"/>
              </w:rPr>
              <w:t>𝞫</w:t>
            </w:r>
            <w:r w:rsidRPr="007C7EA1">
              <w:rPr>
                <w:color w:val="000000"/>
                <w:sz w:val="20"/>
                <w:szCs w:val="20"/>
              </w:rPr>
              <w:t xml:space="preserve"> (95% CI)</w:t>
            </w:r>
          </w:p>
        </w:tc>
        <w:tc>
          <w:tcPr>
            <w:tcW w:w="0" w:type="auto"/>
            <w:tcBorders>
              <w:bottom w:val="single" w:sz="8" w:space="0" w:color="000000"/>
            </w:tcBorders>
            <w:tcMar>
              <w:top w:w="100" w:type="dxa"/>
              <w:left w:w="100" w:type="dxa"/>
              <w:bottom w:w="100" w:type="dxa"/>
              <w:right w:w="100" w:type="dxa"/>
            </w:tcMar>
            <w:vAlign w:val="bottom"/>
            <w:hideMark/>
          </w:tcPr>
          <w:p w14:paraId="59113126" w14:textId="77777777" w:rsidR="003131F4" w:rsidRPr="007C7EA1" w:rsidRDefault="003131F4" w:rsidP="003131F4">
            <w:r w:rsidRPr="007C7EA1">
              <w:rPr>
                <w:color w:val="000000"/>
                <w:sz w:val="20"/>
                <w:szCs w:val="20"/>
              </w:rPr>
              <w:t>Model 1B</w:t>
            </w:r>
          </w:p>
          <w:p w14:paraId="03976B15" w14:textId="77777777" w:rsidR="003131F4" w:rsidRPr="007C7EA1" w:rsidRDefault="003131F4" w:rsidP="003131F4">
            <w:r w:rsidRPr="007C7EA1">
              <w:rPr>
                <w:rFonts w:ascii="Cambria Math" w:hAnsi="Cambria Math" w:cs="Cambria Math"/>
                <w:color w:val="000000"/>
                <w:sz w:val="20"/>
                <w:szCs w:val="20"/>
              </w:rPr>
              <w:t>𝞫</w:t>
            </w:r>
            <w:r w:rsidRPr="007C7EA1">
              <w:rPr>
                <w:color w:val="000000"/>
                <w:sz w:val="20"/>
                <w:szCs w:val="20"/>
              </w:rPr>
              <w:t xml:space="preserve"> (95% CI)</w:t>
            </w:r>
          </w:p>
        </w:tc>
        <w:tc>
          <w:tcPr>
            <w:tcW w:w="0" w:type="auto"/>
            <w:tcBorders>
              <w:bottom w:val="single" w:sz="8" w:space="0" w:color="000000"/>
            </w:tcBorders>
            <w:tcMar>
              <w:top w:w="100" w:type="dxa"/>
              <w:left w:w="100" w:type="dxa"/>
              <w:bottom w:w="100" w:type="dxa"/>
              <w:right w:w="100" w:type="dxa"/>
            </w:tcMar>
            <w:vAlign w:val="bottom"/>
            <w:hideMark/>
          </w:tcPr>
          <w:p w14:paraId="62F3A3CC" w14:textId="77777777" w:rsidR="003131F4" w:rsidRPr="007C7EA1" w:rsidRDefault="003131F4" w:rsidP="003131F4">
            <w:r w:rsidRPr="007C7EA1">
              <w:rPr>
                <w:color w:val="000000"/>
                <w:sz w:val="20"/>
                <w:szCs w:val="20"/>
              </w:rPr>
              <w:t>Model 2</w:t>
            </w:r>
          </w:p>
          <w:p w14:paraId="37DFB887" w14:textId="77777777" w:rsidR="003131F4" w:rsidRPr="007C7EA1" w:rsidRDefault="003131F4" w:rsidP="003131F4">
            <w:r w:rsidRPr="007C7EA1">
              <w:rPr>
                <w:color w:val="000000"/>
                <w:sz w:val="20"/>
                <w:szCs w:val="20"/>
              </w:rPr>
              <w:t>(Model 1A + outness to family)</w:t>
            </w:r>
          </w:p>
          <w:p w14:paraId="1CB6F0B5" w14:textId="77777777" w:rsidR="003131F4" w:rsidRPr="007C7EA1" w:rsidRDefault="003131F4" w:rsidP="003131F4">
            <w:r w:rsidRPr="007C7EA1">
              <w:rPr>
                <w:rFonts w:ascii="Cambria Math" w:hAnsi="Cambria Math" w:cs="Cambria Math"/>
                <w:color w:val="000000"/>
                <w:sz w:val="20"/>
                <w:szCs w:val="20"/>
              </w:rPr>
              <w:t>𝞫</w:t>
            </w:r>
            <w:r w:rsidRPr="007C7EA1">
              <w:rPr>
                <w:color w:val="000000"/>
                <w:sz w:val="20"/>
                <w:szCs w:val="20"/>
              </w:rPr>
              <w:t xml:space="preserve"> (95% CI)</w:t>
            </w:r>
          </w:p>
        </w:tc>
      </w:tr>
      <w:tr w:rsidR="003131F4" w:rsidRPr="007C7EA1" w14:paraId="3F2ACD06" w14:textId="77777777" w:rsidTr="003131F4">
        <w:tc>
          <w:tcPr>
            <w:tcW w:w="0" w:type="auto"/>
            <w:tcBorders>
              <w:top w:val="single" w:sz="8" w:space="0" w:color="000000"/>
            </w:tcBorders>
            <w:tcMar>
              <w:top w:w="100" w:type="dxa"/>
              <w:left w:w="100" w:type="dxa"/>
              <w:bottom w:w="100" w:type="dxa"/>
              <w:right w:w="100" w:type="dxa"/>
            </w:tcMar>
            <w:hideMark/>
          </w:tcPr>
          <w:p w14:paraId="0CFC7CBF" w14:textId="77777777" w:rsidR="003131F4" w:rsidRPr="007C7EA1" w:rsidRDefault="003131F4" w:rsidP="003131F4">
            <w:r w:rsidRPr="007C7EA1">
              <w:rPr>
                <w:color w:val="000000"/>
                <w:sz w:val="20"/>
                <w:szCs w:val="20"/>
              </w:rPr>
              <w:t>Family Support</w:t>
            </w:r>
          </w:p>
        </w:tc>
        <w:tc>
          <w:tcPr>
            <w:tcW w:w="0" w:type="auto"/>
            <w:tcBorders>
              <w:top w:val="single" w:sz="8" w:space="0" w:color="000000"/>
            </w:tcBorders>
            <w:tcMar>
              <w:top w:w="100" w:type="dxa"/>
              <w:left w:w="100" w:type="dxa"/>
              <w:bottom w:w="100" w:type="dxa"/>
              <w:right w:w="100" w:type="dxa"/>
            </w:tcMar>
            <w:hideMark/>
          </w:tcPr>
          <w:p w14:paraId="4D4A665B" w14:textId="77777777" w:rsidR="003131F4" w:rsidRPr="007C7EA1" w:rsidRDefault="003131F4" w:rsidP="003131F4">
            <w:r w:rsidRPr="007C7EA1">
              <w:rPr>
                <w:color w:val="000000"/>
                <w:sz w:val="20"/>
                <w:szCs w:val="20"/>
              </w:rPr>
              <w:t>-1.46 (-2.25, -0.</w:t>
            </w:r>
            <w:proofErr w:type="gramStart"/>
            <w:r w:rsidRPr="007C7EA1">
              <w:rPr>
                <w:color w:val="000000"/>
                <w:sz w:val="20"/>
                <w:szCs w:val="20"/>
              </w:rPr>
              <w:t>67)*</w:t>
            </w:r>
            <w:proofErr w:type="gramEnd"/>
          </w:p>
        </w:tc>
        <w:tc>
          <w:tcPr>
            <w:tcW w:w="0" w:type="auto"/>
            <w:tcBorders>
              <w:top w:val="single" w:sz="8" w:space="0" w:color="000000"/>
            </w:tcBorders>
            <w:tcMar>
              <w:top w:w="100" w:type="dxa"/>
              <w:left w:w="100" w:type="dxa"/>
              <w:bottom w:w="100" w:type="dxa"/>
              <w:right w:w="100" w:type="dxa"/>
            </w:tcMar>
            <w:hideMark/>
          </w:tcPr>
          <w:p w14:paraId="3A458906" w14:textId="77777777" w:rsidR="003131F4" w:rsidRPr="007C7EA1" w:rsidRDefault="003131F4" w:rsidP="003131F4">
            <w:r w:rsidRPr="007C7EA1">
              <w:rPr>
                <w:color w:val="000000"/>
                <w:sz w:val="20"/>
                <w:szCs w:val="20"/>
              </w:rPr>
              <w:t>-1.61 (-2.46, -0.</w:t>
            </w:r>
            <w:proofErr w:type="gramStart"/>
            <w:r w:rsidRPr="007C7EA1">
              <w:rPr>
                <w:color w:val="000000"/>
                <w:sz w:val="20"/>
                <w:szCs w:val="20"/>
              </w:rPr>
              <w:t>76)*</w:t>
            </w:r>
            <w:proofErr w:type="gramEnd"/>
          </w:p>
        </w:tc>
        <w:tc>
          <w:tcPr>
            <w:tcW w:w="0" w:type="auto"/>
            <w:tcBorders>
              <w:top w:val="single" w:sz="8" w:space="0" w:color="000000"/>
            </w:tcBorders>
            <w:tcMar>
              <w:top w:w="100" w:type="dxa"/>
              <w:left w:w="100" w:type="dxa"/>
              <w:bottom w:w="100" w:type="dxa"/>
              <w:right w:w="100" w:type="dxa"/>
            </w:tcMar>
            <w:hideMark/>
          </w:tcPr>
          <w:p w14:paraId="18A68E76" w14:textId="77777777" w:rsidR="003131F4" w:rsidRPr="007C7EA1" w:rsidRDefault="003131F4" w:rsidP="003131F4">
            <w:pPr>
              <w:jc w:val="center"/>
            </w:pPr>
            <w:r w:rsidRPr="007C7EA1">
              <w:rPr>
                <w:color w:val="000000"/>
                <w:sz w:val="20"/>
                <w:szCs w:val="20"/>
              </w:rPr>
              <w:t>-</w:t>
            </w:r>
          </w:p>
        </w:tc>
        <w:tc>
          <w:tcPr>
            <w:tcW w:w="0" w:type="auto"/>
            <w:tcBorders>
              <w:top w:val="single" w:sz="8" w:space="0" w:color="000000"/>
            </w:tcBorders>
            <w:tcMar>
              <w:top w:w="100" w:type="dxa"/>
              <w:left w:w="100" w:type="dxa"/>
              <w:bottom w:w="100" w:type="dxa"/>
              <w:right w:w="100" w:type="dxa"/>
            </w:tcMar>
            <w:hideMark/>
          </w:tcPr>
          <w:p w14:paraId="48B41231" w14:textId="77777777" w:rsidR="003131F4" w:rsidRPr="007C7EA1" w:rsidRDefault="003131F4" w:rsidP="003131F4">
            <w:r w:rsidRPr="007C7EA1">
              <w:rPr>
                <w:color w:val="000000"/>
                <w:sz w:val="20"/>
                <w:szCs w:val="20"/>
              </w:rPr>
              <w:t>-1.70 (-2.57, -0.</w:t>
            </w:r>
            <w:proofErr w:type="gramStart"/>
            <w:r w:rsidRPr="007C7EA1">
              <w:rPr>
                <w:color w:val="000000"/>
                <w:sz w:val="20"/>
                <w:szCs w:val="20"/>
              </w:rPr>
              <w:t>84)*</w:t>
            </w:r>
            <w:proofErr w:type="gramEnd"/>
          </w:p>
        </w:tc>
      </w:tr>
      <w:tr w:rsidR="003131F4" w:rsidRPr="007C7EA1" w14:paraId="4676BF18" w14:textId="77777777" w:rsidTr="003131F4">
        <w:tc>
          <w:tcPr>
            <w:tcW w:w="0" w:type="auto"/>
            <w:tcBorders>
              <w:bottom w:val="single" w:sz="8" w:space="0" w:color="000000"/>
            </w:tcBorders>
            <w:tcMar>
              <w:top w:w="100" w:type="dxa"/>
              <w:left w:w="100" w:type="dxa"/>
              <w:bottom w:w="100" w:type="dxa"/>
              <w:right w:w="100" w:type="dxa"/>
            </w:tcMar>
            <w:hideMark/>
          </w:tcPr>
          <w:p w14:paraId="6808363F" w14:textId="77777777" w:rsidR="003131F4" w:rsidRPr="007C7EA1" w:rsidRDefault="003131F4" w:rsidP="003131F4">
            <w:r w:rsidRPr="007C7EA1">
              <w:rPr>
                <w:color w:val="000000"/>
                <w:sz w:val="20"/>
                <w:szCs w:val="20"/>
              </w:rPr>
              <w:t>Outness to Family</w:t>
            </w:r>
          </w:p>
        </w:tc>
        <w:tc>
          <w:tcPr>
            <w:tcW w:w="0" w:type="auto"/>
            <w:tcBorders>
              <w:bottom w:val="single" w:sz="8" w:space="0" w:color="000000"/>
            </w:tcBorders>
            <w:tcMar>
              <w:top w:w="100" w:type="dxa"/>
              <w:left w:w="100" w:type="dxa"/>
              <w:bottom w:w="100" w:type="dxa"/>
              <w:right w:w="100" w:type="dxa"/>
            </w:tcMar>
            <w:hideMark/>
          </w:tcPr>
          <w:p w14:paraId="1E15EB47" w14:textId="77777777" w:rsidR="003131F4" w:rsidRPr="007C7EA1" w:rsidRDefault="003131F4" w:rsidP="003131F4">
            <w:r w:rsidRPr="007C7EA1">
              <w:rPr>
                <w:color w:val="000000"/>
                <w:sz w:val="20"/>
                <w:szCs w:val="20"/>
              </w:rPr>
              <w:t>0.16 (-0.70, 1.02)</w:t>
            </w:r>
          </w:p>
        </w:tc>
        <w:tc>
          <w:tcPr>
            <w:tcW w:w="0" w:type="auto"/>
            <w:tcBorders>
              <w:bottom w:val="single" w:sz="8" w:space="0" w:color="000000"/>
            </w:tcBorders>
            <w:tcMar>
              <w:top w:w="100" w:type="dxa"/>
              <w:left w:w="100" w:type="dxa"/>
              <w:bottom w:w="100" w:type="dxa"/>
              <w:right w:w="100" w:type="dxa"/>
            </w:tcMar>
            <w:hideMark/>
          </w:tcPr>
          <w:p w14:paraId="49EFB4D8" w14:textId="77777777" w:rsidR="003131F4" w:rsidRPr="007C7EA1" w:rsidRDefault="003131F4" w:rsidP="003131F4">
            <w:pPr>
              <w:jc w:val="center"/>
            </w:pPr>
            <w:r w:rsidRPr="007C7EA1">
              <w:rPr>
                <w:color w:val="000000"/>
                <w:sz w:val="20"/>
                <w:szCs w:val="20"/>
              </w:rPr>
              <w:t>-</w:t>
            </w:r>
          </w:p>
        </w:tc>
        <w:tc>
          <w:tcPr>
            <w:tcW w:w="0" w:type="auto"/>
            <w:tcBorders>
              <w:bottom w:val="single" w:sz="8" w:space="0" w:color="000000"/>
            </w:tcBorders>
            <w:tcMar>
              <w:top w:w="100" w:type="dxa"/>
              <w:left w:w="100" w:type="dxa"/>
              <w:bottom w:w="100" w:type="dxa"/>
              <w:right w:w="100" w:type="dxa"/>
            </w:tcMar>
            <w:hideMark/>
          </w:tcPr>
          <w:p w14:paraId="0BF9A933" w14:textId="77777777" w:rsidR="003131F4" w:rsidRPr="007C7EA1" w:rsidRDefault="003131F4" w:rsidP="003131F4">
            <w:r w:rsidRPr="007C7EA1">
              <w:rPr>
                <w:color w:val="000000"/>
                <w:sz w:val="20"/>
                <w:szCs w:val="20"/>
              </w:rPr>
              <w:t>0.19 (-0.73, 1.10)</w:t>
            </w:r>
          </w:p>
        </w:tc>
        <w:tc>
          <w:tcPr>
            <w:tcW w:w="0" w:type="auto"/>
            <w:tcBorders>
              <w:bottom w:val="single" w:sz="8" w:space="0" w:color="000000"/>
            </w:tcBorders>
            <w:tcMar>
              <w:top w:w="100" w:type="dxa"/>
              <w:left w:w="100" w:type="dxa"/>
              <w:bottom w:w="100" w:type="dxa"/>
              <w:right w:w="100" w:type="dxa"/>
            </w:tcMar>
            <w:hideMark/>
          </w:tcPr>
          <w:p w14:paraId="03DCBE22" w14:textId="77777777" w:rsidR="003131F4" w:rsidRPr="007C7EA1" w:rsidRDefault="003131F4" w:rsidP="003131F4">
            <w:r w:rsidRPr="007C7EA1">
              <w:rPr>
                <w:color w:val="000000"/>
                <w:sz w:val="20"/>
                <w:szCs w:val="20"/>
              </w:rPr>
              <w:t>0.51 (-0.37, 1.38)</w:t>
            </w:r>
          </w:p>
        </w:tc>
      </w:tr>
    </w:tbl>
    <w:p w14:paraId="548DE405" w14:textId="77777777" w:rsidR="003131F4" w:rsidRPr="00D24938" w:rsidRDefault="003131F4" w:rsidP="003131F4">
      <w:pPr>
        <w:jc w:val="both"/>
        <w:rPr>
          <w:sz w:val="22"/>
          <w:szCs w:val="22"/>
        </w:rPr>
      </w:pPr>
      <w:r w:rsidRPr="00D24938">
        <w:rPr>
          <w:color w:val="000000"/>
          <w:sz w:val="22"/>
          <w:szCs w:val="22"/>
        </w:rPr>
        <w:t>Models 1-3 adjusted for race/ethnicity, parental education, and sexual orientation. CI: Confidence Interval. *Indicates p&lt;0.05</w:t>
      </w:r>
    </w:p>
    <w:p w14:paraId="2C72828E" w14:textId="77777777" w:rsidR="003131F4" w:rsidRPr="007C7EA1" w:rsidRDefault="003131F4" w:rsidP="003131F4">
      <w:pPr>
        <w:sectPr w:rsidR="003131F4" w:rsidRPr="007C7EA1" w:rsidSect="009418A4">
          <w:pgSz w:w="12240" w:h="15840"/>
          <w:pgMar w:top="1440" w:right="1440" w:bottom="1440" w:left="1440" w:header="720" w:footer="720" w:gutter="0"/>
          <w:cols w:space="720"/>
          <w:docGrid w:linePitch="360"/>
        </w:sectPr>
      </w:pPr>
    </w:p>
    <w:p w14:paraId="6449D878" w14:textId="436F97DF" w:rsidR="00D24938" w:rsidRPr="00D24938" w:rsidRDefault="00D24938" w:rsidP="00D24938">
      <w:pPr>
        <w:pStyle w:val="Heading"/>
        <w:rPr>
          <w:b/>
        </w:rPr>
      </w:pPr>
      <w:bookmarkStart w:id="26" w:name="_Toc39049749"/>
      <w:r w:rsidRPr="00D24938">
        <w:rPr>
          <w:b/>
        </w:rPr>
        <w:lastRenderedPageBreak/>
        <w:t>Appendix B Gender Identify Question</w:t>
      </w:r>
      <w:bookmarkEnd w:id="26"/>
    </w:p>
    <w:p w14:paraId="58CA1F56" w14:textId="77777777" w:rsidR="003131F4" w:rsidRPr="007C7EA1" w:rsidRDefault="003131F4" w:rsidP="003131F4">
      <w:r w:rsidRPr="007C7EA1">
        <w:rPr>
          <w:color w:val="000000"/>
        </w:rPr>
        <w:t>Participants were asked “What is your current gender identity? (Check all that apply)” and given the following options:</w:t>
      </w:r>
    </w:p>
    <w:p w14:paraId="5D20FC85" w14:textId="77777777" w:rsidR="003131F4" w:rsidRPr="007C7EA1" w:rsidRDefault="003131F4" w:rsidP="003131F4"/>
    <w:p w14:paraId="55846D68" w14:textId="77777777" w:rsidR="003131F4" w:rsidRPr="007C7EA1" w:rsidRDefault="003131F4" w:rsidP="003131F4">
      <w:r w:rsidRPr="007C7EA1">
        <w:rPr>
          <w:color w:val="000000"/>
        </w:rPr>
        <w:t>Boy/Man</w:t>
      </w:r>
    </w:p>
    <w:p w14:paraId="5466089F" w14:textId="77777777" w:rsidR="003131F4" w:rsidRPr="007C7EA1" w:rsidRDefault="003131F4" w:rsidP="003131F4">
      <w:r w:rsidRPr="007C7EA1">
        <w:rPr>
          <w:color w:val="000000"/>
        </w:rPr>
        <w:t>Girl/Woman</w:t>
      </w:r>
    </w:p>
    <w:p w14:paraId="69658D6E" w14:textId="77777777" w:rsidR="003131F4" w:rsidRPr="007C7EA1" w:rsidRDefault="003131F4" w:rsidP="003131F4">
      <w:r w:rsidRPr="007C7EA1">
        <w:rPr>
          <w:color w:val="000000"/>
        </w:rPr>
        <w:t>Trans boy/man</w:t>
      </w:r>
    </w:p>
    <w:p w14:paraId="77EFB4B6" w14:textId="77777777" w:rsidR="003131F4" w:rsidRPr="007C7EA1" w:rsidRDefault="003131F4" w:rsidP="003131F4">
      <w:r w:rsidRPr="007C7EA1">
        <w:rPr>
          <w:color w:val="000000"/>
        </w:rPr>
        <w:t>Trans girl/woman</w:t>
      </w:r>
    </w:p>
    <w:p w14:paraId="41F49EB5" w14:textId="77777777" w:rsidR="003131F4" w:rsidRPr="007C7EA1" w:rsidRDefault="003131F4" w:rsidP="003131F4">
      <w:r w:rsidRPr="007C7EA1">
        <w:rPr>
          <w:color w:val="000000"/>
        </w:rPr>
        <w:t>Trans masculine</w:t>
      </w:r>
    </w:p>
    <w:p w14:paraId="60795181" w14:textId="77777777" w:rsidR="003131F4" w:rsidRPr="007C7EA1" w:rsidRDefault="003131F4" w:rsidP="003131F4">
      <w:r w:rsidRPr="007C7EA1">
        <w:rPr>
          <w:color w:val="000000"/>
        </w:rPr>
        <w:t>Demi gender (Demi boy/man or Demi girl/woman)</w:t>
      </w:r>
    </w:p>
    <w:p w14:paraId="2938B435" w14:textId="77777777" w:rsidR="003131F4" w:rsidRPr="007C7EA1" w:rsidRDefault="003131F4" w:rsidP="003131F4">
      <w:r w:rsidRPr="007C7EA1">
        <w:rPr>
          <w:color w:val="000000"/>
        </w:rPr>
        <w:t>Trans feminine</w:t>
      </w:r>
    </w:p>
    <w:p w14:paraId="7F660FC5" w14:textId="77777777" w:rsidR="003131F4" w:rsidRPr="007C7EA1" w:rsidRDefault="003131F4" w:rsidP="003131F4">
      <w:r w:rsidRPr="007C7EA1">
        <w:rPr>
          <w:color w:val="000000"/>
        </w:rPr>
        <w:t>Nonbinary</w:t>
      </w:r>
    </w:p>
    <w:p w14:paraId="0977F374" w14:textId="77777777" w:rsidR="003131F4" w:rsidRPr="007C7EA1" w:rsidRDefault="003131F4" w:rsidP="003131F4">
      <w:r w:rsidRPr="007C7EA1">
        <w:rPr>
          <w:color w:val="000000"/>
        </w:rPr>
        <w:t>Genderqueer</w:t>
      </w:r>
    </w:p>
    <w:p w14:paraId="59C3586B" w14:textId="77777777" w:rsidR="003131F4" w:rsidRPr="007C7EA1" w:rsidRDefault="003131F4" w:rsidP="003131F4">
      <w:r w:rsidRPr="007C7EA1">
        <w:rPr>
          <w:color w:val="000000"/>
        </w:rPr>
        <w:t>Agender</w:t>
      </w:r>
    </w:p>
    <w:p w14:paraId="3623F250" w14:textId="77777777" w:rsidR="003131F4" w:rsidRPr="007C7EA1" w:rsidRDefault="003131F4" w:rsidP="003131F4">
      <w:r w:rsidRPr="007C7EA1">
        <w:rPr>
          <w:color w:val="000000"/>
        </w:rPr>
        <w:t>Two spirit</w:t>
      </w:r>
    </w:p>
    <w:p w14:paraId="1C13C10E" w14:textId="77777777" w:rsidR="003131F4" w:rsidRPr="007C7EA1" w:rsidRDefault="003131F4" w:rsidP="003131F4">
      <w:r w:rsidRPr="007C7EA1">
        <w:rPr>
          <w:color w:val="000000"/>
        </w:rPr>
        <w:t>Third gender</w:t>
      </w:r>
    </w:p>
    <w:p w14:paraId="3CE1EF55" w14:textId="77777777" w:rsidR="003131F4" w:rsidRPr="007C7EA1" w:rsidRDefault="003131F4" w:rsidP="003131F4">
      <w:r w:rsidRPr="007C7EA1">
        <w:rPr>
          <w:color w:val="000000"/>
        </w:rPr>
        <w:t>Bigender</w:t>
      </w:r>
    </w:p>
    <w:p w14:paraId="42A76107" w14:textId="77777777" w:rsidR="003131F4" w:rsidRPr="007C7EA1" w:rsidRDefault="003131F4" w:rsidP="003131F4">
      <w:r w:rsidRPr="007C7EA1">
        <w:rPr>
          <w:color w:val="000000"/>
        </w:rPr>
        <w:t>Genderfluid</w:t>
      </w:r>
    </w:p>
    <w:p w14:paraId="2A421885" w14:textId="77777777" w:rsidR="003131F4" w:rsidRPr="007C7EA1" w:rsidRDefault="003131F4" w:rsidP="003131F4">
      <w:r w:rsidRPr="007C7EA1">
        <w:rPr>
          <w:color w:val="000000"/>
        </w:rPr>
        <w:t>Intergender</w:t>
      </w:r>
    </w:p>
    <w:p w14:paraId="44B36B07" w14:textId="77777777" w:rsidR="003131F4" w:rsidRPr="007C7EA1" w:rsidRDefault="003131F4" w:rsidP="003131F4">
      <w:r w:rsidRPr="007C7EA1">
        <w:rPr>
          <w:color w:val="000000"/>
        </w:rPr>
        <w:t>Polygender</w:t>
      </w:r>
    </w:p>
    <w:p w14:paraId="321DB4AD" w14:textId="77777777" w:rsidR="003131F4" w:rsidRPr="007C7EA1" w:rsidRDefault="003131F4" w:rsidP="003131F4">
      <w:r w:rsidRPr="007C7EA1">
        <w:rPr>
          <w:color w:val="000000"/>
        </w:rPr>
        <w:t>Pangender</w:t>
      </w:r>
    </w:p>
    <w:p w14:paraId="38A90F1D" w14:textId="77777777" w:rsidR="003131F4" w:rsidRPr="007C7EA1" w:rsidRDefault="003131F4" w:rsidP="003131F4">
      <w:r w:rsidRPr="007C7EA1">
        <w:rPr>
          <w:color w:val="000000"/>
        </w:rPr>
        <w:t>Neutrois</w:t>
      </w:r>
    </w:p>
    <w:p w14:paraId="48B5A333" w14:textId="77777777" w:rsidR="003131F4" w:rsidRPr="007C7EA1" w:rsidRDefault="003131F4" w:rsidP="003131F4">
      <w:r w:rsidRPr="007C7EA1">
        <w:rPr>
          <w:color w:val="000000"/>
        </w:rPr>
        <w:t>Androgyne</w:t>
      </w:r>
    </w:p>
    <w:p w14:paraId="7B42C94B" w14:textId="77777777" w:rsidR="003131F4" w:rsidRPr="007C7EA1" w:rsidRDefault="003131F4" w:rsidP="003131F4">
      <w:r w:rsidRPr="007C7EA1">
        <w:rPr>
          <w:color w:val="000000"/>
        </w:rPr>
        <w:t>Gender Variant</w:t>
      </w:r>
    </w:p>
    <w:p w14:paraId="4C31466B" w14:textId="77777777" w:rsidR="003131F4" w:rsidRPr="007C7EA1" w:rsidRDefault="003131F4" w:rsidP="003131F4">
      <w:r w:rsidRPr="007C7EA1">
        <w:rPr>
          <w:color w:val="000000"/>
        </w:rPr>
        <w:t>Transgender</w:t>
      </w:r>
    </w:p>
    <w:p w14:paraId="19676099" w14:textId="77777777" w:rsidR="003131F4" w:rsidRPr="007C7EA1" w:rsidRDefault="003131F4" w:rsidP="003131F4">
      <w:r w:rsidRPr="007C7EA1">
        <w:rPr>
          <w:color w:val="000000"/>
        </w:rPr>
        <w:t>Gender questioning</w:t>
      </w:r>
    </w:p>
    <w:p w14:paraId="2DF18C60" w14:textId="77777777" w:rsidR="003131F4" w:rsidRPr="007C7EA1" w:rsidRDefault="003131F4" w:rsidP="003131F4">
      <w:r w:rsidRPr="007C7EA1">
        <w:rPr>
          <w:color w:val="000000"/>
        </w:rPr>
        <w:t xml:space="preserve">Gender </w:t>
      </w:r>
      <w:proofErr w:type="spellStart"/>
      <w:r w:rsidRPr="007C7EA1">
        <w:rPr>
          <w:color w:val="000000"/>
        </w:rPr>
        <w:t>noncomforming</w:t>
      </w:r>
      <w:proofErr w:type="spellEnd"/>
    </w:p>
    <w:p w14:paraId="26A2FA98" w14:textId="77777777" w:rsidR="003131F4" w:rsidRPr="007C7EA1" w:rsidRDefault="003131F4" w:rsidP="003131F4">
      <w:r w:rsidRPr="007C7EA1">
        <w:rPr>
          <w:color w:val="000000"/>
        </w:rPr>
        <w:t>Other (please specify)</w:t>
      </w:r>
    </w:p>
    <w:p w14:paraId="55746A24" w14:textId="77777777" w:rsidR="003131F4" w:rsidRPr="007C7EA1" w:rsidRDefault="003131F4" w:rsidP="003131F4">
      <w:pPr>
        <w:spacing w:after="240"/>
      </w:pPr>
    </w:p>
    <w:p w14:paraId="5F4CB284" w14:textId="4EEE4F42" w:rsidR="0086469C" w:rsidRDefault="0086469C">
      <w:r>
        <w:br w:type="page"/>
      </w:r>
    </w:p>
    <w:p w14:paraId="6FE8BB07" w14:textId="77777777" w:rsidR="00F96D9F" w:rsidRPr="009A3A3B" w:rsidRDefault="00AB2A85" w:rsidP="009A3A3B">
      <w:pPr>
        <w:pStyle w:val="Heading"/>
        <w:rPr>
          <w:b/>
        </w:rPr>
      </w:pPr>
      <w:bookmarkStart w:id="27" w:name="_Toc39049750"/>
      <w:r w:rsidRPr="009A3A3B">
        <w:rPr>
          <w:b/>
        </w:rPr>
        <w:lastRenderedPageBreak/>
        <w:t>Bibliography</w:t>
      </w:r>
      <w:bookmarkEnd w:id="27"/>
      <w:r w:rsidRPr="007C7EA1">
        <w:rPr>
          <w:b/>
        </w:rPr>
        <w:fldChar w:fldCharType="begin"/>
      </w:r>
      <w:r w:rsidR="00F96D9F" w:rsidRPr="009A3A3B">
        <w:rPr>
          <w:b/>
        </w:rPr>
        <w:instrText>ADDIN F1000_CSL_BIBLIOGRAPHY</w:instrText>
      </w:r>
      <w:r w:rsidRPr="007C7EA1">
        <w:rPr>
          <w:b/>
        </w:rPr>
        <w:fldChar w:fldCharType="separate"/>
      </w:r>
    </w:p>
    <w:p w14:paraId="4E5BF573"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Becerra-Culqui, T. A., Liu, Y., Nash, R., Cromwell, L., Flanders, W. D., Getahun, D., … Goodman, M. (2018). Mental health of transgender and gender nonconforming youth compared with their peers. </w:t>
      </w:r>
      <w:r w:rsidRPr="00F96D9F">
        <w:rPr>
          <w:i/>
          <w:iCs/>
          <w:noProof/>
        </w:rPr>
        <w:t>Pediatrics</w:t>
      </w:r>
      <w:r w:rsidRPr="00F96D9F">
        <w:rPr>
          <w:noProof/>
        </w:rPr>
        <w:t xml:space="preserve">, </w:t>
      </w:r>
      <w:r w:rsidRPr="00F96D9F">
        <w:rPr>
          <w:i/>
          <w:iCs/>
          <w:noProof/>
        </w:rPr>
        <w:t>141</w:t>
      </w:r>
      <w:r w:rsidRPr="00F96D9F">
        <w:rPr>
          <w:noProof/>
        </w:rPr>
        <w:t>(5). doi:10.1542/peds.2017-3845</w:t>
      </w:r>
    </w:p>
    <w:p w14:paraId="38E42AFF"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Bry, L. J., Mustanski, B., Garofalo, R., &amp; Burns, M. N. (2017). Management of a concealable stigmatized identity: A qualitative study of concealment, disclosure, and role flexing among young, resilient sexual and gender minority individuals. </w:t>
      </w:r>
      <w:r w:rsidRPr="00F96D9F">
        <w:rPr>
          <w:i/>
          <w:iCs/>
          <w:noProof/>
        </w:rPr>
        <w:t>Journal of Homosexuality</w:t>
      </w:r>
      <w:r w:rsidRPr="00F96D9F">
        <w:rPr>
          <w:noProof/>
        </w:rPr>
        <w:t xml:space="preserve">, </w:t>
      </w:r>
      <w:r w:rsidRPr="00F96D9F">
        <w:rPr>
          <w:i/>
          <w:iCs/>
          <w:noProof/>
        </w:rPr>
        <w:t>64</w:t>
      </w:r>
      <w:r w:rsidRPr="00F96D9F">
        <w:rPr>
          <w:noProof/>
        </w:rPr>
        <w:t>(6), 745–769. doi:10.1080/00918369.2016.1236574</w:t>
      </w:r>
    </w:p>
    <w:p w14:paraId="245259E5"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CBHSQ, SAMHSA, HHS, &amp; RTI International. (2019). Results from the 2017 National Survey on Drug Use and Health: Detailed Tables. Retrieved April 7, 2020, from https://www.samhsa.gov/data/sites/default/files/cbhsq-reports/NSDUHDetailedTabs2017/NSDUHDetailedTabs2017.htm#tab8-56A</w:t>
      </w:r>
    </w:p>
    <w:p w14:paraId="064F7731"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Chodzen, G., Hidalgo, M. A., Chen, D., &amp; Garofalo, R. (2019). Minority Stress Factors Associated With Depression and Anxiety Among Transgender and Gender-Nonconforming Youth. </w:t>
      </w:r>
      <w:r w:rsidRPr="00F96D9F">
        <w:rPr>
          <w:i/>
          <w:iCs/>
          <w:noProof/>
        </w:rPr>
        <w:t>The Journal of Adolescent Health</w:t>
      </w:r>
      <w:r w:rsidRPr="00F96D9F">
        <w:rPr>
          <w:noProof/>
        </w:rPr>
        <w:t xml:space="preserve">, </w:t>
      </w:r>
      <w:r w:rsidRPr="00F96D9F">
        <w:rPr>
          <w:i/>
          <w:iCs/>
          <w:noProof/>
        </w:rPr>
        <w:t>64</w:t>
      </w:r>
      <w:r w:rsidRPr="00F96D9F">
        <w:rPr>
          <w:noProof/>
        </w:rPr>
        <w:t>(4), 467–471. doi:10.1016/j.jadohealth.2018.07.006</w:t>
      </w:r>
    </w:p>
    <w:p w14:paraId="319C53D7"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Clark, T. C., Lucassen, M. F. G., Bullen, P., Denny, S. J., Fleming, T. M., Robinson, E. M., &amp; Rossen, F. V. (2014). The health and well-being of transgender high school students: results from the New Zealand adolescent health survey (Youth’12). </w:t>
      </w:r>
      <w:r w:rsidRPr="00F96D9F">
        <w:rPr>
          <w:i/>
          <w:iCs/>
          <w:noProof/>
        </w:rPr>
        <w:t>The Journal of Adolescent Health</w:t>
      </w:r>
      <w:r w:rsidRPr="00F96D9F">
        <w:rPr>
          <w:noProof/>
        </w:rPr>
        <w:t xml:space="preserve">, </w:t>
      </w:r>
      <w:r w:rsidRPr="00F96D9F">
        <w:rPr>
          <w:i/>
          <w:iCs/>
          <w:noProof/>
        </w:rPr>
        <w:t>55</w:t>
      </w:r>
      <w:r w:rsidRPr="00F96D9F">
        <w:rPr>
          <w:noProof/>
        </w:rPr>
        <w:t>(1), 93–99. doi:10.1016/j.jadohealth.2013.11.008</w:t>
      </w:r>
    </w:p>
    <w:p w14:paraId="55492C0E"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Coulter, R. W., Sang, J. M., Louth-Marquez, W., Henderson, E. R., Espelage, D., Hunter, S. C., … Egan, J. E. (2019). Pilot testing the feasibility of a game intervention aimed at improving help seeking and coping among sexual and gender minority youth: protocol for a randomized controlled trial. </w:t>
      </w:r>
      <w:r w:rsidRPr="00F96D9F">
        <w:rPr>
          <w:i/>
          <w:iCs/>
          <w:noProof/>
        </w:rPr>
        <w:t>JMIR Research Protocols</w:t>
      </w:r>
      <w:r w:rsidRPr="00F96D9F">
        <w:rPr>
          <w:noProof/>
        </w:rPr>
        <w:t xml:space="preserve">, </w:t>
      </w:r>
      <w:r w:rsidRPr="00F96D9F">
        <w:rPr>
          <w:i/>
          <w:iCs/>
          <w:noProof/>
        </w:rPr>
        <w:t>8</w:t>
      </w:r>
      <w:r w:rsidRPr="00F96D9F">
        <w:rPr>
          <w:noProof/>
        </w:rPr>
        <w:t>(2), e12164. doi:10.2196/12164</w:t>
      </w:r>
    </w:p>
    <w:p w14:paraId="732C03D4"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D’Augelli, A R, Hershberger, S. L., &amp; Pilkington, N. W. (1998). Lesbian, gay, and bisexual youth and their families: disclosure of sexual orientation and its consequences. </w:t>
      </w:r>
      <w:r w:rsidRPr="00F96D9F">
        <w:rPr>
          <w:i/>
          <w:iCs/>
          <w:noProof/>
        </w:rPr>
        <w:t>The American Journal of Orthopsychiatry</w:t>
      </w:r>
      <w:r w:rsidRPr="00F96D9F">
        <w:rPr>
          <w:noProof/>
        </w:rPr>
        <w:t xml:space="preserve">, </w:t>
      </w:r>
      <w:r w:rsidRPr="00F96D9F">
        <w:rPr>
          <w:i/>
          <w:iCs/>
          <w:noProof/>
        </w:rPr>
        <w:t>68</w:t>
      </w:r>
      <w:r w:rsidRPr="00F96D9F">
        <w:rPr>
          <w:noProof/>
        </w:rPr>
        <w:t>(3), 361–71; discussion 372. doi:10.1037/h0080345</w:t>
      </w:r>
    </w:p>
    <w:p w14:paraId="7A9BC7AF"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D’Augelli, Anthony R., Grossman, A. H., &amp; Starks, M. T. (2005). Parents’ awareness of lesbian, gay, and bisexual youths’ sexual orientation. </w:t>
      </w:r>
      <w:r w:rsidRPr="00F96D9F">
        <w:rPr>
          <w:i/>
          <w:iCs/>
          <w:noProof/>
        </w:rPr>
        <w:t>Journal of Marriage and Family</w:t>
      </w:r>
      <w:r w:rsidRPr="00F96D9F">
        <w:rPr>
          <w:noProof/>
        </w:rPr>
        <w:t xml:space="preserve">, </w:t>
      </w:r>
      <w:r w:rsidRPr="00F96D9F">
        <w:rPr>
          <w:i/>
          <w:iCs/>
          <w:noProof/>
        </w:rPr>
        <w:t>67</w:t>
      </w:r>
      <w:r w:rsidRPr="00F96D9F">
        <w:rPr>
          <w:noProof/>
        </w:rPr>
        <w:t>(2), 474–482. doi:10.1111/j.0022-2445.2005.00129.x</w:t>
      </w:r>
    </w:p>
    <w:p w14:paraId="45488587"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di Bartolo, A. N. (2013). Is There a Difference? The Impact of Campus Climate on Sexual Minority and Gender Minority Students’ Levels of Outness. </w:t>
      </w:r>
      <w:r w:rsidRPr="00F96D9F">
        <w:rPr>
          <w:i/>
          <w:iCs/>
          <w:noProof/>
        </w:rPr>
        <w:t>ProQuest LLC</w:t>
      </w:r>
      <w:r w:rsidRPr="00F96D9F">
        <w:rPr>
          <w:noProof/>
        </w:rPr>
        <w:t>.</w:t>
      </w:r>
    </w:p>
    <w:p w14:paraId="0A3756C0"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lastRenderedPageBreak/>
        <w:t xml:space="preserve">Dinno, A. (2017). Homicide Rates of Transgender Individuals in the United States: 2010-2014. </w:t>
      </w:r>
      <w:r w:rsidRPr="00F96D9F">
        <w:rPr>
          <w:i/>
          <w:iCs/>
          <w:noProof/>
        </w:rPr>
        <w:t>American Journal of Public Health</w:t>
      </w:r>
      <w:r w:rsidRPr="00F96D9F">
        <w:rPr>
          <w:noProof/>
        </w:rPr>
        <w:t xml:space="preserve">, </w:t>
      </w:r>
      <w:r w:rsidRPr="00F96D9F">
        <w:rPr>
          <w:i/>
          <w:iCs/>
          <w:noProof/>
        </w:rPr>
        <w:t>107</w:t>
      </w:r>
      <w:r w:rsidRPr="00F96D9F">
        <w:rPr>
          <w:noProof/>
        </w:rPr>
        <w:t>(9), 1441–1447. doi:10.2105/AJPH.2017.303878</w:t>
      </w:r>
    </w:p>
    <w:p w14:paraId="0807BAE7"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Durwood, L., McLaughlin, K. A., &amp; Olson, K. R. (2017). Mental Health and Self-Worth in Socially Transitioned Transgender Youth. </w:t>
      </w:r>
      <w:r w:rsidRPr="00F96D9F">
        <w:rPr>
          <w:i/>
          <w:iCs/>
          <w:noProof/>
        </w:rPr>
        <w:t>Journal of the American Academy of Child and Adolescent Psychiatry</w:t>
      </w:r>
      <w:r w:rsidRPr="00F96D9F">
        <w:rPr>
          <w:noProof/>
        </w:rPr>
        <w:t xml:space="preserve">, </w:t>
      </w:r>
      <w:r w:rsidRPr="00F96D9F">
        <w:rPr>
          <w:i/>
          <w:iCs/>
          <w:noProof/>
        </w:rPr>
        <w:t>56</w:t>
      </w:r>
      <w:r w:rsidRPr="00F96D9F">
        <w:rPr>
          <w:noProof/>
        </w:rPr>
        <w:t>(2), 116–123.e2. doi:10.1016/j.jaac.2016.10.016</w:t>
      </w:r>
    </w:p>
    <w:p w14:paraId="2B99D768"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Flores, A. R., Herman, J. L., Gates, G. J., &amp; Brown, T. N. T. (2016). </w:t>
      </w:r>
      <w:r w:rsidRPr="00F96D9F">
        <w:rPr>
          <w:i/>
          <w:iCs/>
          <w:noProof/>
        </w:rPr>
        <w:t>How many adults identify as transgender in the United States?</w:t>
      </w:r>
      <w:r w:rsidRPr="00F96D9F">
        <w:rPr>
          <w:noProof/>
        </w:rPr>
        <w:t xml:space="preserve"> The Williams Institute. Retrieved from https://williamsinstitute.law.ucla.edu/publications/trans-adults-united-states/</w:t>
      </w:r>
    </w:p>
    <w:p w14:paraId="47E9800E"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Galupo, M. P., Henise, S. B., &amp; Mercer, N. L. (2016). “The labels don’t work very well”: Transgender individuals’ conceptualizations of sexual orientation and sexual identity. </w:t>
      </w:r>
      <w:r w:rsidRPr="00F96D9F">
        <w:rPr>
          <w:i/>
          <w:iCs/>
          <w:noProof/>
        </w:rPr>
        <w:t>International Journal of Transgenderism</w:t>
      </w:r>
      <w:r w:rsidRPr="00F96D9F">
        <w:rPr>
          <w:noProof/>
        </w:rPr>
        <w:t xml:space="preserve">, </w:t>
      </w:r>
      <w:r w:rsidRPr="00F96D9F">
        <w:rPr>
          <w:i/>
          <w:iCs/>
          <w:noProof/>
        </w:rPr>
        <w:t>17</w:t>
      </w:r>
      <w:r w:rsidRPr="00F96D9F">
        <w:rPr>
          <w:noProof/>
        </w:rPr>
        <w:t>(2), 93–104. doi:10.1080/15532739.2016.1189373</w:t>
      </w:r>
    </w:p>
    <w:p w14:paraId="63E279AB"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Gartner, R. E., &amp; Sterzing, P. R. (2018). Social Ecological Correlates of Family-Level Interpersonal and Environmental Microaggressions Toward Sexual and Gender Minority Adolescents. </w:t>
      </w:r>
      <w:r w:rsidRPr="00F96D9F">
        <w:rPr>
          <w:i/>
          <w:iCs/>
          <w:noProof/>
        </w:rPr>
        <w:t>Journal of Family Violence</w:t>
      </w:r>
      <w:r w:rsidRPr="00F96D9F">
        <w:rPr>
          <w:noProof/>
        </w:rPr>
        <w:t xml:space="preserve">, </w:t>
      </w:r>
      <w:r w:rsidRPr="00F96D9F">
        <w:rPr>
          <w:i/>
          <w:iCs/>
          <w:noProof/>
        </w:rPr>
        <w:t>33</w:t>
      </w:r>
      <w:r w:rsidRPr="00F96D9F">
        <w:rPr>
          <w:noProof/>
        </w:rPr>
        <w:t>(1), 1–16. doi:10.1007/s10896-017-9937-0</w:t>
      </w:r>
    </w:p>
    <w:p w14:paraId="02627422"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Gower, A. L., Rider, G. N., Brown, C., McMorris, B. J., Coleman, E., Taliaferro, L. A., &amp; Eisenberg, M. E. (2018). Supporting transgender and gender diverse youth: protection against emotional distress and substance use. </w:t>
      </w:r>
      <w:r w:rsidRPr="00F96D9F">
        <w:rPr>
          <w:i/>
          <w:iCs/>
          <w:noProof/>
        </w:rPr>
        <w:t>American Journal of Preventive Medicine</w:t>
      </w:r>
      <w:r w:rsidRPr="00F96D9F">
        <w:rPr>
          <w:noProof/>
        </w:rPr>
        <w:t xml:space="preserve">, </w:t>
      </w:r>
      <w:r w:rsidRPr="00F96D9F">
        <w:rPr>
          <w:i/>
          <w:iCs/>
          <w:noProof/>
        </w:rPr>
        <w:t>55</w:t>
      </w:r>
      <w:r w:rsidRPr="00F96D9F">
        <w:rPr>
          <w:noProof/>
        </w:rPr>
        <w:t>(6), 787–794. doi:10.1016/j.amepre.2018.06.030</w:t>
      </w:r>
    </w:p>
    <w:p w14:paraId="160DFC1E"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Grant, J. M., Mottet, L. A., Tanis, J., Herman, J. L., &amp; Keisling, M. (2011). </w:t>
      </w:r>
      <w:r w:rsidRPr="00F96D9F">
        <w:rPr>
          <w:i/>
          <w:iCs/>
          <w:noProof/>
        </w:rPr>
        <w:t>Injustice at Every Turn: A Report of the National Transgender   Discrimination Survey</w:t>
      </w:r>
      <w:r w:rsidRPr="00F96D9F">
        <w:rPr>
          <w:noProof/>
        </w:rPr>
        <w:t>. Washington: National Center for Transgender Equality and National Gay and Lesbian Task Force.</w:t>
      </w:r>
    </w:p>
    <w:p w14:paraId="318DD47B"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Haas, A. P., Eliason, M., Mays, V. M., Mathy, R. M., Cochran, S. D., D’Augelli, A. R., … Clayton, P. J. (2011). Suicide and suicide risk in lesbian, gay, bisexual, and transgender populations: review and recommendations. </w:t>
      </w:r>
      <w:r w:rsidRPr="00F96D9F">
        <w:rPr>
          <w:i/>
          <w:iCs/>
          <w:noProof/>
        </w:rPr>
        <w:t>Journal of Homosexuality</w:t>
      </w:r>
      <w:r w:rsidRPr="00F96D9F">
        <w:rPr>
          <w:noProof/>
        </w:rPr>
        <w:t xml:space="preserve">, </w:t>
      </w:r>
      <w:r w:rsidRPr="00F96D9F">
        <w:rPr>
          <w:i/>
          <w:iCs/>
          <w:noProof/>
        </w:rPr>
        <w:t>58</w:t>
      </w:r>
      <w:r w:rsidRPr="00F96D9F">
        <w:rPr>
          <w:noProof/>
        </w:rPr>
        <w:t>(1), 10–51. doi:10.1080/00918369.2011.534038</w:t>
      </w:r>
    </w:p>
    <w:p w14:paraId="291D4B67"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Institute of Medicine. (2011). </w:t>
      </w:r>
      <w:r w:rsidRPr="00F96D9F">
        <w:rPr>
          <w:i/>
          <w:iCs/>
          <w:noProof/>
        </w:rPr>
        <w:t>The health of lesbian, gay, bisexual, and transgender people: Building a foundation for better understanding</w:t>
      </w:r>
      <w:r w:rsidRPr="00F96D9F">
        <w:rPr>
          <w:noProof/>
        </w:rPr>
        <w:t>. Washington (DC): National Academies Press (US). doi:10.17226/13128</w:t>
      </w:r>
    </w:p>
    <w:p w14:paraId="63E2644A"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Klein, A., &amp; Golub, S. A. (2016). Family rejection as a predictor of suicide attempts and substance misuse among transgender and gender nonconforming adults. </w:t>
      </w:r>
      <w:r w:rsidRPr="00F96D9F">
        <w:rPr>
          <w:i/>
          <w:iCs/>
          <w:noProof/>
        </w:rPr>
        <w:t>LGBT Health</w:t>
      </w:r>
      <w:r w:rsidRPr="00F96D9F">
        <w:rPr>
          <w:noProof/>
        </w:rPr>
        <w:t xml:space="preserve">, </w:t>
      </w:r>
      <w:r w:rsidRPr="00F96D9F">
        <w:rPr>
          <w:i/>
          <w:iCs/>
          <w:noProof/>
        </w:rPr>
        <w:t>3</w:t>
      </w:r>
      <w:r w:rsidRPr="00F96D9F">
        <w:rPr>
          <w:noProof/>
        </w:rPr>
        <w:t>(3), 193–199. doi:10.1089/lgbt.2015.0111</w:t>
      </w:r>
    </w:p>
    <w:p w14:paraId="7F2E5BB9" w14:textId="068112D5" w:rsidR="00F96D9F" w:rsidRDefault="00F96D9F" w:rsidP="000C652F">
      <w:pPr>
        <w:widowControl w:val="0"/>
        <w:autoSpaceDE w:val="0"/>
        <w:autoSpaceDN w:val="0"/>
        <w:adjustRightInd w:val="0"/>
        <w:spacing w:after="100" w:afterAutospacing="1"/>
        <w:ind w:left="720" w:hanging="720"/>
        <w:rPr>
          <w:noProof/>
        </w:rPr>
      </w:pPr>
      <w:r w:rsidRPr="00F96D9F">
        <w:rPr>
          <w:noProof/>
        </w:rPr>
        <w:t xml:space="preserve">Kroenke, K., Spitzer, R. L., &amp; Williams, J. B. (2001). The PHQ-9: validity of a brief depression severity measure. </w:t>
      </w:r>
      <w:r w:rsidRPr="00F96D9F">
        <w:rPr>
          <w:i/>
          <w:iCs/>
          <w:noProof/>
        </w:rPr>
        <w:t>Journal of General Internal Medicine</w:t>
      </w:r>
      <w:r w:rsidRPr="00F96D9F">
        <w:rPr>
          <w:noProof/>
        </w:rPr>
        <w:t xml:space="preserve">, </w:t>
      </w:r>
      <w:r w:rsidRPr="00F96D9F">
        <w:rPr>
          <w:i/>
          <w:iCs/>
          <w:noProof/>
        </w:rPr>
        <w:t>16</w:t>
      </w:r>
      <w:r w:rsidRPr="00F96D9F">
        <w:rPr>
          <w:noProof/>
        </w:rPr>
        <w:t>(9), 606–613.</w:t>
      </w:r>
    </w:p>
    <w:p w14:paraId="20BC2D47" w14:textId="77777777" w:rsidR="00FE5727" w:rsidRPr="00F96D9F" w:rsidRDefault="00FE5727" w:rsidP="000C652F">
      <w:pPr>
        <w:widowControl w:val="0"/>
        <w:autoSpaceDE w:val="0"/>
        <w:autoSpaceDN w:val="0"/>
        <w:adjustRightInd w:val="0"/>
        <w:spacing w:after="100" w:afterAutospacing="1"/>
        <w:ind w:left="720" w:hanging="720"/>
        <w:rPr>
          <w:noProof/>
        </w:rPr>
      </w:pPr>
    </w:p>
    <w:p w14:paraId="3081B72D"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lastRenderedPageBreak/>
        <w:t xml:space="preserve">Mansh, M., White, W., Gee-Tong, L., Lunn, M. R., Obedin-Maliver, J., Stewart, L., … Garcia, G. (2015). Sexual and gender minority identity disclosure during undergraduate medical education: “in the closet” in medical school. </w:t>
      </w:r>
      <w:r w:rsidRPr="00F96D9F">
        <w:rPr>
          <w:i/>
          <w:iCs/>
          <w:noProof/>
        </w:rPr>
        <w:t>Academic Medicine</w:t>
      </w:r>
      <w:r w:rsidRPr="00F96D9F">
        <w:rPr>
          <w:noProof/>
        </w:rPr>
        <w:t xml:space="preserve">, </w:t>
      </w:r>
      <w:r w:rsidRPr="00F96D9F">
        <w:rPr>
          <w:i/>
          <w:iCs/>
          <w:noProof/>
        </w:rPr>
        <w:t>90</w:t>
      </w:r>
      <w:r w:rsidRPr="00F96D9F">
        <w:rPr>
          <w:noProof/>
        </w:rPr>
        <w:t>(5), 634–644. doi:10.1097/ACM.0000000000000657</w:t>
      </w:r>
    </w:p>
    <w:p w14:paraId="7B5D13A2"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Olson, J., Schrager, S. M., Belzer, M., Simons, L. K., &amp; Clark, L. F. (2015). Baseline physiologic and psychosocial characteristics of transgender youth seeking care for gender dysphoria. </w:t>
      </w:r>
      <w:r w:rsidRPr="00F96D9F">
        <w:rPr>
          <w:i/>
          <w:iCs/>
          <w:noProof/>
        </w:rPr>
        <w:t>The Journal of Adolescent Health</w:t>
      </w:r>
      <w:r w:rsidRPr="00F96D9F">
        <w:rPr>
          <w:noProof/>
        </w:rPr>
        <w:t xml:space="preserve">, </w:t>
      </w:r>
      <w:r w:rsidRPr="00F96D9F">
        <w:rPr>
          <w:i/>
          <w:iCs/>
          <w:noProof/>
        </w:rPr>
        <w:t>57</w:t>
      </w:r>
      <w:r w:rsidRPr="00F96D9F">
        <w:rPr>
          <w:noProof/>
        </w:rPr>
        <w:t>(4), 374–380. doi:10.1016/j.jadohealth.2015.04.027</w:t>
      </w:r>
    </w:p>
    <w:p w14:paraId="3CC72955"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Olson, K. R., Durwood, L., DeMeules, M., &amp; McLaughlin, K. A. (2016). Mental health of transgender children who are supported in their identities. </w:t>
      </w:r>
      <w:r w:rsidRPr="00F96D9F">
        <w:rPr>
          <w:i/>
          <w:iCs/>
          <w:noProof/>
        </w:rPr>
        <w:t>Pediatrics</w:t>
      </w:r>
      <w:r w:rsidRPr="00F96D9F">
        <w:rPr>
          <w:noProof/>
        </w:rPr>
        <w:t xml:space="preserve">, </w:t>
      </w:r>
      <w:r w:rsidRPr="00F96D9F">
        <w:rPr>
          <w:i/>
          <w:iCs/>
          <w:noProof/>
        </w:rPr>
        <w:t>137</w:t>
      </w:r>
      <w:r w:rsidRPr="00F96D9F">
        <w:rPr>
          <w:noProof/>
        </w:rPr>
        <w:t>(3), e20153223. doi:10.1542/peds.2015-3223</w:t>
      </w:r>
    </w:p>
    <w:p w14:paraId="3F8988E8"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Pearson, J., &amp; Wilkinson, L. (2013). Family relationships and adolescent well-being: are families equally protective for same-sex attracted youth? </w:t>
      </w:r>
      <w:r w:rsidRPr="00F96D9F">
        <w:rPr>
          <w:i/>
          <w:iCs/>
          <w:noProof/>
        </w:rPr>
        <w:t>Journal of Youth and Adolescence</w:t>
      </w:r>
      <w:r w:rsidRPr="00F96D9F">
        <w:rPr>
          <w:noProof/>
        </w:rPr>
        <w:t xml:space="preserve">, </w:t>
      </w:r>
      <w:r w:rsidRPr="00F96D9F">
        <w:rPr>
          <w:i/>
          <w:iCs/>
          <w:noProof/>
        </w:rPr>
        <w:t>42</w:t>
      </w:r>
      <w:r w:rsidRPr="00F96D9F">
        <w:rPr>
          <w:noProof/>
        </w:rPr>
        <w:t>(3), 376–393. doi:10.1007/s10964-012-9865-5</w:t>
      </w:r>
    </w:p>
    <w:p w14:paraId="1A55FCC2"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Perez-Brumer, A., Hatzenbuehler, M. L., Oldenburg, C. E., &amp; Bockting, W. (2015). Individual- and Structural-Level Risk Factors for Suicide Attempts Among Transgender Adults. </w:t>
      </w:r>
      <w:r w:rsidRPr="00F96D9F">
        <w:rPr>
          <w:i/>
          <w:iCs/>
          <w:noProof/>
        </w:rPr>
        <w:t>Behavioral Medicine (Washington, D.C.)</w:t>
      </w:r>
      <w:r w:rsidRPr="00F96D9F">
        <w:rPr>
          <w:noProof/>
        </w:rPr>
        <w:t xml:space="preserve">, </w:t>
      </w:r>
      <w:r w:rsidRPr="00F96D9F">
        <w:rPr>
          <w:i/>
          <w:iCs/>
          <w:noProof/>
        </w:rPr>
        <w:t>41</w:t>
      </w:r>
      <w:r w:rsidRPr="00F96D9F">
        <w:rPr>
          <w:noProof/>
        </w:rPr>
        <w:t>(3), 164–171. doi:10.1080/08964289.2015.1028322</w:t>
      </w:r>
    </w:p>
    <w:p w14:paraId="6FCE5519"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Pollitt, A. M., Ioverno, S., Russell, S. T., Li, G., &amp; Grossman, A. H. (2019). Predictors and mental health benefits of chosen name use among transgender youth. </w:t>
      </w:r>
      <w:r w:rsidRPr="00F96D9F">
        <w:rPr>
          <w:i/>
          <w:iCs/>
          <w:noProof/>
        </w:rPr>
        <w:t>Youth &amp; Society</w:t>
      </w:r>
      <w:r w:rsidRPr="00F96D9F">
        <w:rPr>
          <w:noProof/>
        </w:rPr>
        <w:t>, 0044118X1985589. doi:10.1177/0044118X19855898</w:t>
      </w:r>
    </w:p>
    <w:p w14:paraId="59A389E1"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Reisner, S. L., Biello, K. B., White Hughto, J. M., Kuhns, L., Mayer, K. H., Garofalo, R., &amp; Mimiaga, M. J. (2016). Psychiatric diagnoses and comorbidities in a diverse, multicity cohort of young transgender women: baseline findings from project lifeskills. </w:t>
      </w:r>
      <w:r w:rsidRPr="00F96D9F">
        <w:rPr>
          <w:i/>
          <w:iCs/>
          <w:noProof/>
        </w:rPr>
        <w:t>JAMA Pediatrics</w:t>
      </w:r>
      <w:r w:rsidRPr="00F96D9F">
        <w:rPr>
          <w:noProof/>
        </w:rPr>
        <w:t xml:space="preserve">, </w:t>
      </w:r>
      <w:r w:rsidRPr="00F96D9F">
        <w:rPr>
          <w:i/>
          <w:iCs/>
          <w:noProof/>
        </w:rPr>
        <w:t>170</w:t>
      </w:r>
      <w:r w:rsidRPr="00F96D9F">
        <w:rPr>
          <w:noProof/>
        </w:rPr>
        <w:t>(5), 481–486. doi:10.1001/jamapediatrics.2016.0067</w:t>
      </w:r>
    </w:p>
    <w:p w14:paraId="71ED68DB"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Reisner, S. L., Vetters, R., Leclerc, M., Zaslow, S., Wolfrum, S., Shumer, D., &amp; Mimiaga, M. J. (2015). Mental health of transgender youth in care at an adolescent urban community health center: a matched retrospective cohort study. </w:t>
      </w:r>
      <w:r w:rsidRPr="00F96D9F">
        <w:rPr>
          <w:i/>
          <w:iCs/>
          <w:noProof/>
        </w:rPr>
        <w:t>The Journal of Adolescent Health</w:t>
      </w:r>
      <w:r w:rsidRPr="00F96D9F">
        <w:rPr>
          <w:noProof/>
        </w:rPr>
        <w:t xml:space="preserve">, </w:t>
      </w:r>
      <w:r w:rsidRPr="00F96D9F">
        <w:rPr>
          <w:i/>
          <w:iCs/>
          <w:noProof/>
        </w:rPr>
        <w:t>56</w:t>
      </w:r>
      <w:r w:rsidRPr="00F96D9F">
        <w:rPr>
          <w:noProof/>
        </w:rPr>
        <w:t>(3), 274–279. doi:10.1016/j.jadohealth.2014.10.264</w:t>
      </w:r>
    </w:p>
    <w:p w14:paraId="3BDC9DE2"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Resnick, M. D., Bearman, P. S., Blum, R. W., Bauman, K. E., Harris, K. M., Jones, J., … Udry, J. R. (1997). Protecting adolescents from harm: Findings from the National Longitudinal Study on Adolescent Health. </w:t>
      </w:r>
      <w:r w:rsidRPr="00F96D9F">
        <w:rPr>
          <w:i/>
          <w:iCs/>
          <w:noProof/>
        </w:rPr>
        <w:t>The Journal of the American Medical Association</w:t>
      </w:r>
      <w:r w:rsidRPr="00F96D9F">
        <w:rPr>
          <w:noProof/>
        </w:rPr>
        <w:t xml:space="preserve">, </w:t>
      </w:r>
      <w:r w:rsidRPr="00F96D9F">
        <w:rPr>
          <w:i/>
          <w:iCs/>
          <w:noProof/>
        </w:rPr>
        <w:t>278</w:t>
      </w:r>
      <w:r w:rsidRPr="00F96D9F">
        <w:rPr>
          <w:noProof/>
        </w:rPr>
        <w:t>(10), 823–832. doi:10.1001/jama.278.10.823</w:t>
      </w:r>
    </w:p>
    <w:p w14:paraId="19A1B88D"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Richardson, L. P., McCauley, E., Grossman, D. C., McCarty, C. A., Richards, J., Russo, J. E., … Katon, W. (2010). Evaluation of the Patient Health Questionnaire-9 Item for detecting major depression among adolescents. </w:t>
      </w:r>
      <w:r w:rsidRPr="00F96D9F">
        <w:rPr>
          <w:i/>
          <w:iCs/>
          <w:noProof/>
        </w:rPr>
        <w:t>Pediatrics</w:t>
      </w:r>
      <w:r w:rsidRPr="00F96D9F">
        <w:rPr>
          <w:noProof/>
        </w:rPr>
        <w:t xml:space="preserve">, </w:t>
      </w:r>
      <w:r w:rsidRPr="00F96D9F">
        <w:rPr>
          <w:i/>
          <w:iCs/>
          <w:noProof/>
        </w:rPr>
        <w:t>126</w:t>
      </w:r>
      <w:r w:rsidRPr="00F96D9F">
        <w:rPr>
          <w:noProof/>
        </w:rPr>
        <w:t>(6), 1117–1123. doi:10.1542/peds.2010-0852</w:t>
      </w:r>
    </w:p>
    <w:p w14:paraId="6C31BDB4"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lastRenderedPageBreak/>
        <w:t xml:space="preserve">Rider, G. N., McMorris, B. J., Gower, A. L., Coleman, E., &amp; Eisenberg, M. E. (2018). Health and Care Utilization of Transgender and Gender Nonconforming Youth: A Population-Based Study. </w:t>
      </w:r>
      <w:r w:rsidRPr="00F96D9F">
        <w:rPr>
          <w:i/>
          <w:iCs/>
          <w:noProof/>
        </w:rPr>
        <w:t>Pediatrics</w:t>
      </w:r>
      <w:r w:rsidRPr="00F96D9F">
        <w:rPr>
          <w:noProof/>
        </w:rPr>
        <w:t xml:space="preserve">, </w:t>
      </w:r>
      <w:r w:rsidRPr="00F96D9F">
        <w:rPr>
          <w:i/>
          <w:iCs/>
          <w:noProof/>
        </w:rPr>
        <w:t>141</w:t>
      </w:r>
      <w:r w:rsidRPr="00F96D9F">
        <w:rPr>
          <w:noProof/>
        </w:rPr>
        <w:t>(3). doi:10.1542/peds.2017-1683</w:t>
      </w:r>
    </w:p>
    <w:p w14:paraId="4B47A358"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Russell, S. T., Pollitt, A. M., Li, G., &amp; Grossman, A. H. (2018). Chosen name use is linked to reduced depressive symptoms, suicidal ideation, and suicidal behavior among transgender youth. </w:t>
      </w:r>
      <w:r w:rsidRPr="00F96D9F">
        <w:rPr>
          <w:i/>
          <w:iCs/>
          <w:noProof/>
        </w:rPr>
        <w:t>The Journal of Adolescent Health</w:t>
      </w:r>
      <w:r w:rsidRPr="00F96D9F">
        <w:rPr>
          <w:noProof/>
        </w:rPr>
        <w:t xml:space="preserve">, </w:t>
      </w:r>
      <w:r w:rsidRPr="00F96D9F">
        <w:rPr>
          <w:i/>
          <w:iCs/>
          <w:noProof/>
        </w:rPr>
        <w:t>63</w:t>
      </w:r>
      <w:r w:rsidRPr="00F96D9F">
        <w:rPr>
          <w:noProof/>
        </w:rPr>
        <w:t>(4), 503–505. doi:10.1016/j.jadohealth.2018.02.003</w:t>
      </w:r>
    </w:p>
    <w:p w14:paraId="165231AD"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Simons, L., Schrager, S. M., Clark, L. F., Belzer, M., &amp; Olson, J. (2013). Parental support and mental health among transgender adolescents. </w:t>
      </w:r>
      <w:r w:rsidRPr="00F96D9F">
        <w:rPr>
          <w:i/>
          <w:iCs/>
          <w:noProof/>
        </w:rPr>
        <w:t>The Journal of Adolescent Health</w:t>
      </w:r>
      <w:r w:rsidRPr="00F96D9F">
        <w:rPr>
          <w:noProof/>
        </w:rPr>
        <w:t xml:space="preserve">, </w:t>
      </w:r>
      <w:r w:rsidRPr="00F96D9F">
        <w:rPr>
          <w:i/>
          <w:iCs/>
          <w:noProof/>
        </w:rPr>
        <w:t>53</w:t>
      </w:r>
      <w:r w:rsidRPr="00F96D9F">
        <w:rPr>
          <w:noProof/>
        </w:rPr>
        <w:t>(6), 791–793. doi:10.1016/j.jadohealth.2013.07.019</w:t>
      </w:r>
    </w:p>
    <w:p w14:paraId="6A4870FE"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Smith, E., Jones, T., Ward, R., Dixon, J., Mitchell, A., &amp; Hillier, L. (2014). </w:t>
      </w:r>
      <w:r w:rsidRPr="00F96D9F">
        <w:rPr>
          <w:i/>
          <w:iCs/>
          <w:noProof/>
        </w:rPr>
        <w:t>From Blues to Rainbows: The mental health and well-being of gender diverse and transgender young people in Australia</w:t>
      </w:r>
      <w:r w:rsidRPr="00F96D9F">
        <w:rPr>
          <w:noProof/>
        </w:rPr>
        <w:t>. Australian Research Centre in Sex, Health and Society (ARCSHS), La Trobe University.</w:t>
      </w:r>
    </w:p>
    <w:p w14:paraId="7823B47C"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Spack, N. P., Edwards-Leeper, L., Feldman, H. A., Leibowitz, S., Mandel, F., Diamond, D. A., &amp; Vance, S. R. (2012). Children and adolescents with gender identity disorder referred to a pediatric medical center. </w:t>
      </w:r>
      <w:r w:rsidRPr="00F96D9F">
        <w:rPr>
          <w:i/>
          <w:iCs/>
          <w:noProof/>
        </w:rPr>
        <w:t>Pediatrics</w:t>
      </w:r>
      <w:r w:rsidRPr="00F96D9F">
        <w:rPr>
          <w:noProof/>
        </w:rPr>
        <w:t xml:space="preserve">, </w:t>
      </w:r>
      <w:r w:rsidRPr="00F96D9F">
        <w:rPr>
          <w:i/>
          <w:iCs/>
          <w:noProof/>
        </w:rPr>
        <w:t>129</w:t>
      </w:r>
      <w:r w:rsidRPr="00F96D9F">
        <w:rPr>
          <w:noProof/>
        </w:rPr>
        <w:t>(3), 418–425. doi:10.1542/peds.2011-0907</w:t>
      </w:r>
    </w:p>
    <w:p w14:paraId="0CCFEEB0"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Temkin, D., Belford, J., McDaniel, T., Stratford, B., &amp; Parris, D. (2017). Improving Measurement of Sexual Orientation and Gender Identity Among Middle and High School Students. </w:t>
      </w:r>
      <w:r w:rsidRPr="00F96D9F">
        <w:rPr>
          <w:i/>
          <w:iCs/>
          <w:noProof/>
        </w:rPr>
        <w:t>Child Trends, Inc.</w:t>
      </w:r>
      <w:r w:rsidRPr="00F96D9F">
        <w:rPr>
          <w:noProof/>
        </w:rPr>
        <w:t xml:space="preserve"> doi:10.13140/rg.2.2.13550.20802</w:t>
      </w:r>
    </w:p>
    <w:p w14:paraId="2004904F"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Turban, J. L., King, D., Carswell, J. M., &amp; Keuroghlian, A. S. (2020). Pubertal suppression for transgender youth and risk of suicidal ideation. </w:t>
      </w:r>
      <w:r w:rsidRPr="00F96D9F">
        <w:rPr>
          <w:i/>
          <w:iCs/>
          <w:noProof/>
        </w:rPr>
        <w:t>Pediatrics</w:t>
      </w:r>
      <w:r w:rsidRPr="00F96D9F">
        <w:rPr>
          <w:noProof/>
        </w:rPr>
        <w:t xml:space="preserve">, </w:t>
      </w:r>
      <w:r w:rsidRPr="00F96D9F">
        <w:rPr>
          <w:i/>
          <w:iCs/>
          <w:noProof/>
        </w:rPr>
        <w:t>145</w:t>
      </w:r>
      <w:r w:rsidRPr="00F96D9F">
        <w:rPr>
          <w:noProof/>
        </w:rPr>
        <w:t>(2). doi:10.1542/peds.2019-1725</w:t>
      </w:r>
    </w:p>
    <w:p w14:paraId="6A20ED48"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U.S. Census Bureau. (2017). </w:t>
      </w:r>
      <w:r w:rsidRPr="00F96D9F">
        <w:rPr>
          <w:i/>
          <w:iCs/>
          <w:noProof/>
        </w:rPr>
        <w:t>Projected population by single year of age, sex, race, and Hispanic Origin for the United States: 2016 to 2060 </w:t>
      </w:r>
      <w:r w:rsidRPr="00F96D9F">
        <w:rPr>
          <w:noProof/>
        </w:rPr>
        <w:t xml:space="preserve"> (Data Set). US Census Bureau. Retrieved from https://www2.census.gov/programs-surveys/popproj/datasets/2017/2017-popproj/np2017_d1.csv</w:t>
      </w:r>
    </w:p>
    <w:p w14:paraId="0C3BC10B"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Veale, J. F., Peter, T., Travers, R., &amp; Saewyc, E. M. (2017). Enacted stigma, mental health, and protective factors among transgender youth in canada. </w:t>
      </w:r>
      <w:r w:rsidRPr="00F96D9F">
        <w:rPr>
          <w:i/>
          <w:iCs/>
          <w:noProof/>
        </w:rPr>
        <w:t>Transgender Health</w:t>
      </w:r>
      <w:r w:rsidRPr="00F96D9F">
        <w:rPr>
          <w:noProof/>
        </w:rPr>
        <w:t xml:space="preserve">, </w:t>
      </w:r>
      <w:r w:rsidRPr="00F96D9F">
        <w:rPr>
          <w:i/>
          <w:iCs/>
          <w:noProof/>
        </w:rPr>
        <w:t>2</w:t>
      </w:r>
      <w:r w:rsidRPr="00F96D9F">
        <w:rPr>
          <w:noProof/>
        </w:rPr>
        <w:t>(1), 207–216. doi:10.1089/trgh.2017.0031</w:t>
      </w:r>
    </w:p>
    <w:p w14:paraId="6B698D53" w14:textId="6E21C399" w:rsidR="00F96D9F" w:rsidRDefault="00F96D9F" w:rsidP="000C652F">
      <w:pPr>
        <w:widowControl w:val="0"/>
        <w:autoSpaceDE w:val="0"/>
        <w:autoSpaceDN w:val="0"/>
        <w:adjustRightInd w:val="0"/>
        <w:spacing w:after="100" w:afterAutospacing="1"/>
        <w:ind w:left="720" w:hanging="720"/>
        <w:rPr>
          <w:noProof/>
        </w:rPr>
      </w:pPr>
      <w:r w:rsidRPr="00F96D9F">
        <w:rPr>
          <w:noProof/>
        </w:rPr>
        <w:t xml:space="preserve">Veale, J. F., Watson, R. J., Peter, T., &amp; Saewyc, E. M. (2017). Mental health disparities among Canadian transgender youth. </w:t>
      </w:r>
      <w:r w:rsidRPr="00F96D9F">
        <w:rPr>
          <w:i/>
          <w:iCs/>
          <w:noProof/>
        </w:rPr>
        <w:t>The Journal of Adolescent Health</w:t>
      </w:r>
      <w:r w:rsidRPr="00F96D9F">
        <w:rPr>
          <w:noProof/>
        </w:rPr>
        <w:t xml:space="preserve">, </w:t>
      </w:r>
      <w:r w:rsidRPr="00F96D9F">
        <w:rPr>
          <w:i/>
          <w:iCs/>
          <w:noProof/>
        </w:rPr>
        <w:t>60</w:t>
      </w:r>
      <w:r w:rsidRPr="00F96D9F">
        <w:rPr>
          <w:noProof/>
        </w:rPr>
        <w:t>(1), 44–49. doi:10.1016/j.jadohealth.2016.09.014</w:t>
      </w:r>
    </w:p>
    <w:p w14:paraId="2059B760" w14:textId="2CDC9BD8" w:rsidR="00FE5727" w:rsidRDefault="00FE5727" w:rsidP="000C652F">
      <w:pPr>
        <w:widowControl w:val="0"/>
        <w:autoSpaceDE w:val="0"/>
        <w:autoSpaceDN w:val="0"/>
        <w:adjustRightInd w:val="0"/>
        <w:spacing w:after="100" w:afterAutospacing="1"/>
        <w:ind w:left="720" w:hanging="720"/>
        <w:rPr>
          <w:noProof/>
        </w:rPr>
      </w:pPr>
    </w:p>
    <w:p w14:paraId="26536943" w14:textId="77777777" w:rsidR="00FE5727" w:rsidRPr="00F96D9F" w:rsidRDefault="00FE5727" w:rsidP="000C652F">
      <w:pPr>
        <w:widowControl w:val="0"/>
        <w:autoSpaceDE w:val="0"/>
        <w:autoSpaceDN w:val="0"/>
        <w:adjustRightInd w:val="0"/>
        <w:spacing w:after="100" w:afterAutospacing="1"/>
        <w:ind w:left="720" w:hanging="720"/>
        <w:rPr>
          <w:noProof/>
        </w:rPr>
      </w:pPr>
    </w:p>
    <w:p w14:paraId="4B5F8A2F"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lastRenderedPageBreak/>
        <w:t xml:space="preserve">White, A. E., Moeller, J., Ivcevic, Z., &amp; Brackett, M. A. (2018). Gender identity and sexual identity labels used by U.S. high school students: A co-occurrence network analysis. </w:t>
      </w:r>
      <w:r w:rsidRPr="00F96D9F">
        <w:rPr>
          <w:i/>
          <w:iCs/>
          <w:noProof/>
        </w:rPr>
        <w:t>Psychology of Sexual Orientation and Gender Diversity</w:t>
      </w:r>
      <w:r w:rsidRPr="00F96D9F">
        <w:rPr>
          <w:noProof/>
        </w:rPr>
        <w:t xml:space="preserve">, </w:t>
      </w:r>
      <w:r w:rsidRPr="00F96D9F">
        <w:rPr>
          <w:i/>
          <w:iCs/>
          <w:noProof/>
        </w:rPr>
        <w:t>5</w:t>
      </w:r>
      <w:r w:rsidRPr="00F96D9F">
        <w:rPr>
          <w:noProof/>
        </w:rPr>
        <w:t>(2), 243–252. doi:10.1037/sgd0000266</w:t>
      </w:r>
    </w:p>
    <w:p w14:paraId="2B450F9B" w14:textId="77777777" w:rsidR="00F96D9F" w:rsidRPr="00F96D9F" w:rsidRDefault="00F96D9F" w:rsidP="000C652F">
      <w:pPr>
        <w:widowControl w:val="0"/>
        <w:autoSpaceDE w:val="0"/>
        <w:autoSpaceDN w:val="0"/>
        <w:adjustRightInd w:val="0"/>
        <w:spacing w:after="100" w:afterAutospacing="1"/>
        <w:ind w:left="720" w:hanging="720"/>
        <w:rPr>
          <w:noProof/>
        </w:rPr>
      </w:pPr>
      <w:r w:rsidRPr="00F96D9F">
        <w:rPr>
          <w:noProof/>
        </w:rPr>
        <w:t xml:space="preserve">Zimet, G. D., Dahlem, N. W., Zimet, S. G., &amp; Farley, G. K. (1988). The Multidimensional Scale of Perceived Social Support. </w:t>
      </w:r>
      <w:r w:rsidRPr="00F96D9F">
        <w:rPr>
          <w:i/>
          <w:iCs/>
          <w:noProof/>
        </w:rPr>
        <w:t>Journal of Personality Assessment</w:t>
      </w:r>
      <w:r w:rsidRPr="00F96D9F">
        <w:rPr>
          <w:noProof/>
        </w:rPr>
        <w:t xml:space="preserve">, </w:t>
      </w:r>
      <w:r w:rsidRPr="00F96D9F">
        <w:rPr>
          <w:i/>
          <w:iCs/>
          <w:noProof/>
        </w:rPr>
        <w:t>52</w:t>
      </w:r>
      <w:r w:rsidRPr="00F96D9F">
        <w:rPr>
          <w:noProof/>
        </w:rPr>
        <w:t>(1), 30–41. doi:10.1207/s15327752jpa5201_2</w:t>
      </w:r>
    </w:p>
    <w:p w14:paraId="27636893" w14:textId="137481AE" w:rsidR="003131F4" w:rsidRPr="007C7EA1" w:rsidRDefault="00AB2A85" w:rsidP="000C652F">
      <w:pPr>
        <w:widowControl w:val="0"/>
        <w:autoSpaceDE w:val="0"/>
        <w:autoSpaceDN w:val="0"/>
        <w:adjustRightInd w:val="0"/>
        <w:spacing w:after="100" w:afterAutospacing="1"/>
      </w:pPr>
      <w:r w:rsidRPr="007C7EA1">
        <w:fldChar w:fldCharType="end"/>
      </w:r>
    </w:p>
    <w:sectPr w:rsidR="003131F4" w:rsidRPr="007C7EA1" w:rsidSect="00941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5416" w14:textId="77777777" w:rsidR="00B54338" w:rsidRDefault="00B54338" w:rsidP="004D51F5">
      <w:r>
        <w:separator/>
      </w:r>
    </w:p>
  </w:endnote>
  <w:endnote w:type="continuationSeparator" w:id="0">
    <w:p w14:paraId="75665E00" w14:textId="77777777" w:rsidR="00B54338" w:rsidRDefault="00B54338" w:rsidP="004D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71A9" w14:textId="651F8C66" w:rsidR="009A10D9" w:rsidRDefault="009A10D9" w:rsidP="007C7EA1">
    <w:pP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E906" w14:textId="77777777" w:rsidR="009A10D9" w:rsidRPr="00A53BF3" w:rsidRDefault="009A10D9">
    <w:pPr>
      <w:pStyle w:val="Footer"/>
      <w:tabs>
        <w:tab w:val="clear" w:pos="4680"/>
        <w:tab w:val="clear" w:pos="9360"/>
      </w:tabs>
      <w:jc w:val="center"/>
      <w:rPr>
        <w:caps/>
        <w:noProof/>
      </w:rPr>
    </w:pPr>
    <w:r w:rsidRPr="00A53BF3">
      <w:rPr>
        <w:caps/>
      </w:rPr>
      <w:fldChar w:fldCharType="begin"/>
    </w:r>
    <w:r w:rsidRPr="00A53BF3">
      <w:rPr>
        <w:caps/>
      </w:rPr>
      <w:instrText xml:space="preserve"> PAGE   \* MERGEFORMAT </w:instrText>
    </w:r>
    <w:r w:rsidRPr="00A53BF3">
      <w:rPr>
        <w:caps/>
      </w:rPr>
      <w:fldChar w:fldCharType="separate"/>
    </w:r>
    <w:r w:rsidRPr="00A53BF3">
      <w:rPr>
        <w:caps/>
        <w:noProof/>
      </w:rPr>
      <w:t>2</w:t>
    </w:r>
    <w:r w:rsidRPr="00A53BF3">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9217" w14:textId="7897C643" w:rsidR="009A10D9" w:rsidRDefault="009A10D9" w:rsidP="007C7EA1">
    <w:pPr>
      <w:tabs>
        <w:tab w:val="center" w:pos="4680"/>
      </w:tabs>
    </w:pPr>
    <w:r>
      <w:tab/>
    </w:r>
    <w:r>
      <w:fldChar w:fldCharType="begin"/>
    </w:r>
    <w:r>
      <w:instrText xml:space="preserve"> PAGE </w:instrText>
    </w:r>
    <w:r>
      <w:fldChar w:fldCharType="separate"/>
    </w:r>
    <w:r>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9687537"/>
      <w:docPartObj>
        <w:docPartGallery w:val="Page Numbers (Bottom of Page)"/>
        <w:docPartUnique/>
      </w:docPartObj>
    </w:sdtPr>
    <w:sdtContent>
      <w:p w14:paraId="4E7E7534" w14:textId="35AE92D1" w:rsidR="009A10D9" w:rsidRDefault="009A10D9" w:rsidP="003131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5CF19" w14:textId="77777777" w:rsidR="009A10D9" w:rsidRDefault="009A10D9" w:rsidP="004D51F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5871"/>
      <w:docPartObj>
        <w:docPartGallery w:val="Page Numbers (Bottom of Page)"/>
        <w:docPartUnique/>
      </w:docPartObj>
    </w:sdtPr>
    <w:sdtEndPr>
      <w:rPr>
        <w:noProof/>
      </w:rPr>
    </w:sdtEndPr>
    <w:sdtContent>
      <w:p w14:paraId="0BA6D693" w14:textId="1CABA729" w:rsidR="009A10D9" w:rsidRDefault="009A1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65618" w14:textId="77777777" w:rsidR="009A10D9" w:rsidRDefault="009A10D9" w:rsidP="004D51F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F28A" w14:textId="77777777" w:rsidR="00B54338" w:rsidRDefault="00B54338" w:rsidP="004D51F5">
      <w:r>
        <w:separator/>
      </w:r>
    </w:p>
  </w:footnote>
  <w:footnote w:type="continuationSeparator" w:id="0">
    <w:p w14:paraId="24EFB3BB" w14:textId="77777777" w:rsidR="00B54338" w:rsidRDefault="00B54338" w:rsidP="004D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4EFC" w14:textId="3D17C646" w:rsidR="009A10D9" w:rsidRDefault="009A10D9" w:rsidP="004D51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C43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5003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686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869F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0A11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42E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369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E53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60C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02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D63BF"/>
    <w:multiLevelType w:val="hybridMultilevel"/>
    <w:tmpl w:val="E3108E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036B9B"/>
    <w:multiLevelType w:val="hybridMultilevel"/>
    <w:tmpl w:val="76344A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8C00DD"/>
    <w:multiLevelType w:val="multilevel"/>
    <w:tmpl w:val="A8125E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815C5A"/>
    <w:multiLevelType w:val="hybridMultilevel"/>
    <w:tmpl w:val="58067A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183ED7"/>
    <w:multiLevelType w:val="hybridMultilevel"/>
    <w:tmpl w:val="05A254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5910B4"/>
    <w:multiLevelType w:val="hybridMultilevel"/>
    <w:tmpl w:val="1B7477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6080DED"/>
    <w:multiLevelType w:val="hybridMultilevel"/>
    <w:tmpl w:val="DB9696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9137FF"/>
    <w:multiLevelType w:val="hybridMultilevel"/>
    <w:tmpl w:val="D4C402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A747813"/>
    <w:multiLevelType w:val="hybridMultilevel"/>
    <w:tmpl w:val="A9A801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18"/>
  </w:num>
  <w:num w:numId="4">
    <w:abstractNumId w:val="14"/>
  </w:num>
  <w:num w:numId="5">
    <w:abstractNumId w:val="16"/>
  </w:num>
  <w:num w:numId="6">
    <w:abstractNumId w:val="13"/>
  </w:num>
  <w:num w:numId="7">
    <w:abstractNumId w:val="17"/>
  </w:num>
  <w:num w:numId="8">
    <w:abstractNumId w:val="1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46"/>
    <w:rsid w:val="00022C27"/>
    <w:rsid w:val="000245A3"/>
    <w:rsid w:val="000304D5"/>
    <w:rsid w:val="00032F79"/>
    <w:rsid w:val="0003367B"/>
    <w:rsid w:val="00067FD2"/>
    <w:rsid w:val="000946CA"/>
    <w:rsid w:val="000A6EA2"/>
    <w:rsid w:val="000B38A9"/>
    <w:rsid w:val="000B6602"/>
    <w:rsid w:val="000C5E71"/>
    <w:rsid w:val="000C652F"/>
    <w:rsid w:val="001116E4"/>
    <w:rsid w:val="00124015"/>
    <w:rsid w:val="00132537"/>
    <w:rsid w:val="00140623"/>
    <w:rsid w:val="0014372E"/>
    <w:rsid w:val="00164322"/>
    <w:rsid w:val="00175AD6"/>
    <w:rsid w:val="00191B21"/>
    <w:rsid w:val="001939F7"/>
    <w:rsid w:val="001947FA"/>
    <w:rsid w:val="001E1BE9"/>
    <w:rsid w:val="002001F4"/>
    <w:rsid w:val="002009E3"/>
    <w:rsid w:val="00224320"/>
    <w:rsid w:val="00233029"/>
    <w:rsid w:val="002452C5"/>
    <w:rsid w:val="002527DE"/>
    <w:rsid w:val="00252EAA"/>
    <w:rsid w:val="00254090"/>
    <w:rsid w:val="002565AB"/>
    <w:rsid w:val="00270247"/>
    <w:rsid w:val="00276C09"/>
    <w:rsid w:val="0028438B"/>
    <w:rsid w:val="00291559"/>
    <w:rsid w:val="002A110D"/>
    <w:rsid w:val="002A5D3D"/>
    <w:rsid w:val="002B6614"/>
    <w:rsid w:val="002C2068"/>
    <w:rsid w:val="002C7F11"/>
    <w:rsid w:val="002E08FD"/>
    <w:rsid w:val="00301555"/>
    <w:rsid w:val="003131F4"/>
    <w:rsid w:val="00330477"/>
    <w:rsid w:val="00341393"/>
    <w:rsid w:val="00351709"/>
    <w:rsid w:val="003556C6"/>
    <w:rsid w:val="00361BE3"/>
    <w:rsid w:val="0037055B"/>
    <w:rsid w:val="0039087E"/>
    <w:rsid w:val="00390C3E"/>
    <w:rsid w:val="003A3EEC"/>
    <w:rsid w:val="003A7AF1"/>
    <w:rsid w:val="003D7DA0"/>
    <w:rsid w:val="003F2963"/>
    <w:rsid w:val="00400E08"/>
    <w:rsid w:val="00403FF3"/>
    <w:rsid w:val="00404662"/>
    <w:rsid w:val="00432A2F"/>
    <w:rsid w:val="00435EFD"/>
    <w:rsid w:val="00445604"/>
    <w:rsid w:val="004558AE"/>
    <w:rsid w:val="00461EFB"/>
    <w:rsid w:val="0046704C"/>
    <w:rsid w:val="00471C3B"/>
    <w:rsid w:val="004851CA"/>
    <w:rsid w:val="004947CE"/>
    <w:rsid w:val="004A7BB6"/>
    <w:rsid w:val="004C5605"/>
    <w:rsid w:val="004D51F5"/>
    <w:rsid w:val="004D77AC"/>
    <w:rsid w:val="004F7E4C"/>
    <w:rsid w:val="00500BE2"/>
    <w:rsid w:val="0050191E"/>
    <w:rsid w:val="0050576E"/>
    <w:rsid w:val="00510E0B"/>
    <w:rsid w:val="0054647F"/>
    <w:rsid w:val="00552503"/>
    <w:rsid w:val="00553DAC"/>
    <w:rsid w:val="005B5C0B"/>
    <w:rsid w:val="005C6EE7"/>
    <w:rsid w:val="005C7C5F"/>
    <w:rsid w:val="005D4463"/>
    <w:rsid w:val="00614D91"/>
    <w:rsid w:val="0063226D"/>
    <w:rsid w:val="00642281"/>
    <w:rsid w:val="00651BCD"/>
    <w:rsid w:val="00653008"/>
    <w:rsid w:val="006707C5"/>
    <w:rsid w:val="0067277D"/>
    <w:rsid w:val="00680386"/>
    <w:rsid w:val="006863CE"/>
    <w:rsid w:val="00686A99"/>
    <w:rsid w:val="006B01E0"/>
    <w:rsid w:val="006B3608"/>
    <w:rsid w:val="006C106F"/>
    <w:rsid w:val="006D4717"/>
    <w:rsid w:val="006F6EEE"/>
    <w:rsid w:val="007113F7"/>
    <w:rsid w:val="00713363"/>
    <w:rsid w:val="0072165A"/>
    <w:rsid w:val="00723FEA"/>
    <w:rsid w:val="007278BE"/>
    <w:rsid w:val="00730DD4"/>
    <w:rsid w:val="0075736A"/>
    <w:rsid w:val="007779AA"/>
    <w:rsid w:val="00780C85"/>
    <w:rsid w:val="0079278A"/>
    <w:rsid w:val="007A072F"/>
    <w:rsid w:val="007B55B9"/>
    <w:rsid w:val="007C034D"/>
    <w:rsid w:val="007C7EA1"/>
    <w:rsid w:val="007D44FD"/>
    <w:rsid w:val="007D4ABC"/>
    <w:rsid w:val="007D4B73"/>
    <w:rsid w:val="007E09B9"/>
    <w:rsid w:val="007F0DE0"/>
    <w:rsid w:val="00804C3D"/>
    <w:rsid w:val="00806846"/>
    <w:rsid w:val="00822D16"/>
    <w:rsid w:val="00827208"/>
    <w:rsid w:val="00846A57"/>
    <w:rsid w:val="008509B3"/>
    <w:rsid w:val="0085382B"/>
    <w:rsid w:val="00855F9C"/>
    <w:rsid w:val="008568A2"/>
    <w:rsid w:val="0086469C"/>
    <w:rsid w:val="00866FA8"/>
    <w:rsid w:val="00885054"/>
    <w:rsid w:val="008B66CD"/>
    <w:rsid w:val="008E226C"/>
    <w:rsid w:val="008F39C8"/>
    <w:rsid w:val="009154EF"/>
    <w:rsid w:val="00930254"/>
    <w:rsid w:val="009317AB"/>
    <w:rsid w:val="00940822"/>
    <w:rsid w:val="009418A4"/>
    <w:rsid w:val="00970544"/>
    <w:rsid w:val="00972914"/>
    <w:rsid w:val="00973AB4"/>
    <w:rsid w:val="00993E20"/>
    <w:rsid w:val="009A10D9"/>
    <w:rsid w:val="009A3A3B"/>
    <w:rsid w:val="009A4A3D"/>
    <w:rsid w:val="009A4ACA"/>
    <w:rsid w:val="009C5453"/>
    <w:rsid w:val="009E0506"/>
    <w:rsid w:val="009E2AE0"/>
    <w:rsid w:val="009E526F"/>
    <w:rsid w:val="00A1054C"/>
    <w:rsid w:val="00A27BA6"/>
    <w:rsid w:val="00A31769"/>
    <w:rsid w:val="00A41C8C"/>
    <w:rsid w:val="00A53BF3"/>
    <w:rsid w:val="00A54677"/>
    <w:rsid w:val="00A602A7"/>
    <w:rsid w:val="00A71242"/>
    <w:rsid w:val="00A758AF"/>
    <w:rsid w:val="00AA1547"/>
    <w:rsid w:val="00AB2A85"/>
    <w:rsid w:val="00AB5E95"/>
    <w:rsid w:val="00AF787C"/>
    <w:rsid w:val="00B008EB"/>
    <w:rsid w:val="00B049F8"/>
    <w:rsid w:val="00B1667E"/>
    <w:rsid w:val="00B26AC7"/>
    <w:rsid w:val="00B37083"/>
    <w:rsid w:val="00B41B4A"/>
    <w:rsid w:val="00B42F4E"/>
    <w:rsid w:val="00B44A91"/>
    <w:rsid w:val="00B53AC0"/>
    <w:rsid w:val="00B54338"/>
    <w:rsid w:val="00B615D8"/>
    <w:rsid w:val="00B66CD7"/>
    <w:rsid w:val="00B74079"/>
    <w:rsid w:val="00B81CA7"/>
    <w:rsid w:val="00BA09D9"/>
    <w:rsid w:val="00BA1CBB"/>
    <w:rsid w:val="00BB0FCB"/>
    <w:rsid w:val="00BC00CC"/>
    <w:rsid w:val="00BC753B"/>
    <w:rsid w:val="00BD10C5"/>
    <w:rsid w:val="00BD1AF3"/>
    <w:rsid w:val="00C22A24"/>
    <w:rsid w:val="00C30FE5"/>
    <w:rsid w:val="00C45CA4"/>
    <w:rsid w:val="00C668DF"/>
    <w:rsid w:val="00C77153"/>
    <w:rsid w:val="00C81A3A"/>
    <w:rsid w:val="00C91086"/>
    <w:rsid w:val="00C94ACF"/>
    <w:rsid w:val="00CA3388"/>
    <w:rsid w:val="00CA3A4B"/>
    <w:rsid w:val="00CA6F1C"/>
    <w:rsid w:val="00CC17CB"/>
    <w:rsid w:val="00CD4E71"/>
    <w:rsid w:val="00D00BD8"/>
    <w:rsid w:val="00D01378"/>
    <w:rsid w:val="00D24938"/>
    <w:rsid w:val="00D26F0B"/>
    <w:rsid w:val="00D42790"/>
    <w:rsid w:val="00D42906"/>
    <w:rsid w:val="00D523D9"/>
    <w:rsid w:val="00D5279C"/>
    <w:rsid w:val="00D57AC2"/>
    <w:rsid w:val="00D60A19"/>
    <w:rsid w:val="00D96479"/>
    <w:rsid w:val="00DA75E5"/>
    <w:rsid w:val="00DB0CE0"/>
    <w:rsid w:val="00DD686A"/>
    <w:rsid w:val="00E04AD4"/>
    <w:rsid w:val="00E114DB"/>
    <w:rsid w:val="00E13031"/>
    <w:rsid w:val="00E20FC6"/>
    <w:rsid w:val="00E3267B"/>
    <w:rsid w:val="00E7495B"/>
    <w:rsid w:val="00E74C17"/>
    <w:rsid w:val="00E7513E"/>
    <w:rsid w:val="00E836C9"/>
    <w:rsid w:val="00E91EC1"/>
    <w:rsid w:val="00E92705"/>
    <w:rsid w:val="00EB1354"/>
    <w:rsid w:val="00EB5194"/>
    <w:rsid w:val="00ED5110"/>
    <w:rsid w:val="00EE7D4F"/>
    <w:rsid w:val="00F2634E"/>
    <w:rsid w:val="00F31C01"/>
    <w:rsid w:val="00F426FC"/>
    <w:rsid w:val="00F45F68"/>
    <w:rsid w:val="00F46C90"/>
    <w:rsid w:val="00F86ABF"/>
    <w:rsid w:val="00F96D9F"/>
    <w:rsid w:val="00FA210A"/>
    <w:rsid w:val="00FA4E47"/>
    <w:rsid w:val="00FA74B2"/>
    <w:rsid w:val="00FC5D08"/>
    <w:rsid w:val="00FC6605"/>
    <w:rsid w:val="00FD3E2D"/>
    <w:rsid w:val="00FE5727"/>
    <w:rsid w:val="00FE7A88"/>
    <w:rsid w:val="00FF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D2CA"/>
  <w14:defaultImageDpi w14:val="32767"/>
  <w15:chartTrackingRefBased/>
  <w15:docId w15:val="{6DED1507-4C0F-A147-9BDF-AF7BEF68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6CA"/>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F45F68"/>
    <w:pPr>
      <w:keepNext/>
      <w:keepLines/>
      <w:spacing w:before="840" w:after="600" w:line="360" w:lineRule="auto"/>
      <w:jc w:val="center"/>
      <w:outlineLvl w:val="0"/>
    </w:pPr>
    <w:rPr>
      <w:rFonts w:eastAsia="Calibri" w:cstheme="majorBidi"/>
      <w:b/>
      <w:szCs w:val="32"/>
    </w:rPr>
  </w:style>
  <w:style w:type="paragraph" w:styleId="Heading2">
    <w:name w:val="heading 2"/>
    <w:basedOn w:val="Normal"/>
    <w:next w:val="Normal"/>
    <w:link w:val="Heading2Char"/>
    <w:autoRedefine/>
    <w:uiPriority w:val="9"/>
    <w:unhideWhenUsed/>
    <w:qFormat/>
    <w:rsid w:val="00F45F68"/>
    <w:pPr>
      <w:keepNext/>
      <w:keepLines/>
      <w:spacing w:before="280" w:after="240" w:line="480" w:lineRule="auto"/>
      <w:jc w:val="center"/>
      <w:outlineLvl w:val="1"/>
    </w:pPr>
    <w:rPr>
      <w:rFonts w:eastAsia="Calibri" w:cstheme="majorBidi"/>
      <w:b/>
      <w:szCs w:val="26"/>
    </w:rPr>
  </w:style>
  <w:style w:type="paragraph" w:styleId="Heading3">
    <w:name w:val="heading 3"/>
    <w:basedOn w:val="Normal"/>
    <w:next w:val="Normal"/>
    <w:link w:val="Heading3Char"/>
    <w:uiPriority w:val="9"/>
    <w:unhideWhenUsed/>
    <w:qFormat/>
    <w:rsid w:val="00F45F68"/>
    <w:pPr>
      <w:keepNext/>
      <w:keepLines/>
      <w:spacing w:before="280" w:after="240" w:line="48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22"/>
    <w:pPr>
      <w:ind w:left="720"/>
      <w:contextualSpacing/>
    </w:pPr>
  </w:style>
  <w:style w:type="character" w:styleId="CommentReference">
    <w:name w:val="annotation reference"/>
    <w:basedOn w:val="DefaultParagraphFont"/>
    <w:uiPriority w:val="99"/>
    <w:semiHidden/>
    <w:unhideWhenUsed/>
    <w:rsid w:val="00940822"/>
    <w:rPr>
      <w:sz w:val="16"/>
      <w:szCs w:val="16"/>
    </w:rPr>
  </w:style>
  <w:style w:type="paragraph" w:styleId="CommentText">
    <w:name w:val="annotation text"/>
    <w:basedOn w:val="Normal"/>
    <w:link w:val="CommentTextChar"/>
    <w:uiPriority w:val="99"/>
    <w:semiHidden/>
    <w:unhideWhenUsed/>
    <w:rsid w:val="00940822"/>
    <w:rPr>
      <w:sz w:val="20"/>
      <w:szCs w:val="20"/>
    </w:rPr>
  </w:style>
  <w:style w:type="character" w:customStyle="1" w:styleId="CommentTextChar">
    <w:name w:val="Comment Text Char"/>
    <w:basedOn w:val="DefaultParagraphFont"/>
    <w:link w:val="CommentText"/>
    <w:uiPriority w:val="99"/>
    <w:semiHidden/>
    <w:rsid w:val="009408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822"/>
    <w:rPr>
      <w:b/>
      <w:bCs/>
    </w:rPr>
  </w:style>
  <w:style w:type="character" w:customStyle="1" w:styleId="CommentSubjectChar">
    <w:name w:val="Comment Subject Char"/>
    <w:basedOn w:val="CommentTextChar"/>
    <w:link w:val="CommentSubject"/>
    <w:uiPriority w:val="99"/>
    <w:semiHidden/>
    <w:rsid w:val="009408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0822"/>
    <w:rPr>
      <w:sz w:val="18"/>
      <w:szCs w:val="18"/>
    </w:rPr>
  </w:style>
  <w:style w:type="character" w:customStyle="1" w:styleId="BalloonTextChar">
    <w:name w:val="Balloon Text Char"/>
    <w:basedOn w:val="DefaultParagraphFont"/>
    <w:link w:val="BalloonText"/>
    <w:uiPriority w:val="99"/>
    <w:semiHidden/>
    <w:rsid w:val="00940822"/>
    <w:rPr>
      <w:rFonts w:ascii="Times New Roman" w:eastAsia="Times New Roman" w:hAnsi="Times New Roman" w:cs="Times New Roman"/>
      <w:sz w:val="18"/>
      <w:szCs w:val="18"/>
    </w:rPr>
  </w:style>
  <w:style w:type="paragraph" w:styleId="Header">
    <w:name w:val="header"/>
    <w:basedOn w:val="Normal"/>
    <w:link w:val="HeaderChar"/>
    <w:unhideWhenUsed/>
    <w:rsid w:val="004D51F5"/>
    <w:pPr>
      <w:tabs>
        <w:tab w:val="center" w:pos="4680"/>
        <w:tab w:val="right" w:pos="9360"/>
      </w:tabs>
    </w:pPr>
  </w:style>
  <w:style w:type="character" w:customStyle="1" w:styleId="HeaderChar">
    <w:name w:val="Header Char"/>
    <w:basedOn w:val="DefaultParagraphFont"/>
    <w:link w:val="Header"/>
    <w:uiPriority w:val="99"/>
    <w:rsid w:val="004D51F5"/>
    <w:rPr>
      <w:rFonts w:ascii="Times New Roman" w:eastAsia="Times New Roman" w:hAnsi="Times New Roman" w:cs="Times New Roman"/>
    </w:rPr>
  </w:style>
  <w:style w:type="paragraph" w:styleId="Footer">
    <w:name w:val="footer"/>
    <w:basedOn w:val="Normal"/>
    <w:link w:val="FooterChar"/>
    <w:uiPriority w:val="99"/>
    <w:unhideWhenUsed/>
    <w:rsid w:val="004D51F5"/>
    <w:pPr>
      <w:tabs>
        <w:tab w:val="center" w:pos="4680"/>
        <w:tab w:val="right" w:pos="9360"/>
      </w:tabs>
    </w:pPr>
  </w:style>
  <w:style w:type="character" w:customStyle="1" w:styleId="FooterChar">
    <w:name w:val="Footer Char"/>
    <w:basedOn w:val="DefaultParagraphFont"/>
    <w:link w:val="Footer"/>
    <w:uiPriority w:val="99"/>
    <w:rsid w:val="004D51F5"/>
    <w:rPr>
      <w:rFonts w:ascii="Times New Roman" w:eastAsia="Times New Roman" w:hAnsi="Times New Roman" w:cs="Times New Roman"/>
    </w:rPr>
  </w:style>
  <w:style w:type="character" w:styleId="PageNumber">
    <w:name w:val="page number"/>
    <w:basedOn w:val="DefaultParagraphFont"/>
    <w:uiPriority w:val="99"/>
    <w:semiHidden/>
    <w:unhideWhenUsed/>
    <w:rsid w:val="004D51F5"/>
  </w:style>
  <w:style w:type="paragraph" w:styleId="NormalWeb">
    <w:name w:val="Normal (Web)"/>
    <w:basedOn w:val="Normal"/>
    <w:uiPriority w:val="99"/>
    <w:semiHidden/>
    <w:unhideWhenUsed/>
    <w:rsid w:val="003131F4"/>
    <w:pPr>
      <w:spacing w:before="100" w:beforeAutospacing="1" w:after="100" w:afterAutospacing="1"/>
    </w:pPr>
  </w:style>
  <w:style w:type="paragraph" w:styleId="TOC1">
    <w:name w:val="toc 1"/>
    <w:basedOn w:val="Normal"/>
    <w:next w:val="Normal"/>
    <w:autoRedefine/>
    <w:uiPriority w:val="39"/>
    <w:rsid w:val="007C7EA1"/>
    <w:pPr>
      <w:tabs>
        <w:tab w:val="right" w:leader="dot" w:pos="9350"/>
      </w:tabs>
      <w:spacing w:line="480" w:lineRule="auto"/>
      <w:ind w:left="240" w:right="720" w:hanging="240"/>
      <w:jc w:val="both"/>
    </w:pPr>
    <w:rPr>
      <w:b/>
    </w:rPr>
  </w:style>
  <w:style w:type="character" w:styleId="Hyperlink">
    <w:name w:val="Hyperlink"/>
    <w:uiPriority w:val="99"/>
    <w:rsid w:val="007C7EA1"/>
    <w:rPr>
      <w:color w:val="0000FF"/>
      <w:u w:val="single"/>
    </w:rPr>
  </w:style>
  <w:style w:type="paragraph" w:styleId="TOC2">
    <w:name w:val="toc 2"/>
    <w:basedOn w:val="Normal"/>
    <w:next w:val="Normal"/>
    <w:autoRedefine/>
    <w:uiPriority w:val="39"/>
    <w:rsid w:val="007C7EA1"/>
    <w:pPr>
      <w:tabs>
        <w:tab w:val="left" w:pos="1170"/>
        <w:tab w:val="right" w:leader="dot" w:pos="9350"/>
      </w:tabs>
      <w:spacing w:line="480" w:lineRule="auto"/>
      <w:ind w:left="504"/>
      <w:jc w:val="both"/>
    </w:pPr>
    <w:rPr>
      <w:b/>
    </w:rPr>
  </w:style>
  <w:style w:type="paragraph" w:styleId="TOC3">
    <w:name w:val="toc 3"/>
    <w:basedOn w:val="Normal"/>
    <w:next w:val="Normal"/>
    <w:autoRedefine/>
    <w:uiPriority w:val="39"/>
    <w:rsid w:val="007C7EA1"/>
    <w:pPr>
      <w:tabs>
        <w:tab w:val="left" w:pos="1920"/>
        <w:tab w:val="right" w:leader="dot" w:pos="9350"/>
      </w:tabs>
      <w:spacing w:line="480" w:lineRule="auto"/>
      <w:ind w:left="1008"/>
      <w:jc w:val="both"/>
    </w:pPr>
    <w:rPr>
      <w:b/>
    </w:rPr>
  </w:style>
  <w:style w:type="paragraph" w:customStyle="1" w:styleId="Preliminary">
    <w:name w:val="Preliminary"/>
    <w:basedOn w:val="Heading1"/>
    <w:next w:val="Normal"/>
    <w:rsid w:val="007C7EA1"/>
    <w:pPr>
      <w:keepLines w:val="0"/>
      <w:pageBreakBefore/>
      <w:spacing w:before="0" w:after="960" w:line="480" w:lineRule="auto"/>
    </w:pPr>
    <w:rPr>
      <w:rFonts w:eastAsia="Times New Roman" w:cs="Arial"/>
      <w:b w:val="0"/>
      <w:bCs/>
      <w:szCs w:val="24"/>
    </w:rPr>
  </w:style>
  <w:style w:type="paragraph" w:styleId="TableofFigures">
    <w:name w:val="table of figures"/>
    <w:basedOn w:val="Normal"/>
    <w:next w:val="Normal"/>
    <w:uiPriority w:val="99"/>
    <w:rsid w:val="007C7EA1"/>
    <w:pPr>
      <w:spacing w:line="480" w:lineRule="auto"/>
      <w:ind w:left="240" w:hanging="240"/>
      <w:jc w:val="both"/>
    </w:pPr>
    <w:rPr>
      <w:b/>
    </w:rPr>
  </w:style>
  <w:style w:type="character" w:styleId="PlaceholderText">
    <w:name w:val="Placeholder Text"/>
    <w:basedOn w:val="DefaultParagraphFont"/>
    <w:uiPriority w:val="99"/>
    <w:semiHidden/>
    <w:rsid w:val="007C7EA1"/>
    <w:rPr>
      <w:color w:val="808080"/>
    </w:rPr>
  </w:style>
  <w:style w:type="character" w:customStyle="1" w:styleId="TitleHeading">
    <w:name w:val="Title Heading"/>
    <w:basedOn w:val="DefaultParagraphFont"/>
    <w:uiPriority w:val="1"/>
    <w:rsid w:val="007C7EA1"/>
    <w:rPr>
      <w:rFonts w:ascii="Times New Roman" w:hAnsi="Times New Roman"/>
      <w:b w:val="0"/>
      <w:caps/>
      <w:smallCaps w:val="0"/>
      <w:sz w:val="24"/>
      <w:szCs w:val="24"/>
    </w:rPr>
  </w:style>
  <w:style w:type="paragraph" w:customStyle="1" w:styleId="TableofContentsHeading">
    <w:name w:val="Table of Contents Heading"/>
    <w:basedOn w:val="Preliminary"/>
    <w:qFormat/>
    <w:rsid w:val="007C7EA1"/>
  </w:style>
  <w:style w:type="paragraph" w:customStyle="1" w:styleId="PreliminaryBookmarks">
    <w:name w:val="Preliminary Bookmarks"/>
    <w:basedOn w:val="Heading1"/>
    <w:qFormat/>
    <w:rsid w:val="007C7EA1"/>
    <w:pPr>
      <w:keepLines w:val="0"/>
      <w:pageBreakBefore/>
      <w:spacing w:before="0"/>
    </w:pPr>
    <w:rPr>
      <w:rFonts w:eastAsia="Times New Roman" w:cs="Arial"/>
      <w:bCs/>
      <w:color w:val="FFFFFF" w:themeColor="background1"/>
      <w:sz w:val="2"/>
      <w:szCs w:val="24"/>
    </w:rPr>
  </w:style>
  <w:style w:type="character" w:customStyle="1" w:styleId="Heading1Char">
    <w:name w:val="Heading 1 Char"/>
    <w:basedOn w:val="DefaultParagraphFont"/>
    <w:link w:val="Heading1"/>
    <w:uiPriority w:val="9"/>
    <w:rsid w:val="00F45F68"/>
    <w:rPr>
      <w:rFonts w:ascii="Times New Roman" w:eastAsia="Calibri" w:hAnsi="Times New Roman" w:cstheme="majorBidi"/>
      <w:b/>
      <w:szCs w:val="32"/>
    </w:rPr>
  </w:style>
  <w:style w:type="paragraph" w:customStyle="1" w:styleId="Heading">
    <w:name w:val="Heading"/>
    <w:basedOn w:val="Preliminary"/>
    <w:next w:val="Normal"/>
    <w:rsid w:val="00E836C9"/>
  </w:style>
  <w:style w:type="character" w:customStyle="1" w:styleId="Heading2Char">
    <w:name w:val="Heading 2 Char"/>
    <w:basedOn w:val="DefaultParagraphFont"/>
    <w:link w:val="Heading2"/>
    <w:uiPriority w:val="9"/>
    <w:rsid w:val="00F45F68"/>
    <w:rPr>
      <w:rFonts w:ascii="Times New Roman" w:eastAsia="Calibri" w:hAnsi="Times New Roman" w:cstheme="majorBidi"/>
      <w:b/>
      <w:szCs w:val="26"/>
    </w:rPr>
  </w:style>
  <w:style w:type="character" w:customStyle="1" w:styleId="Heading3Char">
    <w:name w:val="Heading 3 Char"/>
    <w:basedOn w:val="DefaultParagraphFont"/>
    <w:link w:val="Heading3"/>
    <w:uiPriority w:val="9"/>
    <w:rsid w:val="00F45F68"/>
    <w:rPr>
      <w:rFonts w:ascii="Times New Roman" w:eastAsiaTheme="majorEastAsia" w:hAnsi="Times New Roman" w:cstheme="majorBidi"/>
      <w:b/>
    </w:rPr>
  </w:style>
  <w:style w:type="paragraph" w:customStyle="1" w:styleId="Style1">
    <w:name w:val="Style1"/>
    <w:basedOn w:val="Normal"/>
    <w:qFormat/>
    <w:rsid w:val="009154EF"/>
    <w:pPr>
      <w:spacing w:line="480" w:lineRule="auto"/>
      <w:ind w:firstLine="720"/>
    </w:pPr>
    <w:rPr>
      <w:rFonts w:eastAsia="Calibri"/>
    </w:rPr>
  </w:style>
  <w:style w:type="paragraph" w:styleId="TableofAuthorities">
    <w:name w:val="table of authorities"/>
    <w:basedOn w:val="Normal"/>
    <w:next w:val="Normal"/>
    <w:autoRedefine/>
    <w:uiPriority w:val="99"/>
    <w:unhideWhenUsed/>
    <w:rsid w:val="00D24938"/>
    <w:pPr>
      <w:ind w:left="240" w:hanging="240"/>
    </w:pPr>
    <w:rPr>
      <w:b/>
      <w:sz w:val="22"/>
    </w:rPr>
  </w:style>
  <w:style w:type="paragraph" w:styleId="Caption">
    <w:name w:val="caption"/>
    <w:basedOn w:val="Normal"/>
    <w:next w:val="Normal"/>
    <w:uiPriority w:val="35"/>
    <w:unhideWhenUsed/>
    <w:qFormat/>
    <w:rsid w:val="000C652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7154">
      <w:bodyDiv w:val="1"/>
      <w:marLeft w:val="0"/>
      <w:marRight w:val="0"/>
      <w:marTop w:val="0"/>
      <w:marBottom w:val="0"/>
      <w:divBdr>
        <w:top w:val="none" w:sz="0" w:space="0" w:color="auto"/>
        <w:left w:val="none" w:sz="0" w:space="0" w:color="auto"/>
        <w:bottom w:val="none" w:sz="0" w:space="0" w:color="auto"/>
        <w:right w:val="none" w:sz="0" w:space="0" w:color="auto"/>
      </w:divBdr>
    </w:div>
    <w:div w:id="191725515">
      <w:bodyDiv w:val="1"/>
      <w:marLeft w:val="0"/>
      <w:marRight w:val="0"/>
      <w:marTop w:val="0"/>
      <w:marBottom w:val="0"/>
      <w:divBdr>
        <w:top w:val="none" w:sz="0" w:space="0" w:color="auto"/>
        <w:left w:val="none" w:sz="0" w:space="0" w:color="auto"/>
        <w:bottom w:val="none" w:sz="0" w:space="0" w:color="auto"/>
        <w:right w:val="none" w:sz="0" w:space="0" w:color="auto"/>
      </w:divBdr>
    </w:div>
    <w:div w:id="544761066">
      <w:bodyDiv w:val="1"/>
      <w:marLeft w:val="0"/>
      <w:marRight w:val="0"/>
      <w:marTop w:val="0"/>
      <w:marBottom w:val="0"/>
      <w:divBdr>
        <w:top w:val="none" w:sz="0" w:space="0" w:color="auto"/>
        <w:left w:val="none" w:sz="0" w:space="0" w:color="auto"/>
        <w:bottom w:val="none" w:sz="0" w:space="0" w:color="auto"/>
        <w:right w:val="none" w:sz="0" w:space="0" w:color="auto"/>
      </w:divBdr>
    </w:div>
    <w:div w:id="791245981">
      <w:bodyDiv w:val="1"/>
      <w:marLeft w:val="0"/>
      <w:marRight w:val="0"/>
      <w:marTop w:val="0"/>
      <w:marBottom w:val="0"/>
      <w:divBdr>
        <w:top w:val="none" w:sz="0" w:space="0" w:color="auto"/>
        <w:left w:val="none" w:sz="0" w:space="0" w:color="auto"/>
        <w:bottom w:val="none" w:sz="0" w:space="0" w:color="auto"/>
        <w:right w:val="none" w:sz="0" w:space="0" w:color="auto"/>
      </w:divBdr>
    </w:div>
    <w:div w:id="812677601">
      <w:bodyDiv w:val="1"/>
      <w:marLeft w:val="0"/>
      <w:marRight w:val="0"/>
      <w:marTop w:val="0"/>
      <w:marBottom w:val="0"/>
      <w:divBdr>
        <w:top w:val="none" w:sz="0" w:space="0" w:color="auto"/>
        <w:left w:val="none" w:sz="0" w:space="0" w:color="auto"/>
        <w:bottom w:val="none" w:sz="0" w:space="0" w:color="auto"/>
        <w:right w:val="none" w:sz="0" w:space="0" w:color="auto"/>
      </w:divBdr>
    </w:div>
    <w:div w:id="933170404">
      <w:bodyDiv w:val="1"/>
      <w:marLeft w:val="0"/>
      <w:marRight w:val="0"/>
      <w:marTop w:val="0"/>
      <w:marBottom w:val="0"/>
      <w:divBdr>
        <w:top w:val="none" w:sz="0" w:space="0" w:color="auto"/>
        <w:left w:val="none" w:sz="0" w:space="0" w:color="auto"/>
        <w:bottom w:val="none" w:sz="0" w:space="0" w:color="auto"/>
        <w:right w:val="none" w:sz="0" w:space="0" w:color="auto"/>
      </w:divBdr>
    </w:div>
    <w:div w:id="951203734">
      <w:bodyDiv w:val="1"/>
      <w:marLeft w:val="0"/>
      <w:marRight w:val="0"/>
      <w:marTop w:val="0"/>
      <w:marBottom w:val="0"/>
      <w:divBdr>
        <w:top w:val="none" w:sz="0" w:space="0" w:color="auto"/>
        <w:left w:val="none" w:sz="0" w:space="0" w:color="auto"/>
        <w:bottom w:val="none" w:sz="0" w:space="0" w:color="auto"/>
        <w:right w:val="none" w:sz="0" w:space="0" w:color="auto"/>
      </w:divBdr>
    </w:div>
    <w:div w:id="1009255127">
      <w:bodyDiv w:val="1"/>
      <w:marLeft w:val="0"/>
      <w:marRight w:val="0"/>
      <w:marTop w:val="0"/>
      <w:marBottom w:val="0"/>
      <w:divBdr>
        <w:top w:val="none" w:sz="0" w:space="0" w:color="auto"/>
        <w:left w:val="none" w:sz="0" w:space="0" w:color="auto"/>
        <w:bottom w:val="none" w:sz="0" w:space="0" w:color="auto"/>
        <w:right w:val="none" w:sz="0" w:space="0" w:color="auto"/>
      </w:divBdr>
    </w:div>
    <w:div w:id="1022248318">
      <w:bodyDiv w:val="1"/>
      <w:marLeft w:val="0"/>
      <w:marRight w:val="0"/>
      <w:marTop w:val="0"/>
      <w:marBottom w:val="0"/>
      <w:divBdr>
        <w:top w:val="none" w:sz="0" w:space="0" w:color="auto"/>
        <w:left w:val="none" w:sz="0" w:space="0" w:color="auto"/>
        <w:bottom w:val="none" w:sz="0" w:space="0" w:color="auto"/>
        <w:right w:val="none" w:sz="0" w:space="0" w:color="auto"/>
      </w:divBdr>
    </w:div>
    <w:div w:id="1114055392">
      <w:bodyDiv w:val="1"/>
      <w:marLeft w:val="0"/>
      <w:marRight w:val="0"/>
      <w:marTop w:val="0"/>
      <w:marBottom w:val="0"/>
      <w:divBdr>
        <w:top w:val="none" w:sz="0" w:space="0" w:color="auto"/>
        <w:left w:val="none" w:sz="0" w:space="0" w:color="auto"/>
        <w:bottom w:val="none" w:sz="0" w:space="0" w:color="auto"/>
        <w:right w:val="none" w:sz="0" w:space="0" w:color="auto"/>
      </w:divBdr>
    </w:div>
    <w:div w:id="1269972231">
      <w:bodyDiv w:val="1"/>
      <w:marLeft w:val="0"/>
      <w:marRight w:val="0"/>
      <w:marTop w:val="0"/>
      <w:marBottom w:val="0"/>
      <w:divBdr>
        <w:top w:val="none" w:sz="0" w:space="0" w:color="auto"/>
        <w:left w:val="none" w:sz="0" w:space="0" w:color="auto"/>
        <w:bottom w:val="none" w:sz="0" w:space="0" w:color="auto"/>
        <w:right w:val="none" w:sz="0" w:space="0" w:color="auto"/>
      </w:divBdr>
    </w:div>
    <w:div w:id="1289437658">
      <w:bodyDiv w:val="1"/>
      <w:marLeft w:val="0"/>
      <w:marRight w:val="0"/>
      <w:marTop w:val="0"/>
      <w:marBottom w:val="0"/>
      <w:divBdr>
        <w:top w:val="none" w:sz="0" w:space="0" w:color="auto"/>
        <w:left w:val="none" w:sz="0" w:space="0" w:color="auto"/>
        <w:bottom w:val="none" w:sz="0" w:space="0" w:color="auto"/>
        <w:right w:val="none" w:sz="0" w:space="0" w:color="auto"/>
      </w:divBdr>
    </w:div>
    <w:div w:id="1316840632">
      <w:bodyDiv w:val="1"/>
      <w:marLeft w:val="0"/>
      <w:marRight w:val="0"/>
      <w:marTop w:val="0"/>
      <w:marBottom w:val="0"/>
      <w:divBdr>
        <w:top w:val="none" w:sz="0" w:space="0" w:color="auto"/>
        <w:left w:val="none" w:sz="0" w:space="0" w:color="auto"/>
        <w:bottom w:val="none" w:sz="0" w:space="0" w:color="auto"/>
        <w:right w:val="none" w:sz="0" w:space="0" w:color="auto"/>
      </w:divBdr>
    </w:div>
    <w:div w:id="1771580847">
      <w:bodyDiv w:val="1"/>
      <w:marLeft w:val="0"/>
      <w:marRight w:val="0"/>
      <w:marTop w:val="0"/>
      <w:marBottom w:val="0"/>
      <w:divBdr>
        <w:top w:val="none" w:sz="0" w:space="0" w:color="auto"/>
        <w:left w:val="none" w:sz="0" w:space="0" w:color="auto"/>
        <w:bottom w:val="none" w:sz="0" w:space="0" w:color="auto"/>
        <w:right w:val="none" w:sz="0" w:space="0" w:color="auto"/>
      </w:divBdr>
      <w:divsChild>
        <w:div w:id="1116216434">
          <w:marLeft w:val="-99"/>
          <w:marRight w:val="0"/>
          <w:marTop w:val="0"/>
          <w:marBottom w:val="0"/>
          <w:divBdr>
            <w:top w:val="none" w:sz="0" w:space="0" w:color="auto"/>
            <w:left w:val="none" w:sz="0" w:space="0" w:color="auto"/>
            <w:bottom w:val="none" w:sz="0" w:space="0" w:color="auto"/>
            <w:right w:val="none" w:sz="0" w:space="0" w:color="auto"/>
          </w:divBdr>
        </w:div>
        <w:div w:id="481889199">
          <w:marLeft w:val="-99"/>
          <w:marRight w:val="0"/>
          <w:marTop w:val="0"/>
          <w:marBottom w:val="0"/>
          <w:divBdr>
            <w:top w:val="none" w:sz="0" w:space="0" w:color="auto"/>
            <w:left w:val="none" w:sz="0" w:space="0" w:color="auto"/>
            <w:bottom w:val="none" w:sz="0" w:space="0" w:color="auto"/>
            <w:right w:val="none" w:sz="0" w:space="0" w:color="auto"/>
          </w:divBdr>
        </w:div>
        <w:div w:id="687097026">
          <w:marLeft w:val="-100"/>
          <w:marRight w:val="0"/>
          <w:marTop w:val="0"/>
          <w:marBottom w:val="0"/>
          <w:divBdr>
            <w:top w:val="none" w:sz="0" w:space="0" w:color="auto"/>
            <w:left w:val="none" w:sz="0" w:space="0" w:color="auto"/>
            <w:bottom w:val="none" w:sz="0" w:space="0" w:color="auto"/>
            <w:right w:val="none" w:sz="0" w:space="0" w:color="auto"/>
          </w:divBdr>
        </w:div>
      </w:divsChild>
    </w:div>
    <w:div w:id="1851019482">
      <w:bodyDiv w:val="1"/>
      <w:marLeft w:val="0"/>
      <w:marRight w:val="0"/>
      <w:marTop w:val="0"/>
      <w:marBottom w:val="0"/>
      <w:divBdr>
        <w:top w:val="none" w:sz="0" w:space="0" w:color="auto"/>
        <w:left w:val="none" w:sz="0" w:space="0" w:color="auto"/>
        <w:bottom w:val="none" w:sz="0" w:space="0" w:color="auto"/>
        <w:right w:val="none" w:sz="0" w:space="0" w:color="auto"/>
      </w:divBdr>
    </w:div>
    <w:div w:id="1873297728">
      <w:bodyDiv w:val="1"/>
      <w:marLeft w:val="0"/>
      <w:marRight w:val="0"/>
      <w:marTop w:val="0"/>
      <w:marBottom w:val="0"/>
      <w:divBdr>
        <w:top w:val="none" w:sz="0" w:space="0" w:color="auto"/>
        <w:left w:val="none" w:sz="0" w:space="0" w:color="auto"/>
        <w:bottom w:val="none" w:sz="0" w:space="0" w:color="auto"/>
        <w:right w:val="none" w:sz="0" w:space="0" w:color="auto"/>
      </w:divBdr>
    </w:div>
    <w:div w:id="2104455570">
      <w:bodyDiv w:val="1"/>
      <w:marLeft w:val="0"/>
      <w:marRight w:val="0"/>
      <w:marTop w:val="0"/>
      <w:marBottom w:val="0"/>
      <w:divBdr>
        <w:top w:val="none" w:sz="0" w:space="0" w:color="auto"/>
        <w:left w:val="none" w:sz="0" w:space="0" w:color="auto"/>
        <w:bottom w:val="none" w:sz="0" w:space="0" w:color="auto"/>
        <w:right w:val="none" w:sz="0" w:space="0" w:color="auto"/>
      </w:divBdr>
    </w:div>
    <w:div w:id="21424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E9F70CC3BF5040B84EA8EB2F01608A"/>
        <w:category>
          <w:name w:val="General"/>
          <w:gallery w:val="placeholder"/>
        </w:category>
        <w:types>
          <w:type w:val="bbPlcHdr"/>
        </w:types>
        <w:behaviors>
          <w:behavior w:val="content"/>
        </w:behaviors>
        <w:guid w:val="{BC95C573-83DC-944A-844E-F1ADD320BEE0}"/>
      </w:docPartPr>
      <w:docPartBody>
        <w:p w:rsidR="00534DA5" w:rsidRDefault="00534DA5" w:rsidP="00534DA5">
          <w:pPr>
            <w:pStyle w:val="81E9F70CC3BF5040B84EA8EB2F01608A"/>
          </w:pPr>
          <w:r w:rsidRPr="00174952">
            <w:rPr>
              <w:color w:val="A6A6A6" w:themeColor="background1" w:themeShade="A6"/>
            </w:rPr>
            <w:t>Click to choose your degree</w:t>
          </w:r>
        </w:p>
      </w:docPartBody>
    </w:docPart>
    <w:docPart>
      <w:docPartPr>
        <w:name w:val="457607B60A85DB40805CFA62DF879C46"/>
        <w:category>
          <w:name w:val="General"/>
          <w:gallery w:val="placeholder"/>
        </w:category>
        <w:types>
          <w:type w:val="bbPlcHdr"/>
        </w:types>
        <w:behaviors>
          <w:behavior w:val="content"/>
        </w:behaviors>
        <w:guid w:val="{38AE3AA6-A574-E441-AE78-166ADE788CF5}"/>
      </w:docPartPr>
      <w:docPartBody>
        <w:p w:rsidR="00534DA5" w:rsidRDefault="00534DA5" w:rsidP="00534DA5">
          <w:pPr>
            <w:pStyle w:val="457607B60A85DB40805CFA62DF879C46"/>
          </w:pPr>
          <w:r>
            <w:rPr>
              <w:rStyle w:val="PlaceholderText"/>
            </w:rPr>
            <w:t>Click to choose your school</w:t>
          </w:r>
        </w:p>
      </w:docPartBody>
    </w:docPart>
    <w:docPart>
      <w:docPartPr>
        <w:name w:val="39CD9DE3F099364DA70E243C7EADE045"/>
        <w:category>
          <w:name w:val="General"/>
          <w:gallery w:val="placeholder"/>
        </w:category>
        <w:types>
          <w:type w:val="bbPlcHdr"/>
        </w:types>
        <w:behaviors>
          <w:behavior w:val="content"/>
        </w:behaviors>
        <w:guid w:val="{56A20139-D8A7-4C4B-8254-E2A06CDB32A3}"/>
      </w:docPartPr>
      <w:docPartBody>
        <w:p w:rsidR="00534DA5" w:rsidRDefault="00534DA5" w:rsidP="00534DA5">
          <w:pPr>
            <w:pStyle w:val="39CD9DE3F099364DA70E243C7EADE045"/>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A5"/>
    <w:rsid w:val="00044F5E"/>
    <w:rsid w:val="00156FC6"/>
    <w:rsid w:val="00534DA5"/>
    <w:rsid w:val="007F776F"/>
    <w:rsid w:val="00B9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E9F70CC3BF5040B84EA8EB2F01608A">
    <w:name w:val="81E9F70CC3BF5040B84EA8EB2F01608A"/>
    <w:rsid w:val="00534DA5"/>
  </w:style>
  <w:style w:type="character" w:styleId="PlaceholderText">
    <w:name w:val="Placeholder Text"/>
    <w:basedOn w:val="DefaultParagraphFont"/>
    <w:uiPriority w:val="99"/>
    <w:semiHidden/>
    <w:rsid w:val="00534DA5"/>
    <w:rPr>
      <w:color w:val="808080"/>
    </w:rPr>
  </w:style>
  <w:style w:type="paragraph" w:customStyle="1" w:styleId="457607B60A85DB40805CFA62DF879C46">
    <w:name w:val="457607B60A85DB40805CFA62DF879C46"/>
    <w:rsid w:val="00534DA5"/>
  </w:style>
  <w:style w:type="paragraph" w:customStyle="1" w:styleId="39CD9DE3F099364DA70E243C7EADE045">
    <w:name w:val="39CD9DE3F099364DA70E243C7EADE045"/>
    <w:rsid w:val="0053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2447-18EC-324C-BC71-C8294654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28482</Words>
  <Characters>162349</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Paglisotti, Taylor</dc:creator>
  <cp:keywords/>
  <dc:description/>
  <cp:lastModifiedBy>Paglisotti, Taylor</cp:lastModifiedBy>
  <cp:revision>2</cp:revision>
  <dcterms:created xsi:type="dcterms:W3CDTF">2020-04-29T23:56:00Z</dcterms:created>
  <dcterms:modified xsi:type="dcterms:W3CDTF">2020-04-29T23:56:00Z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http://www.zotero.org/styles/apa</vt:lpwstr>
  </property>
  <property fmtid="{D5CDD505-2E9C-101B-9397-08002B2CF9AE}" pid="3" name="InsertAsFootnote">
    <vt:lpwstr>0</vt:lpwstr>
  </property>
</Properties>
</file>