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41BEA" w14:textId="2CB0E8AB" w:rsidR="0067188F" w:rsidRPr="00563A92" w:rsidRDefault="00D07708" w:rsidP="00563A92">
      <w:pPr>
        <w:pStyle w:val="PreliminaryBookmarks"/>
        <w:rPr>
          <w:rFonts w:cs="Times New Roman"/>
          <w:sz w:val="24"/>
        </w:rPr>
      </w:pPr>
      <w:bookmarkStart w:id="0" w:name="_Hlk37759900"/>
      <w:bookmarkStart w:id="1" w:name="_GoBack"/>
      <w:bookmarkEnd w:id="1"/>
      <w:r w:rsidRPr="00A655B3">
        <w:rPr>
          <w:rFonts w:cs="Times New Roman"/>
          <w:sz w:val="24"/>
        </w:rPr>
        <w:t>Title Page</w:t>
      </w:r>
    </w:p>
    <w:p w14:paraId="34C11F5C" w14:textId="6D32859B" w:rsidR="007A43BC" w:rsidRPr="00635710" w:rsidRDefault="00E503C8" w:rsidP="001E1DA2">
      <w:pPr>
        <w:pStyle w:val="paragraph"/>
        <w:spacing w:before="0" w:beforeAutospacing="0" w:after="0" w:afterAutospacing="0" w:line="480" w:lineRule="auto"/>
        <w:jc w:val="center"/>
        <w:textAlignment w:val="baseline"/>
        <w:rPr>
          <w:b/>
          <w:bCs/>
          <w:color w:val="000000"/>
        </w:rPr>
      </w:pPr>
      <w:r>
        <w:rPr>
          <w:b/>
          <w:bCs/>
          <w:color w:val="000000"/>
          <w:shd w:val="clear" w:color="auto" w:fill="FFFFFF"/>
        </w:rPr>
        <w:t xml:space="preserve">An Analysis of Community Health Needs Assessments Among Top Kidney Transplanting Medical Centers: Recommendations for </w:t>
      </w:r>
      <w:r w:rsidR="00697974">
        <w:rPr>
          <w:b/>
          <w:bCs/>
          <w:color w:val="000000"/>
          <w:shd w:val="clear" w:color="auto" w:fill="FFFFFF"/>
        </w:rPr>
        <w:t>Community-Based</w:t>
      </w:r>
      <w:r>
        <w:rPr>
          <w:b/>
          <w:bCs/>
          <w:color w:val="000000"/>
          <w:shd w:val="clear" w:color="auto" w:fill="FFFFFF"/>
        </w:rPr>
        <w:t xml:space="preserve"> Care and Transplantation Education</w:t>
      </w:r>
    </w:p>
    <w:p w14:paraId="045E5959" w14:textId="77777777" w:rsidR="00486073" w:rsidRPr="00A655B3" w:rsidRDefault="00486073" w:rsidP="005A6B42">
      <w:pPr>
        <w:spacing w:line="240" w:lineRule="auto"/>
        <w:ind w:firstLine="0"/>
      </w:pPr>
    </w:p>
    <w:p w14:paraId="32966A7F" w14:textId="77777777" w:rsidR="00486073" w:rsidRPr="00A655B3" w:rsidRDefault="00486073" w:rsidP="00486073">
      <w:pPr>
        <w:spacing w:line="240" w:lineRule="auto"/>
        <w:ind w:firstLine="0"/>
        <w:jc w:val="center"/>
      </w:pPr>
    </w:p>
    <w:p w14:paraId="4F8068B2" w14:textId="19DAB2AD" w:rsidR="00486073" w:rsidRDefault="00486073" w:rsidP="00486073">
      <w:pPr>
        <w:spacing w:line="240" w:lineRule="auto"/>
        <w:ind w:firstLine="0"/>
        <w:jc w:val="center"/>
      </w:pPr>
    </w:p>
    <w:p w14:paraId="7605666B" w14:textId="48371354" w:rsidR="00563A92" w:rsidRDefault="00563A92" w:rsidP="00486073">
      <w:pPr>
        <w:spacing w:line="240" w:lineRule="auto"/>
        <w:ind w:firstLine="0"/>
        <w:jc w:val="center"/>
      </w:pPr>
    </w:p>
    <w:p w14:paraId="03ED4C1F" w14:textId="77777777" w:rsidR="00563A92" w:rsidRPr="00A655B3" w:rsidRDefault="00563A92" w:rsidP="00486073">
      <w:pPr>
        <w:spacing w:line="240" w:lineRule="auto"/>
        <w:ind w:firstLine="0"/>
        <w:jc w:val="center"/>
      </w:pPr>
    </w:p>
    <w:p w14:paraId="0C3D5759" w14:textId="77777777" w:rsidR="00486073" w:rsidRPr="00A655B3" w:rsidRDefault="00486073" w:rsidP="00486073">
      <w:pPr>
        <w:spacing w:line="240" w:lineRule="auto"/>
        <w:ind w:firstLine="0"/>
        <w:jc w:val="center"/>
      </w:pPr>
    </w:p>
    <w:p w14:paraId="284CAD47" w14:textId="77777777" w:rsidR="003C791E" w:rsidRPr="00A655B3" w:rsidRDefault="00486073" w:rsidP="00486073">
      <w:pPr>
        <w:spacing w:line="240" w:lineRule="auto"/>
        <w:ind w:firstLine="0"/>
        <w:jc w:val="center"/>
      </w:pPr>
      <w:r w:rsidRPr="00A655B3">
        <w:t>b</w:t>
      </w:r>
      <w:r w:rsidR="003C791E" w:rsidRPr="00A655B3">
        <w:t>y</w:t>
      </w:r>
    </w:p>
    <w:p w14:paraId="20A03C42" w14:textId="77777777" w:rsidR="00486073" w:rsidRPr="00A655B3" w:rsidRDefault="00486073" w:rsidP="00486073">
      <w:pPr>
        <w:spacing w:line="240" w:lineRule="auto"/>
        <w:ind w:firstLine="0"/>
        <w:jc w:val="center"/>
      </w:pPr>
    </w:p>
    <w:p w14:paraId="3E34840C" w14:textId="2F886921" w:rsidR="003C791E" w:rsidRPr="00A655B3" w:rsidRDefault="00157F28" w:rsidP="00486073">
      <w:pPr>
        <w:spacing w:line="240" w:lineRule="auto"/>
        <w:ind w:firstLine="0"/>
        <w:jc w:val="center"/>
        <w:rPr>
          <w:b/>
        </w:rPr>
      </w:pPr>
      <w:r w:rsidRPr="00A655B3">
        <w:rPr>
          <w:b/>
        </w:rPr>
        <w:t>Terrence Michael Arañez Litam</w:t>
      </w:r>
    </w:p>
    <w:p w14:paraId="7FBA928D" w14:textId="77777777" w:rsidR="00486073" w:rsidRPr="00A655B3" w:rsidRDefault="00486073" w:rsidP="00486073">
      <w:pPr>
        <w:spacing w:line="240" w:lineRule="auto"/>
        <w:ind w:firstLine="0"/>
        <w:jc w:val="center"/>
        <w:rPr>
          <w:b/>
        </w:rPr>
      </w:pPr>
    </w:p>
    <w:p w14:paraId="33953564" w14:textId="1385309E" w:rsidR="000635D4" w:rsidRPr="00A655B3" w:rsidRDefault="00BE485A" w:rsidP="00486073">
      <w:pPr>
        <w:spacing w:line="240" w:lineRule="auto"/>
        <w:ind w:firstLine="0"/>
        <w:jc w:val="center"/>
      </w:pPr>
      <w:r w:rsidRPr="00A655B3">
        <w:t>B</w:t>
      </w:r>
      <w:r w:rsidR="00D13C7D">
        <w:t>S</w:t>
      </w:r>
      <w:r w:rsidRPr="00A655B3">
        <w:t xml:space="preserve"> in Biology, The Ohio </w:t>
      </w:r>
      <w:r w:rsidR="00B43D0A">
        <w:t>S</w:t>
      </w:r>
      <w:r w:rsidRPr="00A655B3">
        <w:t>tate University, 2015</w:t>
      </w:r>
    </w:p>
    <w:p w14:paraId="7E2E1511" w14:textId="77777777" w:rsidR="00486073" w:rsidRPr="00A655B3" w:rsidRDefault="00486073" w:rsidP="00486073">
      <w:pPr>
        <w:spacing w:line="240" w:lineRule="auto"/>
        <w:ind w:firstLine="0"/>
        <w:jc w:val="center"/>
      </w:pPr>
    </w:p>
    <w:p w14:paraId="48EB21EA" w14:textId="430C7E6C" w:rsidR="000635D4" w:rsidRPr="00A655B3" w:rsidRDefault="000635D4" w:rsidP="00486073">
      <w:pPr>
        <w:spacing w:line="240" w:lineRule="auto"/>
        <w:ind w:firstLine="0"/>
        <w:jc w:val="center"/>
      </w:pPr>
    </w:p>
    <w:p w14:paraId="551CCB67" w14:textId="77777777" w:rsidR="000635D4" w:rsidRPr="00A655B3" w:rsidRDefault="000635D4" w:rsidP="005A6B42">
      <w:pPr>
        <w:spacing w:line="240" w:lineRule="auto"/>
        <w:ind w:firstLine="0"/>
        <w:rPr>
          <w:b/>
        </w:rPr>
      </w:pPr>
    </w:p>
    <w:p w14:paraId="3206B9A4" w14:textId="77777777" w:rsidR="00486073" w:rsidRPr="00A655B3" w:rsidRDefault="00486073" w:rsidP="00486073">
      <w:pPr>
        <w:spacing w:line="240" w:lineRule="auto"/>
        <w:ind w:firstLine="0"/>
        <w:jc w:val="center"/>
        <w:rPr>
          <w:b/>
        </w:rPr>
      </w:pPr>
    </w:p>
    <w:p w14:paraId="470C954E" w14:textId="77777777" w:rsidR="00486073" w:rsidRPr="00A655B3" w:rsidRDefault="00486073" w:rsidP="00486073">
      <w:pPr>
        <w:spacing w:line="240" w:lineRule="auto"/>
        <w:ind w:firstLine="0"/>
        <w:jc w:val="center"/>
        <w:rPr>
          <w:b/>
        </w:rPr>
      </w:pPr>
    </w:p>
    <w:p w14:paraId="48C8AB2D" w14:textId="77777777" w:rsidR="00486073" w:rsidRPr="00A655B3" w:rsidRDefault="00486073" w:rsidP="00486073">
      <w:pPr>
        <w:spacing w:line="240" w:lineRule="auto"/>
        <w:ind w:firstLine="0"/>
        <w:jc w:val="center"/>
        <w:rPr>
          <w:b/>
        </w:rPr>
      </w:pPr>
    </w:p>
    <w:p w14:paraId="555BAF05" w14:textId="77777777" w:rsidR="00486073" w:rsidRPr="00A655B3" w:rsidRDefault="00486073" w:rsidP="00486073">
      <w:pPr>
        <w:spacing w:line="240" w:lineRule="auto"/>
        <w:ind w:firstLine="0"/>
        <w:jc w:val="center"/>
        <w:rPr>
          <w:b/>
        </w:rPr>
      </w:pPr>
    </w:p>
    <w:p w14:paraId="39562C35" w14:textId="77777777" w:rsidR="00486073" w:rsidRPr="00A655B3" w:rsidRDefault="00486073" w:rsidP="00486073">
      <w:pPr>
        <w:spacing w:line="240" w:lineRule="auto"/>
        <w:ind w:firstLine="0"/>
        <w:jc w:val="center"/>
        <w:rPr>
          <w:b/>
        </w:rPr>
      </w:pPr>
    </w:p>
    <w:p w14:paraId="39EABB7B" w14:textId="77777777" w:rsidR="000635D4" w:rsidRPr="00A655B3" w:rsidRDefault="000635D4" w:rsidP="00486073">
      <w:pPr>
        <w:spacing w:line="240" w:lineRule="auto"/>
        <w:ind w:firstLine="0"/>
        <w:jc w:val="center"/>
      </w:pPr>
      <w:r w:rsidRPr="00A655B3">
        <w:t>Submitted to the Graduate Faculty of</w:t>
      </w:r>
      <w:r w:rsidR="00BD6DBD" w:rsidRPr="00A655B3">
        <w:t xml:space="preserve"> the</w:t>
      </w:r>
    </w:p>
    <w:p w14:paraId="7D27296F" w14:textId="77777777" w:rsidR="001C4284" w:rsidRPr="00A655B3" w:rsidRDefault="001C4284" w:rsidP="00486073">
      <w:pPr>
        <w:spacing w:line="240" w:lineRule="auto"/>
        <w:ind w:firstLine="0"/>
        <w:jc w:val="center"/>
      </w:pPr>
    </w:p>
    <w:p w14:paraId="626D79AA" w14:textId="515AC0B0" w:rsidR="001C4284" w:rsidRPr="00A655B3" w:rsidRDefault="00BE485A" w:rsidP="00486073">
      <w:pPr>
        <w:spacing w:line="240" w:lineRule="auto"/>
        <w:ind w:firstLine="0"/>
        <w:jc w:val="center"/>
        <w:rPr>
          <w:iCs/>
        </w:rPr>
      </w:pPr>
      <w:r w:rsidRPr="00A655B3">
        <w:rPr>
          <w:iCs/>
        </w:rPr>
        <w:t>Health Policy Management</w:t>
      </w:r>
      <w:r w:rsidR="00C14B13" w:rsidRPr="00A655B3">
        <w:rPr>
          <w:iCs/>
        </w:rPr>
        <w:t xml:space="preserve"> </w:t>
      </w:r>
      <w:r w:rsidRPr="00A655B3">
        <w:rPr>
          <w:iCs/>
        </w:rPr>
        <w:t>Department</w:t>
      </w:r>
    </w:p>
    <w:p w14:paraId="1CE14FCB" w14:textId="77777777" w:rsidR="00486073" w:rsidRPr="00A655B3" w:rsidRDefault="00486073" w:rsidP="00486073">
      <w:pPr>
        <w:spacing w:line="240" w:lineRule="auto"/>
        <w:ind w:firstLine="0"/>
        <w:jc w:val="center"/>
      </w:pPr>
    </w:p>
    <w:p w14:paraId="0ABEDAD8" w14:textId="77777777" w:rsidR="00486073" w:rsidRPr="00A655B3" w:rsidRDefault="001E527E" w:rsidP="00486073">
      <w:pPr>
        <w:spacing w:line="240" w:lineRule="auto"/>
        <w:ind w:firstLine="0"/>
        <w:jc w:val="center"/>
      </w:pPr>
      <w:r w:rsidRPr="00A655B3">
        <w:t>Graduate School of Public Health</w:t>
      </w:r>
      <w:r w:rsidR="000635D4" w:rsidRPr="00A655B3">
        <w:t xml:space="preserve"> in partial fulfillment</w:t>
      </w:r>
    </w:p>
    <w:p w14:paraId="56DE3781" w14:textId="77777777" w:rsidR="000635D4" w:rsidRPr="00A655B3" w:rsidRDefault="000635D4" w:rsidP="00486073">
      <w:pPr>
        <w:spacing w:line="240" w:lineRule="auto"/>
        <w:ind w:firstLine="0"/>
        <w:jc w:val="center"/>
      </w:pPr>
      <w:r w:rsidRPr="00A655B3">
        <w:t xml:space="preserve"> </w:t>
      </w:r>
    </w:p>
    <w:p w14:paraId="2604420E" w14:textId="77777777" w:rsidR="000635D4" w:rsidRPr="00A655B3" w:rsidRDefault="000635D4" w:rsidP="00486073">
      <w:pPr>
        <w:spacing w:line="240" w:lineRule="auto"/>
        <w:ind w:firstLine="0"/>
        <w:jc w:val="center"/>
      </w:pPr>
      <w:r w:rsidRPr="00A655B3">
        <w:t>of the requirements for the degree of</w:t>
      </w:r>
    </w:p>
    <w:p w14:paraId="0C66E609" w14:textId="77777777" w:rsidR="00486073" w:rsidRPr="00A655B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62939DAA" w14:textId="3E41224A" w:rsidR="000635D4" w:rsidRPr="00A655B3" w:rsidRDefault="007B3608" w:rsidP="00486073">
          <w:pPr>
            <w:spacing w:line="240" w:lineRule="auto"/>
            <w:ind w:firstLine="0"/>
            <w:jc w:val="center"/>
            <w:rPr>
              <w:color w:val="A6A6A6" w:themeColor="background1" w:themeShade="A6"/>
            </w:rPr>
          </w:pPr>
          <w:r>
            <w:t>Master of Health Administration</w:t>
          </w:r>
        </w:p>
      </w:sdtContent>
    </w:sdt>
    <w:p w14:paraId="54147E04" w14:textId="77777777" w:rsidR="000635D4" w:rsidRPr="00A655B3" w:rsidRDefault="000635D4" w:rsidP="00486073">
      <w:pPr>
        <w:tabs>
          <w:tab w:val="left" w:pos="3600"/>
        </w:tabs>
        <w:spacing w:line="240" w:lineRule="auto"/>
        <w:ind w:firstLine="0"/>
        <w:jc w:val="center"/>
      </w:pPr>
    </w:p>
    <w:p w14:paraId="31333193" w14:textId="77777777" w:rsidR="00486073" w:rsidRPr="00A655B3" w:rsidRDefault="00486073" w:rsidP="00486073">
      <w:pPr>
        <w:tabs>
          <w:tab w:val="left" w:pos="3600"/>
        </w:tabs>
        <w:spacing w:line="240" w:lineRule="auto"/>
        <w:ind w:firstLine="0"/>
        <w:jc w:val="center"/>
      </w:pPr>
    </w:p>
    <w:p w14:paraId="1FF94D06" w14:textId="77777777" w:rsidR="00486073" w:rsidRPr="00A655B3" w:rsidRDefault="00486073" w:rsidP="005A6B42">
      <w:pPr>
        <w:tabs>
          <w:tab w:val="left" w:pos="3600"/>
        </w:tabs>
        <w:spacing w:line="240" w:lineRule="auto"/>
        <w:ind w:firstLine="0"/>
      </w:pPr>
    </w:p>
    <w:p w14:paraId="3A0CAD2E" w14:textId="77777777" w:rsidR="00486073" w:rsidRPr="00A655B3" w:rsidRDefault="00486073" w:rsidP="00486073">
      <w:pPr>
        <w:tabs>
          <w:tab w:val="left" w:pos="3600"/>
        </w:tabs>
        <w:spacing w:line="240" w:lineRule="auto"/>
        <w:ind w:firstLine="0"/>
        <w:jc w:val="center"/>
      </w:pPr>
    </w:p>
    <w:p w14:paraId="135C9AED" w14:textId="77777777" w:rsidR="00486073" w:rsidRPr="00A655B3" w:rsidRDefault="00486073" w:rsidP="00486073">
      <w:pPr>
        <w:tabs>
          <w:tab w:val="left" w:pos="3600"/>
        </w:tabs>
        <w:spacing w:line="240" w:lineRule="auto"/>
        <w:ind w:firstLine="0"/>
        <w:jc w:val="center"/>
      </w:pPr>
    </w:p>
    <w:p w14:paraId="62B02813" w14:textId="77777777" w:rsidR="00486073" w:rsidRPr="00A655B3" w:rsidRDefault="00486073" w:rsidP="00486073">
      <w:pPr>
        <w:tabs>
          <w:tab w:val="left" w:pos="3600"/>
        </w:tabs>
        <w:spacing w:line="240" w:lineRule="auto"/>
        <w:ind w:firstLine="0"/>
        <w:jc w:val="center"/>
      </w:pPr>
    </w:p>
    <w:p w14:paraId="1AFE40AA" w14:textId="77777777" w:rsidR="00486073" w:rsidRPr="00A655B3" w:rsidRDefault="00486073" w:rsidP="00486073">
      <w:pPr>
        <w:tabs>
          <w:tab w:val="left" w:pos="3600"/>
        </w:tabs>
        <w:spacing w:line="240" w:lineRule="auto"/>
        <w:ind w:firstLine="0"/>
        <w:jc w:val="center"/>
      </w:pPr>
    </w:p>
    <w:p w14:paraId="2703727B" w14:textId="77777777" w:rsidR="00486073" w:rsidRPr="00A655B3" w:rsidRDefault="00486073" w:rsidP="00486073">
      <w:pPr>
        <w:tabs>
          <w:tab w:val="left" w:pos="3600"/>
        </w:tabs>
        <w:spacing w:line="240" w:lineRule="auto"/>
        <w:ind w:firstLine="0"/>
        <w:jc w:val="center"/>
      </w:pPr>
    </w:p>
    <w:p w14:paraId="4A4B9F6A" w14:textId="77777777" w:rsidR="00BB500A" w:rsidRPr="00A655B3" w:rsidRDefault="000635D4" w:rsidP="00486073">
      <w:pPr>
        <w:spacing w:line="240" w:lineRule="auto"/>
        <w:ind w:firstLine="0"/>
        <w:jc w:val="center"/>
      </w:pPr>
      <w:r w:rsidRPr="00A655B3">
        <w:t>University of Pittsburgh</w:t>
      </w:r>
    </w:p>
    <w:p w14:paraId="522F9154" w14:textId="77777777" w:rsidR="00486073" w:rsidRPr="00A655B3" w:rsidRDefault="00486073" w:rsidP="00486073">
      <w:pPr>
        <w:spacing w:line="240" w:lineRule="auto"/>
        <w:ind w:firstLine="0"/>
        <w:jc w:val="center"/>
      </w:pPr>
    </w:p>
    <w:p w14:paraId="05E72BF8" w14:textId="74387F50" w:rsidR="00BB500A" w:rsidRPr="00A655B3" w:rsidRDefault="00C14B13" w:rsidP="00A21542">
      <w:pPr>
        <w:ind w:firstLine="0"/>
        <w:jc w:val="center"/>
        <w:sectPr w:rsidR="00BB500A" w:rsidRPr="00A655B3" w:rsidSect="00367476">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rsidRPr="00A655B3">
        <w:t>2020</w:t>
      </w:r>
    </w:p>
    <w:p w14:paraId="108E8484" w14:textId="77777777" w:rsidR="00D07708" w:rsidRPr="00A655B3" w:rsidRDefault="00D07708" w:rsidP="00D07708">
      <w:pPr>
        <w:pStyle w:val="PreliminaryBookmarks"/>
        <w:rPr>
          <w:rStyle w:val="TitleHeading"/>
          <w:rFonts w:cs="Times New Roman"/>
        </w:rPr>
      </w:pPr>
      <w:r w:rsidRPr="00A655B3">
        <w:rPr>
          <w:rStyle w:val="TitleHeading"/>
          <w:rFonts w:cs="Times New Roman"/>
        </w:rPr>
        <w:lastRenderedPageBreak/>
        <w:t>Committee Page</w:t>
      </w:r>
    </w:p>
    <w:p w14:paraId="467E7101" w14:textId="77777777" w:rsidR="000635D4" w:rsidRPr="00A655B3" w:rsidRDefault="00905848" w:rsidP="00486073">
      <w:pPr>
        <w:spacing w:line="240" w:lineRule="auto"/>
        <w:ind w:firstLine="0"/>
        <w:jc w:val="center"/>
        <w:rPr>
          <w:rStyle w:val="TitleHeading"/>
        </w:rPr>
      </w:pPr>
      <w:r w:rsidRPr="00A655B3">
        <w:rPr>
          <w:rStyle w:val="TitleHeading"/>
        </w:rPr>
        <w:t>UNIVERSITY OF PITTSBURGH</w:t>
      </w:r>
    </w:p>
    <w:p w14:paraId="7BC1FDEA" w14:textId="77777777" w:rsidR="007A43BC" w:rsidRPr="00A655B3"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5C36EFF2" w14:textId="125A269E" w:rsidR="008F60CE" w:rsidRPr="00A655B3" w:rsidRDefault="007B3608" w:rsidP="00486073">
          <w:pPr>
            <w:spacing w:line="240" w:lineRule="auto"/>
            <w:ind w:firstLine="0"/>
            <w:jc w:val="center"/>
          </w:pPr>
          <w:r>
            <w:rPr>
              <w:rStyle w:val="TitleHeading"/>
            </w:rPr>
            <w:t>Graduate School of Public Health</w:t>
          </w:r>
        </w:p>
      </w:sdtContent>
    </w:sdt>
    <w:p w14:paraId="429FED28" w14:textId="77777777" w:rsidR="008F60CE" w:rsidRPr="00A655B3" w:rsidRDefault="008F60CE" w:rsidP="00486073">
      <w:pPr>
        <w:spacing w:line="240" w:lineRule="auto"/>
        <w:ind w:firstLine="0"/>
        <w:jc w:val="center"/>
      </w:pPr>
    </w:p>
    <w:p w14:paraId="0C59F3FF" w14:textId="77777777" w:rsidR="008F60CE" w:rsidRPr="00A655B3" w:rsidRDefault="008F60CE" w:rsidP="00486073">
      <w:pPr>
        <w:spacing w:line="240" w:lineRule="auto"/>
        <w:ind w:firstLine="0"/>
        <w:jc w:val="center"/>
      </w:pPr>
    </w:p>
    <w:p w14:paraId="71F236A8" w14:textId="77777777" w:rsidR="00486073" w:rsidRPr="00A655B3" w:rsidRDefault="00486073" w:rsidP="00486073">
      <w:pPr>
        <w:spacing w:line="240" w:lineRule="auto"/>
        <w:ind w:firstLine="0"/>
        <w:jc w:val="center"/>
      </w:pPr>
    </w:p>
    <w:p w14:paraId="7427ADA2" w14:textId="77777777" w:rsidR="00486073" w:rsidRPr="00A655B3" w:rsidRDefault="00486073" w:rsidP="00486073">
      <w:pPr>
        <w:spacing w:line="240" w:lineRule="auto"/>
        <w:ind w:firstLine="0"/>
        <w:jc w:val="center"/>
      </w:pPr>
    </w:p>
    <w:p w14:paraId="313D218E" w14:textId="77777777" w:rsidR="00576D97" w:rsidRPr="00A655B3" w:rsidRDefault="00576D97" w:rsidP="00486073">
      <w:pPr>
        <w:spacing w:line="240" w:lineRule="auto"/>
        <w:ind w:firstLine="0"/>
        <w:jc w:val="center"/>
      </w:pPr>
    </w:p>
    <w:p w14:paraId="113D0840" w14:textId="77777777" w:rsidR="008F60CE" w:rsidRPr="00A655B3" w:rsidRDefault="008F60CE" w:rsidP="00486073">
      <w:pPr>
        <w:spacing w:line="240" w:lineRule="auto"/>
        <w:ind w:firstLine="0"/>
        <w:jc w:val="center"/>
      </w:pPr>
      <w:r w:rsidRPr="00A655B3">
        <w:t xml:space="preserve">This </w:t>
      </w:r>
      <w:r w:rsidR="00576D97" w:rsidRPr="00A655B3">
        <w:t xml:space="preserve">essay is submitted </w:t>
      </w:r>
    </w:p>
    <w:p w14:paraId="6D72338C" w14:textId="77777777" w:rsidR="00486073" w:rsidRPr="00A655B3" w:rsidRDefault="00486073" w:rsidP="00486073">
      <w:pPr>
        <w:spacing w:line="240" w:lineRule="auto"/>
        <w:ind w:firstLine="0"/>
        <w:jc w:val="center"/>
      </w:pPr>
    </w:p>
    <w:p w14:paraId="4BBE3FC9" w14:textId="7450BB8E" w:rsidR="00086364" w:rsidRPr="00A655B3" w:rsidRDefault="00486073" w:rsidP="0086185A">
      <w:pPr>
        <w:spacing w:line="240" w:lineRule="auto"/>
        <w:ind w:firstLine="0"/>
        <w:jc w:val="center"/>
      </w:pPr>
      <w:r w:rsidRPr="00A655B3">
        <w:t>b</w:t>
      </w:r>
      <w:r w:rsidR="00086364" w:rsidRPr="00A655B3">
        <w:t>y</w:t>
      </w:r>
    </w:p>
    <w:p w14:paraId="5CA1DB55" w14:textId="77777777" w:rsidR="00486073" w:rsidRPr="00A655B3" w:rsidRDefault="00486073" w:rsidP="00486073">
      <w:pPr>
        <w:spacing w:line="240" w:lineRule="auto"/>
        <w:ind w:firstLine="0"/>
        <w:jc w:val="center"/>
      </w:pPr>
    </w:p>
    <w:p w14:paraId="72F5465F" w14:textId="77777777" w:rsidR="007065C7" w:rsidRPr="0086185A" w:rsidRDefault="007065C7" w:rsidP="007065C7">
      <w:pPr>
        <w:spacing w:line="240" w:lineRule="auto"/>
        <w:ind w:firstLine="0"/>
        <w:jc w:val="center"/>
        <w:rPr>
          <w:bCs/>
        </w:rPr>
      </w:pPr>
      <w:r w:rsidRPr="0086185A">
        <w:rPr>
          <w:bCs/>
        </w:rPr>
        <w:t>Terrence Michael Arañez Litam</w:t>
      </w:r>
    </w:p>
    <w:p w14:paraId="6172B35F" w14:textId="77777777" w:rsidR="00F24A51" w:rsidRPr="00A655B3" w:rsidRDefault="00F24A51" w:rsidP="00486073">
      <w:pPr>
        <w:spacing w:line="240" w:lineRule="auto"/>
        <w:ind w:firstLine="0"/>
        <w:jc w:val="center"/>
      </w:pPr>
    </w:p>
    <w:p w14:paraId="0858357B" w14:textId="77777777" w:rsidR="008F60CE" w:rsidRPr="00A655B3" w:rsidRDefault="00576D97" w:rsidP="00486073">
      <w:pPr>
        <w:spacing w:line="240" w:lineRule="auto"/>
        <w:ind w:firstLine="0"/>
        <w:jc w:val="center"/>
      </w:pPr>
      <w:r w:rsidRPr="00A655B3">
        <w:t>on</w:t>
      </w:r>
    </w:p>
    <w:p w14:paraId="3B086DBA" w14:textId="77777777" w:rsidR="00486073" w:rsidRPr="00A655B3" w:rsidRDefault="00486073" w:rsidP="00486073">
      <w:pPr>
        <w:spacing w:line="240" w:lineRule="auto"/>
        <w:ind w:firstLine="0"/>
        <w:jc w:val="center"/>
      </w:pPr>
    </w:p>
    <w:sdt>
      <w:sdtPr>
        <w:id w:val="389072482"/>
        <w:placeholder>
          <w:docPart w:val="6BF579910AFF466AB226AC98B5B9BD3A"/>
        </w:placeholder>
        <w:date w:fullDate="2020-04-21T00:00:00Z">
          <w:dateFormat w:val="MMMM d, yyyy"/>
          <w:lid w:val="en-US"/>
          <w:storeMappedDataAs w:val="dateTime"/>
          <w:calendar w:val="gregorian"/>
        </w:date>
      </w:sdtPr>
      <w:sdtEndPr/>
      <w:sdtContent>
        <w:p w14:paraId="65FEFFA6" w14:textId="1877BCF5" w:rsidR="00486073" w:rsidRPr="00972AE8" w:rsidRDefault="007B3608" w:rsidP="0086185A">
          <w:pPr>
            <w:spacing w:line="240" w:lineRule="auto"/>
            <w:ind w:firstLine="0"/>
            <w:jc w:val="center"/>
          </w:pPr>
          <w:r w:rsidRPr="00972AE8">
            <w:t>April 21, 2020</w:t>
          </w:r>
        </w:p>
      </w:sdtContent>
    </w:sdt>
    <w:p w14:paraId="02A25FFF" w14:textId="77777777" w:rsidR="00576D97" w:rsidRPr="00972AE8" w:rsidRDefault="00576D97" w:rsidP="00486073">
      <w:pPr>
        <w:spacing w:line="240" w:lineRule="auto"/>
        <w:ind w:firstLine="0"/>
        <w:jc w:val="center"/>
      </w:pPr>
    </w:p>
    <w:p w14:paraId="2A496133" w14:textId="26F27B61" w:rsidR="008F60CE" w:rsidRDefault="00086364" w:rsidP="00486073">
      <w:pPr>
        <w:spacing w:line="240" w:lineRule="auto"/>
        <w:ind w:firstLine="0"/>
        <w:jc w:val="center"/>
      </w:pPr>
      <w:r w:rsidRPr="00A655B3">
        <w:t>a</w:t>
      </w:r>
      <w:r w:rsidR="008F60CE" w:rsidRPr="00A655B3">
        <w:t>nd approved by</w:t>
      </w:r>
      <w:r w:rsidR="0086185A">
        <w:t>:</w:t>
      </w:r>
    </w:p>
    <w:p w14:paraId="3F74100E" w14:textId="6298BE6D" w:rsidR="0086185A" w:rsidRDefault="0086185A" w:rsidP="00486073">
      <w:pPr>
        <w:spacing w:line="240" w:lineRule="auto"/>
        <w:ind w:firstLine="0"/>
        <w:jc w:val="center"/>
      </w:pPr>
    </w:p>
    <w:p w14:paraId="18CE5788" w14:textId="77777777" w:rsidR="0086185A" w:rsidRPr="00A655B3" w:rsidRDefault="0086185A" w:rsidP="00486073">
      <w:pPr>
        <w:spacing w:line="240" w:lineRule="auto"/>
        <w:ind w:firstLine="0"/>
        <w:jc w:val="center"/>
      </w:pPr>
    </w:p>
    <w:p w14:paraId="5C22B7C5" w14:textId="77777777" w:rsidR="00576D97" w:rsidRPr="00A655B3" w:rsidRDefault="00576D97" w:rsidP="00486073">
      <w:pPr>
        <w:spacing w:line="240" w:lineRule="auto"/>
        <w:ind w:firstLine="0"/>
        <w:jc w:val="center"/>
      </w:pPr>
    </w:p>
    <w:p w14:paraId="0D7F26B1" w14:textId="77777777" w:rsidR="007C2BEA" w:rsidRPr="00A655B3" w:rsidRDefault="00576D97" w:rsidP="00486073">
      <w:pPr>
        <w:spacing w:line="240" w:lineRule="auto"/>
        <w:ind w:firstLine="0"/>
        <w:jc w:val="center"/>
      </w:pPr>
      <w:r w:rsidRPr="00A655B3">
        <w:rPr>
          <w:b/>
        </w:rPr>
        <w:t>Essay Advisor:</w:t>
      </w:r>
      <w:r w:rsidRPr="00A655B3">
        <w:t xml:space="preserve"> </w:t>
      </w:r>
    </w:p>
    <w:p w14:paraId="53C980A0" w14:textId="77777777" w:rsidR="007C2BEA" w:rsidRPr="00A655B3" w:rsidRDefault="007065C7" w:rsidP="00486073">
      <w:pPr>
        <w:spacing w:line="240" w:lineRule="auto"/>
        <w:ind w:firstLine="0"/>
        <w:jc w:val="center"/>
      </w:pPr>
      <w:r w:rsidRPr="00A655B3">
        <w:t>Howard</w:t>
      </w:r>
      <w:r w:rsidR="007A68F6" w:rsidRPr="00A655B3">
        <w:t xml:space="preserve"> B.</w:t>
      </w:r>
      <w:r w:rsidRPr="00A655B3">
        <w:t xml:space="preserve"> Degenholtz, PhD</w:t>
      </w:r>
    </w:p>
    <w:p w14:paraId="29B2F738" w14:textId="77777777" w:rsidR="007C2BEA" w:rsidRPr="00A655B3" w:rsidRDefault="00D4163E" w:rsidP="00486073">
      <w:pPr>
        <w:spacing w:line="240" w:lineRule="auto"/>
        <w:ind w:firstLine="0"/>
        <w:jc w:val="center"/>
      </w:pPr>
      <w:r w:rsidRPr="00A655B3">
        <w:t>Associate Professor, Department of</w:t>
      </w:r>
      <w:r w:rsidR="007A68F6" w:rsidRPr="00A655B3">
        <w:t xml:space="preserve"> Health Policy Management, </w:t>
      </w:r>
    </w:p>
    <w:p w14:paraId="3BF8EA20" w14:textId="44E98FEC" w:rsidR="007C2BEA" w:rsidRPr="00A655B3" w:rsidRDefault="007C2BEA" w:rsidP="00486073">
      <w:pPr>
        <w:spacing w:line="240" w:lineRule="auto"/>
        <w:ind w:firstLine="0"/>
        <w:jc w:val="center"/>
      </w:pPr>
      <w:r w:rsidRPr="00A655B3">
        <w:t>Graduate School of Public Health</w:t>
      </w:r>
    </w:p>
    <w:p w14:paraId="3AF0F408" w14:textId="51C2DF2F" w:rsidR="008F60CE" w:rsidRPr="00A655B3" w:rsidRDefault="007A68F6" w:rsidP="00486073">
      <w:pPr>
        <w:spacing w:line="240" w:lineRule="auto"/>
        <w:ind w:firstLine="0"/>
        <w:jc w:val="center"/>
      </w:pPr>
      <w:r w:rsidRPr="00A655B3">
        <w:t>University of Pittsburgh</w:t>
      </w:r>
    </w:p>
    <w:p w14:paraId="48CEAD39" w14:textId="58ED0B7B" w:rsidR="00486073" w:rsidRPr="00A655B3" w:rsidRDefault="00486073" w:rsidP="00486073">
      <w:pPr>
        <w:spacing w:line="240" w:lineRule="auto"/>
        <w:ind w:firstLine="0"/>
        <w:jc w:val="center"/>
      </w:pPr>
    </w:p>
    <w:p w14:paraId="1C150781" w14:textId="30CF2C5A" w:rsidR="00324A7D" w:rsidRPr="00A655B3" w:rsidRDefault="00324A7D" w:rsidP="00324A7D">
      <w:pPr>
        <w:spacing w:line="240" w:lineRule="auto"/>
        <w:ind w:firstLine="0"/>
        <w:jc w:val="center"/>
        <w:rPr>
          <w:b/>
          <w:bCs/>
        </w:rPr>
      </w:pPr>
      <w:r w:rsidRPr="00A655B3">
        <w:rPr>
          <w:b/>
          <w:bCs/>
        </w:rPr>
        <w:t xml:space="preserve">Essay Readers: </w:t>
      </w:r>
    </w:p>
    <w:p w14:paraId="6EFE6755" w14:textId="77777777" w:rsidR="00324A7D" w:rsidRPr="00A655B3" w:rsidRDefault="00324A7D" w:rsidP="00324A7D">
      <w:pPr>
        <w:spacing w:line="240" w:lineRule="auto"/>
        <w:ind w:firstLine="0"/>
        <w:jc w:val="center"/>
      </w:pPr>
    </w:p>
    <w:p w14:paraId="310F9DA9" w14:textId="3D694F82" w:rsidR="00603086" w:rsidRPr="00A655B3" w:rsidRDefault="007A68F6" w:rsidP="00486073">
      <w:pPr>
        <w:spacing w:line="240" w:lineRule="auto"/>
        <w:ind w:firstLine="0"/>
        <w:jc w:val="center"/>
      </w:pPr>
      <w:r w:rsidRPr="00A655B3">
        <w:t>Martha</w:t>
      </w:r>
      <w:r w:rsidR="00B5425F">
        <w:t xml:space="preserve"> </w:t>
      </w:r>
      <w:r w:rsidR="00412360">
        <w:t>Ann</w:t>
      </w:r>
      <w:r w:rsidR="00B5425F">
        <w:t xml:space="preserve"> </w:t>
      </w:r>
      <w:r w:rsidRPr="00A655B3">
        <w:t>Terry,</w:t>
      </w:r>
      <w:r w:rsidR="00AA590B" w:rsidRPr="00A655B3">
        <w:t xml:space="preserve"> PhD</w:t>
      </w:r>
    </w:p>
    <w:p w14:paraId="6AC3D0EB" w14:textId="05832BCF" w:rsidR="00256526" w:rsidRPr="00A655B3" w:rsidRDefault="00AA590B" w:rsidP="00256526">
      <w:pPr>
        <w:spacing w:line="240" w:lineRule="auto"/>
        <w:ind w:firstLine="0"/>
        <w:jc w:val="center"/>
      </w:pPr>
      <w:r w:rsidRPr="00A655B3">
        <w:t>Associate Professor, Department of Behavioral and Community Health Sciences</w:t>
      </w:r>
    </w:p>
    <w:p w14:paraId="16B56AC4" w14:textId="20E4209C" w:rsidR="00603086" w:rsidRPr="00A655B3" w:rsidRDefault="00603086" w:rsidP="00486073">
      <w:pPr>
        <w:spacing w:line="240" w:lineRule="auto"/>
        <w:ind w:firstLine="0"/>
        <w:jc w:val="center"/>
      </w:pPr>
      <w:r w:rsidRPr="00A655B3">
        <w:t>Graduate School of Public Health</w:t>
      </w:r>
    </w:p>
    <w:p w14:paraId="3BD84723" w14:textId="572DE4F5" w:rsidR="008F60CE" w:rsidRPr="00A655B3" w:rsidRDefault="00AA590B" w:rsidP="00486073">
      <w:pPr>
        <w:spacing w:line="240" w:lineRule="auto"/>
        <w:ind w:firstLine="0"/>
        <w:jc w:val="center"/>
      </w:pPr>
      <w:r w:rsidRPr="00A655B3">
        <w:t>University of Pittsburgh</w:t>
      </w:r>
    </w:p>
    <w:p w14:paraId="732DE4FA" w14:textId="77777777" w:rsidR="00576D97" w:rsidRPr="00A655B3" w:rsidRDefault="00576D97" w:rsidP="00486073">
      <w:pPr>
        <w:spacing w:line="240" w:lineRule="auto"/>
        <w:ind w:firstLine="0"/>
        <w:jc w:val="center"/>
      </w:pPr>
    </w:p>
    <w:p w14:paraId="5836DF97" w14:textId="370672EA" w:rsidR="00D961DC" w:rsidRPr="00EC184B" w:rsidRDefault="009141A7" w:rsidP="00576D97">
      <w:pPr>
        <w:spacing w:line="240" w:lineRule="auto"/>
        <w:ind w:firstLine="0"/>
        <w:jc w:val="center"/>
        <w:rPr>
          <w:lang w:val="es-PE"/>
        </w:rPr>
      </w:pPr>
      <w:r w:rsidRPr="00EC184B">
        <w:rPr>
          <w:lang w:val="es-PE"/>
        </w:rPr>
        <w:t>Patricia I</w:t>
      </w:r>
      <w:r w:rsidR="002D44DE" w:rsidRPr="00EC184B">
        <w:rPr>
          <w:lang w:val="es-PE"/>
        </w:rPr>
        <w:t>.</w:t>
      </w:r>
      <w:r w:rsidRPr="00EC184B">
        <w:rPr>
          <w:lang w:val="es-PE"/>
        </w:rPr>
        <w:t xml:space="preserve"> </w:t>
      </w:r>
      <w:proofErr w:type="spellStart"/>
      <w:r w:rsidRPr="00EC184B">
        <w:rPr>
          <w:lang w:val="es-PE"/>
        </w:rPr>
        <w:t>Docum</w:t>
      </w:r>
      <w:r w:rsidR="00603086" w:rsidRPr="00EC184B">
        <w:rPr>
          <w:lang w:val="es-PE"/>
        </w:rPr>
        <w:t>é</w:t>
      </w:r>
      <w:r w:rsidRPr="00EC184B">
        <w:rPr>
          <w:lang w:val="es-PE"/>
        </w:rPr>
        <w:t>t</w:t>
      </w:r>
      <w:proofErr w:type="spellEnd"/>
      <w:r w:rsidRPr="00EC184B">
        <w:rPr>
          <w:lang w:val="es-PE"/>
        </w:rPr>
        <w:t xml:space="preserve">, MD, </w:t>
      </w:r>
      <w:proofErr w:type="spellStart"/>
      <w:r w:rsidRPr="00EC184B">
        <w:rPr>
          <w:lang w:val="es-PE"/>
        </w:rPr>
        <w:t>DrPH</w:t>
      </w:r>
      <w:proofErr w:type="spellEnd"/>
    </w:p>
    <w:p w14:paraId="33A73FDB" w14:textId="2715AC63" w:rsidR="002C7BA2" w:rsidRPr="00A655B3" w:rsidRDefault="00D961DC" w:rsidP="00576D97">
      <w:pPr>
        <w:spacing w:line="240" w:lineRule="auto"/>
        <w:ind w:firstLine="0"/>
        <w:jc w:val="center"/>
      </w:pPr>
      <w:r w:rsidRPr="00A655B3">
        <w:t>Associate Professor, Department of</w:t>
      </w:r>
      <w:r w:rsidR="009141A7" w:rsidRPr="00A655B3">
        <w:t xml:space="preserve"> Behavioral and Community Health Sciences </w:t>
      </w:r>
    </w:p>
    <w:p w14:paraId="776B1A20" w14:textId="72E64ADA" w:rsidR="00324A7D" w:rsidRPr="00A655B3" w:rsidRDefault="00324A7D" w:rsidP="00576D97">
      <w:pPr>
        <w:spacing w:line="240" w:lineRule="auto"/>
        <w:ind w:firstLine="0"/>
        <w:jc w:val="center"/>
      </w:pPr>
      <w:r w:rsidRPr="00A655B3">
        <w:t>Director of Doctoral Program, Behavioral and Community Health Sciences</w:t>
      </w:r>
    </w:p>
    <w:p w14:paraId="49AF5ED3" w14:textId="4FF85E3B" w:rsidR="002C7BA2" w:rsidRPr="00A655B3" w:rsidRDefault="002C7BA2" w:rsidP="00576D97">
      <w:pPr>
        <w:spacing w:line="240" w:lineRule="auto"/>
        <w:ind w:firstLine="0"/>
        <w:jc w:val="center"/>
      </w:pPr>
      <w:r w:rsidRPr="00A655B3">
        <w:t>Graduate School of Public Health</w:t>
      </w:r>
    </w:p>
    <w:p w14:paraId="42B62DCD" w14:textId="0643ECA2" w:rsidR="00576D97" w:rsidRPr="00A655B3" w:rsidRDefault="009141A7" w:rsidP="00576D97">
      <w:pPr>
        <w:spacing w:line="240" w:lineRule="auto"/>
        <w:ind w:firstLine="0"/>
        <w:jc w:val="center"/>
      </w:pPr>
      <w:r w:rsidRPr="00A655B3">
        <w:t>University of Pittsburgh</w:t>
      </w:r>
    </w:p>
    <w:p w14:paraId="0D26A8D0" w14:textId="1F26ECCF" w:rsidR="008B189E" w:rsidRPr="00A655B3" w:rsidRDefault="008B189E" w:rsidP="00576D97">
      <w:pPr>
        <w:spacing w:line="240" w:lineRule="auto"/>
        <w:ind w:firstLine="0"/>
        <w:jc w:val="center"/>
      </w:pPr>
    </w:p>
    <w:p w14:paraId="33579259" w14:textId="76D9A53E" w:rsidR="008B189E" w:rsidRPr="00A655B3" w:rsidRDefault="008B189E" w:rsidP="00576D97">
      <w:pPr>
        <w:spacing w:line="240" w:lineRule="auto"/>
        <w:ind w:firstLine="0"/>
        <w:jc w:val="center"/>
        <w:rPr>
          <w:b/>
          <w:bCs/>
          <w:i/>
          <w:iCs/>
          <w:u w:val="single"/>
        </w:rPr>
      </w:pPr>
    </w:p>
    <w:p w14:paraId="6207E95D" w14:textId="77777777" w:rsidR="00576D97" w:rsidRPr="00A655B3" w:rsidRDefault="00576D97" w:rsidP="00486073">
      <w:pPr>
        <w:spacing w:line="240" w:lineRule="auto"/>
        <w:ind w:firstLine="0"/>
        <w:jc w:val="center"/>
      </w:pPr>
    </w:p>
    <w:p w14:paraId="64907118" w14:textId="77777777" w:rsidR="00576D97" w:rsidRPr="00A655B3" w:rsidRDefault="00576D97" w:rsidP="00486073">
      <w:pPr>
        <w:spacing w:line="240" w:lineRule="auto"/>
        <w:ind w:firstLine="0"/>
        <w:jc w:val="center"/>
      </w:pPr>
    </w:p>
    <w:p w14:paraId="6E0E1E54" w14:textId="77777777" w:rsidR="004F0846" w:rsidRPr="00A655B3" w:rsidRDefault="004F0846" w:rsidP="00486073">
      <w:pPr>
        <w:spacing w:line="240" w:lineRule="auto"/>
        <w:ind w:firstLine="0"/>
        <w:jc w:val="center"/>
      </w:pPr>
    </w:p>
    <w:p w14:paraId="2EAE78AC" w14:textId="77777777" w:rsidR="004F0846" w:rsidRPr="00A655B3" w:rsidRDefault="004F0846" w:rsidP="00486073">
      <w:pPr>
        <w:spacing w:line="240" w:lineRule="auto"/>
        <w:ind w:firstLine="0"/>
        <w:jc w:val="center"/>
      </w:pPr>
    </w:p>
    <w:p w14:paraId="76583792" w14:textId="77777777" w:rsidR="004F0846" w:rsidRPr="00A655B3" w:rsidRDefault="004F0846" w:rsidP="00486073">
      <w:pPr>
        <w:spacing w:line="240" w:lineRule="auto"/>
        <w:ind w:firstLine="0"/>
        <w:jc w:val="center"/>
      </w:pPr>
    </w:p>
    <w:p w14:paraId="3158DB1E" w14:textId="77777777" w:rsidR="004F0846" w:rsidRPr="00A655B3" w:rsidRDefault="004F0846" w:rsidP="00486073">
      <w:pPr>
        <w:spacing w:line="240" w:lineRule="auto"/>
        <w:ind w:firstLine="0"/>
        <w:jc w:val="center"/>
      </w:pPr>
    </w:p>
    <w:p w14:paraId="38DAEA23" w14:textId="77777777" w:rsidR="004F0846" w:rsidRPr="00A655B3" w:rsidRDefault="004F0846" w:rsidP="00486073">
      <w:pPr>
        <w:spacing w:line="240" w:lineRule="auto"/>
        <w:ind w:firstLine="0"/>
        <w:jc w:val="center"/>
      </w:pPr>
    </w:p>
    <w:p w14:paraId="41550B32" w14:textId="77777777" w:rsidR="004F0846" w:rsidRPr="00A655B3" w:rsidRDefault="004F0846" w:rsidP="00486073">
      <w:pPr>
        <w:spacing w:line="240" w:lineRule="auto"/>
        <w:ind w:firstLine="0"/>
        <w:jc w:val="center"/>
      </w:pPr>
    </w:p>
    <w:p w14:paraId="769B45C4" w14:textId="77777777" w:rsidR="00486073" w:rsidRPr="00A655B3" w:rsidRDefault="00486073" w:rsidP="00486073">
      <w:pPr>
        <w:spacing w:line="240" w:lineRule="auto"/>
        <w:ind w:firstLine="0"/>
        <w:jc w:val="center"/>
      </w:pPr>
    </w:p>
    <w:p w14:paraId="3DD070C8" w14:textId="77777777" w:rsidR="00486073" w:rsidRPr="00A655B3" w:rsidRDefault="00486073" w:rsidP="00486073">
      <w:pPr>
        <w:spacing w:line="240" w:lineRule="auto"/>
        <w:ind w:firstLine="0"/>
        <w:jc w:val="center"/>
      </w:pPr>
    </w:p>
    <w:p w14:paraId="008376D0" w14:textId="77777777" w:rsidR="00486073" w:rsidRPr="00A655B3" w:rsidRDefault="00486073" w:rsidP="00486073">
      <w:pPr>
        <w:spacing w:line="240" w:lineRule="auto"/>
        <w:ind w:firstLine="0"/>
        <w:jc w:val="center"/>
      </w:pPr>
    </w:p>
    <w:p w14:paraId="4E71A7FC" w14:textId="77777777" w:rsidR="00486073" w:rsidRPr="00A655B3" w:rsidRDefault="00486073" w:rsidP="00486073">
      <w:pPr>
        <w:spacing w:line="240" w:lineRule="auto"/>
        <w:ind w:firstLine="0"/>
        <w:jc w:val="center"/>
      </w:pPr>
    </w:p>
    <w:p w14:paraId="79463EA5" w14:textId="77777777" w:rsidR="00486073" w:rsidRPr="00A655B3" w:rsidRDefault="00486073" w:rsidP="00486073">
      <w:pPr>
        <w:spacing w:line="240" w:lineRule="auto"/>
        <w:ind w:firstLine="0"/>
        <w:jc w:val="center"/>
      </w:pPr>
    </w:p>
    <w:p w14:paraId="16DE2BEA" w14:textId="77777777" w:rsidR="00486073" w:rsidRPr="00A655B3" w:rsidRDefault="00486073" w:rsidP="00486073">
      <w:pPr>
        <w:spacing w:line="240" w:lineRule="auto"/>
        <w:ind w:firstLine="0"/>
        <w:jc w:val="center"/>
      </w:pPr>
    </w:p>
    <w:p w14:paraId="6447801B" w14:textId="77777777" w:rsidR="00486073" w:rsidRPr="00A655B3" w:rsidRDefault="00486073" w:rsidP="00486073">
      <w:pPr>
        <w:spacing w:line="240" w:lineRule="auto"/>
        <w:ind w:firstLine="0"/>
        <w:jc w:val="center"/>
      </w:pPr>
    </w:p>
    <w:p w14:paraId="260A6C51" w14:textId="77777777" w:rsidR="00486073" w:rsidRPr="00A655B3" w:rsidRDefault="00486073" w:rsidP="00486073">
      <w:pPr>
        <w:spacing w:line="240" w:lineRule="auto"/>
        <w:ind w:firstLine="0"/>
        <w:jc w:val="center"/>
      </w:pPr>
    </w:p>
    <w:p w14:paraId="78EA3777" w14:textId="77777777" w:rsidR="00486073" w:rsidRPr="00A655B3" w:rsidRDefault="00486073" w:rsidP="00486073">
      <w:pPr>
        <w:spacing w:line="240" w:lineRule="auto"/>
        <w:ind w:firstLine="0"/>
        <w:jc w:val="center"/>
      </w:pPr>
    </w:p>
    <w:p w14:paraId="4C5EBA7A" w14:textId="77777777" w:rsidR="00486073" w:rsidRPr="00A655B3" w:rsidRDefault="00486073" w:rsidP="00486073">
      <w:pPr>
        <w:spacing w:line="240" w:lineRule="auto"/>
        <w:ind w:firstLine="0"/>
        <w:jc w:val="center"/>
      </w:pPr>
    </w:p>
    <w:p w14:paraId="6924CA09" w14:textId="77777777" w:rsidR="00486073" w:rsidRPr="00A655B3" w:rsidRDefault="00486073" w:rsidP="00486073">
      <w:pPr>
        <w:spacing w:line="240" w:lineRule="auto"/>
        <w:ind w:firstLine="0"/>
        <w:jc w:val="center"/>
      </w:pPr>
    </w:p>
    <w:p w14:paraId="4367B4CE" w14:textId="77777777" w:rsidR="004F0846" w:rsidRPr="00A655B3" w:rsidRDefault="004F0846" w:rsidP="00486073">
      <w:pPr>
        <w:spacing w:line="240" w:lineRule="auto"/>
        <w:ind w:firstLine="0"/>
        <w:jc w:val="center"/>
      </w:pPr>
    </w:p>
    <w:p w14:paraId="7C900E23" w14:textId="77777777" w:rsidR="004F0846" w:rsidRPr="00A655B3" w:rsidRDefault="004F0846" w:rsidP="00486073">
      <w:pPr>
        <w:spacing w:line="240" w:lineRule="auto"/>
        <w:ind w:firstLine="0"/>
        <w:jc w:val="center"/>
      </w:pPr>
    </w:p>
    <w:p w14:paraId="3D7B439C" w14:textId="77777777" w:rsidR="004F0846" w:rsidRPr="00A655B3" w:rsidRDefault="004F0846" w:rsidP="00486073">
      <w:pPr>
        <w:spacing w:line="240" w:lineRule="auto"/>
        <w:ind w:firstLine="0"/>
        <w:jc w:val="center"/>
      </w:pPr>
    </w:p>
    <w:p w14:paraId="3CDD8AEB" w14:textId="77777777" w:rsidR="004F0846" w:rsidRPr="00A655B3" w:rsidRDefault="004F0846" w:rsidP="00486073">
      <w:pPr>
        <w:spacing w:line="240" w:lineRule="auto"/>
        <w:ind w:firstLine="0"/>
        <w:jc w:val="center"/>
      </w:pPr>
    </w:p>
    <w:p w14:paraId="1A272BA5" w14:textId="77777777" w:rsidR="004F0846" w:rsidRPr="00A655B3" w:rsidRDefault="004F0846" w:rsidP="00486073">
      <w:pPr>
        <w:spacing w:line="240" w:lineRule="auto"/>
        <w:ind w:firstLine="0"/>
        <w:jc w:val="center"/>
      </w:pPr>
    </w:p>
    <w:p w14:paraId="5CD3C89D" w14:textId="77777777" w:rsidR="009141A7" w:rsidRPr="00A655B3" w:rsidRDefault="004F0846" w:rsidP="009141A7">
      <w:pPr>
        <w:spacing w:line="240" w:lineRule="auto"/>
        <w:ind w:firstLine="0"/>
        <w:jc w:val="center"/>
        <w:rPr>
          <w:b/>
        </w:rPr>
      </w:pPr>
      <w:r w:rsidRPr="00A655B3">
        <w:t>Copyright © by</w:t>
      </w:r>
      <w:r w:rsidRPr="00311D01">
        <w:rPr>
          <w:bCs/>
        </w:rPr>
        <w:t xml:space="preserve"> </w:t>
      </w:r>
      <w:r w:rsidR="009141A7" w:rsidRPr="00311D01">
        <w:rPr>
          <w:bCs/>
        </w:rPr>
        <w:t>Terrence Michael Arañez Litam</w:t>
      </w:r>
    </w:p>
    <w:p w14:paraId="10ECD952" w14:textId="77777777" w:rsidR="00486073" w:rsidRPr="00A655B3" w:rsidRDefault="00486073" w:rsidP="009141A7">
      <w:pPr>
        <w:spacing w:line="240" w:lineRule="auto"/>
        <w:ind w:firstLine="0"/>
      </w:pPr>
    </w:p>
    <w:p w14:paraId="6959C72C" w14:textId="17E9A266" w:rsidR="004F0846" w:rsidRPr="00A655B3" w:rsidRDefault="009141A7" w:rsidP="00486073">
      <w:pPr>
        <w:spacing w:line="240" w:lineRule="auto"/>
        <w:ind w:firstLine="0"/>
        <w:jc w:val="center"/>
      </w:pPr>
      <w:r w:rsidRPr="00A655B3">
        <w:t>2020</w:t>
      </w:r>
    </w:p>
    <w:p w14:paraId="343ADF84" w14:textId="77777777" w:rsidR="004F0846" w:rsidRPr="00A655B3" w:rsidRDefault="004F0846" w:rsidP="00486073">
      <w:pPr>
        <w:spacing w:line="240" w:lineRule="auto"/>
        <w:ind w:left="720" w:hanging="720"/>
      </w:pPr>
    </w:p>
    <w:p w14:paraId="519DA072" w14:textId="77777777" w:rsidR="004F0846" w:rsidRPr="00A655B3" w:rsidRDefault="004F0846" w:rsidP="00486073">
      <w:pPr>
        <w:spacing w:line="240" w:lineRule="auto"/>
        <w:ind w:left="720" w:hanging="720"/>
      </w:pPr>
    </w:p>
    <w:p w14:paraId="272118EC" w14:textId="77777777" w:rsidR="004F0846" w:rsidRPr="00A655B3" w:rsidRDefault="004F0846" w:rsidP="00130B6B">
      <w:pPr>
        <w:ind w:left="720" w:hanging="720"/>
      </w:pPr>
    </w:p>
    <w:p w14:paraId="3BC5D19A" w14:textId="77777777" w:rsidR="004F0846" w:rsidRPr="00A655B3" w:rsidRDefault="004F0846" w:rsidP="00130B6B">
      <w:pPr>
        <w:ind w:left="720" w:hanging="720"/>
      </w:pPr>
    </w:p>
    <w:p w14:paraId="2F06DFCE" w14:textId="77777777" w:rsidR="001C7AFC" w:rsidRPr="00A655B3" w:rsidRDefault="001C7AFC" w:rsidP="00130B6B">
      <w:pPr>
        <w:ind w:left="720" w:hanging="720"/>
        <w:sectPr w:rsidR="001C7AFC" w:rsidRPr="00A655B3" w:rsidSect="00BB4FAE">
          <w:footerReference w:type="default" r:id="rId14"/>
          <w:pgSz w:w="12240" w:h="15840"/>
          <w:pgMar w:top="1440" w:right="1440" w:bottom="1440" w:left="1440" w:header="720" w:footer="720" w:gutter="0"/>
          <w:pgNumType w:fmt="lowerRoman" w:start="2"/>
          <w:cols w:space="720"/>
          <w:docGrid w:linePitch="360"/>
        </w:sectPr>
      </w:pPr>
    </w:p>
    <w:p w14:paraId="35C4BA07" w14:textId="77777777" w:rsidR="001C7AFC" w:rsidRPr="00A655B3" w:rsidRDefault="001C7AFC" w:rsidP="00AC29F2">
      <w:pPr>
        <w:pStyle w:val="PreliminaryBookmarks"/>
        <w:jc w:val="right"/>
        <w:rPr>
          <w:rFonts w:cs="Times New Roman"/>
          <w:b/>
          <w:sz w:val="24"/>
        </w:rPr>
      </w:pPr>
      <w:r w:rsidRPr="00A655B3">
        <w:rPr>
          <w:rFonts w:cs="Times New Roman"/>
          <w:b/>
          <w:sz w:val="24"/>
        </w:rPr>
        <w:lastRenderedPageBreak/>
        <w:t>Abstract</w:t>
      </w:r>
    </w:p>
    <w:p w14:paraId="5721705D" w14:textId="36954CA0" w:rsidR="00AC29F2" w:rsidRPr="005A6B42" w:rsidRDefault="000B4CEB" w:rsidP="00AC29F2">
      <w:pPr>
        <w:spacing w:line="240" w:lineRule="auto"/>
        <w:ind w:firstLine="0"/>
        <w:jc w:val="right"/>
        <w:rPr>
          <w:bCs/>
        </w:rPr>
      </w:pPr>
      <w:r w:rsidRPr="005A6B42">
        <w:rPr>
          <w:bCs/>
        </w:rPr>
        <w:t>Howard Degenholtz, PhD</w:t>
      </w:r>
    </w:p>
    <w:p w14:paraId="18AC2985" w14:textId="77777777" w:rsidR="00AC29F2" w:rsidRPr="00A655B3" w:rsidRDefault="00AC29F2" w:rsidP="00486073">
      <w:pPr>
        <w:spacing w:line="240" w:lineRule="auto"/>
        <w:ind w:firstLine="0"/>
        <w:jc w:val="center"/>
        <w:rPr>
          <w:b/>
        </w:rPr>
      </w:pPr>
    </w:p>
    <w:p w14:paraId="1FC19FD2" w14:textId="77777777" w:rsidR="00AC29F2" w:rsidRPr="00A655B3" w:rsidRDefault="00AC29F2" w:rsidP="00486073">
      <w:pPr>
        <w:spacing w:line="240" w:lineRule="auto"/>
        <w:ind w:firstLine="0"/>
        <w:jc w:val="center"/>
        <w:rPr>
          <w:b/>
        </w:rPr>
      </w:pPr>
    </w:p>
    <w:p w14:paraId="0D9E68BF" w14:textId="3A1D0F40" w:rsidR="00486073" w:rsidRDefault="00933052" w:rsidP="005A6B42">
      <w:pPr>
        <w:ind w:firstLine="0"/>
        <w:jc w:val="center"/>
        <w:rPr>
          <w:b/>
          <w:bCs/>
          <w:color w:val="000000"/>
          <w:shd w:val="clear" w:color="auto" w:fill="FFFFFF"/>
        </w:rPr>
      </w:pPr>
      <w:r>
        <w:rPr>
          <w:b/>
          <w:bCs/>
          <w:color w:val="000000"/>
          <w:shd w:val="clear" w:color="auto" w:fill="FFFFFF"/>
        </w:rPr>
        <w:t xml:space="preserve">An Analysis of Community Health Needs Assessments Among Top Kidney Transplanting Medical Centers: Recommendations for </w:t>
      </w:r>
      <w:r w:rsidR="00697974">
        <w:rPr>
          <w:b/>
          <w:bCs/>
          <w:color w:val="000000"/>
          <w:shd w:val="clear" w:color="auto" w:fill="FFFFFF"/>
        </w:rPr>
        <w:t>Community-Based</w:t>
      </w:r>
      <w:r>
        <w:rPr>
          <w:b/>
          <w:bCs/>
          <w:color w:val="000000"/>
          <w:shd w:val="clear" w:color="auto" w:fill="FFFFFF"/>
        </w:rPr>
        <w:t xml:space="preserve"> Care and Transplantation Education</w:t>
      </w:r>
    </w:p>
    <w:p w14:paraId="3E2C0E4C" w14:textId="77777777" w:rsidR="00933052" w:rsidRPr="00A655B3" w:rsidRDefault="00933052" w:rsidP="00486073">
      <w:pPr>
        <w:spacing w:line="240" w:lineRule="auto"/>
        <w:ind w:firstLine="0"/>
        <w:jc w:val="center"/>
        <w:rPr>
          <w:b/>
        </w:rPr>
      </w:pPr>
    </w:p>
    <w:p w14:paraId="18A96002" w14:textId="343E559A" w:rsidR="000B4CEB" w:rsidRPr="00456745" w:rsidRDefault="000B4CEB" w:rsidP="000B4CEB">
      <w:pPr>
        <w:spacing w:line="240" w:lineRule="auto"/>
        <w:ind w:firstLine="0"/>
        <w:jc w:val="center"/>
      </w:pPr>
      <w:r w:rsidRPr="00456745">
        <w:t>Terrence Michael Arañez Litam, MHA</w:t>
      </w:r>
    </w:p>
    <w:p w14:paraId="574804AC" w14:textId="77777777" w:rsidR="00486073" w:rsidRPr="00456745" w:rsidRDefault="00486073" w:rsidP="00486073">
      <w:pPr>
        <w:spacing w:line="240" w:lineRule="auto"/>
        <w:ind w:firstLine="0"/>
        <w:jc w:val="center"/>
      </w:pPr>
    </w:p>
    <w:p w14:paraId="00E81DB2" w14:textId="5F943EF4" w:rsidR="002B41A8" w:rsidRPr="00A655B3" w:rsidRDefault="002B41A8" w:rsidP="00486073">
      <w:pPr>
        <w:spacing w:line="240" w:lineRule="auto"/>
        <w:ind w:firstLine="0"/>
        <w:jc w:val="center"/>
      </w:pPr>
      <w:r w:rsidRPr="00A655B3">
        <w:t xml:space="preserve">University of Pittsburgh, </w:t>
      </w:r>
      <w:r w:rsidR="000B4CEB" w:rsidRPr="00A655B3">
        <w:t>2020</w:t>
      </w:r>
    </w:p>
    <w:p w14:paraId="63C7D5A8" w14:textId="77777777" w:rsidR="002B41A8" w:rsidRPr="00A655B3" w:rsidRDefault="002B41A8" w:rsidP="00486073">
      <w:pPr>
        <w:spacing w:line="240" w:lineRule="auto"/>
        <w:ind w:firstLine="0"/>
        <w:jc w:val="center"/>
      </w:pPr>
    </w:p>
    <w:p w14:paraId="045C7D61" w14:textId="77777777" w:rsidR="0046438E" w:rsidRPr="00A655B3" w:rsidRDefault="0046438E" w:rsidP="00486073">
      <w:pPr>
        <w:spacing w:line="240" w:lineRule="auto"/>
        <w:ind w:firstLine="0"/>
        <w:jc w:val="center"/>
      </w:pPr>
    </w:p>
    <w:p w14:paraId="6B42AE07" w14:textId="77777777" w:rsidR="00486073" w:rsidRPr="00A655B3" w:rsidRDefault="00486073" w:rsidP="00486073">
      <w:pPr>
        <w:spacing w:line="240" w:lineRule="auto"/>
        <w:ind w:firstLine="0"/>
        <w:jc w:val="center"/>
      </w:pPr>
    </w:p>
    <w:p w14:paraId="2CE3CDDD" w14:textId="60D42DFF" w:rsidR="004777C1" w:rsidRDefault="00DB437B" w:rsidP="004777C1">
      <w:pPr>
        <w:spacing w:line="240" w:lineRule="auto"/>
        <w:ind w:firstLine="0"/>
        <w:jc w:val="left"/>
        <w:rPr>
          <w:b/>
        </w:rPr>
      </w:pPr>
      <w:r>
        <w:rPr>
          <w:b/>
        </w:rPr>
        <w:t>Abstract</w:t>
      </w:r>
    </w:p>
    <w:p w14:paraId="21C0135C" w14:textId="77777777" w:rsidR="005A6B42" w:rsidRPr="005A6B42" w:rsidRDefault="005A6B42" w:rsidP="004777C1">
      <w:pPr>
        <w:spacing w:line="240" w:lineRule="auto"/>
        <w:ind w:firstLine="0"/>
        <w:jc w:val="left"/>
        <w:rPr>
          <w:b/>
        </w:rPr>
      </w:pPr>
    </w:p>
    <w:p w14:paraId="536600C6" w14:textId="1EC8E7A8" w:rsidR="001C7AFC" w:rsidRPr="00A655B3" w:rsidRDefault="00640220">
      <w:pPr>
        <w:ind w:firstLine="0"/>
      </w:pPr>
      <w:r>
        <w:t xml:space="preserve">The shortage of available kidneys for transplantation </w:t>
      </w:r>
      <w:r w:rsidR="00412360">
        <w:t xml:space="preserve">in </w:t>
      </w:r>
      <w:r w:rsidR="00C835E2">
        <w:t>the United States presents a public health crisis that causes the death of 12 individuals a day on average.</w:t>
      </w:r>
      <w:r w:rsidR="0009107E">
        <w:t xml:space="preserve"> </w:t>
      </w:r>
      <w:r w:rsidR="00A771DF">
        <w:t>The top 10 kidney-transplanting hospitals (by 2018 volume) were assessed for programs related to kidney transplantation or kidney transplantation educatio</w:t>
      </w:r>
      <w:r w:rsidR="00A771DF" w:rsidRPr="00285876">
        <w:t>n</w:t>
      </w:r>
      <w:r w:rsidR="00A771DF" w:rsidRPr="0000761A">
        <w:t>.</w:t>
      </w:r>
      <w:r>
        <w:t xml:space="preserve"> </w:t>
      </w:r>
      <w:r w:rsidR="00285876">
        <w:t>T</w:t>
      </w:r>
      <w:r w:rsidR="00270583">
        <w:t>wo model organizations focused on increasing transplantation are offered as models</w:t>
      </w:r>
      <w:r w:rsidR="00285876">
        <w:t xml:space="preserve"> for best practices</w:t>
      </w:r>
      <w:r w:rsidR="00270583">
        <w:t xml:space="preserve"> or possible partners </w:t>
      </w:r>
      <w:r w:rsidR="0000026A">
        <w:t xml:space="preserve">for healthcare organizations to take advantage of: </w:t>
      </w:r>
      <w:proofErr w:type="gramStart"/>
      <w:r w:rsidR="0000026A">
        <w:t>the</w:t>
      </w:r>
      <w:proofErr w:type="gramEnd"/>
      <w:r w:rsidR="0000026A">
        <w:t xml:space="preserve"> Minority Organ Tissue Transplantation Education Program and the National Kidney Foundation. B</w:t>
      </w:r>
      <w:r w:rsidR="008B2A0D">
        <w:t>est practices for</w:t>
      </w:r>
      <w:r w:rsidR="0000026A">
        <w:t xml:space="preserve"> community engagement are offered </w:t>
      </w:r>
      <w:r w:rsidR="00C21B44">
        <w:t xml:space="preserve">to foster the initiation of </w:t>
      </w:r>
      <w:r w:rsidR="00697974">
        <w:t>community-based</w:t>
      </w:r>
      <w:r w:rsidR="00C21B44">
        <w:t xml:space="preserve"> interventions to aid in screening and manag</w:t>
      </w:r>
      <w:r w:rsidR="00D04152">
        <w:t>ing</w:t>
      </w:r>
      <w:r w:rsidR="00C21B44">
        <w:t xml:space="preserve"> of chronic kidney disease</w:t>
      </w:r>
      <w:r w:rsidR="00B64A90">
        <w:t xml:space="preserve"> to reduce the demand for life-saving kidney transplants and aid the reduction of organ shortage.</w:t>
      </w:r>
      <w:r w:rsidR="003B3ECB">
        <w:t xml:space="preserve"> </w:t>
      </w:r>
      <w:r w:rsidR="00412360">
        <w:t xml:space="preserve">This is relevant for public health because of the use of a </w:t>
      </w:r>
      <w:r w:rsidR="00697974">
        <w:t>community-based</w:t>
      </w:r>
      <w:r w:rsidR="0094195A">
        <w:t xml:space="preserve"> intervention to help reduce the demand for life-saving kidneys which the national supply cannot meet.</w:t>
      </w:r>
    </w:p>
    <w:p w14:paraId="74FD502F" w14:textId="77777777" w:rsidR="00D9484A" w:rsidRPr="00D9484A" w:rsidRDefault="00D9484A" w:rsidP="00D9484A">
      <w:pPr>
        <w:keepNext/>
        <w:pageBreakBefore/>
        <w:spacing w:after="960"/>
        <w:ind w:firstLine="0"/>
        <w:jc w:val="center"/>
        <w:outlineLvl w:val="0"/>
        <w:rPr>
          <w:rFonts w:cs="Arial"/>
          <w:b/>
          <w:bCs/>
        </w:rPr>
      </w:pPr>
      <w:r w:rsidRPr="00D9484A">
        <w:rPr>
          <w:rFonts w:cs="Arial"/>
          <w:b/>
          <w:bCs/>
        </w:rPr>
        <w:lastRenderedPageBreak/>
        <w:t>Table of Contents</w:t>
      </w:r>
    </w:p>
    <w:p w14:paraId="57DC1A4C" w14:textId="7332663E" w:rsidR="00563A92" w:rsidRDefault="00D9484A">
      <w:pPr>
        <w:pStyle w:val="TOC1"/>
        <w:rPr>
          <w:rFonts w:asciiTheme="minorHAnsi" w:eastAsiaTheme="minorEastAsia" w:hAnsiTheme="minorHAnsi" w:cstheme="minorBidi"/>
          <w:b w:val="0"/>
          <w:noProof/>
          <w:sz w:val="22"/>
          <w:szCs w:val="22"/>
        </w:rPr>
      </w:pPr>
      <w:r w:rsidRPr="00D9484A">
        <w:fldChar w:fldCharType="begin"/>
      </w:r>
      <w:r w:rsidRPr="00D9484A">
        <w:instrText xml:space="preserve"> TOC \o "3-4" \h \z \t "Heading 1,1,Heading 2,2,Heading,1,App Section,2,Appendix,1" </w:instrText>
      </w:r>
      <w:r w:rsidRPr="00D9484A">
        <w:fldChar w:fldCharType="separate"/>
      </w:r>
      <w:hyperlink w:anchor="_Toc39750266" w:history="1">
        <w:r w:rsidR="00563A92" w:rsidRPr="00080E97">
          <w:rPr>
            <w:rStyle w:val="Hyperlink"/>
            <w:noProof/>
          </w:rPr>
          <w:t>List of Acronyms</w:t>
        </w:r>
        <w:r w:rsidR="00563A92">
          <w:rPr>
            <w:noProof/>
            <w:webHidden/>
          </w:rPr>
          <w:tab/>
        </w:r>
        <w:r w:rsidR="00563A92">
          <w:rPr>
            <w:noProof/>
            <w:webHidden/>
          </w:rPr>
          <w:fldChar w:fldCharType="begin"/>
        </w:r>
        <w:r w:rsidR="00563A92">
          <w:rPr>
            <w:noProof/>
            <w:webHidden/>
          </w:rPr>
          <w:instrText xml:space="preserve"> PAGEREF _Toc39750266 \h </w:instrText>
        </w:r>
        <w:r w:rsidR="00563A92">
          <w:rPr>
            <w:noProof/>
            <w:webHidden/>
          </w:rPr>
        </w:r>
        <w:r w:rsidR="00563A92">
          <w:rPr>
            <w:noProof/>
            <w:webHidden/>
          </w:rPr>
          <w:fldChar w:fldCharType="separate"/>
        </w:r>
        <w:r w:rsidR="000A6B46">
          <w:rPr>
            <w:noProof/>
            <w:webHidden/>
          </w:rPr>
          <w:t>ix</w:t>
        </w:r>
        <w:r w:rsidR="00563A92">
          <w:rPr>
            <w:noProof/>
            <w:webHidden/>
          </w:rPr>
          <w:fldChar w:fldCharType="end"/>
        </w:r>
      </w:hyperlink>
    </w:p>
    <w:p w14:paraId="31E9B24C" w14:textId="78C77E82" w:rsidR="00563A92" w:rsidRDefault="000A6B46">
      <w:pPr>
        <w:pStyle w:val="TOC1"/>
        <w:rPr>
          <w:rFonts w:asciiTheme="minorHAnsi" w:eastAsiaTheme="minorEastAsia" w:hAnsiTheme="minorHAnsi" w:cstheme="minorBidi"/>
          <w:b w:val="0"/>
          <w:noProof/>
          <w:sz w:val="22"/>
          <w:szCs w:val="22"/>
        </w:rPr>
      </w:pPr>
      <w:hyperlink w:anchor="_Toc39750267" w:history="1">
        <w:r w:rsidR="00563A92" w:rsidRPr="00080E97">
          <w:rPr>
            <w:rStyle w:val="Hyperlink"/>
            <w:noProof/>
          </w:rPr>
          <w:t>Preface</w:t>
        </w:r>
        <w:r w:rsidR="00563A92">
          <w:rPr>
            <w:noProof/>
            <w:webHidden/>
          </w:rPr>
          <w:tab/>
        </w:r>
        <w:r w:rsidR="00563A92">
          <w:rPr>
            <w:noProof/>
            <w:webHidden/>
          </w:rPr>
          <w:fldChar w:fldCharType="begin"/>
        </w:r>
        <w:r w:rsidR="00563A92">
          <w:rPr>
            <w:noProof/>
            <w:webHidden/>
          </w:rPr>
          <w:instrText xml:space="preserve"> PAGEREF _Toc39750267 \h </w:instrText>
        </w:r>
        <w:r w:rsidR="00563A92">
          <w:rPr>
            <w:noProof/>
            <w:webHidden/>
          </w:rPr>
        </w:r>
        <w:r w:rsidR="00563A92">
          <w:rPr>
            <w:noProof/>
            <w:webHidden/>
          </w:rPr>
          <w:fldChar w:fldCharType="separate"/>
        </w:r>
        <w:r>
          <w:rPr>
            <w:noProof/>
            <w:webHidden/>
          </w:rPr>
          <w:t>x</w:t>
        </w:r>
        <w:r w:rsidR="00563A92">
          <w:rPr>
            <w:noProof/>
            <w:webHidden/>
          </w:rPr>
          <w:fldChar w:fldCharType="end"/>
        </w:r>
      </w:hyperlink>
    </w:p>
    <w:p w14:paraId="6D69DB88" w14:textId="688BB6D8" w:rsidR="00563A92" w:rsidRDefault="000A6B46">
      <w:pPr>
        <w:pStyle w:val="TOC1"/>
        <w:rPr>
          <w:rFonts w:asciiTheme="minorHAnsi" w:eastAsiaTheme="minorEastAsia" w:hAnsiTheme="minorHAnsi" w:cstheme="minorBidi"/>
          <w:b w:val="0"/>
          <w:noProof/>
          <w:sz w:val="22"/>
          <w:szCs w:val="22"/>
        </w:rPr>
      </w:pPr>
      <w:hyperlink w:anchor="_Toc39750268" w:history="1">
        <w:r w:rsidR="00563A92" w:rsidRPr="00080E97">
          <w:rPr>
            <w:rStyle w:val="Hyperlink"/>
            <w:noProof/>
          </w:rPr>
          <w:t>1.0 Introduction and Background</w:t>
        </w:r>
        <w:r w:rsidR="00563A92">
          <w:rPr>
            <w:noProof/>
            <w:webHidden/>
          </w:rPr>
          <w:tab/>
        </w:r>
        <w:r w:rsidR="00563A92">
          <w:rPr>
            <w:noProof/>
            <w:webHidden/>
          </w:rPr>
          <w:fldChar w:fldCharType="begin"/>
        </w:r>
        <w:r w:rsidR="00563A92">
          <w:rPr>
            <w:noProof/>
            <w:webHidden/>
          </w:rPr>
          <w:instrText xml:space="preserve"> PAGEREF _Toc39750268 \h </w:instrText>
        </w:r>
        <w:r w:rsidR="00563A92">
          <w:rPr>
            <w:noProof/>
            <w:webHidden/>
          </w:rPr>
        </w:r>
        <w:r w:rsidR="00563A92">
          <w:rPr>
            <w:noProof/>
            <w:webHidden/>
          </w:rPr>
          <w:fldChar w:fldCharType="separate"/>
        </w:r>
        <w:r>
          <w:rPr>
            <w:noProof/>
            <w:webHidden/>
          </w:rPr>
          <w:t>1</w:t>
        </w:r>
        <w:r w:rsidR="00563A92">
          <w:rPr>
            <w:noProof/>
            <w:webHidden/>
          </w:rPr>
          <w:fldChar w:fldCharType="end"/>
        </w:r>
      </w:hyperlink>
    </w:p>
    <w:p w14:paraId="1117ED04" w14:textId="391361C6" w:rsidR="00563A92" w:rsidRDefault="000A6B46">
      <w:pPr>
        <w:pStyle w:val="TOC1"/>
        <w:rPr>
          <w:rFonts w:asciiTheme="minorHAnsi" w:eastAsiaTheme="minorEastAsia" w:hAnsiTheme="minorHAnsi" w:cstheme="minorBidi"/>
          <w:b w:val="0"/>
          <w:noProof/>
          <w:sz w:val="22"/>
          <w:szCs w:val="22"/>
        </w:rPr>
      </w:pPr>
      <w:hyperlink w:anchor="_Toc39750269" w:history="1">
        <w:r w:rsidR="00563A92" w:rsidRPr="00080E97">
          <w:rPr>
            <w:rStyle w:val="Hyperlink"/>
            <w:noProof/>
          </w:rPr>
          <w:t>2.0 Objectives</w:t>
        </w:r>
        <w:r w:rsidR="00563A92">
          <w:rPr>
            <w:noProof/>
            <w:webHidden/>
          </w:rPr>
          <w:tab/>
        </w:r>
        <w:r w:rsidR="00563A92">
          <w:rPr>
            <w:noProof/>
            <w:webHidden/>
          </w:rPr>
          <w:fldChar w:fldCharType="begin"/>
        </w:r>
        <w:r w:rsidR="00563A92">
          <w:rPr>
            <w:noProof/>
            <w:webHidden/>
          </w:rPr>
          <w:instrText xml:space="preserve"> PAGEREF _Toc39750269 \h </w:instrText>
        </w:r>
        <w:r w:rsidR="00563A92">
          <w:rPr>
            <w:noProof/>
            <w:webHidden/>
          </w:rPr>
        </w:r>
        <w:r w:rsidR="00563A92">
          <w:rPr>
            <w:noProof/>
            <w:webHidden/>
          </w:rPr>
          <w:fldChar w:fldCharType="separate"/>
        </w:r>
        <w:r>
          <w:rPr>
            <w:noProof/>
            <w:webHidden/>
          </w:rPr>
          <w:t>5</w:t>
        </w:r>
        <w:r w:rsidR="00563A92">
          <w:rPr>
            <w:noProof/>
            <w:webHidden/>
          </w:rPr>
          <w:fldChar w:fldCharType="end"/>
        </w:r>
      </w:hyperlink>
    </w:p>
    <w:p w14:paraId="5DEC68A0" w14:textId="44D04C87" w:rsidR="00563A92" w:rsidRDefault="000A6B46">
      <w:pPr>
        <w:pStyle w:val="TOC1"/>
        <w:rPr>
          <w:rFonts w:asciiTheme="minorHAnsi" w:eastAsiaTheme="minorEastAsia" w:hAnsiTheme="minorHAnsi" w:cstheme="minorBidi"/>
          <w:b w:val="0"/>
          <w:noProof/>
          <w:sz w:val="22"/>
          <w:szCs w:val="22"/>
        </w:rPr>
      </w:pPr>
      <w:hyperlink w:anchor="_Toc39750270" w:history="1">
        <w:r w:rsidR="00563A92" w:rsidRPr="00080E97">
          <w:rPr>
            <w:rStyle w:val="Hyperlink"/>
            <w:noProof/>
          </w:rPr>
          <w:t>3.0 Methodology</w:t>
        </w:r>
        <w:r w:rsidR="00563A92">
          <w:rPr>
            <w:noProof/>
            <w:webHidden/>
          </w:rPr>
          <w:tab/>
        </w:r>
        <w:r w:rsidR="00563A92">
          <w:rPr>
            <w:noProof/>
            <w:webHidden/>
          </w:rPr>
          <w:fldChar w:fldCharType="begin"/>
        </w:r>
        <w:r w:rsidR="00563A92">
          <w:rPr>
            <w:noProof/>
            <w:webHidden/>
          </w:rPr>
          <w:instrText xml:space="preserve"> PAGEREF _Toc39750270 \h </w:instrText>
        </w:r>
        <w:r w:rsidR="00563A92">
          <w:rPr>
            <w:noProof/>
            <w:webHidden/>
          </w:rPr>
        </w:r>
        <w:r w:rsidR="00563A92">
          <w:rPr>
            <w:noProof/>
            <w:webHidden/>
          </w:rPr>
          <w:fldChar w:fldCharType="separate"/>
        </w:r>
        <w:r>
          <w:rPr>
            <w:noProof/>
            <w:webHidden/>
          </w:rPr>
          <w:t>6</w:t>
        </w:r>
        <w:r w:rsidR="00563A92">
          <w:rPr>
            <w:noProof/>
            <w:webHidden/>
          </w:rPr>
          <w:fldChar w:fldCharType="end"/>
        </w:r>
      </w:hyperlink>
    </w:p>
    <w:p w14:paraId="5176A87A" w14:textId="60D5D6AA" w:rsidR="00563A92" w:rsidRDefault="000A6B46">
      <w:pPr>
        <w:pStyle w:val="TOC2"/>
        <w:rPr>
          <w:rFonts w:asciiTheme="minorHAnsi" w:eastAsiaTheme="minorEastAsia" w:hAnsiTheme="minorHAnsi" w:cstheme="minorBidi"/>
          <w:b w:val="0"/>
          <w:noProof/>
          <w:sz w:val="22"/>
          <w:szCs w:val="22"/>
        </w:rPr>
      </w:pPr>
      <w:hyperlink w:anchor="_Toc39750271" w:history="1">
        <w:r w:rsidR="00563A92" w:rsidRPr="00080E97">
          <w:rPr>
            <w:rStyle w:val="Hyperlink"/>
            <w:noProof/>
          </w:rPr>
          <w:t>3.1 Framework and Identifying Potential Intervention Points</w:t>
        </w:r>
        <w:r w:rsidR="00563A92">
          <w:rPr>
            <w:noProof/>
            <w:webHidden/>
          </w:rPr>
          <w:tab/>
        </w:r>
        <w:r w:rsidR="00563A92">
          <w:rPr>
            <w:noProof/>
            <w:webHidden/>
          </w:rPr>
          <w:fldChar w:fldCharType="begin"/>
        </w:r>
        <w:r w:rsidR="00563A92">
          <w:rPr>
            <w:noProof/>
            <w:webHidden/>
          </w:rPr>
          <w:instrText xml:space="preserve"> PAGEREF _Toc39750271 \h </w:instrText>
        </w:r>
        <w:r w:rsidR="00563A92">
          <w:rPr>
            <w:noProof/>
            <w:webHidden/>
          </w:rPr>
        </w:r>
        <w:r w:rsidR="00563A92">
          <w:rPr>
            <w:noProof/>
            <w:webHidden/>
          </w:rPr>
          <w:fldChar w:fldCharType="separate"/>
        </w:r>
        <w:r>
          <w:rPr>
            <w:noProof/>
            <w:webHidden/>
          </w:rPr>
          <w:t>7</w:t>
        </w:r>
        <w:r w:rsidR="00563A92">
          <w:rPr>
            <w:noProof/>
            <w:webHidden/>
          </w:rPr>
          <w:fldChar w:fldCharType="end"/>
        </w:r>
      </w:hyperlink>
    </w:p>
    <w:p w14:paraId="502A2ECE" w14:textId="3947CC20" w:rsidR="00563A92" w:rsidRDefault="000A6B46">
      <w:pPr>
        <w:pStyle w:val="TOC1"/>
        <w:rPr>
          <w:rFonts w:asciiTheme="minorHAnsi" w:eastAsiaTheme="minorEastAsia" w:hAnsiTheme="minorHAnsi" w:cstheme="minorBidi"/>
          <w:b w:val="0"/>
          <w:noProof/>
          <w:sz w:val="22"/>
          <w:szCs w:val="22"/>
        </w:rPr>
      </w:pPr>
      <w:hyperlink w:anchor="_Toc39750272" w:history="1">
        <w:r w:rsidR="00563A92" w:rsidRPr="00080E97">
          <w:rPr>
            <w:rStyle w:val="Hyperlink"/>
            <w:noProof/>
          </w:rPr>
          <w:t>4.0 Review of Findings</w:t>
        </w:r>
        <w:r w:rsidR="00563A92">
          <w:rPr>
            <w:noProof/>
            <w:webHidden/>
          </w:rPr>
          <w:tab/>
        </w:r>
        <w:r w:rsidR="00563A92">
          <w:rPr>
            <w:noProof/>
            <w:webHidden/>
          </w:rPr>
          <w:fldChar w:fldCharType="begin"/>
        </w:r>
        <w:r w:rsidR="00563A92">
          <w:rPr>
            <w:noProof/>
            <w:webHidden/>
          </w:rPr>
          <w:instrText xml:space="preserve"> PAGEREF _Toc39750272 \h </w:instrText>
        </w:r>
        <w:r w:rsidR="00563A92">
          <w:rPr>
            <w:noProof/>
            <w:webHidden/>
          </w:rPr>
        </w:r>
        <w:r w:rsidR="00563A92">
          <w:rPr>
            <w:noProof/>
            <w:webHidden/>
          </w:rPr>
          <w:fldChar w:fldCharType="separate"/>
        </w:r>
        <w:r>
          <w:rPr>
            <w:noProof/>
            <w:webHidden/>
          </w:rPr>
          <w:t>9</w:t>
        </w:r>
        <w:r w:rsidR="00563A92">
          <w:rPr>
            <w:noProof/>
            <w:webHidden/>
          </w:rPr>
          <w:fldChar w:fldCharType="end"/>
        </w:r>
      </w:hyperlink>
    </w:p>
    <w:p w14:paraId="7D52708B" w14:textId="3D516BCB" w:rsidR="00563A92" w:rsidRDefault="000A6B46">
      <w:pPr>
        <w:pStyle w:val="TOC2"/>
        <w:rPr>
          <w:rFonts w:asciiTheme="minorHAnsi" w:eastAsiaTheme="minorEastAsia" w:hAnsiTheme="minorHAnsi" w:cstheme="minorBidi"/>
          <w:b w:val="0"/>
          <w:noProof/>
          <w:sz w:val="22"/>
          <w:szCs w:val="22"/>
        </w:rPr>
      </w:pPr>
      <w:hyperlink w:anchor="_Toc39750273" w:history="1">
        <w:r w:rsidR="00563A92" w:rsidRPr="00080E97">
          <w:rPr>
            <w:rStyle w:val="Hyperlink"/>
            <w:noProof/>
          </w:rPr>
          <w:t>4.1 Existing Models</w:t>
        </w:r>
        <w:r w:rsidR="00563A92">
          <w:rPr>
            <w:noProof/>
            <w:webHidden/>
          </w:rPr>
          <w:tab/>
        </w:r>
        <w:r w:rsidR="00563A92">
          <w:rPr>
            <w:noProof/>
            <w:webHidden/>
          </w:rPr>
          <w:fldChar w:fldCharType="begin"/>
        </w:r>
        <w:r w:rsidR="00563A92">
          <w:rPr>
            <w:noProof/>
            <w:webHidden/>
          </w:rPr>
          <w:instrText xml:space="preserve"> PAGEREF _Toc39750273 \h </w:instrText>
        </w:r>
        <w:r w:rsidR="00563A92">
          <w:rPr>
            <w:noProof/>
            <w:webHidden/>
          </w:rPr>
        </w:r>
        <w:r w:rsidR="00563A92">
          <w:rPr>
            <w:noProof/>
            <w:webHidden/>
          </w:rPr>
          <w:fldChar w:fldCharType="separate"/>
        </w:r>
        <w:r>
          <w:rPr>
            <w:noProof/>
            <w:webHidden/>
          </w:rPr>
          <w:t>11</w:t>
        </w:r>
        <w:r w:rsidR="00563A92">
          <w:rPr>
            <w:noProof/>
            <w:webHidden/>
          </w:rPr>
          <w:fldChar w:fldCharType="end"/>
        </w:r>
      </w:hyperlink>
    </w:p>
    <w:p w14:paraId="5EB49149" w14:textId="7961DE8D" w:rsidR="00563A92" w:rsidRDefault="000A6B46">
      <w:pPr>
        <w:pStyle w:val="TOC3"/>
        <w:rPr>
          <w:rFonts w:asciiTheme="minorHAnsi" w:eastAsiaTheme="minorEastAsia" w:hAnsiTheme="minorHAnsi" w:cstheme="minorBidi"/>
          <w:b w:val="0"/>
          <w:noProof/>
          <w:sz w:val="22"/>
          <w:szCs w:val="22"/>
        </w:rPr>
      </w:pPr>
      <w:hyperlink w:anchor="_Toc39750274" w:history="1">
        <w:r w:rsidR="00563A92" w:rsidRPr="00080E97">
          <w:rPr>
            <w:rStyle w:val="Hyperlink"/>
            <w:noProof/>
          </w:rPr>
          <w:t>4.1.1 National Minority Organ and Tissue Transplantation Program</w:t>
        </w:r>
        <w:r w:rsidR="00563A92">
          <w:rPr>
            <w:noProof/>
            <w:webHidden/>
          </w:rPr>
          <w:tab/>
        </w:r>
        <w:r w:rsidR="00563A92">
          <w:rPr>
            <w:noProof/>
            <w:webHidden/>
          </w:rPr>
          <w:fldChar w:fldCharType="begin"/>
        </w:r>
        <w:r w:rsidR="00563A92">
          <w:rPr>
            <w:noProof/>
            <w:webHidden/>
          </w:rPr>
          <w:instrText xml:space="preserve"> PAGEREF _Toc39750274 \h </w:instrText>
        </w:r>
        <w:r w:rsidR="00563A92">
          <w:rPr>
            <w:noProof/>
            <w:webHidden/>
          </w:rPr>
        </w:r>
        <w:r w:rsidR="00563A92">
          <w:rPr>
            <w:noProof/>
            <w:webHidden/>
          </w:rPr>
          <w:fldChar w:fldCharType="separate"/>
        </w:r>
        <w:r>
          <w:rPr>
            <w:noProof/>
            <w:webHidden/>
          </w:rPr>
          <w:t>12</w:t>
        </w:r>
        <w:r w:rsidR="00563A92">
          <w:rPr>
            <w:noProof/>
            <w:webHidden/>
          </w:rPr>
          <w:fldChar w:fldCharType="end"/>
        </w:r>
      </w:hyperlink>
    </w:p>
    <w:p w14:paraId="5036830C" w14:textId="397F62D3" w:rsidR="00563A92" w:rsidRDefault="000A6B46">
      <w:pPr>
        <w:pStyle w:val="TOC3"/>
        <w:rPr>
          <w:rFonts w:asciiTheme="minorHAnsi" w:eastAsiaTheme="minorEastAsia" w:hAnsiTheme="minorHAnsi" w:cstheme="minorBidi"/>
          <w:b w:val="0"/>
          <w:noProof/>
          <w:sz w:val="22"/>
          <w:szCs w:val="22"/>
        </w:rPr>
      </w:pPr>
      <w:hyperlink w:anchor="_Toc39750275" w:history="1">
        <w:r w:rsidR="00563A92" w:rsidRPr="00080E97">
          <w:rPr>
            <w:rStyle w:val="Hyperlink"/>
            <w:noProof/>
          </w:rPr>
          <w:t>4.1.2 National Kidney Foundation</w:t>
        </w:r>
        <w:r w:rsidR="00563A92">
          <w:rPr>
            <w:noProof/>
            <w:webHidden/>
          </w:rPr>
          <w:tab/>
        </w:r>
        <w:r w:rsidR="00563A92">
          <w:rPr>
            <w:noProof/>
            <w:webHidden/>
          </w:rPr>
          <w:fldChar w:fldCharType="begin"/>
        </w:r>
        <w:r w:rsidR="00563A92">
          <w:rPr>
            <w:noProof/>
            <w:webHidden/>
          </w:rPr>
          <w:instrText xml:space="preserve"> PAGEREF _Toc39750275 \h </w:instrText>
        </w:r>
        <w:r w:rsidR="00563A92">
          <w:rPr>
            <w:noProof/>
            <w:webHidden/>
          </w:rPr>
        </w:r>
        <w:r w:rsidR="00563A92">
          <w:rPr>
            <w:noProof/>
            <w:webHidden/>
          </w:rPr>
          <w:fldChar w:fldCharType="separate"/>
        </w:r>
        <w:r>
          <w:rPr>
            <w:noProof/>
            <w:webHidden/>
          </w:rPr>
          <w:t>15</w:t>
        </w:r>
        <w:r w:rsidR="00563A92">
          <w:rPr>
            <w:noProof/>
            <w:webHidden/>
          </w:rPr>
          <w:fldChar w:fldCharType="end"/>
        </w:r>
      </w:hyperlink>
    </w:p>
    <w:p w14:paraId="564E41EB" w14:textId="64104AF3" w:rsidR="00563A92" w:rsidRDefault="000A6B46">
      <w:pPr>
        <w:pStyle w:val="TOC1"/>
        <w:rPr>
          <w:rFonts w:asciiTheme="minorHAnsi" w:eastAsiaTheme="minorEastAsia" w:hAnsiTheme="minorHAnsi" w:cstheme="minorBidi"/>
          <w:b w:val="0"/>
          <w:noProof/>
          <w:sz w:val="22"/>
          <w:szCs w:val="22"/>
        </w:rPr>
      </w:pPr>
      <w:hyperlink w:anchor="_Toc39750276" w:history="1">
        <w:r w:rsidR="00563A92" w:rsidRPr="00080E97">
          <w:rPr>
            <w:rStyle w:val="Hyperlink"/>
            <w:noProof/>
          </w:rPr>
          <w:t>5.0 Best Practices for Programming and CHNA Evaluation</w:t>
        </w:r>
        <w:r w:rsidR="00563A92">
          <w:rPr>
            <w:noProof/>
            <w:webHidden/>
          </w:rPr>
          <w:tab/>
        </w:r>
        <w:r w:rsidR="00563A92">
          <w:rPr>
            <w:noProof/>
            <w:webHidden/>
          </w:rPr>
          <w:fldChar w:fldCharType="begin"/>
        </w:r>
        <w:r w:rsidR="00563A92">
          <w:rPr>
            <w:noProof/>
            <w:webHidden/>
          </w:rPr>
          <w:instrText xml:space="preserve"> PAGEREF _Toc39750276 \h </w:instrText>
        </w:r>
        <w:r w:rsidR="00563A92">
          <w:rPr>
            <w:noProof/>
            <w:webHidden/>
          </w:rPr>
        </w:r>
        <w:r w:rsidR="00563A92">
          <w:rPr>
            <w:noProof/>
            <w:webHidden/>
          </w:rPr>
          <w:fldChar w:fldCharType="separate"/>
        </w:r>
        <w:r>
          <w:rPr>
            <w:noProof/>
            <w:webHidden/>
          </w:rPr>
          <w:t>16</w:t>
        </w:r>
        <w:r w:rsidR="00563A92">
          <w:rPr>
            <w:noProof/>
            <w:webHidden/>
          </w:rPr>
          <w:fldChar w:fldCharType="end"/>
        </w:r>
      </w:hyperlink>
    </w:p>
    <w:p w14:paraId="1343B70E" w14:textId="1D15D50F" w:rsidR="00563A92" w:rsidRDefault="000A6B46">
      <w:pPr>
        <w:pStyle w:val="TOC2"/>
        <w:rPr>
          <w:rFonts w:asciiTheme="minorHAnsi" w:eastAsiaTheme="minorEastAsia" w:hAnsiTheme="minorHAnsi" w:cstheme="minorBidi"/>
          <w:b w:val="0"/>
          <w:noProof/>
          <w:sz w:val="22"/>
          <w:szCs w:val="22"/>
        </w:rPr>
      </w:pPr>
      <w:hyperlink w:anchor="_Toc39750277" w:history="1">
        <w:r w:rsidR="00563A92" w:rsidRPr="00080E97">
          <w:rPr>
            <w:rStyle w:val="Hyperlink"/>
            <w:noProof/>
          </w:rPr>
          <w:t>5.1 Best Practices</w:t>
        </w:r>
        <w:r w:rsidR="00563A92">
          <w:rPr>
            <w:noProof/>
            <w:webHidden/>
          </w:rPr>
          <w:tab/>
        </w:r>
        <w:r w:rsidR="00563A92">
          <w:rPr>
            <w:noProof/>
            <w:webHidden/>
          </w:rPr>
          <w:fldChar w:fldCharType="begin"/>
        </w:r>
        <w:r w:rsidR="00563A92">
          <w:rPr>
            <w:noProof/>
            <w:webHidden/>
          </w:rPr>
          <w:instrText xml:space="preserve"> PAGEREF _Toc39750277 \h </w:instrText>
        </w:r>
        <w:r w:rsidR="00563A92">
          <w:rPr>
            <w:noProof/>
            <w:webHidden/>
          </w:rPr>
        </w:r>
        <w:r w:rsidR="00563A92">
          <w:rPr>
            <w:noProof/>
            <w:webHidden/>
          </w:rPr>
          <w:fldChar w:fldCharType="separate"/>
        </w:r>
        <w:r>
          <w:rPr>
            <w:noProof/>
            <w:webHidden/>
          </w:rPr>
          <w:t>16</w:t>
        </w:r>
        <w:r w:rsidR="00563A92">
          <w:rPr>
            <w:noProof/>
            <w:webHidden/>
          </w:rPr>
          <w:fldChar w:fldCharType="end"/>
        </w:r>
      </w:hyperlink>
    </w:p>
    <w:p w14:paraId="27D25008" w14:textId="09D7FB47" w:rsidR="00563A92" w:rsidRDefault="000A6B46">
      <w:pPr>
        <w:pStyle w:val="TOC3"/>
        <w:rPr>
          <w:rFonts w:asciiTheme="minorHAnsi" w:eastAsiaTheme="minorEastAsia" w:hAnsiTheme="minorHAnsi" w:cstheme="minorBidi"/>
          <w:b w:val="0"/>
          <w:noProof/>
          <w:sz w:val="22"/>
          <w:szCs w:val="22"/>
        </w:rPr>
      </w:pPr>
      <w:hyperlink w:anchor="_Toc39750278" w:history="1">
        <w:r w:rsidR="00563A92" w:rsidRPr="00080E97">
          <w:rPr>
            <w:rStyle w:val="Hyperlink"/>
            <w:noProof/>
          </w:rPr>
          <w:t>5.1.1 Community Advisory Boards (CAB)</w:t>
        </w:r>
        <w:r w:rsidR="00563A92">
          <w:rPr>
            <w:noProof/>
            <w:webHidden/>
          </w:rPr>
          <w:tab/>
        </w:r>
        <w:r w:rsidR="00563A92">
          <w:rPr>
            <w:noProof/>
            <w:webHidden/>
          </w:rPr>
          <w:fldChar w:fldCharType="begin"/>
        </w:r>
        <w:r w:rsidR="00563A92">
          <w:rPr>
            <w:noProof/>
            <w:webHidden/>
          </w:rPr>
          <w:instrText xml:space="preserve"> PAGEREF _Toc39750278 \h </w:instrText>
        </w:r>
        <w:r w:rsidR="00563A92">
          <w:rPr>
            <w:noProof/>
            <w:webHidden/>
          </w:rPr>
        </w:r>
        <w:r w:rsidR="00563A92">
          <w:rPr>
            <w:noProof/>
            <w:webHidden/>
          </w:rPr>
          <w:fldChar w:fldCharType="separate"/>
        </w:r>
        <w:r>
          <w:rPr>
            <w:noProof/>
            <w:webHidden/>
          </w:rPr>
          <w:t>17</w:t>
        </w:r>
        <w:r w:rsidR="00563A92">
          <w:rPr>
            <w:noProof/>
            <w:webHidden/>
          </w:rPr>
          <w:fldChar w:fldCharType="end"/>
        </w:r>
      </w:hyperlink>
    </w:p>
    <w:p w14:paraId="4A55025F" w14:textId="5E532BBE" w:rsidR="00563A92" w:rsidRDefault="000A6B46">
      <w:pPr>
        <w:pStyle w:val="TOC3"/>
        <w:rPr>
          <w:rFonts w:asciiTheme="minorHAnsi" w:eastAsiaTheme="minorEastAsia" w:hAnsiTheme="minorHAnsi" w:cstheme="minorBidi"/>
          <w:b w:val="0"/>
          <w:noProof/>
          <w:sz w:val="22"/>
          <w:szCs w:val="22"/>
        </w:rPr>
      </w:pPr>
      <w:hyperlink w:anchor="_Toc39750279" w:history="1">
        <w:r w:rsidR="00563A92" w:rsidRPr="00080E97">
          <w:rPr>
            <w:rStyle w:val="Hyperlink"/>
            <w:noProof/>
          </w:rPr>
          <w:t>5.1.2 Considering and Integrating Public Health Resources</w:t>
        </w:r>
        <w:r w:rsidR="00563A92">
          <w:rPr>
            <w:noProof/>
            <w:webHidden/>
          </w:rPr>
          <w:tab/>
        </w:r>
        <w:r w:rsidR="00563A92">
          <w:rPr>
            <w:noProof/>
            <w:webHidden/>
          </w:rPr>
          <w:fldChar w:fldCharType="begin"/>
        </w:r>
        <w:r w:rsidR="00563A92">
          <w:rPr>
            <w:noProof/>
            <w:webHidden/>
          </w:rPr>
          <w:instrText xml:space="preserve"> PAGEREF _Toc39750279 \h </w:instrText>
        </w:r>
        <w:r w:rsidR="00563A92">
          <w:rPr>
            <w:noProof/>
            <w:webHidden/>
          </w:rPr>
        </w:r>
        <w:r w:rsidR="00563A92">
          <w:rPr>
            <w:noProof/>
            <w:webHidden/>
          </w:rPr>
          <w:fldChar w:fldCharType="separate"/>
        </w:r>
        <w:r>
          <w:rPr>
            <w:noProof/>
            <w:webHidden/>
          </w:rPr>
          <w:t>17</w:t>
        </w:r>
        <w:r w:rsidR="00563A92">
          <w:rPr>
            <w:noProof/>
            <w:webHidden/>
          </w:rPr>
          <w:fldChar w:fldCharType="end"/>
        </w:r>
      </w:hyperlink>
    </w:p>
    <w:p w14:paraId="3A48CA95" w14:textId="2B56642F" w:rsidR="00563A92" w:rsidRDefault="000A6B46">
      <w:pPr>
        <w:pStyle w:val="TOC3"/>
        <w:rPr>
          <w:rFonts w:asciiTheme="minorHAnsi" w:eastAsiaTheme="minorEastAsia" w:hAnsiTheme="minorHAnsi" w:cstheme="minorBidi"/>
          <w:b w:val="0"/>
          <w:noProof/>
          <w:sz w:val="22"/>
          <w:szCs w:val="22"/>
        </w:rPr>
      </w:pPr>
      <w:hyperlink w:anchor="_Toc39750280" w:history="1">
        <w:r w:rsidR="00563A92" w:rsidRPr="00080E97">
          <w:rPr>
            <w:rStyle w:val="Hyperlink"/>
            <w:noProof/>
          </w:rPr>
          <w:t>5.1.3 Community Health Workers (CHW) and Focusing on Strengths, and Capacity Building</w:t>
        </w:r>
        <w:r w:rsidR="00563A92">
          <w:rPr>
            <w:noProof/>
            <w:webHidden/>
          </w:rPr>
          <w:tab/>
        </w:r>
        <w:r w:rsidR="00563A92">
          <w:rPr>
            <w:noProof/>
            <w:webHidden/>
          </w:rPr>
          <w:fldChar w:fldCharType="begin"/>
        </w:r>
        <w:r w:rsidR="00563A92">
          <w:rPr>
            <w:noProof/>
            <w:webHidden/>
          </w:rPr>
          <w:instrText xml:space="preserve"> PAGEREF _Toc39750280 \h </w:instrText>
        </w:r>
        <w:r w:rsidR="00563A92">
          <w:rPr>
            <w:noProof/>
            <w:webHidden/>
          </w:rPr>
        </w:r>
        <w:r w:rsidR="00563A92">
          <w:rPr>
            <w:noProof/>
            <w:webHidden/>
          </w:rPr>
          <w:fldChar w:fldCharType="separate"/>
        </w:r>
        <w:r>
          <w:rPr>
            <w:noProof/>
            <w:webHidden/>
          </w:rPr>
          <w:t>18</w:t>
        </w:r>
        <w:r w:rsidR="00563A92">
          <w:rPr>
            <w:noProof/>
            <w:webHidden/>
          </w:rPr>
          <w:fldChar w:fldCharType="end"/>
        </w:r>
      </w:hyperlink>
    </w:p>
    <w:p w14:paraId="15908854" w14:textId="4EF025EE" w:rsidR="00563A92" w:rsidRDefault="000A6B46">
      <w:pPr>
        <w:pStyle w:val="TOC3"/>
        <w:rPr>
          <w:rFonts w:asciiTheme="minorHAnsi" w:eastAsiaTheme="minorEastAsia" w:hAnsiTheme="minorHAnsi" w:cstheme="minorBidi"/>
          <w:b w:val="0"/>
          <w:noProof/>
          <w:sz w:val="22"/>
          <w:szCs w:val="22"/>
        </w:rPr>
      </w:pPr>
      <w:hyperlink w:anchor="_Toc39750281" w:history="1">
        <w:r w:rsidR="00563A92" w:rsidRPr="00080E97">
          <w:rPr>
            <w:rStyle w:val="Hyperlink"/>
            <w:noProof/>
          </w:rPr>
          <w:t>5.1.4 Targeting Health Literacy and Incorporating Cultural Humility</w:t>
        </w:r>
        <w:r w:rsidR="00563A92">
          <w:rPr>
            <w:noProof/>
            <w:webHidden/>
          </w:rPr>
          <w:tab/>
        </w:r>
        <w:r w:rsidR="00563A92">
          <w:rPr>
            <w:noProof/>
            <w:webHidden/>
          </w:rPr>
          <w:fldChar w:fldCharType="begin"/>
        </w:r>
        <w:r w:rsidR="00563A92">
          <w:rPr>
            <w:noProof/>
            <w:webHidden/>
          </w:rPr>
          <w:instrText xml:space="preserve"> PAGEREF _Toc39750281 \h </w:instrText>
        </w:r>
        <w:r w:rsidR="00563A92">
          <w:rPr>
            <w:noProof/>
            <w:webHidden/>
          </w:rPr>
        </w:r>
        <w:r w:rsidR="00563A92">
          <w:rPr>
            <w:noProof/>
            <w:webHidden/>
          </w:rPr>
          <w:fldChar w:fldCharType="separate"/>
        </w:r>
        <w:r>
          <w:rPr>
            <w:noProof/>
            <w:webHidden/>
          </w:rPr>
          <w:t>19</w:t>
        </w:r>
        <w:r w:rsidR="00563A92">
          <w:rPr>
            <w:noProof/>
            <w:webHidden/>
          </w:rPr>
          <w:fldChar w:fldCharType="end"/>
        </w:r>
      </w:hyperlink>
    </w:p>
    <w:p w14:paraId="64CABBF4" w14:textId="1219E688" w:rsidR="00563A92" w:rsidRDefault="000A6B46">
      <w:pPr>
        <w:pStyle w:val="TOC2"/>
        <w:rPr>
          <w:rFonts w:asciiTheme="minorHAnsi" w:eastAsiaTheme="minorEastAsia" w:hAnsiTheme="minorHAnsi" w:cstheme="minorBidi"/>
          <w:b w:val="0"/>
          <w:noProof/>
          <w:sz w:val="22"/>
          <w:szCs w:val="22"/>
        </w:rPr>
      </w:pPr>
      <w:hyperlink w:anchor="_Toc39750282" w:history="1">
        <w:r w:rsidR="00563A92" w:rsidRPr="00080E97">
          <w:rPr>
            <w:rStyle w:val="Hyperlink"/>
            <w:noProof/>
          </w:rPr>
          <w:t>5.2 Assessing CHNA and IP Strength</w:t>
        </w:r>
        <w:r w:rsidR="00563A92">
          <w:rPr>
            <w:noProof/>
            <w:webHidden/>
          </w:rPr>
          <w:tab/>
        </w:r>
        <w:r w:rsidR="00563A92">
          <w:rPr>
            <w:noProof/>
            <w:webHidden/>
          </w:rPr>
          <w:fldChar w:fldCharType="begin"/>
        </w:r>
        <w:r w:rsidR="00563A92">
          <w:rPr>
            <w:noProof/>
            <w:webHidden/>
          </w:rPr>
          <w:instrText xml:space="preserve"> PAGEREF _Toc39750282 \h </w:instrText>
        </w:r>
        <w:r w:rsidR="00563A92">
          <w:rPr>
            <w:noProof/>
            <w:webHidden/>
          </w:rPr>
        </w:r>
        <w:r w:rsidR="00563A92">
          <w:rPr>
            <w:noProof/>
            <w:webHidden/>
          </w:rPr>
          <w:fldChar w:fldCharType="separate"/>
        </w:r>
        <w:r>
          <w:rPr>
            <w:noProof/>
            <w:webHidden/>
          </w:rPr>
          <w:t>20</w:t>
        </w:r>
        <w:r w:rsidR="00563A92">
          <w:rPr>
            <w:noProof/>
            <w:webHidden/>
          </w:rPr>
          <w:fldChar w:fldCharType="end"/>
        </w:r>
      </w:hyperlink>
    </w:p>
    <w:p w14:paraId="50997DBF" w14:textId="51E0A0A6" w:rsidR="00563A92" w:rsidRDefault="000A6B46">
      <w:pPr>
        <w:pStyle w:val="TOC2"/>
        <w:rPr>
          <w:rFonts w:asciiTheme="minorHAnsi" w:eastAsiaTheme="minorEastAsia" w:hAnsiTheme="minorHAnsi" w:cstheme="minorBidi"/>
          <w:b w:val="0"/>
          <w:noProof/>
          <w:sz w:val="22"/>
          <w:szCs w:val="22"/>
        </w:rPr>
      </w:pPr>
      <w:hyperlink w:anchor="_Toc39750283" w:history="1">
        <w:r w:rsidR="00563A92" w:rsidRPr="00080E97">
          <w:rPr>
            <w:rStyle w:val="Hyperlink"/>
            <w:noProof/>
          </w:rPr>
          <w:t>5.3 Weaknesses and Limitations</w:t>
        </w:r>
        <w:r w:rsidR="00563A92">
          <w:rPr>
            <w:noProof/>
            <w:webHidden/>
          </w:rPr>
          <w:tab/>
        </w:r>
        <w:r w:rsidR="00563A92">
          <w:rPr>
            <w:noProof/>
            <w:webHidden/>
          </w:rPr>
          <w:fldChar w:fldCharType="begin"/>
        </w:r>
        <w:r w:rsidR="00563A92">
          <w:rPr>
            <w:noProof/>
            <w:webHidden/>
          </w:rPr>
          <w:instrText xml:space="preserve"> PAGEREF _Toc39750283 \h </w:instrText>
        </w:r>
        <w:r w:rsidR="00563A92">
          <w:rPr>
            <w:noProof/>
            <w:webHidden/>
          </w:rPr>
        </w:r>
        <w:r w:rsidR="00563A92">
          <w:rPr>
            <w:noProof/>
            <w:webHidden/>
          </w:rPr>
          <w:fldChar w:fldCharType="separate"/>
        </w:r>
        <w:r>
          <w:rPr>
            <w:noProof/>
            <w:webHidden/>
          </w:rPr>
          <w:t>22</w:t>
        </w:r>
        <w:r w:rsidR="00563A92">
          <w:rPr>
            <w:noProof/>
            <w:webHidden/>
          </w:rPr>
          <w:fldChar w:fldCharType="end"/>
        </w:r>
      </w:hyperlink>
    </w:p>
    <w:p w14:paraId="2B79D6C3" w14:textId="0FE39A7F" w:rsidR="00563A92" w:rsidRDefault="000A6B46">
      <w:pPr>
        <w:pStyle w:val="TOC1"/>
        <w:rPr>
          <w:rFonts w:asciiTheme="minorHAnsi" w:eastAsiaTheme="minorEastAsia" w:hAnsiTheme="minorHAnsi" w:cstheme="minorBidi"/>
          <w:b w:val="0"/>
          <w:noProof/>
          <w:sz w:val="22"/>
          <w:szCs w:val="22"/>
        </w:rPr>
      </w:pPr>
      <w:hyperlink w:anchor="_Toc39750284" w:history="1">
        <w:r w:rsidR="00563A92" w:rsidRPr="00080E97">
          <w:rPr>
            <w:rStyle w:val="Hyperlink"/>
            <w:noProof/>
          </w:rPr>
          <w:t>6.0 Conclusions</w:t>
        </w:r>
        <w:r w:rsidR="00563A92">
          <w:rPr>
            <w:noProof/>
            <w:webHidden/>
          </w:rPr>
          <w:tab/>
        </w:r>
        <w:r w:rsidR="00563A92">
          <w:rPr>
            <w:noProof/>
            <w:webHidden/>
          </w:rPr>
          <w:fldChar w:fldCharType="begin"/>
        </w:r>
        <w:r w:rsidR="00563A92">
          <w:rPr>
            <w:noProof/>
            <w:webHidden/>
          </w:rPr>
          <w:instrText xml:space="preserve"> PAGEREF _Toc39750284 \h </w:instrText>
        </w:r>
        <w:r w:rsidR="00563A92">
          <w:rPr>
            <w:noProof/>
            <w:webHidden/>
          </w:rPr>
        </w:r>
        <w:r w:rsidR="00563A92">
          <w:rPr>
            <w:noProof/>
            <w:webHidden/>
          </w:rPr>
          <w:fldChar w:fldCharType="separate"/>
        </w:r>
        <w:r>
          <w:rPr>
            <w:noProof/>
            <w:webHidden/>
          </w:rPr>
          <w:t>23</w:t>
        </w:r>
        <w:r w:rsidR="00563A92">
          <w:rPr>
            <w:noProof/>
            <w:webHidden/>
          </w:rPr>
          <w:fldChar w:fldCharType="end"/>
        </w:r>
      </w:hyperlink>
    </w:p>
    <w:p w14:paraId="7C30D087" w14:textId="165CD47B" w:rsidR="00563A92" w:rsidRDefault="000A6B46">
      <w:pPr>
        <w:pStyle w:val="TOC1"/>
        <w:rPr>
          <w:rFonts w:asciiTheme="minorHAnsi" w:eastAsiaTheme="minorEastAsia" w:hAnsiTheme="minorHAnsi" w:cstheme="minorBidi"/>
          <w:b w:val="0"/>
          <w:noProof/>
          <w:sz w:val="22"/>
          <w:szCs w:val="22"/>
        </w:rPr>
      </w:pPr>
      <w:hyperlink w:anchor="_Toc39750285" w:history="1">
        <w:r w:rsidR="00563A92" w:rsidRPr="00080E97">
          <w:rPr>
            <w:rStyle w:val="Hyperlink"/>
            <w:noProof/>
          </w:rPr>
          <w:t>Appendix A Data Figures</w:t>
        </w:r>
        <w:r w:rsidR="00563A92">
          <w:rPr>
            <w:noProof/>
            <w:webHidden/>
          </w:rPr>
          <w:tab/>
        </w:r>
        <w:r w:rsidR="00563A92">
          <w:rPr>
            <w:noProof/>
            <w:webHidden/>
          </w:rPr>
          <w:fldChar w:fldCharType="begin"/>
        </w:r>
        <w:r w:rsidR="00563A92">
          <w:rPr>
            <w:noProof/>
            <w:webHidden/>
          </w:rPr>
          <w:instrText xml:space="preserve"> PAGEREF _Toc39750285 \h </w:instrText>
        </w:r>
        <w:r w:rsidR="00563A92">
          <w:rPr>
            <w:noProof/>
            <w:webHidden/>
          </w:rPr>
        </w:r>
        <w:r w:rsidR="00563A92">
          <w:rPr>
            <w:noProof/>
            <w:webHidden/>
          </w:rPr>
          <w:fldChar w:fldCharType="separate"/>
        </w:r>
        <w:r>
          <w:rPr>
            <w:noProof/>
            <w:webHidden/>
          </w:rPr>
          <w:t>29</w:t>
        </w:r>
        <w:r w:rsidR="00563A92">
          <w:rPr>
            <w:noProof/>
            <w:webHidden/>
          </w:rPr>
          <w:fldChar w:fldCharType="end"/>
        </w:r>
      </w:hyperlink>
    </w:p>
    <w:p w14:paraId="77BCB523" w14:textId="5BEB157E" w:rsidR="00563A92" w:rsidRDefault="000A6B46">
      <w:pPr>
        <w:pStyle w:val="TOC1"/>
        <w:rPr>
          <w:rFonts w:asciiTheme="minorHAnsi" w:eastAsiaTheme="minorEastAsia" w:hAnsiTheme="minorHAnsi" w:cstheme="minorBidi"/>
          <w:b w:val="0"/>
          <w:noProof/>
          <w:sz w:val="22"/>
          <w:szCs w:val="22"/>
        </w:rPr>
      </w:pPr>
      <w:hyperlink w:anchor="_Toc39750286" w:history="1">
        <w:r w:rsidR="00563A92" w:rsidRPr="00080E97">
          <w:rPr>
            <w:rStyle w:val="Hyperlink"/>
            <w:noProof/>
          </w:rPr>
          <w:t>Appendix B SMOG Chart</w:t>
        </w:r>
        <w:r w:rsidR="00036E2C">
          <w:rPr>
            <w:rStyle w:val="Hyperlink"/>
            <w:noProof/>
          </w:rPr>
          <w:t xml:space="preserve"> Example</w:t>
        </w:r>
        <w:r w:rsidR="00563A92">
          <w:rPr>
            <w:noProof/>
            <w:webHidden/>
          </w:rPr>
          <w:tab/>
        </w:r>
        <w:r w:rsidR="00563A92">
          <w:rPr>
            <w:noProof/>
            <w:webHidden/>
          </w:rPr>
          <w:fldChar w:fldCharType="begin"/>
        </w:r>
        <w:r w:rsidR="00563A92">
          <w:rPr>
            <w:noProof/>
            <w:webHidden/>
          </w:rPr>
          <w:instrText xml:space="preserve"> PAGEREF _Toc39750286 \h </w:instrText>
        </w:r>
        <w:r w:rsidR="00563A92">
          <w:rPr>
            <w:noProof/>
            <w:webHidden/>
          </w:rPr>
        </w:r>
        <w:r w:rsidR="00563A92">
          <w:rPr>
            <w:noProof/>
            <w:webHidden/>
          </w:rPr>
          <w:fldChar w:fldCharType="separate"/>
        </w:r>
        <w:r>
          <w:rPr>
            <w:noProof/>
            <w:webHidden/>
          </w:rPr>
          <w:t>32</w:t>
        </w:r>
        <w:r w:rsidR="00563A92">
          <w:rPr>
            <w:noProof/>
            <w:webHidden/>
          </w:rPr>
          <w:fldChar w:fldCharType="end"/>
        </w:r>
      </w:hyperlink>
    </w:p>
    <w:p w14:paraId="1D7E07B6" w14:textId="0FDB2337" w:rsidR="00563A92" w:rsidRDefault="000A6B46">
      <w:pPr>
        <w:pStyle w:val="TOC1"/>
        <w:rPr>
          <w:rFonts w:asciiTheme="minorHAnsi" w:eastAsiaTheme="minorEastAsia" w:hAnsiTheme="minorHAnsi" w:cstheme="minorBidi"/>
          <w:b w:val="0"/>
          <w:noProof/>
          <w:sz w:val="22"/>
          <w:szCs w:val="22"/>
        </w:rPr>
      </w:pPr>
      <w:hyperlink w:anchor="_Toc39750287" w:history="1">
        <w:r w:rsidR="00563A92" w:rsidRPr="00080E97">
          <w:rPr>
            <w:rStyle w:val="Hyperlink"/>
            <w:noProof/>
          </w:rPr>
          <w:t>Appendix C OPTN Acknowledgement of Data Usage</w:t>
        </w:r>
        <w:r w:rsidR="00563A92">
          <w:rPr>
            <w:noProof/>
            <w:webHidden/>
          </w:rPr>
          <w:tab/>
        </w:r>
        <w:r w:rsidR="00563A92">
          <w:rPr>
            <w:noProof/>
            <w:webHidden/>
          </w:rPr>
          <w:fldChar w:fldCharType="begin"/>
        </w:r>
        <w:r w:rsidR="00563A92">
          <w:rPr>
            <w:noProof/>
            <w:webHidden/>
          </w:rPr>
          <w:instrText xml:space="preserve"> PAGEREF _Toc39750287 \h </w:instrText>
        </w:r>
        <w:r w:rsidR="00563A92">
          <w:rPr>
            <w:noProof/>
            <w:webHidden/>
          </w:rPr>
        </w:r>
        <w:r w:rsidR="00563A92">
          <w:rPr>
            <w:noProof/>
            <w:webHidden/>
          </w:rPr>
          <w:fldChar w:fldCharType="separate"/>
        </w:r>
        <w:r>
          <w:rPr>
            <w:noProof/>
            <w:webHidden/>
          </w:rPr>
          <w:t>33</w:t>
        </w:r>
        <w:r w:rsidR="00563A92">
          <w:rPr>
            <w:noProof/>
            <w:webHidden/>
          </w:rPr>
          <w:fldChar w:fldCharType="end"/>
        </w:r>
      </w:hyperlink>
    </w:p>
    <w:p w14:paraId="06FA9EAC" w14:textId="664B8356" w:rsidR="00563A92" w:rsidRDefault="000A6B46">
      <w:pPr>
        <w:pStyle w:val="TOC1"/>
        <w:rPr>
          <w:rFonts w:asciiTheme="minorHAnsi" w:eastAsiaTheme="minorEastAsia" w:hAnsiTheme="minorHAnsi" w:cstheme="minorBidi"/>
          <w:b w:val="0"/>
          <w:noProof/>
          <w:sz w:val="22"/>
          <w:szCs w:val="22"/>
        </w:rPr>
      </w:pPr>
      <w:hyperlink w:anchor="_Toc39750288" w:history="1">
        <w:r w:rsidR="00563A92" w:rsidRPr="00080E97">
          <w:rPr>
            <w:rStyle w:val="Hyperlink"/>
            <w:noProof/>
          </w:rPr>
          <w:t>Bibliography</w:t>
        </w:r>
        <w:r w:rsidR="00563A92">
          <w:rPr>
            <w:noProof/>
            <w:webHidden/>
          </w:rPr>
          <w:tab/>
        </w:r>
        <w:r w:rsidR="00563A92">
          <w:rPr>
            <w:noProof/>
            <w:webHidden/>
          </w:rPr>
          <w:fldChar w:fldCharType="begin"/>
        </w:r>
        <w:r w:rsidR="00563A92">
          <w:rPr>
            <w:noProof/>
            <w:webHidden/>
          </w:rPr>
          <w:instrText xml:space="preserve"> PAGEREF _Toc39750288 \h </w:instrText>
        </w:r>
        <w:r w:rsidR="00563A92">
          <w:rPr>
            <w:noProof/>
            <w:webHidden/>
          </w:rPr>
        </w:r>
        <w:r w:rsidR="00563A92">
          <w:rPr>
            <w:noProof/>
            <w:webHidden/>
          </w:rPr>
          <w:fldChar w:fldCharType="separate"/>
        </w:r>
        <w:r>
          <w:rPr>
            <w:noProof/>
            <w:webHidden/>
          </w:rPr>
          <w:t>34</w:t>
        </w:r>
        <w:r w:rsidR="00563A92">
          <w:rPr>
            <w:noProof/>
            <w:webHidden/>
          </w:rPr>
          <w:fldChar w:fldCharType="end"/>
        </w:r>
      </w:hyperlink>
    </w:p>
    <w:p w14:paraId="48DA3DA2" w14:textId="7A98ED7F" w:rsidR="00D9484A" w:rsidRPr="00D9484A" w:rsidRDefault="00D9484A" w:rsidP="00D9484A">
      <w:pPr>
        <w:keepNext/>
        <w:pageBreakBefore/>
        <w:spacing w:after="960"/>
        <w:ind w:firstLine="0"/>
        <w:jc w:val="center"/>
        <w:outlineLvl w:val="0"/>
        <w:rPr>
          <w:rFonts w:cs="Arial"/>
          <w:b/>
          <w:bCs/>
        </w:rPr>
      </w:pPr>
      <w:r w:rsidRPr="00D9484A">
        <w:rPr>
          <w:b/>
          <w:bCs/>
        </w:rPr>
        <w:lastRenderedPageBreak/>
        <w:fldChar w:fldCharType="end"/>
      </w:r>
      <w:r w:rsidRPr="00D9484A">
        <w:rPr>
          <w:rFonts w:cs="Arial"/>
          <w:b/>
          <w:bCs/>
        </w:rPr>
        <w:t>List of Tables</w:t>
      </w:r>
    </w:p>
    <w:p w14:paraId="34A34BD8" w14:textId="69C355E5" w:rsidR="008D490D" w:rsidRDefault="00D9484A">
      <w:pPr>
        <w:pStyle w:val="TableofFigures"/>
        <w:tabs>
          <w:tab w:val="right" w:leader="dot" w:pos="9350"/>
        </w:tabs>
        <w:rPr>
          <w:rFonts w:asciiTheme="minorHAnsi" w:eastAsiaTheme="minorEastAsia" w:hAnsiTheme="minorHAnsi" w:cstheme="minorBidi"/>
          <w:b w:val="0"/>
          <w:noProof/>
          <w:sz w:val="22"/>
          <w:szCs w:val="22"/>
        </w:rPr>
      </w:pPr>
      <w:r w:rsidRPr="00D9484A">
        <w:fldChar w:fldCharType="begin"/>
      </w:r>
      <w:r w:rsidRPr="00D9484A">
        <w:instrText xml:space="preserve"> TOC \h \z \c "Table" </w:instrText>
      </w:r>
      <w:r w:rsidRPr="00D9484A">
        <w:fldChar w:fldCharType="separate"/>
      </w:r>
      <w:hyperlink w:anchor="_Toc39750908" w:history="1">
        <w:r w:rsidR="008D490D" w:rsidRPr="001678AE">
          <w:rPr>
            <w:rStyle w:val="Hyperlink"/>
            <w:noProof/>
          </w:rPr>
          <w:t>Table 1: Chronic Kidney Disease Stages by Glomerular Filtration Rate (GFR)</w:t>
        </w:r>
        <w:r w:rsidR="008D490D">
          <w:rPr>
            <w:noProof/>
            <w:webHidden/>
          </w:rPr>
          <w:tab/>
        </w:r>
        <w:r w:rsidR="008D490D">
          <w:rPr>
            <w:noProof/>
            <w:webHidden/>
          </w:rPr>
          <w:fldChar w:fldCharType="begin"/>
        </w:r>
        <w:r w:rsidR="008D490D">
          <w:rPr>
            <w:noProof/>
            <w:webHidden/>
          </w:rPr>
          <w:instrText xml:space="preserve"> PAGEREF _Toc39750908 \h </w:instrText>
        </w:r>
        <w:r w:rsidR="008D490D">
          <w:rPr>
            <w:noProof/>
            <w:webHidden/>
          </w:rPr>
        </w:r>
        <w:r w:rsidR="008D490D">
          <w:rPr>
            <w:noProof/>
            <w:webHidden/>
          </w:rPr>
          <w:fldChar w:fldCharType="separate"/>
        </w:r>
        <w:r w:rsidR="000A6B46">
          <w:rPr>
            <w:noProof/>
            <w:webHidden/>
          </w:rPr>
          <w:t>3</w:t>
        </w:r>
        <w:r w:rsidR="008D490D">
          <w:rPr>
            <w:noProof/>
            <w:webHidden/>
          </w:rPr>
          <w:fldChar w:fldCharType="end"/>
        </w:r>
      </w:hyperlink>
    </w:p>
    <w:p w14:paraId="77A15CDB" w14:textId="2C43206F" w:rsidR="008D490D" w:rsidRDefault="000A6B46">
      <w:pPr>
        <w:pStyle w:val="TableofFigures"/>
        <w:tabs>
          <w:tab w:val="right" w:leader="dot" w:pos="9350"/>
        </w:tabs>
        <w:rPr>
          <w:rFonts w:asciiTheme="minorHAnsi" w:eastAsiaTheme="minorEastAsia" w:hAnsiTheme="minorHAnsi" w:cstheme="minorBidi"/>
          <w:b w:val="0"/>
          <w:noProof/>
          <w:sz w:val="22"/>
          <w:szCs w:val="22"/>
        </w:rPr>
      </w:pPr>
      <w:hyperlink w:anchor="_Toc39750909" w:history="1">
        <w:r w:rsidR="008D490D" w:rsidRPr="001678AE">
          <w:rPr>
            <w:rStyle w:val="Hyperlink"/>
            <w:noProof/>
          </w:rPr>
          <w:t>Table 2: Social Determinant of Health Domains and Contributing Factors</w:t>
        </w:r>
        <w:r w:rsidR="008D490D">
          <w:rPr>
            <w:noProof/>
            <w:webHidden/>
          </w:rPr>
          <w:tab/>
        </w:r>
        <w:r w:rsidR="008D490D">
          <w:rPr>
            <w:noProof/>
            <w:webHidden/>
          </w:rPr>
          <w:fldChar w:fldCharType="begin"/>
        </w:r>
        <w:r w:rsidR="008D490D">
          <w:rPr>
            <w:noProof/>
            <w:webHidden/>
          </w:rPr>
          <w:instrText xml:space="preserve"> PAGEREF _Toc39750909 \h </w:instrText>
        </w:r>
        <w:r w:rsidR="008D490D">
          <w:rPr>
            <w:noProof/>
            <w:webHidden/>
          </w:rPr>
        </w:r>
        <w:r w:rsidR="008D490D">
          <w:rPr>
            <w:noProof/>
            <w:webHidden/>
          </w:rPr>
          <w:fldChar w:fldCharType="separate"/>
        </w:r>
        <w:r>
          <w:rPr>
            <w:noProof/>
            <w:webHidden/>
          </w:rPr>
          <w:t>4</w:t>
        </w:r>
        <w:r w:rsidR="008D490D">
          <w:rPr>
            <w:noProof/>
            <w:webHidden/>
          </w:rPr>
          <w:fldChar w:fldCharType="end"/>
        </w:r>
      </w:hyperlink>
    </w:p>
    <w:p w14:paraId="04743107" w14:textId="02D61C55" w:rsidR="008D490D" w:rsidRDefault="000A6B46">
      <w:pPr>
        <w:pStyle w:val="TableofFigures"/>
        <w:tabs>
          <w:tab w:val="right" w:leader="dot" w:pos="9350"/>
        </w:tabs>
        <w:rPr>
          <w:rFonts w:asciiTheme="minorHAnsi" w:eastAsiaTheme="minorEastAsia" w:hAnsiTheme="minorHAnsi" w:cstheme="minorBidi"/>
          <w:b w:val="0"/>
          <w:noProof/>
          <w:sz w:val="22"/>
          <w:szCs w:val="22"/>
        </w:rPr>
      </w:pPr>
      <w:hyperlink w:anchor="_Toc39750910" w:history="1">
        <w:r w:rsidR="008D490D" w:rsidRPr="001678AE">
          <w:rPr>
            <w:rStyle w:val="Hyperlink"/>
            <w:noProof/>
          </w:rPr>
          <w:t>Table 3: Examples of Social Ecological Barriers to Management of CKD</w:t>
        </w:r>
        <w:r w:rsidR="008D490D">
          <w:rPr>
            <w:noProof/>
            <w:webHidden/>
          </w:rPr>
          <w:tab/>
        </w:r>
        <w:r w:rsidR="008D490D">
          <w:rPr>
            <w:noProof/>
            <w:webHidden/>
          </w:rPr>
          <w:fldChar w:fldCharType="begin"/>
        </w:r>
        <w:r w:rsidR="008D490D">
          <w:rPr>
            <w:noProof/>
            <w:webHidden/>
          </w:rPr>
          <w:instrText xml:space="preserve"> PAGEREF _Toc39750910 \h </w:instrText>
        </w:r>
        <w:r w:rsidR="008D490D">
          <w:rPr>
            <w:noProof/>
            <w:webHidden/>
          </w:rPr>
        </w:r>
        <w:r w:rsidR="008D490D">
          <w:rPr>
            <w:noProof/>
            <w:webHidden/>
          </w:rPr>
          <w:fldChar w:fldCharType="separate"/>
        </w:r>
        <w:r>
          <w:rPr>
            <w:noProof/>
            <w:webHidden/>
          </w:rPr>
          <w:t>8</w:t>
        </w:r>
        <w:r w:rsidR="008D490D">
          <w:rPr>
            <w:noProof/>
            <w:webHidden/>
          </w:rPr>
          <w:fldChar w:fldCharType="end"/>
        </w:r>
      </w:hyperlink>
    </w:p>
    <w:p w14:paraId="78898992" w14:textId="6B559A01" w:rsidR="008D490D" w:rsidRDefault="000A6B46">
      <w:pPr>
        <w:pStyle w:val="TableofFigures"/>
        <w:tabs>
          <w:tab w:val="right" w:leader="dot" w:pos="9350"/>
        </w:tabs>
        <w:rPr>
          <w:rFonts w:asciiTheme="minorHAnsi" w:eastAsiaTheme="minorEastAsia" w:hAnsiTheme="minorHAnsi" w:cstheme="minorBidi"/>
          <w:b w:val="0"/>
          <w:noProof/>
          <w:sz w:val="22"/>
          <w:szCs w:val="22"/>
        </w:rPr>
      </w:pPr>
      <w:hyperlink w:anchor="_Toc39750911" w:history="1">
        <w:r w:rsidR="008D490D" w:rsidRPr="001678AE">
          <w:rPr>
            <w:rStyle w:val="Hyperlink"/>
            <w:noProof/>
          </w:rPr>
          <w:t>Table 4: Top 10 Highest Kidney Transplant Performing Medical Centers, 2018</w:t>
        </w:r>
        <w:r w:rsidR="008D490D">
          <w:rPr>
            <w:noProof/>
            <w:webHidden/>
          </w:rPr>
          <w:tab/>
        </w:r>
        <w:r w:rsidR="008D490D">
          <w:rPr>
            <w:noProof/>
            <w:webHidden/>
          </w:rPr>
          <w:fldChar w:fldCharType="begin"/>
        </w:r>
        <w:r w:rsidR="008D490D">
          <w:rPr>
            <w:noProof/>
            <w:webHidden/>
          </w:rPr>
          <w:instrText xml:space="preserve"> PAGEREF _Toc39750911 \h </w:instrText>
        </w:r>
        <w:r w:rsidR="008D490D">
          <w:rPr>
            <w:noProof/>
            <w:webHidden/>
          </w:rPr>
        </w:r>
        <w:r w:rsidR="008D490D">
          <w:rPr>
            <w:noProof/>
            <w:webHidden/>
          </w:rPr>
          <w:fldChar w:fldCharType="separate"/>
        </w:r>
        <w:r>
          <w:rPr>
            <w:noProof/>
            <w:webHidden/>
          </w:rPr>
          <w:t>10</w:t>
        </w:r>
        <w:r w:rsidR="008D490D">
          <w:rPr>
            <w:noProof/>
            <w:webHidden/>
          </w:rPr>
          <w:fldChar w:fldCharType="end"/>
        </w:r>
      </w:hyperlink>
    </w:p>
    <w:p w14:paraId="4F6F9070" w14:textId="417B042A" w:rsidR="008D490D" w:rsidRDefault="000A6B46">
      <w:pPr>
        <w:pStyle w:val="TableofFigures"/>
        <w:tabs>
          <w:tab w:val="right" w:leader="dot" w:pos="9350"/>
        </w:tabs>
        <w:rPr>
          <w:rFonts w:asciiTheme="minorHAnsi" w:eastAsiaTheme="minorEastAsia" w:hAnsiTheme="minorHAnsi" w:cstheme="minorBidi"/>
          <w:b w:val="0"/>
          <w:noProof/>
          <w:sz w:val="22"/>
          <w:szCs w:val="22"/>
        </w:rPr>
      </w:pPr>
      <w:hyperlink w:anchor="_Toc39750912" w:history="1">
        <w:r w:rsidR="008D490D" w:rsidRPr="001678AE">
          <w:rPr>
            <w:rStyle w:val="Hyperlink"/>
            <w:noProof/>
          </w:rPr>
          <w:t>Table 5: Keyword Matches for CHNA Search</w:t>
        </w:r>
        <w:r w:rsidR="008D490D">
          <w:rPr>
            <w:noProof/>
            <w:webHidden/>
          </w:rPr>
          <w:tab/>
        </w:r>
        <w:r w:rsidR="008D490D">
          <w:rPr>
            <w:noProof/>
            <w:webHidden/>
          </w:rPr>
          <w:fldChar w:fldCharType="begin"/>
        </w:r>
        <w:r w:rsidR="008D490D">
          <w:rPr>
            <w:noProof/>
            <w:webHidden/>
          </w:rPr>
          <w:instrText xml:space="preserve"> PAGEREF _Toc39750912 \h </w:instrText>
        </w:r>
        <w:r w:rsidR="008D490D">
          <w:rPr>
            <w:noProof/>
            <w:webHidden/>
          </w:rPr>
        </w:r>
        <w:r w:rsidR="008D490D">
          <w:rPr>
            <w:noProof/>
            <w:webHidden/>
          </w:rPr>
          <w:fldChar w:fldCharType="separate"/>
        </w:r>
        <w:r>
          <w:rPr>
            <w:noProof/>
            <w:webHidden/>
          </w:rPr>
          <w:t>11</w:t>
        </w:r>
        <w:r w:rsidR="008D490D">
          <w:rPr>
            <w:noProof/>
            <w:webHidden/>
          </w:rPr>
          <w:fldChar w:fldCharType="end"/>
        </w:r>
      </w:hyperlink>
    </w:p>
    <w:p w14:paraId="0604EFD5" w14:textId="7FCB08BA" w:rsidR="008D490D" w:rsidRDefault="000A6B46">
      <w:pPr>
        <w:pStyle w:val="TableofFigures"/>
        <w:tabs>
          <w:tab w:val="right" w:leader="dot" w:pos="9350"/>
        </w:tabs>
        <w:rPr>
          <w:rFonts w:asciiTheme="minorHAnsi" w:eastAsiaTheme="minorEastAsia" w:hAnsiTheme="minorHAnsi" w:cstheme="minorBidi"/>
          <w:b w:val="0"/>
          <w:noProof/>
          <w:sz w:val="22"/>
          <w:szCs w:val="22"/>
        </w:rPr>
      </w:pPr>
      <w:hyperlink w:anchor="_Toc39750913" w:history="1">
        <w:r w:rsidR="008D490D" w:rsidRPr="001678AE">
          <w:rPr>
            <w:rStyle w:val="Hyperlink"/>
            <w:noProof/>
          </w:rPr>
          <w:t>Table 6: MOTTEP Strategies</w:t>
        </w:r>
        <w:r w:rsidR="008D490D">
          <w:rPr>
            <w:noProof/>
            <w:webHidden/>
          </w:rPr>
          <w:tab/>
        </w:r>
        <w:r w:rsidR="008D490D">
          <w:rPr>
            <w:noProof/>
            <w:webHidden/>
          </w:rPr>
          <w:fldChar w:fldCharType="begin"/>
        </w:r>
        <w:r w:rsidR="008D490D">
          <w:rPr>
            <w:noProof/>
            <w:webHidden/>
          </w:rPr>
          <w:instrText xml:space="preserve"> PAGEREF _Toc39750913 \h </w:instrText>
        </w:r>
        <w:r w:rsidR="008D490D">
          <w:rPr>
            <w:noProof/>
            <w:webHidden/>
          </w:rPr>
        </w:r>
        <w:r w:rsidR="008D490D">
          <w:rPr>
            <w:noProof/>
            <w:webHidden/>
          </w:rPr>
          <w:fldChar w:fldCharType="separate"/>
        </w:r>
        <w:r>
          <w:rPr>
            <w:noProof/>
            <w:webHidden/>
          </w:rPr>
          <w:t>13</w:t>
        </w:r>
        <w:r w:rsidR="008D490D">
          <w:rPr>
            <w:noProof/>
            <w:webHidden/>
          </w:rPr>
          <w:fldChar w:fldCharType="end"/>
        </w:r>
      </w:hyperlink>
    </w:p>
    <w:p w14:paraId="06717B60" w14:textId="3A528C93" w:rsidR="008D490D" w:rsidRDefault="000A6B46">
      <w:pPr>
        <w:pStyle w:val="TableofFigures"/>
        <w:tabs>
          <w:tab w:val="right" w:leader="dot" w:pos="9350"/>
        </w:tabs>
        <w:rPr>
          <w:rFonts w:asciiTheme="minorHAnsi" w:eastAsiaTheme="minorEastAsia" w:hAnsiTheme="minorHAnsi" w:cstheme="minorBidi"/>
          <w:b w:val="0"/>
          <w:noProof/>
          <w:sz w:val="22"/>
          <w:szCs w:val="22"/>
        </w:rPr>
      </w:pPr>
      <w:hyperlink w:anchor="_Toc39750914" w:history="1">
        <w:r w:rsidR="008D490D" w:rsidRPr="001678AE">
          <w:rPr>
            <w:rStyle w:val="Hyperlink"/>
            <w:noProof/>
          </w:rPr>
          <w:t>Table 7: MOTTEP Community-based Health Promotion Model</w:t>
        </w:r>
        <w:r w:rsidR="008D490D">
          <w:rPr>
            <w:noProof/>
            <w:webHidden/>
          </w:rPr>
          <w:tab/>
        </w:r>
        <w:r w:rsidR="008D490D">
          <w:rPr>
            <w:noProof/>
            <w:webHidden/>
          </w:rPr>
          <w:fldChar w:fldCharType="begin"/>
        </w:r>
        <w:r w:rsidR="008D490D">
          <w:rPr>
            <w:noProof/>
            <w:webHidden/>
          </w:rPr>
          <w:instrText xml:space="preserve"> PAGEREF _Toc39750914 \h </w:instrText>
        </w:r>
        <w:r w:rsidR="008D490D">
          <w:rPr>
            <w:noProof/>
            <w:webHidden/>
          </w:rPr>
        </w:r>
        <w:r w:rsidR="008D490D">
          <w:rPr>
            <w:noProof/>
            <w:webHidden/>
          </w:rPr>
          <w:fldChar w:fldCharType="separate"/>
        </w:r>
        <w:r>
          <w:rPr>
            <w:noProof/>
            <w:webHidden/>
          </w:rPr>
          <w:t>14</w:t>
        </w:r>
        <w:r w:rsidR="008D490D">
          <w:rPr>
            <w:noProof/>
            <w:webHidden/>
          </w:rPr>
          <w:fldChar w:fldCharType="end"/>
        </w:r>
      </w:hyperlink>
    </w:p>
    <w:p w14:paraId="4D5FB8A6" w14:textId="5F4D542E" w:rsidR="00D9484A" w:rsidRPr="00D9484A" w:rsidRDefault="00D9484A" w:rsidP="00D9484A">
      <w:pPr>
        <w:tabs>
          <w:tab w:val="right" w:leader="dot" w:pos="9350"/>
        </w:tabs>
        <w:ind w:left="240" w:hanging="240"/>
        <w:rPr>
          <w:b/>
          <w:sz w:val="2"/>
          <w:szCs w:val="2"/>
        </w:rPr>
        <w:sectPr w:rsidR="00D9484A" w:rsidRPr="00D9484A" w:rsidSect="00107DBF">
          <w:type w:val="continuous"/>
          <w:pgSz w:w="12240" w:h="15840"/>
          <w:pgMar w:top="1440" w:right="1440" w:bottom="1440" w:left="1440" w:header="720" w:footer="720" w:gutter="0"/>
          <w:pgNumType w:fmt="lowerRoman"/>
          <w:cols w:space="720"/>
          <w:docGrid w:linePitch="360"/>
        </w:sectPr>
      </w:pPr>
      <w:r w:rsidRPr="00D9484A">
        <w:rPr>
          <w:b/>
        </w:rPr>
        <w:fldChar w:fldCharType="end"/>
      </w:r>
    </w:p>
    <w:p w14:paraId="6C3B913E" w14:textId="559010BC" w:rsidR="00D9484A" w:rsidRPr="00D9484A" w:rsidRDefault="00D9484A" w:rsidP="00D9484A">
      <w:pPr>
        <w:tabs>
          <w:tab w:val="right" w:leader="dot" w:pos="9350"/>
        </w:tabs>
        <w:ind w:left="240" w:hanging="240"/>
        <w:rPr>
          <w:rFonts w:asciiTheme="minorHAnsi" w:eastAsiaTheme="minorEastAsia" w:hAnsiTheme="minorHAnsi" w:cstheme="minorBidi"/>
          <w:noProof/>
          <w:sz w:val="22"/>
          <w:szCs w:val="22"/>
          <w:lang w:eastAsia="zh-CN"/>
        </w:rPr>
      </w:pPr>
      <w:r w:rsidRPr="00D9484A">
        <w:rPr>
          <w:b/>
        </w:rPr>
        <w:fldChar w:fldCharType="begin"/>
      </w:r>
      <w:r w:rsidRPr="00D9484A">
        <w:rPr>
          <w:b/>
        </w:rPr>
        <w:instrText xml:space="preserve"> TOC \h \z \c "Appendix Table" </w:instrText>
      </w:r>
      <w:r w:rsidRPr="00D9484A">
        <w:rPr>
          <w:b/>
        </w:rPr>
        <w:fldChar w:fldCharType="separate"/>
      </w:r>
    </w:p>
    <w:p w14:paraId="443FE8AA" w14:textId="77777777" w:rsidR="00D9484A" w:rsidRPr="00D9484A" w:rsidRDefault="00D9484A" w:rsidP="00D9484A">
      <w:pPr>
        <w:tabs>
          <w:tab w:val="right" w:leader="dot" w:pos="9350"/>
        </w:tabs>
        <w:ind w:left="240" w:hanging="240"/>
        <w:rPr>
          <w:b/>
        </w:rPr>
      </w:pPr>
      <w:r w:rsidRPr="00D9484A">
        <w:rPr>
          <w:b/>
        </w:rPr>
        <w:fldChar w:fldCharType="end"/>
      </w:r>
    </w:p>
    <w:p w14:paraId="62CDA662" w14:textId="77777777" w:rsidR="00D9484A" w:rsidRPr="00D9484A" w:rsidRDefault="00D9484A" w:rsidP="00D9484A"/>
    <w:p w14:paraId="0674FBA3" w14:textId="77777777" w:rsidR="00D9484A" w:rsidRPr="00D9484A" w:rsidRDefault="00D9484A" w:rsidP="00D9484A">
      <w:pPr>
        <w:keepNext/>
        <w:pageBreakBefore/>
        <w:spacing w:after="960"/>
        <w:ind w:firstLine="0"/>
        <w:jc w:val="center"/>
        <w:outlineLvl w:val="0"/>
        <w:rPr>
          <w:rFonts w:cs="Arial"/>
          <w:b/>
          <w:bCs/>
        </w:rPr>
      </w:pPr>
      <w:r w:rsidRPr="00D9484A">
        <w:rPr>
          <w:rFonts w:cs="Arial"/>
          <w:b/>
          <w:bCs/>
        </w:rPr>
        <w:lastRenderedPageBreak/>
        <w:t>List of Figures</w:t>
      </w:r>
    </w:p>
    <w:p w14:paraId="286C821B" w14:textId="54F1DE15" w:rsidR="00894208" w:rsidRDefault="00D9484A">
      <w:pPr>
        <w:pStyle w:val="TableofFigures"/>
        <w:tabs>
          <w:tab w:val="right" w:leader="dot" w:pos="9350"/>
        </w:tabs>
        <w:rPr>
          <w:rFonts w:asciiTheme="minorHAnsi" w:eastAsiaTheme="minorEastAsia" w:hAnsiTheme="minorHAnsi" w:cstheme="minorBidi"/>
          <w:b w:val="0"/>
          <w:noProof/>
          <w:sz w:val="22"/>
          <w:szCs w:val="22"/>
        </w:rPr>
      </w:pPr>
      <w:r w:rsidRPr="00D9484A">
        <w:fldChar w:fldCharType="begin"/>
      </w:r>
      <w:r w:rsidRPr="00D9484A">
        <w:instrText xml:space="preserve"> TOC \h \z \c "Figure" </w:instrText>
      </w:r>
      <w:r w:rsidRPr="00D9484A">
        <w:fldChar w:fldCharType="separate"/>
      </w:r>
      <w:hyperlink w:anchor="_Toc39750805" w:history="1">
        <w:r w:rsidR="00894208" w:rsidRPr="001030FA">
          <w:rPr>
            <w:rStyle w:val="Hyperlink"/>
            <w:noProof/>
          </w:rPr>
          <w:t>Figure 1: The Social Ecological Model</w:t>
        </w:r>
        <w:r w:rsidR="00894208">
          <w:rPr>
            <w:noProof/>
            <w:webHidden/>
          </w:rPr>
          <w:tab/>
        </w:r>
        <w:r w:rsidR="00894208">
          <w:rPr>
            <w:noProof/>
            <w:webHidden/>
          </w:rPr>
          <w:fldChar w:fldCharType="begin"/>
        </w:r>
        <w:r w:rsidR="00894208">
          <w:rPr>
            <w:noProof/>
            <w:webHidden/>
          </w:rPr>
          <w:instrText xml:space="preserve"> PAGEREF _Toc39750805 \h </w:instrText>
        </w:r>
        <w:r w:rsidR="00894208">
          <w:rPr>
            <w:noProof/>
            <w:webHidden/>
          </w:rPr>
        </w:r>
        <w:r w:rsidR="00894208">
          <w:rPr>
            <w:noProof/>
            <w:webHidden/>
          </w:rPr>
          <w:fldChar w:fldCharType="separate"/>
        </w:r>
        <w:r w:rsidR="000A6B46">
          <w:rPr>
            <w:noProof/>
            <w:webHidden/>
          </w:rPr>
          <w:t>7</w:t>
        </w:r>
        <w:r w:rsidR="00894208">
          <w:rPr>
            <w:noProof/>
            <w:webHidden/>
          </w:rPr>
          <w:fldChar w:fldCharType="end"/>
        </w:r>
      </w:hyperlink>
    </w:p>
    <w:p w14:paraId="2BC8EACA" w14:textId="15A2FA64" w:rsidR="00D9484A" w:rsidRPr="00D9484A" w:rsidRDefault="00D9484A" w:rsidP="00D9484A">
      <w:pPr>
        <w:tabs>
          <w:tab w:val="right" w:leader="dot" w:pos="9350"/>
        </w:tabs>
        <w:spacing w:line="240" w:lineRule="auto"/>
        <w:ind w:firstLine="0"/>
        <w:rPr>
          <w:rFonts w:ascii="Times New Roman Bold" w:hAnsi="Times New Roman Bold"/>
          <w:b/>
          <w:vanish/>
          <w:sz w:val="2"/>
        </w:rPr>
        <w:sectPr w:rsidR="00D9484A" w:rsidRPr="00D9484A" w:rsidSect="00107DBF">
          <w:type w:val="continuous"/>
          <w:pgSz w:w="12240" w:h="15840"/>
          <w:pgMar w:top="1440" w:right="1440" w:bottom="1440" w:left="1440" w:header="720" w:footer="720" w:gutter="0"/>
          <w:pgNumType w:fmt="lowerRoman"/>
          <w:cols w:space="720"/>
          <w:docGrid w:linePitch="360"/>
        </w:sectPr>
      </w:pPr>
      <w:r w:rsidRPr="00D9484A">
        <w:rPr>
          <w:b/>
        </w:rPr>
        <w:fldChar w:fldCharType="end"/>
      </w:r>
    </w:p>
    <w:p w14:paraId="55E40ABE" w14:textId="77777777" w:rsidR="00D9484A" w:rsidRPr="00D9484A" w:rsidRDefault="00D9484A" w:rsidP="00D9484A">
      <w:pPr>
        <w:ind w:firstLine="0"/>
        <w:jc w:val="center"/>
        <w:rPr>
          <w:rFonts w:ascii="Times New Roman Bold" w:hAnsi="Times New Roman Bold"/>
          <w:noProof/>
          <w:vanish/>
          <w:sz w:val="2"/>
          <w:szCs w:val="2"/>
        </w:rPr>
      </w:pPr>
    </w:p>
    <w:p w14:paraId="1D2CF733" w14:textId="350B98F7" w:rsidR="00122D8C" w:rsidRDefault="00D9484A" w:rsidP="00122D8C">
      <w:pPr>
        <w:pStyle w:val="TableofFigures"/>
        <w:rPr>
          <w:rFonts w:asciiTheme="minorHAnsi" w:eastAsiaTheme="minorEastAsia" w:hAnsiTheme="minorHAnsi" w:cstheme="minorBidi"/>
          <w:b w:val="0"/>
          <w:noProof/>
          <w:sz w:val="22"/>
          <w:szCs w:val="22"/>
        </w:rPr>
      </w:pPr>
      <w:r w:rsidRPr="00D9484A">
        <w:fldChar w:fldCharType="begin"/>
      </w:r>
      <w:r w:rsidRPr="00D9484A">
        <w:instrText xml:space="preserve"> TOC \h \z \c "Appendix Figure" </w:instrText>
      </w:r>
      <w:r w:rsidRPr="00D9484A">
        <w:fldChar w:fldCharType="separate"/>
      </w:r>
      <w:hyperlink w:anchor="_Toc39751372" w:history="1">
        <w:r w:rsidR="00122D8C" w:rsidRPr="00A73573">
          <w:rPr>
            <w:rStyle w:val="Hyperlink"/>
            <w:noProof/>
          </w:rPr>
          <w:t>Appendix A Figure 1: Total Transplants vs. Kidney Transplants and % Transplants that are Kidney Transplants</w:t>
        </w:r>
        <w:r w:rsidR="00122D8C">
          <w:rPr>
            <w:noProof/>
            <w:webHidden/>
          </w:rPr>
          <w:tab/>
        </w:r>
        <w:r w:rsidR="00122D8C">
          <w:rPr>
            <w:noProof/>
            <w:webHidden/>
          </w:rPr>
          <w:fldChar w:fldCharType="begin"/>
        </w:r>
        <w:r w:rsidR="00122D8C">
          <w:rPr>
            <w:noProof/>
            <w:webHidden/>
          </w:rPr>
          <w:instrText xml:space="preserve"> PAGEREF _Toc39751372 \h </w:instrText>
        </w:r>
        <w:r w:rsidR="00122D8C">
          <w:rPr>
            <w:noProof/>
            <w:webHidden/>
          </w:rPr>
        </w:r>
        <w:r w:rsidR="00122D8C">
          <w:rPr>
            <w:noProof/>
            <w:webHidden/>
          </w:rPr>
          <w:fldChar w:fldCharType="separate"/>
        </w:r>
        <w:r w:rsidR="000A6B46">
          <w:rPr>
            <w:noProof/>
            <w:webHidden/>
          </w:rPr>
          <w:t>29</w:t>
        </w:r>
        <w:r w:rsidR="00122D8C">
          <w:rPr>
            <w:noProof/>
            <w:webHidden/>
          </w:rPr>
          <w:fldChar w:fldCharType="end"/>
        </w:r>
      </w:hyperlink>
    </w:p>
    <w:p w14:paraId="6E4DAC4E" w14:textId="7AD2045A" w:rsidR="00122D8C" w:rsidRPr="00122D8C" w:rsidRDefault="00122D8C" w:rsidP="00122D8C">
      <w:pPr>
        <w:ind w:firstLine="0"/>
        <w:rPr>
          <w:rFonts w:eastAsiaTheme="minorEastAsia"/>
          <w:b/>
        </w:rPr>
      </w:pPr>
      <w:r w:rsidRPr="00122D8C">
        <w:rPr>
          <w:rFonts w:eastAsiaTheme="minorEastAsia"/>
          <w:b/>
        </w:rPr>
        <w:t>Appendix B Figure 1: SMOG Charts</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…………………………………………………………32</w:t>
      </w:r>
    </w:p>
    <w:p w14:paraId="6014FA88" w14:textId="1847FFCC" w:rsidR="00D9484A" w:rsidRPr="00D9484A" w:rsidRDefault="00D9484A" w:rsidP="00D9484A">
      <w:pPr>
        <w:ind w:firstLine="0"/>
        <w:jc w:val="center"/>
        <w:rPr>
          <w:noProof/>
        </w:rPr>
      </w:pPr>
      <w:r w:rsidRPr="00D9484A">
        <w:rPr>
          <w:noProof/>
        </w:rPr>
        <w:fldChar w:fldCharType="end"/>
      </w:r>
    </w:p>
    <w:p w14:paraId="52610863" w14:textId="1A73D4FD" w:rsidR="005B65AB" w:rsidRPr="005B65AB" w:rsidRDefault="005B65AB" w:rsidP="00D9484A">
      <w:pPr>
        <w:sectPr w:rsidR="005B65AB" w:rsidRPr="005B65AB" w:rsidSect="00107DBF">
          <w:type w:val="continuous"/>
          <w:pgSz w:w="12240" w:h="15840"/>
          <w:pgMar w:top="1440" w:right="1440" w:bottom="1440" w:left="1440" w:header="720" w:footer="720" w:gutter="0"/>
          <w:pgNumType w:fmt="lowerRoman"/>
          <w:cols w:space="720"/>
          <w:docGrid w:linePitch="360"/>
        </w:sectPr>
      </w:pPr>
    </w:p>
    <w:p w14:paraId="64319F08" w14:textId="4CBE4E89" w:rsidR="001C7AFC" w:rsidRPr="00A655B3" w:rsidRDefault="001C7AFC">
      <w:pPr>
        <w:pStyle w:val="TableofFigures"/>
        <w:tabs>
          <w:tab w:val="right" w:leader="dot" w:pos="9350"/>
        </w:tabs>
        <w:rPr>
          <w:rFonts w:eastAsiaTheme="minorEastAsia"/>
          <w:b w:val="0"/>
          <w:noProof/>
          <w:lang w:eastAsia="zh-CN"/>
        </w:rPr>
      </w:pPr>
    </w:p>
    <w:p w14:paraId="53E4AE21" w14:textId="3F5A8E88" w:rsidR="003C2A9F" w:rsidRPr="00A655B3" w:rsidRDefault="00127472" w:rsidP="00D9484A">
      <w:pPr>
        <w:pStyle w:val="Heading"/>
      </w:pPr>
      <w:bookmarkStart w:id="2" w:name="_Toc39750266"/>
      <w:bookmarkStart w:id="3" w:name="_Toc8115840"/>
      <w:r>
        <w:lastRenderedPageBreak/>
        <w:t>List of Acronyms</w:t>
      </w:r>
      <w:bookmarkEnd w:id="2"/>
      <w:r>
        <w:t xml:space="preserve"> </w:t>
      </w:r>
    </w:p>
    <w:p w14:paraId="06F905BA" w14:textId="77777777" w:rsidR="003C2A9F" w:rsidRPr="00DD1B1B" w:rsidRDefault="003C2A9F" w:rsidP="00456745">
      <w:pPr>
        <w:spacing w:line="360" w:lineRule="auto"/>
        <w:ind w:firstLine="0"/>
      </w:pPr>
      <w:r w:rsidRPr="00DD1B1B">
        <w:t>CHNA</w:t>
      </w:r>
      <w:r>
        <w:t>: Community Health Needs Assessments</w:t>
      </w:r>
    </w:p>
    <w:p w14:paraId="1A5D6CF7" w14:textId="77777777" w:rsidR="003C2A9F" w:rsidRDefault="003C2A9F" w:rsidP="00456745">
      <w:pPr>
        <w:spacing w:line="360" w:lineRule="auto"/>
        <w:ind w:firstLine="0"/>
      </w:pPr>
      <w:r w:rsidRPr="00DD1B1B">
        <w:t>IP</w:t>
      </w:r>
      <w:r>
        <w:t xml:space="preserve">: Implementation Plans </w:t>
      </w:r>
    </w:p>
    <w:p w14:paraId="0D2A02A5" w14:textId="43EDB260" w:rsidR="003C2A9F" w:rsidRDefault="003C2A9F" w:rsidP="00456745">
      <w:pPr>
        <w:spacing w:line="360" w:lineRule="auto"/>
        <w:ind w:firstLine="0"/>
      </w:pPr>
      <w:r>
        <w:t xml:space="preserve">PPACA: Patient Protection and Affordable Care Act, </w:t>
      </w:r>
      <w:r w:rsidR="00C70B05">
        <w:t>(A</w:t>
      </w:r>
      <w:r>
        <w:t>KA the ACA</w:t>
      </w:r>
      <w:r w:rsidR="00C70B05">
        <w:t>)</w:t>
      </w:r>
    </w:p>
    <w:p w14:paraId="5AC4B24D" w14:textId="30062C06" w:rsidR="0068748D" w:rsidRDefault="0068748D" w:rsidP="00456745">
      <w:pPr>
        <w:spacing w:line="360" w:lineRule="auto"/>
        <w:ind w:firstLine="0"/>
      </w:pPr>
      <w:r>
        <w:t>CKD: Chronic Kidney Disease</w:t>
      </w:r>
    </w:p>
    <w:p w14:paraId="1FB42F49" w14:textId="42E15D4A" w:rsidR="003C2A9F" w:rsidRDefault="003C2A9F" w:rsidP="00456745">
      <w:pPr>
        <w:spacing w:line="360" w:lineRule="auto"/>
        <w:ind w:firstLine="0"/>
      </w:pPr>
      <w:r>
        <w:t>ESRD: End-Stage Renal Disease</w:t>
      </w:r>
    </w:p>
    <w:p w14:paraId="422C6787" w14:textId="306777D5" w:rsidR="003633E3" w:rsidRDefault="003633E3" w:rsidP="00456745">
      <w:pPr>
        <w:spacing w:line="360" w:lineRule="auto"/>
        <w:ind w:firstLine="0"/>
      </w:pPr>
      <w:r>
        <w:t>OPTN: Organ Procurement and Transplantation Network</w:t>
      </w:r>
    </w:p>
    <w:p w14:paraId="7617ED67" w14:textId="77777777" w:rsidR="003C2A9F" w:rsidRDefault="003C2A9F" w:rsidP="00456745">
      <w:pPr>
        <w:spacing w:line="360" w:lineRule="auto"/>
        <w:ind w:firstLine="0"/>
      </w:pPr>
      <w:r>
        <w:t>CHW: Community Health Worker</w:t>
      </w:r>
    </w:p>
    <w:p w14:paraId="0EFB7DFC" w14:textId="77777777" w:rsidR="003C2A9F" w:rsidRDefault="003C2A9F" w:rsidP="00456745">
      <w:pPr>
        <w:spacing w:line="360" w:lineRule="auto"/>
        <w:ind w:firstLine="0"/>
      </w:pPr>
      <w:r>
        <w:t>CAB: Community Advisory Board</w:t>
      </w:r>
    </w:p>
    <w:p w14:paraId="611CDFDF" w14:textId="71B83394" w:rsidR="003C2A9F" w:rsidRDefault="003C2A9F" w:rsidP="00456745">
      <w:pPr>
        <w:spacing w:line="360" w:lineRule="auto"/>
        <w:ind w:firstLine="0"/>
      </w:pPr>
      <w:r>
        <w:t xml:space="preserve">SMOG: </w:t>
      </w:r>
      <w:r w:rsidR="00470AD4">
        <w:rPr>
          <w:rStyle w:val="eop"/>
        </w:rPr>
        <w:t>T</w:t>
      </w:r>
      <w:r w:rsidRPr="00A655B3">
        <w:rPr>
          <w:rStyle w:val="eop"/>
        </w:rPr>
        <w:t>he Simple Measure of Gobbledygook</w:t>
      </w:r>
    </w:p>
    <w:p w14:paraId="2BC5581D" w14:textId="77777777" w:rsidR="003C2A9F" w:rsidRDefault="003C2A9F" w:rsidP="00456745">
      <w:pPr>
        <w:spacing w:line="360" w:lineRule="auto"/>
        <w:ind w:firstLine="0"/>
      </w:pPr>
      <w:r>
        <w:t>MOTTEP: Minority Organ and Tissue Transplantation Education Program</w:t>
      </w:r>
    </w:p>
    <w:p w14:paraId="4CD20BCE" w14:textId="77777777" w:rsidR="003C2A9F" w:rsidRDefault="003C2A9F" w:rsidP="00456745">
      <w:pPr>
        <w:spacing w:line="360" w:lineRule="auto"/>
        <w:ind w:firstLine="0"/>
      </w:pPr>
      <w:r>
        <w:t>NKF: National Kidney Foundation</w:t>
      </w:r>
    </w:p>
    <w:p w14:paraId="311BAB50" w14:textId="77777777" w:rsidR="003C2A9F" w:rsidRDefault="003C2A9F" w:rsidP="00456745">
      <w:pPr>
        <w:spacing w:line="360" w:lineRule="auto"/>
        <w:ind w:firstLine="0"/>
      </w:pPr>
      <w:r>
        <w:t>HUTC: Howard University Transplant Center</w:t>
      </w:r>
    </w:p>
    <w:p w14:paraId="0D87EEDD" w14:textId="6CC26F03" w:rsidR="003C2A9F" w:rsidRDefault="003C2A9F" w:rsidP="00456745">
      <w:pPr>
        <w:spacing w:line="360" w:lineRule="auto"/>
        <w:ind w:firstLine="0"/>
      </w:pPr>
      <w:r>
        <w:t>SEM: Social-Ecological Model</w:t>
      </w:r>
    </w:p>
    <w:p w14:paraId="7A29A967" w14:textId="7B67BAA8" w:rsidR="003C17A9" w:rsidRPr="00DD1B1B" w:rsidRDefault="003C17A9" w:rsidP="00456745">
      <w:pPr>
        <w:spacing w:line="360" w:lineRule="auto"/>
        <w:ind w:firstLine="0"/>
      </w:pPr>
      <w:r>
        <w:t>CDC: Centers for Disease Control and Prevention</w:t>
      </w:r>
    </w:p>
    <w:p w14:paraId="0BF0DF3A" w14:textId="3CF42453" w:rsidR="00B424B6" w:rsidRPr="00A655B3" w:rsidRDefault="00130B6B" w:rsidP="001C7AFC">
      <w:pPr>
        <w:pStyle w:val="Heading"/>
        <w:rPr>
          <w:rFonts w:cs="Times New Roman"/>
        </w:rPr>
      </w:pPr>
      <w:bookmarkStart w:id="4" w:name="_Toc39750267"/>
      <w:r w:rsidRPr="00A655B3">
        <w:rPr>
          <w:rFonts w:cs="Times New Roman"/>
        </w:rPr>
        <w:lastRenderedPageBreak/>
        <w:t>Preface</w:t>
      </w:r>
      <w:bookmarkEnd w:id="3"/>
      <w:bookmarkEnd w:id="4"/>
    </w:p>
    <w:p w14:paraId="79FB9D52" w14:textId="4C2DA6AC" w:rsidR="008D00FB" w:rsidRDefault="008D00FB" w:rsidP="00AA2C6A">
      <w:r>
        <w:t xml:space="preserve">A special thanks to my essay committee </w:t>
      </w:r>
      <w:r w:rsidR="007D7273">
        <w:t>from</w:t>
      </w:r>
      <w:r w:rsidR="00725E86">
        <w:t xml:space="preserve"> whom I’ve learned a lot both in and out of the classroom. To Dr. Degenholtz for always making himself available and taking point as my advisor in addition to helping me get from mental point A to B, bridging the gap to where I was to where I wanted to be for this essay. To Dr. Terry for being one of my first forays into proper consideration of what community care and </w:t>
      </w:r>
      <w:r w:rsidR="00E9611F">
        <w:t xml:space="preserve">community principles look like. </w:t>
      </w:r>
      <w:r w:rsidR="00CE56F5">
        <w:t>The heart of my program lays within these classes. And to Dr</w:t>
      </w:r>
      <w:r w:rsidR="000C3418">
        <w:t>s</w:t>
      </w:r>
      <w:r w:rsidR="00CE56F5">
        <w:t>. Documét</w:t>
      </w:r>
      <w:r w:rsidR="000C3418">
        <w:t xml:space="preserve"> and Terry</w:t>
      </w:r>
      <w:r w:rsidR="00E76200">
        <w:t>, the input you’ve</w:t>
      </w:r>
      <w:r w:rsidR="000C3418">
        <w:t xml:space="preserve"> both</w:t>
      </w:r>
      <w:r w:rsidR="00E76200">
        <w:t xml:space="preserve"> always given me in this essay process in addition to your perspectives in Center for Health Equity journal clubs always makes me deepen my reflection and further the discussion of several health equity issues.</w:t>
      </w:r>
    </w:p>
    <w:p w14:paraId="4AAEAAF9" w14:textId="647888CB" w:rsidR="0070056D" w:rsidRDefault="00F058C3" w:rsidP="00BB0929">
      <w:r>
        <w:t>Notable thanks to my</w:t>
      </w:r>
      <w:r w:rsidR="0070056D">
        <w:t xml:space="preserve"> siblings and their partners who supported me in different ways throughout my academic journey</w:t>
      </w:r>
      <w:r w:rsidR="006920C1">
        <w:t xml:space="preserve"> and acted as role models in various capacities</w:t>
      </w:r>
      <w:r w:rsidR="0070056D">
        <w:t>. Thank you especially to my parents, Elmie and Patrick</w:t>
      </w:r>
      <w:r w:rsidR="00453098">
        <w:t>,</w:t>
      </w:r>
      <w:r w:rsidR="0070056D">
        <w:t xml:space="preserve"> who instilled the values I carry today that enabled me to succeed whether that be in terms of academic success, emotional awareness, or social capabilities.</w:t>
      </w:r>
    </w:p>
    <w:p w14:paraId="1ACC6C4B" w14:textId="480F4A9E" w:rsidR="006920C1" w:rsidRDefault="006920C1" w:rsidP="00BB0929">
      <w:r>
        <w:tab/>
        <w:t>Special thanks to my graduate role models, especially from research at Ohio State. Drs. Strayhorn and Travers, I owe you both a lot of gratitude for giving me those training grounds in my undergrad. I’d be much less prepared without my exposure to both of you for sure.</w:t>
      </w:r>
    </w:p>
    <w:p w14:paraId="5CF68CA4" w14:textId="77777777" w:rsidR="004F605E" w:rsidRDefault="0070056D" w:rsidP="00FF38EA">
      <w:r>
        <w:t>Finally, thank you to my partner,</w:t>
      </w:r>
      <w:r w:rsidR="00F058C3">
        <w:t xml:space="preserve"> Dominic</w:t>
      </w:r>
      <w:r>
        <w:t>,</w:t>
      </w:r>
      <w:r w:rsidR="00F058C3">
        <w:t xml:space="preserve"> who set my head straight when I wasn’t sure how to get it to stop spinning</w:t>
      </w:r>
      <w:r w:rsidR="00A639F6">
        <w:t>, had to many times answer rhetorical questions, and deal with my multiple bad moods from stress</w:t>
      </w:r>
      <w:r w:rsidR="00AD51CB">
        <w:t>ful</w:t>
      </w:r>
      <w:r w:rsidR="00A639F6">
        <w:t xml:space="preserve"> situations. </w:t>
      </w:r>
      <w:r w:rsidR="00A639F6" w:rsidRPr="00A655B3" w:rsidDel="00A639F6">
        <w:t xml:space="preserve"> </w:t>
      </w:r>
    </w:p>
    <w:p w14:paraId="734D20C6" w14:textId="4B0A15E3" w:rsidR="006920C1" w:rsidRPr="00A655B3" w:rsidRDefault="006920C1" w:rsidP="00FF38EA">
      <w:pPr>
        <w:sectPr w:rsidR="006920C1" w:rsidRPr="00A655B3" w:rsidSect="00107DBF">
          <w:type w:val="continuous"/>
          <w:pgSz w:w="12240" w:h="15840"/>
          <w:pgMar w:top="1440" w:right="1440" w:bottom="1440" w:left="1440" w:header="720" w:footer="720" w:gutter="0"/>
          <w:pgNumType w:fmt="lowerRoman"/>
          <w:cols w:space="720"/>
          <w:docGrid w:linePitch="360"/>
        </w:sectPr>
      </w:pPr>
    </w:p>
    <w:p w14:paraId="70EF3E91" w14:textId="3C29E86E" w:rsidR="00FB402B" w:rsidRPr="00A655B3" w:rsidRDefault="007D7273" w:rsidP="00CA2BC8">
      <w:pPr>
        <w:pStyle w:val="Heading1"/>
        <w:rPr>
          <w:rFonts w:cs="Times New Roman"/>
        </w:rPr>
      </w:pPr>
      <w:bookmarkStart w:id="5" w:name="_Toc39750268"/>
      <w:r>
        <w:rPr>
          <w:rFonts w:cs="Times New Roman"/>
        </w:rPr>
        <w:lastRenderedPageBreak/>
        <w:t xml:space="preserve">Introduction and </w:t>
      </w:r>
      <w:r w:rsidR="002002D8">
        <w:rPr>
          <w:rFonts w:cs="Times New Roman"/>
        </w:rPr>
        <w:t>Background</w:t>
      </w:r>
      <w:bookmarkEnd w:id="5"/>
    </w:p>
    <w:p w14:paraId="05F9491B" w14:textId="3EFDF68E" w:rsidR="00C07F29" w:rsidRDefault="00706579" w:rsidP="00706579">
      <w:pPr>
        <w:pStyle w:val="paragraph"/>
        <w:spacing w:before="0" w:beforeAutospacing="0" w:after="0" w:afterAutospacing="0" w:line="480" w:lineRule="auto"/>
        <w:ind w:firstLine="720"/>
        <w:textAlignment w:val="baseline"/>
        <w:rPr>
          <w:rStyle w:val="normaltextrun"/>
        </w:rPr>
      </w:pPr>
      <w:bookmarkStart w:id="6" w:name="_Toc8115842"/>
      <w:r>
        <w:rPr>
          <w:rStyle w:val="normaltextrun"/>
        </w:rPr>
        <w:t xml:space="preserve">Kidney </w:t>
      </w:r>
      <w:r w:rsidR="0027219A">
        <w:rPr>
          <w:rStyle w:val="normaltextrun"/>
        </w:rPr>
        <w:t>transplantation is</w:t>
      </w:r>
      <w:r w:rsidR="00887496">
        <w:rPr>
          <w:rStyle w:val="normaltextrun"/>
        </w:rPr>
        <w:t xml:space="preserve"> a</w:t>
      </w:r>
      <w:r>
        <w:rPr>
          <w:rStyle w:val="normaltextrun"/>
        </w:rPr>
        <w:t xml:space="preserve"> </w:t>
      </w:r>
      <w:r w:rsidR="00833BF0">
        <w:rPr>
          <w:rStyle w:val="normaltextrun"/>
        </w:rPr>
        <w:t xml:space="preserve">public health concern in that the supply of transplantable kidneys </w:t>
      </w:r>
      <w:r w:rsidR="00C53C8C">
        <w:rPr>
          <w:rStyle w:val="normaltextrun"/>
        </w:rPr>
        <w:t xml:space="preserve">has </w:t>
      </w:r>
      <w:r w:rsidR="00833BF0">
        <w:rPr>
          <w:rStyle w:val="normaltextrun"/>
        </w:rPr>
        <w:t>not been able to meet the demand.</w:t>
      </w:r>
      <w:r w:rsidR="00925C16">
        <w:rPr>
          <w:rStyle w:val="normaltextrun"/>
        </w:rPr>
        <w:t xml:space="preserve"> In</w:t>
      </w:r>
      <w:r w:rsidR="00887496">
        <w:rPr>
          <w:rStyle w:val="normaltextrun"/>
        </w:rPr>
        <w:t xml:space="preserve"> 2018,</w:t>
      </w:r>
      <w:r w:rsidR="00762BE7">
        <w:rPr>
          <w:rStyle w:val="normaltextrun"/>
        </w:rPr>
        <w:t xml:space="preserve"> </w:t>
      </w:r>
      <w:r w:rsidR="00D67519">
        <w:rPr>
          <w:rStyle w:val="normaltextrun"/>
        </w:rPr>
        <w:t xml:space="preserve">an average of </w:t>
      </w:r>
      <w:r w:rsidR="00762BE7">
        <w:rPr>
          <w:rStyle w:val="normaltextrun"/>
        </w:rPr>
        <w:t>12 people die</w:t>
      </w:r>
      <w:r w:rsidR="00925C16">
        <w:rPr>
          <w:rStyle w:val="normaltextrun"/>
        </w:rPr>
        <w:t>d every day</w:t>
      </w:r>
      <w:r w:rsidR="00762BE7">
        <w:rPr>
          <w:rStyle w:val="normaltextrun"/>
        </w:rPr>
        <w:t xml:space="preserve"> waiting for a life-saving kidney transplant in the </w:t>
      </w:r>
      <w:r w:rsidR="00D10078">
        <w:rPr>
          <w:rStyle w:val="normaltextrun"/>
        </w:rPr>
        <w:t>United States</w:t>
      </w:r>
      <w:r w:rsidR="009557AD" w:rsidRPr="00A3456D">
        <w:rPr>
          <w:rStyle w:val="normaltextrun"/>
          <w:vertAlign w:val="superscript"/>
        </w:rPr>
        <w:t>1</w:t>
      </w:r>
      <w:r w:rsidR="00C53C8C">
        <w:rPr>
          <w:rStyle w:val="normaltextrun"/>
        </w:rPr>
        <w:t>(US)</w:t>
      </w:r>
      <w:r w:rsidR="00D10078">
        <w:rPr>
          <w:rStyle w:val="normaltextrun"/>
        </w:rPr>
        <w:t>.</w:t>
      </w:r>
      <w:r w:rsidR="001C44F7">
        <w:rPr>
          <w:rStyle w:val="normaltextrun"/>
        </w:rPr>
        <w:t xml:space="preserve"> </w:t>
      </w:r>
      <w:r w:rsidR="00BB4D74">
        <w:rPr>
          <w:rStyle w:val="normaltextrun"/>
        </w:rPr>
        <w:t>K</w:t>
      </w:r>
      <w:r w:rsidR="001C44F7">
        <w:rPr>
          <w:rStyle w:val="normaltextrun"/>
        </w:rPr>
        <w:t xml:space="preserve">idney transplantation is an ideal target given </w:t>
      </w:r>
      <w:r w:rsidR="00FA7128">
        <w:rPr>
          <w:rStyle w:val="normaltextrun"/>
        </w:rPr>
        <w:t>that it</w:t>
      </w:r>
      <w:r w:rsidR="001C44F7">
        <w:rPr>
          <w:rStyle w:val="normaltextrun"/>
        </w:rPr>
        <w:t xml:space="preserve"> both constitutes the majority of total transplants every year (see Appendix A) and that several chronic diseases that act as contributing factors towards needing a kidney transplant are well understood.</w:t>
      </w:r>
      <w:r w:rsidR="00B625D7">
        <w:rPr>
          <w:rStyle w:val="normaltextrun"/>
        </w:rPr>
        <w:t xml:space="preserve"> </w:t>
      </w:r>
      <w:r w:rsidR="00D9440E">
        <w:rPr>
          <w:rStyle w:val="normaltextrun"/>
        </w:rPr>
        <w:t xml:space="preserve">This </w:t>
      </w:r>
      <w:r w:rsidR="00E4014D">
        <w:rPr>
          <w:rStyle w:val="normaltextrun"/>
        </w:rPr>
        <w:t>essay i</w:t>
      </w:r>
      <w:r w:rsidR="00D9440E">
        <w:rPr>
          <w:rStyle w:val="normaltextrun"/>
        </w:rPr>
        <w:t xml:space="preserve">nitially </w:t>
      </w:r>
      <w:r w:rsidR="00690D5C">
        <w:rPr>
          <w:rStyle w:val="normaltextrun"/>
        </w:rPr>
        <w:t xml:space="preserve">aimed to </w:t>
      </w:r>
      <w:r w:rsidR="00D9440E">
        <w:rPr>
          <w:rStyle w:val="normaltextrun"/>
        </w:rPr>
        <w:t xml:space="preserve">analyze </w:t>
      </w:r>
      <w:r w:rsidR="00C53C8C">
        <w:rPr>
          <w:rStyle w:val="normaltextrun"/>
        </w:rPr>
        <w:t xml:space="preserve">only </w:t>
      </w:r>
      <w:r w:rsidR="00D9440E">
        <w:rPr>
          <w:rStyle w:val="normaltextrun"/>
        </w:rPr>
        <w:t xml:space="preserve">the top 10 kidney-transplanting programs in the US by volume </w:t>
      </w:r>
      <w:r w:rsidR="007534CB">
        <w:rPr>
          <w:rStyle w:val="normaltextrun"/>
        </w:rPr>
        <w:t>(</w:t>
      </w:r>
      <w:r w:rsidR="00D9440E">
        <w:rPr>
          <w:rStyle w:val="normaltextrun"/>
        </w:rPr>
        <w:t>according to 2018 counts</w:t>
      </w:r>
      <w:r w:rsidR="007534CB">
        <w:rPr>
          <w:rStyle w:val="normaltextrun"/>
        </w:rPr>
        <w:t>)</w:t>
      </w:r>
      <w:r w:rsidR="00D9440E">
        <w:rPr>
          <w:rStyle w:val="normaltextrun"/>
        </w:rPr>
        <w:t xml:space="preserve"> and </w:t>
      </w:r>
      <w:r w:rsidR="00C53C8C">
        <w:rPr>
          <w:rStyle w:val="normaltextrun"/>
        </w:rPr>
        <w:t xml:space="preserve">assess </w:t>
      </w:r>
      <w:r w:rsidR="00D9440E">
        <w:rPr>
          <w:rStyle w:val="normaltextrun"/>
        </w:rPr>
        <w:t>whether transplantation and transplantation education</w:t>
      </w:r>
      <w:r w:rsidR="00FC04A7">
        <w:rPr>
          <w:rStyle w:val="normaltextrun"/>
        </w:rPr>
        <w:t>-related programs</w:t>
      </w:r>
      <w:r w:rsidR="00D9440E">
        <w:rPr>
          <w:rStyle w:val="normaltextrun"/>
        </w:rPr>
        <w:t xml:space="preserve"> </w:t>
      </w:r>
      <w:r w:rsidR="00C53C8C">
        <w:rPr>
          <w:rStyle w:val="normaltextrun"/>
        </w:rPr>
        <w:t xml:space="preserve">are </w:t>
      </w:r>
      <w:r w:rsidR="00275472">
        <w:rPr>
          <w:rStyle w:val="normaltextrun"/>
        </w:rPr>
        <w:t xml:space="preserve">cited </w:t>
      </w:r>
      <w:r w:rsidR="00C53C8C">
        <w:rPr>
          <w:rStyle w:val="normaltextrun"/>
        </w:rPr>
        <w:t xml:space="preserve">in their </w:t>
      </w:r>
      <w:r w:rsidR="00275472">
        <w:rPr>
          <w:rStyle w:val="normaltextrun"/>
        </w:rPr>
        <w:t>Community Health Needs Assessments (CHNAs) and Implementation Plans (IPs).</w:t>
      </w:r>
      <w:r w:rsidR="00FC04A7">
        <w:rPr>
          <w:rStyle w:val="normaltextrun"/>
        </w:rPr>
        <w:t xml:space="preserve"> This process revealed that most health systems </w:t>
      </w:r>
      <w:r w:rsidR="0087750B">
        <w:rPr>
          <w:rStyle w:val="normaltextrun"/>
        </w:rPr>
        <w:t>neglect to explicitly mention</w:t>
      </w:r>
      <w:r w:rsidR="00680824">
        <w:rPr>
          <w:rStyle w:val="normaltextrun"/>
        </w:rPr>
        <w:t xml:space="preserve"> transplantation and related education programs in their CHNA and IPs. </w:t>
      </w:r>
      <w:proofErr w:type="gramStart"/>
      <w:r w:rsidR="00680824">
        <w:rPr>
          <w:rStyle w:val="normaltextrun"/>
        </w:rPr>
        <w:t>Therefore</w:t>
      </w:r>
      <w:proofErr w:type="gramEnd"/>
      <w:r w:rsidR="00680824">
        <w:rPr>
          <w:rStyle w:val="normaltextrun"/>
        </w:rPr>
        <w:t xml:space="preserve"> as an extension, this paper explores best practices health systems can utilize towards developing an effective </w:t>
      </w:r>
      <w:r w:rsidR="00697974">
        <w:rPr>
          <w:rStyle w:val="normaltextrun"/>
        </w:rPr>
        <w:t>community-based</w:t>
      </w:r>
      <w:r w:rsidR="00680824">
        <w:rPr>
          <w:rStyle w:val="normaltextrun"/>
        </w:rPr>
        <w:t xml:space="preserve"> program for screening and managing Chronic Kidney Disease</w:t>
      </w:r>
      <w:r w:rsidR="00471469">
        <w:rPr>
          <w:rStyle w:val="normaltextrun"/>
        </w:rPr>
        <w:t xml:space="preserve"> (CKD)</w:t>
      </w:r>
      <w:r w:rsidR="00680824">
        <w:rPr>
          <w:rStyle w:val="normaltextrun"/>
        </w:rPr>
        <w:t xml:space="preserve"> which often progresses to necessitating dialysis or a kidney transplant for survival.</w:t>
      </w:r>
      <w:r w:rsidR="001C211D">
        <w:rPr>
          <w:rStyle w:val="normaltextrun"/>
        </w:rPr>
        <w:t xml:space="preserve"> </w:t>
      </w:r>
      <w:r w:rsidR="008524E4">
        <w:rPr>
          <w:rStyle w:val="normaltextrun"/>
        </w:rPr>
        <w:t xml:space="preserve">The </w:t>
      </w:r>
      <w:r w:rsidR="00E11B4E">
        <w:rPr>
          <w:rStyle w:val="normaltextrun"/>
        </w:rPr>
        <w:t>goal</w:t>
      </w:r>
      <w:r w:rsidR="008524E4">
        <w:rPr>
          <w:rStyle w:val="normaltextrun"/>
        </w:rPr>
        <w:t xml:space="preserve"> of </w:t>
      </w:r>
      <w:r w:rsidR="004E2D3D">
        <w:rPr>
          <w:rStyle w:val="normaltextrun"/>
        </w:rPr>
        <w:t>being able to develop a successful CKD management program</w:t>
      </w:r>
      <w:r w:rsidR="005D0D17">
        <w:rPr>
          <w:rStyle w:val="normaltextrun"/>
        </w:rPr>
        <w:t xml:space="preserve"> serve</w:t>
      </w:r>
      <w:r w:rsidR="000E6B5F">
        <w:rPr>
          <w:rStyle w:val="normaltextrun"/>
        </w:rPr>
        <w:t>s</w:t>
      </w:r>
      <w:r w:rsidR="005D0D17">
        <w:rPr>
          <w:rStyle w:val="normaltextrun"/>
        </w:rPr>
        <w:t xml:space="preserve"> two purposes. First, it </w:t>
      </w:r>
      <w:r w:rsidR="000E6B5F">
        <w:rPr>
          <w:rStyle w:val="normaltextrun"/>
        </w:rPr>
        <w:t>can</w:t>
      </w:r>
      <w:r w:rsidR="005D0D17">
        <w:rPr>
          <w:rStyle w:val="normaltextrun"/>
        </w:rPr>
        <w:t xml:space="preserve"> </w:t>
      </w:r>
      <w:r w:rsidR="00680824">
        <w:rPr>
          <w:rStyle w:val="normaltextrun"/>
        </w:rPr>
        <w:t>potentiall</w:t>
      </w:r>
      <w:r w:rsidR="005D0D17">
        <w:rPr>
          <w:rStyle w:val="normaltextrun"/>
        </w:rPr>
        <w:t>y</w:t>
      </w:r>
      <w:r w:rsidR="004E2D3D">
        <w:rPr>
          <w:rStyle w:val="normaltextrun"/>
        </w:rPr>
        <w:t xml:space="preserve"> reduce the </w:t>
      </w:r>
      <w:r w:rsidR="00680824">
        <w:rPr>
          <w:rStyle w:val="normaltextrun"/>
        </w:rPr>
        <w:t>increasing</w:t>
      </w:r>
      <w:r w:rsidR="004E2D3D">
        <w:rPr>
          <w:rStyle w:val="normaltextrun"/>
        </w:rPr>
        <w:t xml:space="preserve"> need for kidney transplants by slowing the </w:t>
      </w:r>
      <w:r w:rsidR="00E727D1">
        <w:rPr>
          <w:rStyle w:val="normaltextrun"/>
        </w:rPr>
        <w:t xml:space="preserve">progression </w:t>
      </w:r>
      <w:r w:rsidR="00680824">
        <w:rPr>
          <w:rStyle w:val="normaltextrun"/>
        </w:rPr>
        <w:t xml:space="preserve">of chronic disease </w:t>
      </w:r>
      <w:r w:rsidR="005D0D17">
        <w:rPr>
          <w:rStyle w:val="normaltextrun"/>
        </w:rPr>
        <w:t>necessitating a transplant and second</w:t>
      </w:r>
      <w:r w:rsidR="000E6B5F">
        <w:rPr>
          <w:rStyle w:val="normaltextrun"/>
        </w:rPr>
        <w:t xml:space="preserve"> can</w:t>
      </w:r>
      <w:r w:rsidR="005D0D17">
        <w:rPr>
          <w:rStyle w:val="normaltextrun"/>
        </w:rPr>
        <w:t xml:space="preserve"> provide </w:t>
      </w:r>
      <w:r w:rsidR="00236CD7">
        <w:rPr>
          <w:rStyle w:val="normaltextrun"/>
        </w:rPr>
        <w:t>education both in the form of being able to find avenues for accessing resources to manage their conditions as well as to be aware of transplantation as an option.</w:t>
      </w:r>
    </w:p>
    <w:p w14:paraId="7EE0CBDA" w14:textId="2599AE19" w:rsidR="009131E9" w:rsidRPr="00511647" w:rsidRDefault="009131E9" w:rsidP="009131E9">
      <w:pPr>
        <w:pStyle w:val="paragraph"/>
        <w:spacing w:before="0" w:beforeAutospacing="0" w:after="0" w:afterAutospacing="0" w:line="480" w:lineRule="auto"/>
        <w:ind w:firstLine="720"/>
        <w:textAlignment w:val="baseline"/>
        <w:rPr>
          <w:rStyle w:val="eop"/>
        </w:rPr>
      </w:pPr>
      <w:bookmarkStart w:id="7" w:name="_Toc8115843"/>
      <w:bookmarkEnd w:id="6"/>
      <w:r>
        <w:rPr>
          <w:rStyle w:val="eop"/>
        </w:rPr>
        <w:t>Within t</w:t>
      </w:r>
      <w:r w:rsidRPr="00511647">
        <w:rPr>
          <w:rStyle w:val="eop"/>
        </w:rPr>
        <w:t>he Patient Protection and Affordable Care Act of 2010</w:t>
      </w:r>
      <w:r>
        <w:rPr>
          <w:rStyle w:val="eop"/>
        </w:rPr>
        <w:t>, more stringent</w:t>
      </w:r>
      <w:r w:rsidRPr="00511647">
        <w:rPr>
          <w:rStyle w:val="eop"/>
        </w:rPr>
        <w:t xml:space="preserve"> requirements</w:t>
      </w:r>
      <w:r>
        <w:rPr>
          <w:rStyle w:val="eop"/>
        </w:rPr>
        <w:t xml:space="preserve"> were implemented for not-for-profit hospitals in order to maintain their tax-exempt </w:t>
      </w:r>
      <w:r>
        <w:rPr>
          <w:rStyle w:val="eop"/>
        </w:rPr>
        <w:lastRenderedPageBreak/>
        <w:t>status. One specific aspect of this includes a CHNA</w:t>
      </w:r>
      <w:r w:rsidR="002F093A">
        <w:rPr>
          <w:rStyle w:val="eop"/>
        </w:rPr>
        <w:t xml:space="preserve"> and</w:t>
      </w:r>
      <w:r>
        <w:rPr>
          <w:rStyle w:val="eop"/>
        </w:rPr>
        <w:t xml:space="preserve"> IP being conducted at least every three years. The CHNA is a public facing document evaluating existing and developing needs within a hospital’s community whereas the IP then takes those findings and either addresses how it will adjust its capacity to meet those significant needs or otherwise explain why it cannot or will not</w:t>
      </w:r>
      <w:r w:rsidR="00377E9D">
        <w:rPr>
          <w:rStyle w:val="eop"/>
          <w:vertAlign w:val="superscript"/>
        </w:rPr>
        <w:t>2</w:t>
      </w:r>
      <w:r>
        <w:rPr>
          <w:rStyle w:val="eop"/>
        </w:rPr>
        <w:t>. If a hospital fails to conduct a CHNA and IP every three years or produces an insufficient community analysis, it can face a fine of up to $50,000 for each non-compliant year as well as potentially losing its not-for-profit designation</w:t>
      </w:r>
      <w:r w:rsidR="00377E9D">
        <w:rPr>
          <w:rStyle w:val="eop"/>
          <w:vertAlign w:val="superscript"/>
        </w:rPr>
        <w:t>3</w:t>
      </w:r>
      <w:r>
        <w:rPr>
          <w:rStyle w:val="eop"/>
        </w:rPr>
        <w:t>.</w:t>
      </w:r>
      <w:r w:rsidR="005C75CC">
        <w:rPr>
          <w:rStyle w:val="eop"/>
        </w:rPr>
        <w:t xml:space="preserve"> Such a loss </w:t>
      </w:r>
      <w:r w:rsidR="005101A6">
        <w:rPr>
          <w:rStyle w:val="eop"/>
        </w:rPr>
        <w:t>could severely damage operations given that a healthcare institution’s not-for-profit designation</w:t>
      </w:r>
      <w:r w:rsidR="009E09E3">
        <w:rPr>
          <w:rStyle w:val="eop"/>
        </w:rPr>
        <w:t xml:space="preserve"> allows access to tax-exempt loans at lower interest rates compared to similarly situated for-profit competitors in addition to relieving it from</w:t>
      </w:r>
      <w:r w:rsidR="005101A6">
        <w:rPr>
          <w:rStyle w:val="eop"/>
        </w:rPr>
        <w:t xml:space="preserve"> having to pay</w:t>
      </w:r>
      <w:r w:rsidR="009E09E3">
        <w:rPr>
          <w:rStyle w:val="eop"/>
        </w:rPr>
        <w:t xml:space="preserve"> some</w:t>
      </w:r>
      <w:r w:rsidR="005101A6">
        <w:rPr>
          <w:rStyle w:val="eop"/>
        </w:rPr>
        <w:t xml:space="preserve"> federal</w:t>
      </w:r>
      <w:r w:rsidR="0029665F">
        <w:rPr>
          <w:rStyle w:val="eop"/>
        </w:rPr>
        <w:t xml:space="preserve"> and</w:t>
      </w:r>
      <w:r w:rsidR="005101A6">
        <w:rPr>
          <w:rStyle w:val="eop"/>
        </w:rPr>
        <w:t xml:space="preserve"> state corporate t</w:t>
      </w:r>
      <w:r w:rsidR="00EA4792">
        <w:rPr>
          <w:rStyle w:val="eop"/>
        </w:rPr>
        <w:t>axes</w:t>
      </w:r>
      <w:r w:rsidR="00020DFF">
        <w:rPr>
          <w:rStyle w:val="eop"/>
        </w:rPr>
        <w:t xml:space="preserve"> and</w:t>
      </w:r>
      <w:r w:rsidR="00EA4792">
        <w:rPr>
          <w:rStyle w:val="eop"/>
        </w:rPr>
        <w:t xml:space="preserve"> local property taxes</w:t>
      </w:r>
      <w:r w:rsidR="008319E9">
        <w:rPr>
          <w:rStyle w:val="eop"/>
          <w:vertAlign w:val="superscript"/>
        </w:rPr>
        <w:t>4</w:t>
      </w:r>
      <w:r w:rsidR="00EA4792">
        <w:rPr>
          <w:rStyle w:val="eop"/>
        </w:rPr>
        <w:t>.</w:t>
      </w:r>
      <w:r>
        <w:rPr>
          <w:rStyle w:val="eop"/>
        </w:rPr>
        <w:t xml:space="preserve"> It behoove</w:t>
      </w:r>
      <w:r w:rsidR="007478F8">
        <w:rPr>
          <w:rStyle w:val="eop"/>
        </w:rPr>
        <w:t>s</w:t>
      </w:r>
      <w:r>
        <w:rPr>
          <w:rStyle w:val="eop"/>
        </w:rPr>
        <w:t xml:space="preserve"> a healthcare entity to develop a robust CHNA and strategic IP to show its commitment to serving its community.</w:t>
      </w:r>
    </w:p>
    <w:p w14:paraId="7AF373B1" w14:textId="731D1C2F" w:rsidR="00B6078A" w:rsidRDefault="00904D41" w:rsidP="003A3DE3">
      <w:pPr>
        <w:pStyle w:val="paragraph"/>
        <w:spacing w:before="0" w:beforeAutospacing="0" w:after="0" w:afterAutospacing="0" w:line="480" w:lineRule="auto"/>
        <w:ind w:firstLine="720"/>
        <w:textAlignment w:val="baseline"/>
        <w:rPr>
          <w:rStyle w:val="eop"/>
        </w:rPr>
      </w:pPr>
      <w:r>
        <w:rPr>
          <w:rStyle w:val="eop"/>
        </w:rPr>
        <w:t xml:space="preserve">With every </w:t>
      </w:r>
      <w:r w:rsidR="00C55F4B">
        <w:rPr>
          <w:rStyle w:val="eop"/>
        </w:rPr>
        <w:t>three-year</w:t>
      </w:r>
      <w:r>
        <w:rPr>
          <w:rStyle w:val="eop"/>
        </w:rPr>
        <w:t xml:space="preserve"> iteration of the CHNA and IP, a health system evaluate</w:t>
      </w:r>
      <w:r w:rsidR="007D625B">
        <w:rPr>
          <w:rStyle w:val="eop"/>
        </w:rPr>
        <w:t>s</w:t>
      </w:r>
      <w:r>
        <w:rPr>
          <w:rStyle w:val="eop"/>
        </w:rPr>
        <w:t xml:space="preserve"> </w:t>
      </w:r>
      <w:r w:rsidR="002E5E0E">
        <w:rPr>
          <w:rStyle w:val="eop"/>
        </w:rPr>
        <w:t xml:space="preserve">its </w:t>
      </w:r>
      <w:r>
        <w:rPr>
          <w:rStyle w:val="eop"/>
        </w:rPr>
        <w:t xml:space="preserve">strengths in terms of </w:t>
      </w:r>
      <w:r w:rsidR="002E5E0E">
        <w:rPr>
          <w:rStyle w:val="eop"/>
        </w:rPr>
        <w:t xml:space="preserve">its </w:t>
      </w:r>
      <w:r>
        <w:rPr>
          <w:rStyle w:val="eop"/>
        </w:rPr>
        <w:t>programs and develop</w:t>
      </w:r>
      <w:r w:rsidR="005A64E0">
        <w:rPr>
          <w:rStyle w:val="eop"/>
        </w:rPr>
        <w:t>s</w:t>
      </w:r>
      <w:r>
        <w:rPr>
          <w:rStyle w:val="eop"/>
        </w:rPr>
        <w:t xml:space="preserve"> </w:t>
      </w:r>
      <w:r w:rsidR="00814583">
        <w:rPr>
          <w:rStyle w:val="eop"/>
        </w:rPr>
        <w:t>new</w:t>
      </w:r>
      <w:r w:rsidR="00DA1998">
        <w:rPr>
          <w:rStyle w:val="eop"/>
        </w:rPr>
        <w:t xml:space="preserve"> or improved</w:t>
      </w:r>
      <w:r w:rsidR="00814583">
        <w:rPr>
          <w:rStyle w:val="eop"/>
        </w:rPr>
        <w:t xml:space="preserve"> methods for </w:t>
      </w:r>
      <w:r w:rsidR="002E5E0E">
        <w:rPr>
          <w:rStyle w:val="eop"/>
        </w:rPr>
        <w:t xml:space="preserve">meeting </w:t>
      </w:r>
      <w:r w:rsidR="00814583">
        <w:rPr>
          <w:rStyle w:val="eop"/>
        </w:rPr>
        <w:t xml:space="preserve">community needs. </w:t>
      </w:r>
      <w:r w:rsidR="00C71A73">
        <w:rPr>
          <w:rStyle w:val="eop"/>
        </w:rPr>
        <w:t xml:space="preserve">While the volume of transplants and transplantation programs themselves may speak to a </w:t>
      </w:r>
      <w:r w:rsidR="00E90337">
        <w:rPr>
          <w:rStyle w:val="eop"/>
        </w:rPr>
        <w:t>community orientation</w:t>
      </w:r>
      <w:r w:rsidR="00C71A73">
        <w:rPr>
          <w:rStyle w:val="eop"/>
        </w:rPr>
        <w:t xml:space="preserve">, </w:t>
      </w:r>
      <w:r w:rsidR="00F25D9C">
        <w:rPr>
          <w:rStyle w:val="eop"/>
        </w:rPr>
        <w:t xml:space="preserve">a </w:t>
      </w:r>
      <w:r w:rsidR="00697974">
        <w:rPr>
          <w:rStyle w:val="eop"/>
        </w:rPr>
        <w:t>community-based</w:t>
      </w:r>
      <w:r w:rsidR="00D72C29">
        <w:rPr>
          <w:rStyle w:val="eop"/>
        </w:rPr>
        <w:t xml:space="preserve"> program for CKD and</w:t>
      </w:r>
      <w:r w:rsidR="00E47231">
        <w:rPr>
          <w:rStyle w:val="eop"/>
        </w:rPr>
        <w:t xml:space="preserve"> End-Stage Renal Disease</w:t>
      </w:r>
      <w:r w:rsidR="00D72C29">
        <w:rPr>
          <w:rStyle w:val="eop"/>
        </w:rPr>
        <w:t xml:space="preserve"> </w:t>
      </w:r>
      <w:r w:rsidR="00E47231">
        <w:rPr>
          <w:rStyle w:val="eop"/>
        </w:rPr>
        <w:t>(</w:t>
      </w:r>
      <w:r w:rsidR="00D72C29">
        <w:rPr>
          <w:rStyle w:val="eop"/>
        </w:rPr>
        <w:t>ESRD</w:t>
      </w:r>
      <w:r w:rsidR="00E47231">
        <w:rPr>
          <w:rStyle w:val="eop"/>
        </w:rPr>
        <w:t>)</w:t>
      </w:r>
      <w:r w:rsidR="00D72C29">
        <w:rPr>
          <w:rStyle w:val="eop"/>
        </w:rPr>
        <w:t xml:space="preserve"> management can be </w:t>
      </w:r>
      <w:r w:rsidR="003C42E6">
        <w:rPr>
          <w:rStyle w:val="eop"/>
        </w:rPr>
        <w:t>a valued</w:t>
      </w:r>
      <w:r w:rsidR="00A732FF">
        <w:rPr>
          <w:rStyle w:val="eop"/>
        </w:rPr>
        <w:t xml:space="preserve"> program</w:t>
      </w:r>
      <w:r w:rsidR="003C42E6">
        <w:rPr>
          <w:rStyle w:val="eop"/>
        </w:rPr>
        <w:t xml:space="preserve"> </w:t>
      </w:r>
      <w:r w:rsidR="007D3A44">
        <w:rPr>
          <w:rStyle w:val="eop"/>
        </w:rPr>
        <w:t>both by the community as a form of managing</w:t>
      </w:r>
      <w:r w:rsidR="005A64E0">
        <w:rPr>
          <w:rStyle w:val="eop"/>
        </w:rPr>
        <w:t xml:space="preserve"> its</w:t>
      </w:r>
      <w:r w:rsidR="007D3A44">
        <w:rPr>
          <w:rStyle w:val="eop"/>
        </w:rPr>
        <w:t xml:space="preserve"> health status and to the hospital in terms of future cost-savings </w:t>
      </w:r>
      <w:r w:rsidR="005A64E0">
        <w:rPr>
          <w:rStyle w:val="eop"/>
        </w:rPr>
        <w:t>and fulfilling</w:t>
      </w:r>
      <w:r w:rsidR="00116F16">
        <w:rPr>
          <w:rStyle w:val="eop"/>
        </w:rPr>
        <w:t xml:space="preserve"> </w:t>
      </w:r>
      <w:r w:rsidR="005A64E0">
        <w:rPr>
          <w:rStyle w:val="eop"/>
        </w:rPr>
        <w:t>its</w:t>
      </w:r>
      <w:r w:rsidR="00116F16">
        <w:rPr>
          <w:rStyle w:val="eop"/>
        </w:rPr>
        <w:t xml:space="preserve"> obligation to the local communities they serve.</w:t>
      </w:r>
    </w:p>
    <w:p w14:paraId="2F864782" w14:textId="06AF6505" w:rsidR="00116F16" w:rsidRPr="000D1B5B" w:rsidRDefault="00116F16" w:rsidP="00116F16">
      <w:pPr>
        <w:pStyle w:val="paragraph"/>
        <w:spacing w:before="0" w:beforeAutospacing="0" w:after="0" w:afterAutospacing="0" w:line="480" w:lineRule="auto"/>
        <w:ind w:firstLine="720"/>
        <w:textAlignment w:val="baseline"/>
        <w:rPr>
          <w:rStyle w:val="normaltextrun"/>
        </w:rPr>
      </w:pPr>
      <w:r>
        <w:rPr>
          <w:rStyle w:val="normaltextrun"/>
        </w:rPr>
        <w:t xml:space="preserve">Providing </w:t>
      </w:r>
      <w:r w:rsidR="00697974">
        <w:rPr>
          <w:rStyle w:val="normaltextrun"/>
        </w:rPr>
        <w:t>community-based</w:t>
      </w:r>
      <w:r>
        <w:rPr>
          <w:rStyle w:val="normaltextrun"/>
        </w:rPr>
        <w:t xml:space="preserve"> programs </w:t>
      </w:r>
      <w:r w:rsidR="005A64E0">
        <w:rPr>
          <w:rStyle w:val="normaltextrun"/>
        </w:rPr>
        <w:t>also serves</w:t>
      </w:r>
      <w:r>
        <w:rPr>
          <w:rStyle w:val="normaltextrun"/>
        </w:rPr>
        <w:t xml:space="preserve"> the health system by providing secondary prevention and reducing cost </w:t>
      </w:r>
      <w:r w:rsidR="005A7266">
        <w:rPr>
          <w:rStyle w:val="normaltextrun"/>
        </w:rPr>
        <w:t xml:space="preserve">of </w:t>
      </w:r>
      <w:r>
        <w:rPr>
          <w:rStyle w:val="normaltextrun"/>
        </w:rPr>
        <w:t>CKD as well as ESRD</w:t>
      </w:r>
      <w:r w:rsidRPr="00D37F70">
        <w:rPr>
          <w:rStyle w:val="normaltextrun"/>
        </w:rPr>
        <w:t xml:space="preserve">. For CKD in 2016, $79 billion was spent in Medicare claims. The terminal stages of CKD which are labeled as End State Renal Disease (ESRD) was estimated to cost Medicare $35.4 billion dollars in 2016 which accounted </w:t>
      </w:r>
      <w:r w:rsidRPr="00D37F70">
        <w:rPr>
          <w:rStyle w:val="normaltextrun"/>
        </w:rPr>
        <w:lastRenderedPageBreak/>
        <w:t>for 7.2% of all Medicare paid claims. Collectively between CKD and ESRD, $114 billion was spent from Medicare to provide for these conditions alone</w:t>
      </w:r>
      <w:r w:rsidR="00205CE4">
        <w:rPr>
          <w:rStyle w:val="normaltextrun"/>
          <w:vertAlign w:val="superscript"/>
        </w:rPr>
        <w:t>5</w:t>
      </w:r>
      <w:r w:rsidR="006C5345">
        <w:rPr>
          <w:rStyle w:val="normaltextrun"/>
        </w:rPr>
        <w:t>.</w:t>
      </w:r>
    </w:p>
    <w:p w14:paraId="37A1079E" w14:textId="6170C93F" w:rsidR="003549E8" w:rsidRDefault="002760C5" w:rsidP="003A3DE3">
      <w:pPr>
        <w:pStyle w:val="paragraph"/>
        <w:spacing w:before="0" w:beforeAutospacing="0" w:after="0" w:afterAutospacing="0" w:line="480" w:lineRule="auto"/>
        <w:ind w:firstLine="720"/>
        <w:textAlignment w:val="baseline"/>
        <w:rPr>
          <w:rStyle w:val="eop"/>
        </w:rPr>
      </w:pPr>
      <w:r>
        <w:rPr>
          <w:rStyle w:val="eop"/>
        </w:rPr>
        <w:t>CKD</w:t>
      </w:r>
      <w:r w:rsidR="0028377C">
        <w:rPr>
          <w:rStyle w:val="eop"/>
        </w:rPr>
        <w:t xml:space="preserve"> pre</w:t>
      </w:r>
      <w:r w:rsidR="00A5418A">
        <w:rPr>
          <w:rStyle w:val="eop"/>
        </w:rPr>
        <w:t xml:space="preserve">sents in </w:t>
      </w:r>
      <w:r w:rsidR="0041322E">
        <w:rPr>
          <w:rStyle w:val="eop"/>
        </w:rPr>
        <w:t xml:space="preserve">five </w:t>
      </w:r>
      <w:r w:rsidR="00A5418A">
        <w:rPr>
          <w:rStyle w:val="eop"/>
        </w:rPr>
        <w:t xml:space="preserve">stages that are defined by the kidney’s function as measured </w:t>
      </w:r>
      <w:r w:rsidR="00AF5143">
        <w:rPr>
          <w:rStyle w:val="eop"/>
        </w:rPr>
        <w:t xml:space="preserve">primarily </w:t>
      </w:r>
      <w:r w:rsidR="00A5418A">
        <w:rPr>
          <w:rStyle w:val="eop"/>
        </w:rPr>
        <w:t>by glomerular filtration rates</w:t>
      </w:r>
      <w:r w:rsidR="00AF5143">
        <w:rPr>
          <w:rStyle w:val="eop"/>
        </w:rPr>
        <w:t xml:space="preserve"> shown in </w:t>
      </w:r>
      <w:r w:rsidR="00A5418A" w:rsidRPr="009A5B1E">
        <w:rPr>
          <w:rStyle w:val="eop"/>
        </w:rPr>
        <w:t>Table 1</w:t>
      </w:r>
      <w:r w:rsidR="00570642" w:rsidRPr="009A5B1E">
        <w:rPr>
          <w:rStyle w:val="eop"/>
          <w:vertAlign w:val="superscript"/>
        </w:rPr>
        <w:t>6</w:t>
      </w:r>
      <w:r w:rsidR="00AF5143">
        <w:rPr>
          <w:rStyle w:val="eop"/>
        </w:rPr>
        <w:t>:</w:t>
      </w:r>
    </w:p>
    <w:p w14:paraId="3EE54E14" w14:textId="77777777" w:rsidR="00456745" w:rsidRDefault="00456745" w:rsidP="00456745">
      <w:pPr>
        <w:pStyle w:val="paragraph"/>
        <w:spacing w:before="0" w:beforeAutospacing="0" w:after="0" w:afterAutospacing="0"/>
        <w:ind w:firstLine="720"/>
        <w:textAlignment w:val="baseline"/>
        <w:rPr>
          <w:rStyle w:val="eop"/>
        </w:rPr>
      </w:pPr>
    </w:p>
    <w:p w14:paraId="4F600418" w14:textId="04B6FC44" w:rsidR="00456745" w:rsidRDefault="00456745" w:rsidP="00456745">
      <w:pPr>
        <w:pStyle w:val="Caption"/>
        <w:rPr>
          <w:rStyle w:val="eop"/>
        </w:rPr>
      </w:pPr>
      <w:bookmarkStart w:id="8" w:name="_Toc39750908"/>
      <w:r>
        <w:t xml:space="preserve">Table </w:t>
      </w:r>
      <w:r>
        <w:fldChar w:fldCharType="begin"/>
      </w:r>
      <w:r>
        <w:instrText xml:space="preserve"> SEQ Table \* ARABIC </w:instrText>
      </w:r>
      <w:r>
        <w:fldChar w:fldCharType="separate"/>
      </w:r>
      <w:r w:rsidR="000A6B46">
        <w:t>1</w:t>
      </w:r>
      <w:r>
        <w:fldChar w:fldCharType="end"/>
      </w:r>
      <w:r>
        <w:t xml:space="preserve">: Chronic Kidney Disease </w:t>
      </w:r>
      <w:r w:rsidR="00297DCD">
        <w:t>S</w:t>
      </w:r>
      <w:r>
        <w:t>tages by Glomerular Filtration Rate (GFR)</w:t>
      </w:r>
      <w:bookmarkEnd w:id="8"/>
    </w:p>
    <w:tbl>
      <w:tblPr>
        <w:tblStyle w:val="TableGrid"/>
        <w:tblW w:w="9535" w:type="dxa"/>
        <w:tblLook w:val="04A0" w:firstRow="1" w:lastRow="0" w:firstColumn="1" w:lastColumn="0" w:noHBand="0" w:noVBand="1"/>
      </w:tblPr>
      <w:tblGrid>
        <w:gridCol w:w="6115"/>
        <w:gridCol w:w="3420"/>
      </w:tblGrid>
      <w:tr w:rsidR="00ED6808" w:rsidRPr="00A655B3" w14:paraId="5F730D18" w14:textId="77777777" w:rsidTr="00ED6808">
        <w:tc>
          <w:tcPr>
            <w:tcW w:w="6115" w:type="dxa"/>
          </w:tcPr>
          <w:p w14:paraId="1FAEC053" w14:textId="40223E00" w:rsidR="00ED6808" w:rsidRPr="00A655B3" w:rsidRDefault="00ED6808" w:rsidP="00E94CDC">
            <w:pPr>
              <w:jc w:val="center"/>
              <w:rPr>
                <w:b/>
                <w:bCs/>
              </w:rPr>
            </w:pPr>
            <w:r>
              <w:rPr>
                <w:b/>
                <w:bCs/>
              </w:rPr>
              <w:t>Stage</w:t>
            </w:r>
          </w:p>
        </w:tc>
        <w:tc>
          <w:tcPr>
            <w:tcW w:w="3420" w:type="dxa"/>
          </w:tcPr>
          <w:p w14:paraId="0E14FC6F" w14:textId="483CB410" w:rsidR="00ED6808" w:rsidRPr="006977F8" w:rsidRDefault="00ED6808" w:rsidP="00E94CDC">
            <w:pPr>
              <w:spacing w:line="240" w:lineRule="auto"/>
              <w:ind w:firstLine="0"/>
              <w:jc w:val="center"/>
              <w:rPr>
                <w:b/>
                <w:bCs/>
              </w:rPr>
            </w:pPr>
            <w:r>
              <w:rPr>
                <w:b/>
                <w:bCs/>
              </w:rPr>
              <w:t>Glomerular Filtration Rate (GFR) in mL/min per 1.73m</w:t>
            </w:r>
            <w:r>
              <w:rPr>
                <w:b/>
                <w:bCs/>
                <w:vertAlign w:val="superscript"/>
              </w:rPr>
              <w:t>2</w:t>
            </w:r>
          </w:p>
        </w:tc>
      </w:tr>
      <w:tr w:rsidR="00ED6808" w:rsidRPr="00A655B3" w14:paraId="3749862B" w14:textId="77777777" w:rsidTr="00ED6808">
        <w:tc>
          <w:tcPr>
            <w:tcW w:w="6115" w:type="dxa"/>
          </w:tcPr>
          <w:p w14:paraId="5BCA28DC" w14:textId="13D57C61" w:rsidR="00ED6808" w:rsidRPr="00A655B3" w:rsidRDefault="00ED6808" w:rsidP="0077365C">
            <w:pPr>
              <w:spacing w:line="360" w:lineRule="auto"/>
              <w:ind w:firstLine="0"/>
              <w:jc w:val="left"/>
            </w:pPr>
            <w:r>
              <w:t>Stage 1: Kidney damage with normal functioning</w:t>
            </w:r>
          </w:p>
        </w:tc>
        <w:tc>
          <w:tcPr>
            <w:tcW w:w="3420" w:type="dxa"/>
          </w:tcPr>
          <w:p w14:paraId="758E6346" w14:textId="615ACEB5" w:rsidR="00ED6808" w:rsidRPr="00A655B3" w:rsidRDefault="00ED6808" w:rsidP="0077365C">
            <w:pPr>
              <w:spacing w:line="360" w:lineRule="auto"/>
              <w:ind w:firstLine="0"/>
              <w:jc w:val="center"/>
            </w:pPr>
            <w:r>
              <w:t>≥90</w:t>
            </w:r>
          </w:p>
        </w:tc>
      </w:tr>
      <w:tr w:rsidR="00ED6808" w:rsidRPr="00A655B3" w14:paraId="6F2FB78C" w14:textId="77777777" w:rsidTr="00ED6808">
        <w:tc>
          <w:tcPr>
            <w:tcW w:w="6115" w:type="dxa"/>
          </w:tcPr>
          <w:p w14:paraId="1AACFE1C" w14:textId="52689B4B" w:rsidR="00ED6808" w:rsidRPr="00A655B3" w:rsidRDefault="00ED6808" w:rsidP="0077365C">
            <w:pPr>
              <w:spacing w:line="360" w:lineRule="auto"/>
              <w:ind w:firstLine="0"/>
              <w:jc w:val="left"/>
            </w:pPr>
            <w:r>
              <w:t>Stage 2: Kidney damage with mild loss of functioning</w:t>
            </w:r>
          </w:p>
        </w:tc>
        <w:tc>
          <w:tcPr>
            <w:tcW w:w="3420" w:type="dxa"/>
          </w:tcPr>
          <w:p w14:paraId="799D2D85" w14:textId="125B0F14" w:rsidR="00ED6808" w:rsidRPr="00A655B3" w:rsidRDefault="007F6F98" w:rsidP="0077365C">
            <w:pPr>
              <w:spacing w:line="360" w:lineRule="auto"/>
              <w:ind w:firstLine="0"/>
              <w:jc w:val="center"/>
            </w:pPr>
            <w:r>
              <w:t>60-89</w:t>
            </w:r>
          </w:p>
        </w:tc>
      </w:tr>
      <w:tr w:rsidR="00ED6808" w:rsidRPr="00A655B3" w14:paraId="1D159A79" w14:textId="77777777" w:rsidTr="00ED6808">
        <w:tc>
          <w:tcPr>
            <w:tcW w:w="6115" w:type="dxa"/>
          </w:tcPr>
          <w:p w14:paraId="14A17AC9" w14:textId="6709DAD4" w:rsidR="00ED6808" w:rsidRPr="00A655B3" w:rsidRDefault="00ED6808" w:rsidP="0077365C">
            <w:pPr>
              <w:spacing w:line="360" w:lineRule="auto"/>
              <w:ind w:firstLine="0"/>
              <w:jc w:val="left"/>
            </w:pPr>
            <w:r>
              <w:t>Stage 3: Mild-to-severe loss of kidney functioning</w:t>
            </w:r>
          </w:p>
        </w:tc>
        <w:tc>
          <w:tcPr>
            <w:tcW w:w="3420" w:type="dxa"/>
          </w:tcPr>
          <w:p w14:paraId="11F02D7D" w14:textId="7E4916FF" w:rsidR="00ED6808" w:rsidRPr="00A655B3" w:rsidRDefault="007F6F98" w:rsidP="0077365C">
            <w:pPr>
              <w:spacing w:line="360" w:lineRule="auto"/>
              <w:ind w:firstLine="0"/>
              <w:jc w:val="center"/>
            </w:pPr>
            <w:r>
              <w:t>30-59</w:t>
            </w:r>
          </w:p>
        </w:tc>
      </w:tr>
      <w:tr w:rsidR="00ED6808" w:rsidRPr="00A655B3" w14:paraId="65A2DB2E" w14:textId="77777777" w:rsidTr="00ED6808">
        <w:tc>
          <w:tcPr>
            <w:tcW w:w="6115" w:type="dxa"/>
          </w:tcPr>
          <w:p w14:paraId="60D3C269" w14:textId="79A526CD" w:rsidR="00ED6808" w:rsidRPr="00A655B3" w:rsidRDefault="00ED6808" w:rsidP="0077365C">
            <w:pPr>
              <w:spacing w:line="360" w:lineRule="auto"/>
              <w:ind w:firstLine="0"/>
              <w:jc w:val="left"/>
            </w:pPr>
            <w:r>
              <w:t>Stage 4: Severe loss of kidney function</w:t>
            </w:r>
          </w:p>
        </w:tc>
        <w:tc>
          <w:tcPr>
            <w:tcW w:w="3420" w:type="dxa"/>
          </w:tcPr>
          <w:p w14:paraId="36D627A9" w14:textId="0C081EA7" w:rsidR="00ED6808" w:rsidRPr="00A655B3" w:rsidRDefault="007F6F98" w:rsidP="0077365C">
            <w:pPr>
              <w:spacing w:line="360" w:lineRule="auto"/>
              <w:ind w:firstLine="0"/>
              <w:jc w:val="center"/>
            </w:pPr>
            <w:r>
              <w:t>15-29</w:t>
            </w:r>
          </w:p>
        </w:tc>
      </w:tr>
      <w:tr w:rsidR="00ED6808" w:rsidRPr="00A655B3" w14:paraId="7F4088A9" w14:textId="77777777" w:rsidTr="00ED6808">
        <w:tc>
          <w:tcPr>
            <w:tcW w:w="6115" w:type="dxa"/>
          </w:tcPr>
          <w:p w14:paraId="33BF6B99" w14:textId="5AB986F2" w:rsidR="00ED6808" w:rsidRPr="00A655B3" w:rsidRDefault="00ED6808" w:rsidP="0077365C">
            <w:pPr>
              <w:spacing w:line="360" w:lineRule="auto"/>
              <w:ind w:firstLine="0"/>
              <w:jc w:val="left"/>
            </w:pPr>
            <w:r>
              <w:t>Stage 5: Kidney failure requiring dialysis or transplantation for survival. “End-Stage”</w:t>
            </w:r>
          </w:p>
        </w:tc>
        <w:tc>
          <w:tcPr>
            <w:tcW w:w="3420" w:type="dxa"/>
          </w:tcPr>
          <w:p w14:paraId="518F9809" w14:textId="00DFD617" w:rsidR="00ED6808" w:rsidRPr="00A655B3" w:rsidRDefault="007F6F98" w:rsidP="0077365C">
            <w:pPr>
              <w:spacing w:line="360" w:lineRule="auto"/>
              <w:ind w:firstLine="0"/>
              <w:jc w:val="center"/>
            </w:pPr>
            <w:r>
              <w:t>&lt;15</w:t>
            </w:r>
          </w:p>
        </w:tc>
      </w:tr>
    </w:tbl>
    <w:p w14:paraId="02CD4BCA" w14:textId="3421F759" w:rsidR="00116F16" w:rsidRDefault="00116F16" w:rsidP="003A3DE3">
      <w:pPr>
        <w:pStyle w:val="paragraph"/>
        <w:spacing w:before="0" w:beforeAutospacing="0" w:after="0" w:afterAutospacing="0" w:line="480" w:lineRule="auto"/>
        <w:ind w:firstLine="720"/>
        <w:textAlignment w:val="baseline"/>
        <w:rPr>
          <w:rStyle w:val="eop"/>
        </w:rPr>
      </w:pPr>
    </w:p>
    <w:p w14:paraId="62C8DBD6" w14:textId="6B269411" w:rsidR="003A3DE3" w:rsidRPr="00BD2105" w:rsidRDefault="0041322E" w:rsidP="003A3DE3">
      <w:pPr>
        <w:pStyle w:val="paragraph"/>
        <w:spacing w:before="0" w:beforeAutospacing="0" w:after="0" w:afterAutospacing="0" w:line="480" w:lineRule="auto"/>
        <w:ind w:firstLine="720"/>
        <w:textAlignment w:val="baseline"/>
      </w:pPr>
      <w:r>
        <w:t xml:space="preserve">It is </w:t>
      </w:r>
      <w:r w:rsidR="00D560C4">
        <w:t xml:space="preserve">imperative </w:t>
      </w:r>
      <w:r w:rsidR="00022C1B">
        <w:t xml:space="preserve">for individuals to </w:t>
      </w:r>
      <w:r w:rsidR="00022C1B">
        <w:rPr>
          <w:i/>
          <w:iCs/>
        </w:rPr>
        <w:t>know</w:t>
      </w:r>
      <w:r w:rsidR="00022C1B">
        <w:t xml:space="preserve"> if they</w:t>
      </w:r>
      <w:r>
        <w:t xml:space="preserve"> are </w:t>
      </w:r>
      <w:r w:rsidR="00022C1B">
        <w:t xml:space="preserve">beginning to lose kidney function because </w:t>
      </w:r>
      <w:r w:rsidR="00D31491">
        <w:t xml:space="preserve">being able to provide secondary prevention by </w:t>
      </w:r>
      <w:r w:rsidR="007037E9">
        <w:t>treating earlier stages help</w:t>
      </w:r>
      <w:r w:rsidR="00A12E17">
        <w:t>s to</w:t>
      </w:r>
      <w:r w:rsidR="007037E9">
        <w:t xml:space="preserve"> reduce costs in further stages and especially in ESRD. </w:t>
      </w:r>
      <w:r w:rsidR="00073843">
        <w:t>Most individuals in the first t</w:t>
      </w:r>
      <w:r w:rsidR="00AF4632">
        <w:t>hree</w:t>
      </w:r>
      <w:r w:rsidR="00073843">
        <w:t xml:space="preserve"> stages </w:t>
      </w:r>
      <w:r>
        <w:t xml:space="preserve">do not </w:t>
      </w:r>
      <w:r w:rsidR="00073843">
        <w:t xml:space="preserve">realize they have the beginning of CKD </w:t>
      </w:r>
      <w:r w:rsidR="00AF4632">
        <w:t xml:space="preserve">because their day-to-day life feels unaffected. According to </w:t>
      </w:r>
      <w:r w:rsidR="00C6006A">
        <w:t xml:space="preserve">the National Institute of Diabetes and Digestive and Kidney Diseases (NIDDK), on average less than 10% of those afflicted with CKD are aware they have it based on data collected from cohorts from 2001-2004, 2005-2008, and 2009-2012. Awareness </w:t>
      </w:r>
      <w:r>
        <w:t xml:space="preserve">is higher </w:t>
      </w:r>
      <w:r w:rsidR="000B6FD1">
        <w:t>at stage 4 where 35-45% of those afflicted are aware of their status</w:t>
      </w:r>
      <w:r w:rsidR="006D45DB">
        <w:rPr>
          <w:vertAlign w:val="superscript"/>
        </w:rPr>
        <w:t>6</w:t>
      </w:r>
      <w:r w:rsidR="000B6FD1">
        <w:t xml:space="preserve">. This presents an opportunity for a </w:t>
      </w:r>
      <w:r w:rsidR="00697974">
        <w:t>community-based</w:t>
      </w:r>
      <w:r w:rsidR="000B6FD1">
        <w:t xml:space="preserve"> program to not only provide linkage to services and complement a health </w:t>
      </w:r>
      <w:r w:rsidR="000B6FD1" w:rsidRPr="00BD2105">
        <w:t xml:space="preserve">system’s capacity but also </w:t>
      </w:r>
      <w:r w:rsidR="006D45DB" w:rsidRPr="00BD2105">
        <w:t>provide reliable and accessible screening programs so vulnerable populations know their kidney health status.</w:t>
      </w:r>
    </w:p>
    <w:p w14:paraId="53598B2E" w14:textId="7DFE5196" w:rsidR="006B4B36" w:rsidRPr="00D9484A" w:rsidRDefault="00217C31" w:rsidP="00D9484A">
      <w:pPr>
        <w:pStyle w:val="paragraph"/>
        <w:spacing w:before="0" w:beforeAutospacing="0" w:after="0" w:afterAutospacing="0" w:line="480" w:lineRule="auto"/>
        <w:textAlignment w:val="baseline"/>
        <w:rPr>
          <w:vertAlign w:val="superscript"/>
        </w:rPr>
      </w:pPr>
      <w:r w:rsidRPr="00BD2105">
        <w:lastRenderedPageBreak/>
        <w:tab/>
      </w:r>
      <w:r w:rsidR="0041322E" w:rsidRPr="00BD2105">
        <w:t xml:space="preserve">It is </w:t>
      </w:r>
      <w:r w:rsidRPr="00BD2105">
        <w:t xml:space="preserve">especially important for </w:t>
      </w:r>
      <w:r w:rsidR="00DC3381" w:rsidRPr="00BD2105">
        <w:t>m</w:t>
      </w:r>
      <w:r w:rsidR="00592470" w:rsidRPr="00BD2105">
        <w:t>inority populations to know their status given</w:t>
      </w:r>
      <w:r w:rsidR="007F4269" w:rsidRPr="00BD2105">
        <w:t xml:space="preserve"> their increased</w:t>
      </w:r>
      <w:r w:rsidR="006B4B36">
        <w:t xml:space="preserve"> genetic and social</w:t>
      </w:r>
      <w:r w:rsidR="007F4269" w:rsidRPr="00BD2105">
        <w:t xml:space="preserve"> </w:t>
      </w:r>
      <w:r w:rsidR="00592470" w:rsidRPr="00BD2105">
        <w:t>predisposition to developing risk factors that contribute to CK</w:t>
      </w:r>
      <w:r w:rsidR="006B4B36">
        <w:t>D</w:t>
      </w:r>
      <w:r w:rsidR="00592470" w:rsidRPr="00BD2105">
        <w:t>.</w:t>
      </w:r>
      <w:r w:rsidR="006B4B36">
        <w:t xml:space="preserve"> For African Americans, one paper estimated 60% of factors</w:t>
      </w:r>
      <w:r w:rsidR="003F5D91">
        <w:t xml:space="preserve"> contributing to</w:t>
      </w:r>
      <w:r w:rsidR="006B4B36">
        <w:t xml:space="preserve"> poor CKD outcomes </w:t>
      </w:r>
      <w:r w:rsidR="005A7266">
        <w:t xml:space="preserve">are </w:t>
      </w:r>
      <w:r w:rsidR="006B4B36">
        <w:t>due to social determinants of health across behavioral patterns, social circumstances, and environmental exposures. The other 40% is broken down as 30% genetic predisposition and 10% health care quality</w:t>
      </w:r>
      <w:r w:rsidR="006B4B36">
        <w:rPr>
          <w:vertAlign w:val="superscript"/>
        </w:rPr>
        <w:t>7</w:t>
      </w:r>
      <w:r w:rsidR="006B4B36">
        <w:t xml:space="preserve">. </w:t>
      </w:r>
      <w:r w:rsidR="00146E49">
        <w:t>Five</w:t>
      </w:r>
      <w:r w:rsidR="006B4B36">
        <w:t xml:space="preserve"> main domains mediate the idea of social determinants of health: Economic Stability, Education, Neighborhood/Built Environment, Social/Community Context, and Health/Health Care Access. Examples of each domain can be found </w:t>
      </w:r>
      <w:r w:rsidR="006B4B36" w:rsidRPr="008F6FEE">
        <w:t>in Table 2</w:t>
      </w:r>
      <w:r w:rsidR="00D9484A" w:rsidRPr="008F6FEE">
        <w:rPr>
          <w:vertAlign w:val="superscript"/>
        </w:rPr>
        <w:t>7</w:t>
      </w:r>
      <w:r w:rsidR="003F664D" w:rsidRPr="008F6FEE">
        <w:t>.</w:t>
      </w:r>
      <w:r w:rsidR="00D9484A">
        <w:rPr>
          <w:vertAlign w:val="superscript"/>
        </w:rPr>
        <w:t xml:space="preserve"> </w:t>
      </w:r>
      <w:r w:rsidR="00D9484A" w:rsidRPr="00D9484A">
        <w:rPr>
          <w:strike/>
          <w:vertAlign w:val="subscript"/>
        </w:rPr>
        <w:t xml:space="preserve"> </w:t>
      </w:r>
    </w:p>
    <w:p w14:paraId="60946A24" w14:textId="345A6DB8" w:rsidR="00E64377" w:rsidRDefault="006B4B36" w:rsidP="003B5FDC">
      <w:pPr>
        <w:pStyle w:val="paragraph"/>
        <w:spacing w:before="0" w:beforeAutospacing="0" w:after="0" w:afterAutospacing="0" w:line="480" w:lineRule="auto"/>
        <w:ind w:firstLine="720"/>
        <w:textAlignment w:val="baseline"/>
      </w:pPr>
      <w:r>
        <w:t>Altogether w</w:t>
      </w:r>
      <w:r w:rsidR="00650B4D" w:rsidRPr="00BD2105">
        <w:t>hen</w:t>
      </w:r>
      <w:r w:rsidR="00650B4D">
        <w:t xml:space="preserve"> compared to Caucasians, </w:t>
      </w:r>
      <w:r w:rsidR="00EB20EC">
        <w:t>African</w:t>
      </w:r>
      <w:r>
        <w:t xml:space="preserve"> </w:t>
      </w:r>
      <w:r w:rsidR="00650B4D">
        <w:t>Americans are especially risk-prone to developing ESRD</w:t>
      </w:r>
      <w:r w:rsidR="0041322E">
        <w:t xml:space="preserve">. Their </w:t>
      </w:r>
      <w:r w:rsidR="00650B4D">
        <w:t xml:space="preserve">prevalence </w:t>
      </w:r>
      <w:r w:rsidR="0041322E">
        <w:t xml:space="preserve">is </w:t>
      </w:r>
      <w:r w:rsidR="00650B4D">
        <w:t xml:space="preserve">3.7 times greater </w:t>
      </w:r>
      <w:r w:rsidR="00EB20EC">
        <w:t xml:space="preserve">compared to Native Americans </w:t>
      </w:r>
      <w:r w:rsidR="0041322E">
        <w:t>(</w:t>
      </w:r>
      <w:r w:rsidR="00EB20EC">
        <w:t>1.4 times</w:t>
      </w:r>
      <w:r w:rsidR="0041322E">
        <w:t>)</w:t>
      </w:r>
      <w:r w:rsidR="00EB20EC">
        <w:t xml:space="preserve"> and Asians </w:t>
      </w:r>
      <w:r w:rsidR="0041322E">
        <w:t>(</w:t>
      </w:r>
      <w:r w:rsidR="00EB20EC">
        <w:t>1.5 times</w:t>
      </w:r>
      <w:r w:rsidR="0041322E">
        <w:t>)</w:t>
      </w:r>
      <w:r w:rsidR="00EB20EC">
        <w:t xml:space="preserve"> </w:t>
      </w:r>
      <w:r w:rsidR="00EB20EC">
        <w:rPr>
          <w:vertAlign w:val="superscript"/>
        </w:rPr>
        <w:t>6</w:t>
      </w:r>
      <w:r w:rsidR="00EB20EC">
        <w:t>.</w:t>
      </w:r>
      <w:r w:rsidR="002866B1">
        <w:t xml:space="preserve"> Combined with the lack of awareness </w:t>
      </w:r>
      <w:r w:rsidR="0041322E">
        <w:t xml:space="preserve">at </w:t>
      </w:r>
      <w:r w:rsidR="002866B1">
        <w:t>earlier stages of CKD, the increased prevalence of ESRD</w:t>
      </w:r>
      <w:r w:rsidR="002D2339">
        <w:t xml:space="preserve"> demonstrates a significant risk to minority populations and African</w:t>
      </w:r>
      <w:r>
        <w:t xml:space="preserve"> </w:t>
      </w:r>
      <w:r w:rsidR="002D2339">
        <w:t>Americans especially.</w:t>
      </w:r>
    </w:p>
    <w:p w14:paraId="0EBDDD8F" w14:textId="2BE9FFA2" w:rsidR="00D9484A" w:rsidRPr="006B4B36" w:rsidRDefault="00D9484A" w:rsidP="00D9484A">
      <w:pPr>
        <w:pStyle w:val="Caption"/>
        <w:rPr>
          <w:b w:val="0"/>
          <w:bCs w:val="0"/>
        </w:rPr>
      </w:pPr>
      <w:bookmarkStart w:id="9" w:name="_Toc39750909"/>
      <w:r>
        <w:t xml:space="preserve">Table </w:t>
      </w:r>
      <w:r>
        <w:fldChar w:fldCharType="begin"/>
      </w:r>
      <w:r>
        <w:instrText xml:space="preserve"> SEQ Table \* ARABIC </w:instrText>
      </w:r>
      <w:r>
        <w:fldChar w:fldCharType="separate"/>
      </w:r>
      <w:r w:rsidR="000A6B46">
        <w:t>2</w:t>
      </w:r>
      <w:r>
        <w:fldChar w:fldCharType="end"/>
      </w:r>
      <w:r>
        <w:t>: Social Determinant of Health Domains and Contributing Factors</w:t>
      </w:r>
      <w:bookmarkEnd w:id="9"/>
    </w:p>
    <w:tbl>
      <w:tblPr>
        <w:tblStyle w:val="TableGrid"/>
        <w:tblW w:w="0" w:type="auto"/>
        <w:tblLook w:val="04A0" w:firstRow="1" w:lastRow="0" w:firstColumn="1" w:lastColumn="0" w:noHBand="0" w:noVBand="1"/>
      </w:tblPr>
      <w:tblGrid>
        <w:gridCol w:w="3145"/>
        <w:gridCol w:w="6205"/>
      </w:tblGrid>
      <w:tr w:rsidR="006B4B36" w14:paraId="48F35CA5" w14:textId="77777777" w:rsidTr="006B4B36">
        <w:tc>
          <w:tcPr>
            <w:tcW w:w="3145" w:type="dxa"/>
          </w:tcPr>
          <w:p w14:paraId="6A9B6976" w14:textId="0348E63C" w:rsidR="006B4B36" w:rsidRPr="006B4B36" w:rsidRDefault="006B4B36" w:rsidP="003B5FDC">
            <w:pPr>
              <w:pStyle w:val="paragraph"/>
              <w:spacing w:before="0" w:beforeAutospacing="0" w:after="0" w:afterAutospacing="0" w:line="480" w:lineRule="auto"/>
              <w:textAlignment w:val="baseline"/>
              <w:rPr>
                <w:b/>
                <w:bCs/>
              </w:rPr>
            </w:pPr>
            <w:r w:rsidRPr="006B4B36">
              <w:rPr>
                <w:b/>
                <w:bCs/>
              </w:rPr>
              <w:t>Social Determinant Domain</w:t>
            </w:r>
          </w:p>
        </w:tc>
        <w:tc>
          <w:tcPr>
            <w:tcW w:w="6205" w:type="dxa"/>
          </w:tcPr>
          <w:p w14:paraId="6729C83B" w14:textId="45E10DC5" w:rsidR="006B4B36" w:rsidRPr="006B4B36" w:rsidRDefault="006B4B36" w:rsidP="003B5FDC">
            <w:pPr>
              <w:pStyle w:val="paragraph"/>
              <w:spacing w:before="0" w:beforeAutospacing="0" w:after="0" w:afterAutospacing="0" w:line="480" w:lineRule="auto"/>
              <w:textAlignment w:val="baseline"/>
              <w:rPr>
                <w:b/>
                <w:bCs/>
              </w:rPr>
            </w:pPr>
            <w:r>
              <w:rPr>
                <w:b/>
                <w:bCs/>
              </w:rPr>
              <w:t>Contributing Factors</w:t>
            </w:r>
          </w:p>
        </w:tc>
      </w:tr>
      <w:tr w:rsidR="006B4B36" w14:paraId="51C8C317" w14:textId="77777777" w:rsidTr="006B4B36">
        <w:tc>
          <w:tcPr>
            <w:tcW w:w="3145" w:type="dxa"/>
          </w:tcPr>
          <w:p w14:paraId="3B35FE48" w14:textId="59109A96" w:rsidR="006B4B36" w:rsidRDefault="006B4B36" w:rsidP="006B4B36">
            <w:pPr>
              <w:pStyle w:val="paragraph"/>
              <w:spacing w:before="0" w:beforeAutospacing="0" w:after="0" w:afterAutospacing="0" w:line="360" w:lineRule="auto"/>
              <w:textAlignment w:val="baseline"/>
            </w:pPr>
            <w:r>
              <w:t>Economic Stability</w:t>
            </w:r>
          </w:p>
        </w:tc>
        <w:tc>
          <w:tcPr>
            <w:tcW w:w="6205" w:type="dxa"/>
          </w:tcPr>
          <w:p w14:paraId="2168EFEB" w14:textId="20960960" w:rsidR="006B4B36" w:rsidRDefault="006B4B36" w:rsidP="006B4B36">
            <w:pPr>
              <w:pStyle w:val="paragraph"/>
              <w:spacing w:before="0" w:beforeAutospacing="0" w:after="0" w:afterAutospacing="0" w:line="360" w:lineRule="auto"/>
              <w:textAlignment w:val="baseline"/>
            </w:pPr>
            <w:r>
              <w:t>Income, Employment, Food Security, and Housing Stability</w:t>
            </w:r>
          </w:p>
        </w:tc>
      </w:tr>
      <w:tr w:rsidR="006B4B36" w14:paraId="50236708" w14:textId="77777777" w:rsidTr="006B4B36">
        <w:tc>
          <w:tcPr>
            <w:tcW w:w="3145" w:type="dxa"/>
          </w:tcPr>
          <w:p w14:paraId="1DF13674" w14:textId="6A783C87" w:rsidR="006B4B36" w:rsidRDefault="006B4B36" w:rsidP="006B4B36">
            <w:pPr>
              <w:pStyle w:val="paragraph"/>
              <w:spacing w:before="0" w:beforeAutospacing="0" w:after="0" w:afterAutospacing="0" w:line="360" w:lineRule="auto"/>
              <w:textAlignment w:val="baseline"/>
            </w:pPr>
            <w:r>
              <w:t>Education</w:t>
            </w:r>
          </w:p>
        </w:tc>
        <w:tc>
          <w:tcPr>
            <w:tcW w:w="6205" w:type="dxa"/>
          </w:tcPr>
          <w:p w14:paraId="49C2C599" w14:textId="37A28BF1" w:rsidR="006B4B36" w:rsidRDefault="006B4B36" w:rsidP="006B4B36">
            <w:pPr>
              <w:pStyle w:val="paragraph"/>
              <w:spacing w:before="0" w:beforeAutospacing="0" w:after="0" w:afterAutospacing="0" w:line="360" w:lineRule="auto"/>
              <w:textAlignment w:val="baseline"/>
            </w:pPr>
            <w:r>
              <w:t>Language and Literacy; Early Childhood, Primary, Secondary, and Higher Education; Vocational Training</w:t>
            </w:r>
          </w:p>
        </w:tc>
      </w:tr>
      <w:tr w:rsidR="006B4B36" w14:paraId="78176D3F" w14:textId="77777777" w:rsidTr="006B4B36">
        <w:tc>
          <w:tcPr>
            <w:tcW w:w="3145" w:type="dxa"/>
          </w:tcPr>
          <w:p w14:paraId="79347FAF" w14:textId="19C84CCC" w:rsidR="006B4B36" w:rsidRDefault="006B4B36" w:rsidP="006B4B36">
            <w:pPr>
              <w:pStyle w:val="paragraph"/>
              <w:spacing w:before="0" w:beforeAutospacing="0" w:after="0" w:afterAutospacing="0" w:line="360" w:lineRule="auto"/>
              <w:textAlignment w:val="baseline"/>
            </w:pPr>
            <w:r>
              <w:t>Neighborhood/Built Environment</w:t>
            </w:r>
          </w:p>
        </w:tc>
        <w:tc>
          <w:tcPr>
            <w:tcW w:w="6205" w:type="dxa"/>
          </w:tcPr>
          <w:p w14:paraId="6E135E59" w14:textId="5C30EDEF" w:rsidR="006B4B36" w:rsidRDefault="006B4B36" w:rsidP="006B4B36">
            <w:pPr>
              <w:pStyle w:val="paragraph"/>
              <w:spacing w:before="0" w:beforeAutospacing="0" w:after="0" w:afterAutospacing="0" w:line="360" w:lineRule="auto"/>
              <w:textAlignment w:val="baseline"/>
            </w:pPr>
            <w:r>
              <w:t>Housing Safety, Access to Nutritious Foods and Recreation, Transportation and Mobility, Social Order and Walkability, Environmental Exposures</w:t>
            </w:r>
          </w:p>
        </w:tc>
      </w:tr>
      <w:tr w:rsidR="006B4B36" w14:paraId="665212AC" w14:textId="77777777" w:rsidTr="006B4B36">
        <w:tc>
          <w:tcPr>
            <w:tcW w:w="3145" w:type="dxa"/>
          </w:tcPr>
          <w:p w14:paraId="35C6FFE6" w14:textId="42A7CEF1" w:rsidR="006B4B36" w:rsidRDefault="006B4B36" w:rsidP="006B4B36">
            <w:pPr>
              <w:pStyle w:val="paragraph"/>
              <w:spacing w:before="0" w:beforeAutospacing="0" w:after="0" w:afterAutospacing="0" w:line="360" w:lineRule="auto"/>
              <w:textAlignment w:val="baseline"/>
            </w:pPr>
            <w:r>
              <w:t>Social/Community Context</w:t>
            </w:r>
          </w:p>
        </w:tc>
        <w:tc>
          <w:tcPr>
            <w:tcW w:w="6205" w:type="dxa"/>
          </w:tcPr>
          <w:p w14:paraId="2E53F7B1" w14:textId="0A49A76C" w:rsidR="006B4B36" w:rsidRDefault="006B4B36" w:rsidP="006B4B36">
            <w:pPr>
              <w:pStyle w:val="paragraph"/>
              <w:spacing w:before="0" w:beforeAutospacing="0" w:after="0" w:afterAutospacing="0" w:line="360" w:lineRule="auto"/>
              <w:textAlignment w:val="baseline"/>
            </w:pPr>
            <w:r>
              <w:t>Social Norms, Networks &amp; Culture; Mistrust of Outsiders; Community Engagement; Segregation &amp; Discrimination; Media &amp; Technology Access</w:t>
            </w:r>
          </w:p>
        </w:tc>
      </w:tr>
      <w:tr w:rsidR="006B4B36" w14:paraId="14F87C65" w14:textId="77777777" w:rsidTr="006B4B36">
        <w:tc>
          <w:tcPr>
            <w:tcW w:w="3145" w:type="dxa"/>
          </w:tcPr>
          <w:p w14:paraId="75A3345C" w14:textId="0DDC2091" w:rsidR="006B4B36" w:rsidRDefault="006B4B36" w:rsidP="006B4B36">
            <w:pPr>
              <w:pStyle w:val="paragraph"/>
              <w:spacing w:before="0" w:beforeAutospacing="0" w:after="0" w:afterAutospacing="0" w:line="360" w:lineRule="auto"/>
              <w:textAlignment w:val="baseline"/>
            </w:pPr>
            <w:r>
              <w:t>Healthcare Access</w:t>
            </w:r>
          </w:p>
        </w:tc>
        <w:tc>
          <w:tcPr>
            <w:tcW w:w="6205" w:type="dxa"/>
          </w:tcPr>
          <w:p w14:paraId="111CB27F" w14:textId="4C473290" w:rsidR="006B4B36" w:rsidRDefault="006B4B36" w:rsidP="006B4B36">
            <w:pPr>
              <w:pStyle w:val="paragraph"/>
              <w:spacing w:before="0" w:beforeAutospacing="0" w:after="0" w:afterAutospacing="0" w:line="360" w:lineRule="auto"/>
              <w:textAlignment w:val="baseline"/>
            </w:pPr>
            <w:r>
              <w:t>Health Insurance; Health System Accessibility; Health Literacy</w:t>
            </w:r>
          </w:p>
        </w:tc>
      </w:tr>
    </w:tbl>
    <w:p w14:paraId="559079B9" w14:textId="04C6947A" w:rsidR="001632D0" w:rsidRPr="006B2067" w:rsidRDefault="001632D0" w:rsidP="00D37D03">
      <w:pPr>
        <w:pStyle w:val="Heading1"/>
        <w:rPr>
          <w:rStyle w:val="eop"/>
          <w:rFonts w:cs="Times New Roman"/>
        </w:rPr>
      </w:pPr>
      <w:bookmarkStart w:id="10" w:name="_Toc39750269"/>
      <w:r>
        <w:lastRenderedPageBreak/>
        <w:t>Objectives</w:t>
      </w:r>
      <w:bookmarkEnd w:id="10"/>
    </w:p>
    <w:p w14:paraId="4F10E0E4" w14:textId="1E1C9D07" w:rsidR="001632D0" w:rsidRDefault="001632D0" w:rsidP="00D9484A">
      <w:pPr>
        <w:pStyle w:val="paragraph"/>
        <w:spacing w:before="0" w:beforeAutospacing="0" w:after="0" w:afterAutospacing="0" w:line="480" w:lineRule="auto"/>
        <w:ind w:firstLine="720"/>
        <w:textAlignment w:val="baseline"/>
        <w:rPr>
          <w:rStyle w:val="normaltextrun"/>
        </w:rPr>
      </w:pPr>
      <w:r w:rsidRPr="001632D0">
        <w:rPr>
          <w:rStyle w:val="normaltextrun"/>
        </w:rPr>
        <w:t>This paper</w:t>
      </w:r>
      <w:r w:rsidR="00771A1F">
        <w:rPr>
          <w:rStyle w:val="normaltextrun"/>
        </w:rPr>
        <w:t xml:space="preserve"> aims to describe a missing opportunity for healthcare institutions </w:t>
      </w:r>
      <w:r w:rsidR="00D67E10">
        <w:rPr>
          <w:rStyle w:val="normaltextrun"/>
        </w:rPr>
        <w:t>to take advantage of, citing their volume in</w:t>
      </w:r>
      <w:r w:rsidR="003B3147">
        <w:rPr>
          <w:rStyle w:val="normaltextrun"/>
        </w:rPr>
        <w:t xml:space="preserve"> kidney</w:t>
      </w:r>
      <w:r w:rsidR="00D67E10">
        <w:rPr>
          <w:rStyle w:val="normaltextrun"/>
        </w:rPr>
        <w:t xml:space="preserve"> </w:t>
      </w:r>
      <w:r w:rsidR="009D2698">
        <w:rPr>
          <w:rStyle w:val="normaltextrun"/>
        </w:rPr>
        <w:t>transplantation as</w:t>
      </w:r>
      <w:r w:rsidR="00D67E10">
        <w:rPr>
          <w:rStyle w:val="normaltextrun"/>
        </w:rPr>
        <w:t xml:space="preserve"> a </w:t>
      </w:r>
      <w:r w:rsidR="009D2698">
        <w:rPr>
          <w:rStyle w:val="normaltextrun"/>
        </w:rPr>
        <w:t>strong competency they are already</w:t>
      </w:r>
      <w:r w:rsidR="003B3147">
        <w:rPr>
          <w:rStyle w:val="normaltextrun"/>
        </w:rPr>
        <w:t xml:space="preserve"> fulfilling. </w:t>
      </w:r>
      <w:r w:rsidR="009D2698">
        <w:rPr>
          <w:rStyle w:val="normaltextrun"/>
        </w:rPr>
        <w:t xml:space="preserve"> </w:t>
      </w:r>
      <w:r w:rsidR="00CA5F54">
        <w:rPr>
          <w:rStyle w:val="normaltextrun"/>
        </w:rPr>
        <w:t>There are four main objectives:</w:t>
      </w:r>
    </w:p>
    <w:p w14:paraId="2DA01F26" w14:textId="60A9A734" w:rsidR="00CA5F54" w:rsidRDefault="00F92F17" w:rsidP="00CA5F54">
      <w:pPr>
        <w:pStyle w:val="paragraph"/>
        <w:numPr>
          <w:ilvl w:val="0"/>
          <w:numId w:val="22"/>
        </w:numPr>
        <w:spacing w:before="0" w:beforeAutospacing="0" w:after="0" w:afterAutospacing="0" w:line="480" w:lineRule="auto"/>
        <w:textAlignment w:val="baseline"/>
        <w:rPr>
          <w:rStyle w:val="normaltextrun"/>
        </w:rPr>
      </w:pPr>
      <w:r>
        <w:rPr>
          <w:rStyle w:val="normaltextrun"/>
        </w:rPr>
        <w:t xml:space="preserve">To </w:t>
      </w:r>
      <w:r w:rsidR="001A57E7">
        <w:rPr>
          <w:rStyle w:val="normaltextrun"/>
        </w:rPr>
        <w:t xml:space="preserve">identify </w:t>
      </w:r>
      <w:r>
        <w:rPr>
          <w:rStyle w:val="normaltextrun"/>
        </w:rPr>
        <w:t xml:space="preserve">the 10 highest kidney-performing transplantation </w:t>
      </w:r>
      <w:r w:rsidR="00BD2105">
        <w:rPr>
          <w:rStyle w:val="normaltextrun"/>
        </w:rPr>
        <w:t>medical centers</w:t>
      </w:r>
      <w:r>
        <w:rPr>
          <w:rStyle w:val="normaltextrun"/>
        </w:rPr>
        <w:t xml:space="preserve"> in the US and evaluate their CHNAs for mentions of keywords related to </w:t>
      </w:r>
      <w:r w:rsidR="00106608">
        <w:rPr>
          <w:rStyle w:val="normaltextrun"/>
        </w:rPr>
        <w:t>transplantation, transplantation</w:t>
      </w:r>
      <w:r>
        <w:rPr>
          <w:rStyle w:val="normaltextrun"/>
        </w:rPr>
        <w:t xml:space="preserve"> awareness, and related education programs</w:t>
      </w:r>
      <w:r w:rsidR="00745C21">
        <w:rPr>
          <w:rStyle w:val="normaltextrun"/>
        </w:rPr>
        <w:t>,</w:t>
      </w:r>
    </w:p>
    <w:p w14:paraId="70B8F6DD" w14:textId="014459CA" w:rsidR="00E71B6A" w:rsidRDefault="00E71B6A" w:rsidP="00CA5F54">
      <w:pPr>
        <w:pStyle w:val="paragraph"/>
        <w:numPr>
          <w:ilvl w:val="0"/>
          <w:numId w:val="22"/>
        </w:numPr>
        <w:spacing w:before="0" w:beforeAutospacing="0" w:after="0" w:afterAutospacing="0" w:line="480" w:lineRule="auto"/>
        <w:textAlignment w:val="baseline"/>
        <w:rPr>
          <w:rStyle w:val="normaltextrun"/>
        </w:rPr>
      </w:pPr>
      <w:r>
        <w:rPr>
          <w:rStyle w:val="normaltextrun"/>
        </w:rPr>
        <w:t xml:space="preserve">To explain why </w:t>
      </w:r>
      <w:r w:rsidR="00697974">
        <w:rPr>
          <w:rStyle w:val="normaltextrun"/>
        </w:rPr>
        <w:t>community-based</w:t>
      </w:r>
      <w:r>
        <w:rPr>
          <w:rStyle w:val="normaltextrun"/>
        </w:rPr>
        <w:t xml:space="preserve"> approaches work best as an area to deploy an effective intervention</w:t>
      </w:r>
      <w:r w:rsidR="00745C21">
        <w:rPr>
          <w:rStyle w:val="normaltextrun"/>
        </w:rPr>
        <w:t>,</w:t>
      </w:r>
    </w:p>
    <w:p w14:paraId="5AA96BF7" w14:textId="34057CD3" w:rsidR="00E71B6A" w:rsidRPr="00763606" w:rsidRDefault="00DA35C2" w:rsidP="00763606">
      <w:pPr>
        <w:pStyle w:val="paragraph"/>
        <w:numPr>
          <w:ilvl w:val="0"/>
          <w:numId w:val="22"/>
        </w:numPr>
        <w:spacing w:before="0" w:beforeAutospacing="0" w:after="0" w:afterAutospacing="0" w:line="480" w:lineRule="auto"/>
        <w:textAlignment w:val="baseline"/>
        <w:rPr>
          <w:rStyle w:val="normaltextrun"/>
        </w:rPr>
      </w:pPr>
      <w:r>
        <w:rPr>
          <w:rStyle w:val="normaltextrun"/>
        </w:rPr>
        <w:t>T</w:t>
      </w:r>
      <w:r w:rsidR="00E71B6A">
        <w:rPr>
          <w:rStyle w:val="normaltextrun"/>
        </w:rPr>
        <w:t>o investigate best practices</w:t>
      </w:r>
      <w:r w:rsidR="005162C8">
        <w:rPr>
          <w:rStyle w:val="normaltextrun"/>
        </w:rPr>
        <w:t xml:space="preserve"> to integrate into</w:t>
      </w:r>
      <w:r w:rsidR="00745C21">
        <w:rPr>
          <w:rStyle w:val="normaltextrun"/>
        </w:rPr>
        <w:t xml:space="preserve"> an effective intervention </w:t>
      </w:r>
      <w:r w:rsidR="00745C21" w:rsidRPr="00763606">
        <w:rPr>
          <w:rStyle w:val="normaltextrun"/>
        </w:rPr>
        <w:t>prototype,</w:t>
      </w:r>
      <w:r w:rsidR="001A57E7">
        <w:rPr>
          <w:rStyle w:val="normaltextrun"/>
        </w:rPr>
        <w:t xml:space="preserve"> and</w:t>
      </w:r>
    </w:p>
    <w:p w14:paraId="014B1527" w14:textId="1529251C" w:rsidR="00745C21" w:rsidRPr="00763606" w:rsidRDefault="001A57E7" w:rsidP="00763606">
      <w:pPr>
        <w:pStyle w:val="paragraph"/>
        <w:numPr>
          <w:ilvl w:val="0"/>
          <w:numId w:val="22"/>
        </w:numPr>
        <w:spacing w:before="0" w:beforeAutospacing="0" w:after="0" w:afterAutospacing="0" w:line="480" w:lineRule="auto"/>
        <w:textAlignment w:val="baseline"/>
        <w:rPr>
          <w:rStyle w:val="normaltextrun"/>
        </w:rPr>
      </w:pPr>
      <w:r>
        <w:rPr>
          <w:rStyle w:val="normaltextrun"/>
        </w:rPr>
        <w:t>T</w:t>
      </w:r>
      <w:r w:rsidR="00745C21" w:rsidRPr="00763606">
        <w:rPr>
          <w:rStyle w:val="normaltextrun"/>
        </w:rPr>
        <w:t xml:space="preserve">o </w:t>
      </w:r>
      <w:r>
        <w:rPr>
          <w:rStyle w:val="normaltextrun"/>
        </w:rPr>
        <w:t>propose</w:t>
      </w:r>
      <w:r w:rsidR="0038085A">
        <w:rPr>
          <w:rStyle w:val="normaltextrun"/>
        </w:rPr>
        <w:t xml:space="preserve"> recommendations for</w:t>
      </w:r>
      <w:r>
        <w:rPr>
          <w:rStyle w:val="normaltextrun"/>
        </w:rPr>
        <w:t xml:space="preserve"> a way for</w:t>
      </w:r>
      <w:r w:rsidRPr="00763606">
        <w:rPr>
          <w:rStyle w:val="normaltextrun"/>
        </w:rPr>
        <w:t xml:space="preserve"> </w:t>
      </w:r>
      <w:r w:rsidR="001C1901" w:rsidRPr="00763606">
        <w:rPr>
          <w:rStyle w:val="normaltextrun"/>
        </w:rPr>
        <w:t xml:space="preserve">medical systems </w:t>
      </w:r>
      <w:r>
        <w:rPr>
          <w:rStyle w:val="normaltextrun"/>
        </w:rPr>
        <w:t>to</w:t>
      </w:r>
      <w:r w:rsidRPr="00763606">
        <w:rPr>
          <w:rStyle w:val="normaltextrun"/>
        </w:rPr>
        <w:t xml:space="preserve"> </w:t>
      </w:r>
      <w:r w:rsidR="001C1901" w:rsidRPr="00763606">
        <w:rPr>
          <w:rStyle w:val="normaltextrun"/>
        </w:rPr>
        <w:t>evaluate the strength</w:t>
      </w:r>
      <w:r>
        <w:rPr>
          <w:rStyle w:val="normaltextrun"/>
        </w:rPr>
        <w:t>s</w:t>
      </w:r>
      <w:r w:rsidR="001C1901" w:rsidRPr="00763606">
        <w:rPr>
          <w:rStyle w:val="normaltextrun"/>
        </w:rPr>
        <w:t xml:space="preserve"> of </w:t>
      </w:r>
      <w:r w:rsidR="007B3A6A" w:rsidRPr="00763606">
        <w:rPr>
          <w:rStyle w:val="normaltextrun"/>
        </w:rPr>
        <w:t xml:space="preserve">their CHNAs </w:t>
      </w:r>
      <w:r>
        <w:rPr>
          <w:rStyle w:val="normaltextrun"/>
        </w:rPr>
        <w:t xml:space="preserve">with respect to </w:t>
      </w:r>
      <w:r w:rsidR="007B3A6A" w:rsidRPr="00763606">
        <w:rPr>
          <w:rStyle w:val="normaltextrun"/>
        </w:rPr>
        <w:t>CKD</w:t>
      </w:r>
      <w:r w:rsidR="00363894" w:rsidRPr="00763606">
        <w:rPr>
          <w:rStyle w:val="normaltextrun"/>
        </w:rPr>
        <w:t>.</w:t>
      </w:r>
    </w:p>
    <w:p w14:paraId="1FA71BAF" w14:textId="68DDD167" w:rsidR="001632D0" w:rsidRDefault="001632D0" w:rsidP="00763606">
      <w:pPr>
        <w:pStyle w:val="paragraph"/>
        <w:spacing w:before="0" w:beforeAutospacing="0" w:after="0" w:afterAutospacing="0" w:line="480" w:lineRule="auto"/>
        <w:ind w:firstLine="720"/>
        <w:textAlignment w:val="baseline"/>
        <w:rPr>
          <w:rStyle w:val="normaltextrun"/>
          <w:strike/>
        </w:rPr>
      </w:pPr>
    </w:p>
    <w:p w14:paraId="20B74B8A" w14:textId="32D9AEEC" w:rsidR="001632D0" w:rsidRDefault="001632D0" w:rsidP="00D9484A">
      <w:pPr>
        <w:rPr>
          <w:rStyle w:val="normaltextrun"/>
          <w:strike/>
        </w:rPr>
      </w:pPr>
    </w:p>
    <w:bookmarkEnd w:id="7"/>
    <w:p w14:paraId="455EA8A4" w14:textId="49CE687E" w:rsidR="0077365C" w:rsidRDefault="0077365C" w:rsidP="00D9484A"/>
    <w:p w14:paraId="0E8B954D" w14:textId="77777777" w:rsidR="00A740AF" w:rsidRPr="00A740AF" w:rsidRDefault="00A740AF" w:rsidP="00D9484A"/>
    <w:p w14:paraId="631FEC97" w14:textId="19FFD5CA" w:rsidR="00661FF0" w:rsidRPr="00F47CDF" w:rsidRDefault="004F1935" w:rsidP="00D9484A">
      <w:pPr>
        <w:pStyle w:val="Heading1"/>
      </w:pPr>
      <w:bookmarkStart w:id="11" w:name="_Toc39750270"/>
      <w:r w:rsidRPr="00F47CDF">
        <w:lastRenderedPageBreak/>
        <w:t>Methodology</w:t>
      </w:r>
      <w:bookmarkEnd w:id="11"/>
    </w:p>
    <w:p w14:paraId="6061DB11" w14:textId="0EDA9771" w:rsidR="003633E3" w:rsidRPr="00021D77" w:rsidRDefault="003633E3" w:rsidP="004E2B7B">
      <w:bookmarkStart w:id="12" w:name="_Toc106513532"/>
      <w:bookmarkStart w:id="13" w:name="_Toc106717790"/>
      <w:bookmarkStart w:id="14" w:name="_Toc8115844"/>
      <w:r w:rsidRPr="00021D77">
        <w:t xml:space="preserve">The </w:t>
      </w:r>
      <w:r w:rsidR="00C43E92">
        <w:t xml:space="preserve">Organ Procurement and Transplantation Network (OPTN) is a website run under the US Department of Health and Human Services that both communicates policies regarding organ or tissue transplantation and allocation </w:t>
      </w:r>
      <w:r w:rsidR="00DE7065">
        <w:t>also serves</w:t>
      </w:r>
      <w:r w:rsidR="00C43E92">
        <w:t xml:space="preserve"> as an outlet for transplantation data collection. One of OPTN’</w:t>
      </w:r>
      <w:r w:rsidR="00BC3BE6">
        <w:t>s best aspects</w:t>
      </w:r>
      <w:r w:rsidR="00C43E92">
        <w:t xml:space="preserve"> is</w:t>
      </w:r>
      <w:r w:rsidR="00BC3BE6">
        <w:t xml:space="preserve"> its diversity of publicly available data </w:t>
      </w:r>
      <w:r w:rsidR="006A1CB4">
        <w:t>that</w:t>
      </w:r>
      <w:r w:rsidR="00BC3BE6">
        <w:t xml:space="preserve"> can be manipulated to create customized tables</w:t>
      </w:r>
      <w:r w:rsidR="00C43E92">
        <w:t>. Because of this, each transplant center’s live and deceased kidney transplant volume for 2018</w:t>
      </w:r>
      <w:r w:rsidR="006A1CB4">
        <w:t xml:space="preserve"> could be pulled</w:t>
      </w:r>
      <w:r w:rsidR="00C43E92">
        <w:t xml:space="preserve"> and export</w:t>
      </w:r>
      <w:r w:rsidR="006A1CB4">
        <w:t>ed</w:t>
      </w:r>
      <w:r w:rsidR="00C43E92">
        <w:t xml:space="preserve"> it as a</w:t>
      </w:r>
      <w:r w:rsidR="006A1CB4">
        <w:t xml:space="preserve"> Microsoft</w:t>
      </w:r>
      <w:r w:rsidR="00C43E92">
        <w:t xml:space="preserve"> </w:t>
      </w:r>
      <w:r w:rsidR="006A1CB4">
        <w:t>E</w:t>
      </w:r>
      <w:r w:rsidR="00C43E92">
        <w:t xml:space="preserve">xcel </w:t>
      </w:r>
      <w:r w:rsidR="006A1CB4">
        <w:t>spread</w:t>
      </w:r>
      <w:r w:rsidR="00C43E92">
        <w:t>sheet which made sorting the top 10 transplant institutions</w:t>
      </w:r>
      <w:r w:rsidR="0098368E">
        <w:t xml:space="preserve"> able</w:t>
      </w:r>
      <w:r w:rsidR="00C43E92">
        <w:t xml:space="preserve"> to be manually calculated. </w:t>
      </w:r>
    </w:p>
    <w:p w14:paraId="331C1E7C" w14:textId="71C2660A" w:rsidR="00FB55A5" w:rsidRDefault="007D2CDD" w:rsidP="00E323A2">
      <w:r>
        <w:t>After the top 10</w:t>
      </w:r>
      <w:r w:rsidR="007A54E0" w:rsidRPr="00F47CDF">
        <w:t xml:space="preserve"> </w:t>
      </w:r>
      <w:r w:rsidR="009A6E62">
        <w:t>kidney-transplanting performing</w:t>
      </w:r>
      <w:r w:rsidR="007A54E0" w:rsidRPr="00F47CDF">
        <w:t xml:space="preserve"> medical centers</w:t>
      </w:r>
      <w:r w:rsidR="009A6E62">
        <w:t xml:space="preserve"> by volume were </w:t>
      </w:r>
      <w:r w:rsidR="0085053C">
        <w:t>determined</w:t>
      </w:r>
      <w:r w:rsidR="009A6E62">
        <w:t xml:space="preserve"> </w:t>
      </w:r>
      <w:r w:rsidR="009A6E62" w:rsidRPr="006553BB">
        <w:t>(</w:t>
      </w:r>
      <w:r w:rsidR="00C04EAB" w:rsidRPr="006553BB">
        <w:t>s</w:t>
      </w:r>
      <w:r w:rsidR="009A6E62" w:rsidRPr="006553BB">
        <w:t xml:space="preserve">ee Table </w:t>
      </w:r>
      <w:r w:rsidR="008F6FEE" w:rsidRPr="006553BB">
        <w:t>4</w:t>
      </w:r>
      <w:r w:rsidR="009A6E62" w:rsidRPr="006553BB">
        <w:t>)</w:t>
      </w:r>
      <w:r w:rsidR="0085053C" w:rsidRPr="006553BB">
        <w:t>,</w:t>
      </w:r>
      <w:r w:rsidR="0085053C">
        <w:t xml:space="preserve"> t</w:t>
      </w:r>
      <w:r w:rsidR="007A54E0" w:rsidRPr="00F47CDF">
        <w:t>he CHNAs corresponding to each institution were pulled and searched using</w:t>
      </w:r>
      <w:r w:rsidR="00635D1A">
        <w:t xml:space="preserve"> the following</w:t>
      </w:r>
      <w:r w:rsidR="007A54E0" w:rsidRPr="00F47CDF">
        <w:t xml:space="preserve"> keywords </w:t>
      </w:r>
      <w:r w:rsidR="0041322E" w:rsidRPr="00F47CDF">
        <w:t xml:space="preserve">related to </w:t>
      </w:r>
      <w:r w:rsidR="007A54E0" w:rsidRPr="00F47CDF">
        <w:t>transplant education information such as “organ,</w:t>
      </w:r>
      <w:r w:rsidR="0041322E" w:rsidRPr="00F47CDF">
        <w:t>”</w:t>
      </w:r>
      <w:r w:rsidR="007A54E0" w:rsidRPr="00F47CDF">
        <w:t xml:space="preserve"> “tissues,</w:t>
      </w:r>
      <w:r w:rsidR="0041322E" w:rsidRPr="00F47CDF">
        <w:t>”</w:t>
      </w:r>
      <w:r w:rsidR="007A54E0" w:rsidRPr="00F47CDF">
        <w:t xml:space="preserve"> “transplant,</w:t>
      </w:r>
      <w:r w:rsidR="0041322E" w:rsidRPr="00F47CDF">
        <w:t>”</w:t>
      </w:r>
      <w:r w:rsidR="007A54E0" w:rsidRPr="00F47CDF">
        <w:t xml:space="preserve"> “kidney,</w:t>
      </w:r>
      <w:r w:rsidR="0041322E" w:rsidRPr="00F47CDF">
        <w:t>”</w:t>
      </w:r>
      <w:r w:rsidR="007A54E0" w:rsidRPr="00F47CDF">
        <w:t xml:space="preserve"> “graft</w:t>
      </w:r>
      <w:r w:rsidR="00065C6A" w:rsidRPr="00F47CDF">
        <w:t>,</w:t>
      </w:r>
      <w:r w:rsidR="0041322E" w:rsidRPr="00F47CDF">
        <w:t>”</w:t>
      </w:r>
      <w:r w:rsidR="00065C6A" w:rsidRPr="00F47CDF">
        <w:t xml:space="preserve"> “donor,” “donation,” or “education</w:t>
      </w:r>
      <w:r w:rsidR="00C04EAB">
        <w:t>.</w:t>
      </w:r>
      <w:r w:rsidR="00065C6A" w:rsidRPr="00F47CDF">
        <w:t>”</w:t>
      </w:r>
      <w:r w:rsidR="00E323A2">
        <w:t xml:space="preserve"> </w:t>
      </w:r>
      <w:r w:rsidR="00F25A72">
        <w:t>Where a successful match was made based on the keyword, the passage was read to determine if the match truly described a program related to kidney transplantation</w:t>
      </w:r>
      <w:r w:rsidR="00C85B1B">
        <w:t>, education about transplantation, or education about chronic disease management.</w:t>
      </w:r>
    </w:p>
    <w:p w14:paraId="715D0C55" w14:textId="16AF31F0" w:rsidR="001A57E7" w:rsidRDefault="001A57E7" w:rsidP="00E26EF5">
      <w:r>
        <w:t>A theoretical framework was used to identify gaps between existing CHNAs and a proposed model plan.</w:t>
      </w:r>
    </w:p>
    <w:p w14:paraId="01AF7940" w14:textId="2BF1CD83" w:rsidR="00845B02" w:rsidRPr="001E217C" w:rsidRDefault="00845B02" w:rsidP="001E217C">
      <w:pPr>
        <w:pStyle w:val="Heading2"/>
      </w:pPr>
      <w:bookmarkStart w:id="15" w:name="_Toc39750271"/>
      <w:r w:rsidRPr="001E217C">
        <w:lastRenderedPageBreak/>
        <w:t xml:space="preserve">Framework and </w:t>
      </w:r>
      <w:r w:rsidR="001C53A8" w:rsidRPr="001E217C">
        <w:t>Identifying Potential Intervention Points</w:t>
      </w:r>
      <w:bookmarkEnd w:id="15"/>
    </w:p>
    <w:p w14:paraId="08292241" w14:textId="07CDB5F9" w:rsidR="00C368BD" w:rsidRPr="007A7907" w:rsidRDefault="003D056F" w:rsidP="007A7907">
      <w:r>
        <w:t xml:space="preserve">The Social-Ecological model </w:t>
      </w:r>
      <w:r w:rsidR="007F0218">
        <w:t>is useful</w:t>
      </w:r>
      <w:r>
        <w:t xml:space="preserve"> for exploring where interventions can be optimally placed by helping to visualize the interplay between</w:t>
      </w:r>
      <w:r w:rsidR="00CE5CF3">
        <w:t xml:space="preserve"> factors</w:t>
      </w:r>
      <w:r>
        <w:t xml:space="preserve"> that exist at different societal levels. </w:t>
      </w:r>
      <w:r w:rsidR="00B41D45">
        <w:t xml:space="preserve">As can be seen in </w:t>
      </w:r>
      <w:r w:rsidR="00B41D45" w:rsidRPr="008F6FEE">
        <w:t>Figure 1</w:t>
      </w:r>
      <w:r w:rsidR="001E217C" w:rsidRPr="008F6FEE">
        <w:rPr>
          <w:vertAlign w:val="superscript"/>
        </w:rPr>
        <w:t>8</w:t>
      </w:r>
      <w:r w:rsidR="00B41D45" w:rsidRPr="008F6FEE">
        <w:t>,</w:t>
      </w:r>
      <w:r w:rsidR="008437E0">
        <w:t xml:space="preserve"> every level has interplay</w:t>
      </w:r>
      <w:r w:rsidR="00601DB7">
        <w:t xml:space="preserve"> between the sections that are both above and below it.</w:t>
      </w:r>
      <w:r w:rsidR="00B87538">
        <w:t xml:space="preserve"> In the context of analyzing for contributing factors to the demand of kidney transplants among African American populations with CKD,</w:t>
      </w:r>
      <w:r w:rsidR="006B6F59">
        <w:t xml:space="preserve"> an</w:t>
      </w:r>
      <w:r w:rsidR="006D76FF">
        <w:t xml:space="preserve"> example of</w:t>
      </w:r>
      <w:r w:rsidR="006B6F59">
        <w:t xml:space="preserve"> a</w:t>
      </w:r>
      <w:r w:rsidR="006D76FF">
        <w:t xml:space="preserve"> barriers at each level are provided in Table </w:t>
      </w:r>
      <w:r w:rsidR="008F6FEE">
        <w:t>3</w:t>
      </w:r>
      <w:r w:rsidR="00845B02">
        <w:t>.</w:t>
      </w:r>
    </w:p>
    <w:p w14:paraId="2D13CD1D" w14:textId="77777777" w:rsidR="00C368BD" w:rsidRPr="00A655B3" w:rsidRDefault="00C368BD" w:rsidP="00C368BD"/>
    <w:p w14:paraId="6BB09F88" w14:textId="2404D04F" w:rsidR="00C368BD" w:rsidRDefault="00C368BD" w:rsidP="001E217C">
      <w:pPr>
        <w:ind w:firstLine="0"/>
        <w:jc w:val="center"/>
      </w:pPr>
      <w:r w:rsidRPr="00A655B3">
        <w:rPr>
          <w:noProof/>
        </w:rPr>
        <w:drawing>
          <wp:inline distT="0" distB="0" distL="0" distR="0" wp14:anchorId="4C03D10C" wp14:editId="49779525">
            <wp:extent cx="4139789"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EcologicalModel Figure 1.gif"/>
                    <pic:cNvPicPr/>
                  </pic:nvPicPr>
                  <pic:blipFill>
                    <a:blip r:embed="rId15">
                      <a:extLst>
                        <a:ext uri="{28A0092B-C50C-407E-A947-70E740481C1C}">
                          <a14:useLocalDpi xmlns:a14="http://schemas.microsoft.com/office/drawing/2010/main" val="0"/>
                        </a:ext>
                      </a:extLst>
                    </a:blip>
                    <a:stretch>
                      <a:fillRect/>
                    </a:stretch>
                  </pic:blipFill>
                  <pic:spPr>
                    <a:xfrm>
                      <a:off x="0" y="0"/>
                      <a:ext cx="4140013" cy="2400430"/>
                    </a:xfrm>
                    <a:prstGeom prst="rect">
                      <a:avLst/>
                    </a:prstGeom>
                  </pic:spPr>
                </pic:pic>
              </a:graphicData>
            </a:graphic>
          </wp:inline>
        </w:drawing>
      </w:r>
    </w:p>
    <w:p w14:paraId="67B81A9F" w14:textId="236804EF" w:rsidR="001E217C" w:rsidRDefault="001E217C" w:rsidP="001E217C">
      <w:pPr>
        <w:pStyle w:val="Caption"/>
      </w:pPr>
      <w:bookmarkStart w:id="16" w:name="_Toc39750805"/>
      <w:r>
        <w:t xml:space="preserve">Figure </w:t>
      </w:r>
      <w:r>
        <w:fldChar w:fldCharType="begin"/>
      </w:r>
      <w:r>
        <w:instrText xml:space="preserve"> SEQ Figure \* ARABIC </w:instrText>
      </w:r>
      <w:r>
        <w:fldChar w:fldCharType="separate"/>
      </w:r>
      <w:r w:rsidR="000A6B46">
        <w:t>1</w:t>
      </w:r>
      <w:r>
        <w:fldChar w:fldCharType="end"/>
      </w:r>
      <w:r>
        <w:t>: The Social Ecological Model</w:t>
      </w:r>
      <w:bookmarkEnd w:id="16"/>
    </w:p>
    <w:p w14:paraId="2481D63E" w14:textId="77777777" w:rsidR="001E217C" w:rsidRDefault="001E217C" w:rsidP="005F0882"/>
    <w:p w14:paraId="0D7440AD" w14:textId="24C13E5A" w:rsidR="007A7907" w:rsidRDefault="00DF61C9" w:rsidP="005F0882">
      <w:r w:rsidRPr="00A655B3">
        <w:t>Since healthcare systems and non-profit</w:t>
      </w:r>
      <w:r w:rsidR="000A6C52">
        <w:t xml:space="preserve"> </w:t>
      </w:r>
      <w:r w:rsidR="00697974">
        <w:t>community-based</w:t>
      </w:r>
      <w:r w:rsidR="000A6C52">
        <w:t xml:space="preserve"> organization</w:t>
      </w:r>
      <w:r w:rsidRPr="00A655B3">
        <w:t xml:space="preserve">s typically operate at the organizational level, </w:t>
      </w:r>
      <w:r w:rsidR="000A6C52">
        <w:t>it makes sense to primarily</w:t>
      </w:r>
      <w:r w:rsidRPr="00A655B3">
        <w:t xml:space="preserve"> focus </w:t>
      </w:r>
      <w:r>
        <w:t xml:space="preserve">on </w:t>
      </w:r>
      <w:r w:rsidRPr="00A655B3">
        <w:t xml:space="preserve">interventions that </w:t>
      </w:r>
      <w:r>
        <w:t xml:space="preserve">target </w:t>
      </w:r>
      <w:r w:rsidRPr="00A655B3">
        <w:t>this level</w:t>
      </w:r>
      <w:r w:rsidR="00B164EF">
        <w:t xml:space="preserve">. </w:t>
      </w:r>
      <w:r w:rsidR="00FF256E">
        <w:t>However,</w:t>
      </w:r>
      <w:r w:rsidR="00B164EF">
        <w:t xml:space="preserve"> when considering what should be included into a successful intervention, an effective deployment would include aspects</w:t>
      </w:r>
      <w:r w:rsidR="00BE5376">
        <w:t xml:space="preserve"> relating to interpersonal, individual, and community aspects as well</w:t>
      </w:r>
      <w:r w:rsidR="005F0882">
        <w:t>.</w:t>
      </w:r>
    </w:p>
    <w:p w14:paraId="0888AC56" w14:textId="77777777" w:rsidR="00866C20" w:rsidRDefault="00866C20" w:rsidP="00C368BD"/>
    <w:p w14:paraId="157194CD" w14:textId="10CB6B48" w:rsidR="001E217C" w:rsidRPr="00A655B3" w:rsidRDefault="001E217C" w:rsidP="001E217C">
      <w:pPr>
        <w:pStyle w:val="Caption"/>
      </w:pPr>
      <w:bookmarkStart w:id="17" w:name="_Toc39750910"/>
      <w:r>
        <w:lastRenderedPageBreak/>
        <w:t xml:space="preserve">Table </w:t>
      </w:r>
      <w:r>
        <w:fldChar w:fldCharType="begin"/>
      </w:r>
      <w:r>
        <w:instrText xml:space="preserve"> SEQ Table \* ARABIC </w:instrText>
      </w:r>
      <w:r>
        <w:fldChar w:fldCharType="separate"/>
      </w:r>
      <w:r w:rsidR="000A6B46">
        <w:t>3</w:t>
      </w:r>
      <w:r>
        <w:fldChar w:fldCharType="end"/>
      </w:r>
      <w:r>
        <w:t>: Examples of Social Ecological Barriers to Management of CKD</w:t>
      </w:r>
      <w:bookmarkEnd w:id="17"/>
    </w:p>
    <w:tbl>
      <w:tblPr>
        <w:tblStyle w:val="TableGrid"/>
        <w:tblW w:w="0" w:type="auto"/>
        <w:tblLook w:val="04A0" w:firstRow="1" w:lastRow="0" w:firstColumn="1" w:lastColumn="0" w:noHBand="0" w:noVBand="1"/>
      </w:tblPr>
      <w:tblGrid>
        <w:gridCol w:w="1643"/>
        <w:gridCol w:w="7707"/>
      </w:tblGrid>
      <w:tr w:rsidR="00C368BD" w:rsidRPr="00A655B3" w14:paraId="3EF5E64F" w14:textId="77777777" w:rsidTr="00C368BD">
        <w:tc>
          <w:tcPr>
            <w:tcW w:w="1643" w:type="dxa"/>
          </w:tcPr>
          <w:p w14:paraId="2541CBB8" w14:textId="4C370CB8" w:rsidR="00C368BD" w:rsidRPr="00A655B3" w:rsidRDefault="00A5782D" w:rsidP="00C368BD">
            <w:pPr>
              <w:ind w:firstLine="0"/>
              <w:rPr>
                <w:b/>
                <w:bCs/>
              </w:rPr>
            </w:pPr>
            <w:r>
              <w:rPr>
                <w:b/>
                <w:bCs/>
              </w:rPr>
              <w:t>Level</w:t>
            </w:r>
          </w:p>
        </w:tc>
        <w:tc>
          <w:tcPr>
            <w:tcW w:w="7707" w:type="dxa"/>
          </w:tcPr>
          <w:p w14:paraId="68311B6C" w14:textId="77777777" w:rsidR="00C368BD" w:rsidRPr="00A655B3" w:rsidRDefault="00C368BD" w:rsidP="00C368BD">
            <w:pPr>
              <w:ind w:firstLine="0"/>
              <w:rPr>
                <w:b/>
                <w:bCs/>
              </w:rPr>
            </w:pPr>
            <w:r w:rsidRPr="00A655B3">
              <w:rPr>
                <w:b/>
                <w:bCs/>
              </w:rPr>
              <w:t>Example</w:t>
            </w:r>
          </w:p>
        </w:tc>
      </w:tr>
      <w:tr w:rsidR="00C368BD" w:rsidRPr="00A655B3" w14:paraId="1015D293" w14:textId="77777777" w:rsidTr="00C368BD">
        <w:tc>
          <w:tcPr>
            <w:tcW w:w="1643" w:type="dxa"/>
          </w:tcPr>
          <w:p w14:paraId="7A914A00" w14:textId="77777777" w:rsidR="00C368BD" w:rsidRPr="00A655B3" w:rsidRDefault="00C368BD" w:rsidP="00BA1033">
            <w:pPr>
              <w:spacing w:line="360" w:lineRule="auto"/>
              <w:ind w:firstLine="0"/>
            </w:pPr>
            <w:r w:rsidRPr="00A655B3">
              <w:t>Individual</w:t>
            </w:r>
          </w:p>
        </w:tc>
        <w:tc>
          <w:tcPr>
            <w:tcW w:w="7707" w:type="dxa"/>
          </w:tcPr>
          <w:p w14:paraId="32D0D205" w14:textId="32FA8330" w:rsidR="00C368BD" w:rsidRPr="00A655B3" w:rsidRDefault="00C368BD" w:rsidP="00BA1033">
            <w:pPr>
              <w:spacing w:line="360" w:lineRule="auto"/>
              <w:ind w:firstLine="0"/>
            </w:pPr>
            <w:r w:rsidRPr="00A655B3">
              <w:t xml:space="preserve">Lack of </w:t>
            </w:r>
            <w:r w:rsidR="00845B02" w:rsidRPr="00A655B3">
              <w:t>knowledge</w:t>
            </w:r>
            <w:r w:rsidR="00845B02">
              <w:t xml:space="preserve"> about</w:t>
            </w:r>
            <w:r w:rsidRPr="00A655B3">
              <w:t xml:space="preserve"> having early stage chronic kidney disease or not perceiving it as a threat to their lifestyle currently.</w:t>
            </w:r>
          </w:p>
        </w:tc>
      </w:tr>
      <w:tr w:rsidR="00C368BD" w:rsidRPr="00A655B3" w14:paraId="53F67FA6" w14:textId="77777777" w:rsidTr="00C368BD">
        <w:tc>
          <w:tcPr>
            <w:tcW w:w="1643" w:type="dxa"/>
          </w:tcPr>
          <w:p w14:paraId="303C1331" w14:textId="77777777" w:rsidR="00C368BD" w:rsidRPr="00A655B3" w:rsidRDefault="00C368BD" w:rsidP="00BA1033">
            <w:pPr>
              <w:spacing w:line="360" w:lineRule="auto"/>
              <w:ind w:firstLine="0"/>
            </w:pPr>
            <w:r w:rsidRPr="00A655B3">
              <w:t>Interpersonal</w:t>
            </w:r>
          </w:p>
        </w:tc>
        <w:tc>
          <w:tcPr>
            <w:tcW w:w="7707" w:type="dxa"/>
          </w:tcPr>
          <w:p w14:paraId="0BB904B6" w14:textId="20161EBA" w:rsidR="00C368BD" w:rsidRPr="00A655B3" w:rsidRDefault="00C368BD" w:rsidP="00BA1033">
            <w:pPr>
              <w:spacing w:line="360" w:lineRule="auto"/>
              <w:ind w:firstLine="0"/>
            </w:pPr>
            <w:r w:rsidRPr="00A655B3">
              <w:t xml:space="preserve">The availability of live donors </w:t>
            </w:r>
            <w:r w:rsidR="00A5782D">
              <w:t xml:space="preserve">who </w:t>
            </w:r>
            <w:r w:rsidRPr="00A655B3">
              <w:t>personally know the individual in need of a kidney transplant, given that living donations are higher quality than deceased donations.</w:t>
            </w:r>
          </w:p>
        </w:tc>
      </w:tr>
      <w:tr w:rsidR="00C368BD" w:rsidRPr="00A655B3" w14:paraId="0EBBA070" w14:textId="77777777" w:rsidTr="00C368BD">
        <w:tc>
          <w:tcPr>
            <w:tcW w:w="1643" w:type="dxa"/>
          </w:tcPr>
          <w:p w14:paraId="328BF2B9" w14:textId="77777777" w:rsidR="00C368BD" w:rsidRPr="00A655B3" w:rsidRDefault="00C368BD" w:rsidP="00BA1033">
            <w:pPr>
              <w:spacing w:line="360" w:lineRule="auto"/>
              <w:ind w:firstLine="0"/>
            </w:pPr>
            <w:r w:rsidRPr="00A655B3">
              <w:t>Organizational</w:t>
            </w:r>
          </w:p>
        </w:tc>
        <w:tc>
          <w:tcPr>
            <w:tcW w:w="7707" w:type="dxa"/>
          </w:tcPr>
          <w:p w14:paraId="3DEB80DE" w14:textId="77777777" w:rsidR="00C368BD" w:rsidRPr="00A655B3" w:rsidRDefault="00C368BD" w:rsidP="00BA1033">
            <w:pPr>
              <w:spacing w:line="360" w:lineRule="auto"/>
              <w:ind w:firstLine="0"/>
            </w:pPr>
            <w:r w:rsidRPr="00A655B3">
              <w:t xml:space="preserve">Public health systems and services may not be able to provide convenient or accessible care for self-management. Operating hours at dialysis centers may be an example of this for a working person.  </w:t>
            </w:r>
          </w:p>
        </w:tc>
      </w:tr>
      <w:tr w:rsidR="00C368BD" w:rsidRPr="00A655B3" w14:paraId="06702151" w14:textId="77777777" w:rsidTr="00C368BD">
        <w:tc>
          <w:tcPr>
            <w:tcW w:w="1643" w:type="dxa"/>
          </w:tcPr>
          <w:p w14:paraId="4F06AFB8" w14:textId="77777777" w:rsidR="00C368BD" w:rsidRPr="00A655B3" w:rsidRDefault="00C368BD" w:rsidP="00BA1033">
            <w:pPr>
              <w:spacing w:line="360" w:lineRule="auto"/>
              <w:ind w:firstLine="0"/>
            </w:pPr>
            <w:r w:rsidRPr="00A655B3">
              <w:t>Community</w:t>
            </w:r>
          </w:p>
        </w:tc>
        <w:tc>
          <w:tcPr>
            <w:tcW w:w="7707" w:type="dxa"/>
          </w:tcPr>
          <w:p w14:paraId="4E90072D" w14:textId="77777777" w:rsidR="00C368BD" w:rsidRPr="00A655B3" w:rsidRDefault="00C368BD" w:rsidP="00BA1033">
            <w:pPr>
              <w:spacing w:line="360" w:lineRule="auto"/>
              <w:ind w:firstLine="0"/>
            </w:pPr>
            <w:r w:rsidRPr="00A655B3">
              <w:t>If the predominant attitude of a neighborhood is that individuals look after themselves without interacting with other community members, knowledge about resources or finding social support can be difficult to find.</w:t>
            </w:r>
          </w:p>
        </w:tc>
      </w:tr>
      <w:tr w:rsidR="00C368BD" w:rsidRPr="00A655B3" w14:paraId="7FF79677" w14:textId="77777777" w:rsidTr="00C368BD">
        <w:tc>
          <w:tcPr>
            <w:tcW w:w="1643" w:type="dxa"/>
          </w:tcPr>
          <w:p w14:paraId="16BADD58" w14:textId="77777777" w:rsidR="00C368BD" w:rsidRPr="00A655B3" w:rsidRDefault="00C368BD" w:rsidP="00BA1033">
            <w:pPr>
              <w:spacing w:line="360" w:lineRule="auto"/>
              <w:ind w:firstLine="0"/>
            </w:pPr>
            <w:r w:rsidRPr="00A655B3">
              <w:t>Public Policy</w:t>
            </w:r>
          </w:p>
        </w:tc>
        <w:tc>
          <w:tcPr>
            <w:tcW w:w="7707" w:type="dxa"/>
          </w:tcPr>
          <w:p w14:paraId="19CA464C" w14:textId="246AB14E" w:rsidR="00C368BD" w:rsidRPr="00A655B3" w:rsidRDefault="00C368BD" w:rsidP="00BA1033">
            <w:pPr>
              <w:spacing w:line="360" w:lineRule="auto"/>
              <w:ind w:firstLine="0"/>
            </w:pPr>
            <w:r w:rsidRPr="00A655B3">
              <w:t xml:space="preserve">If insurance </w:t>
            </w:r>
            <w:r w:rsidR="00A5782D">
              <w:t xml:space="preserve">does not </w:t>
            </w:r>
            <w:r w:rsidRPr="00A655B3">
              <w:t>cover certain parts of a care plan</w:t>
            </w:r>
            <w:r w:rsidR="00A5782D">
              <w:t>, it</w:t>
            </w:r>
            <w:r w:rsidRPr="00A655B3">
              <w:t xml:space="preserve"> may </w:t>
            </w:r>
            <w:r w:rsidR="00845B02">
              <w:t>be cost</w:t>
            </w:r>
            <w:r w:rsidRPr="00A655B3">
              <w:t>-prohibitive, public policy that affects public or private payor restrictions can affect one’s ability to self-manage chronic conditions.</w:t>
            </w:r>
          </w:p>
        </w:tc>
      </w:tr>
    </w:tbl>
    <w:p w14:paraId="08053BC5" w14:textId="59CCB9B9" w:rsidR="004E2B7B" w:rsidRPr="004E2B7B" w:rsidRDefault="00642508" w:rsidP="001E217C">
      <w:pPr>
        <w:pStyle w:val="Heading1"/>
      </w:pPr>
      <w:bookmarkStart w:id="18" w:name="_Toc39750272"/>
      <w:r>
        <w:lastRenderedPageBreak/>
        <w:t>Review of Findings</w:t>
      </w:r>
      <w:bookmarkEnd w:id="18"/>
    </w:p>
    <w:p w14:paraId="7BD66FD9" w14:textId="79B4CDB9" w:rsidR="004E2B7B" w:rsidRDefault="001E217C" w:rsidP="008638B4">
      <w:r>
        <w:t>Ten</w:t>
      </w:r>
      <w:r w:rsidR="008D4EA5">
        <w:t xml:space="preserve"> Institutions were analyzed, Jackson Memorial University of Miami (FLJM), University of California – Los Angeles Medical Center (CAUC), University of California – San Francisco Medical Center (CASF), Mayo Clinic Hospital in Arizona (AZMC), Methodist Specialty Transplant Hospital (TXHS), Emory University Hospital (GAEM), University of Wisconsin Hospital and Clinics (WIUW), University of California – Davis Medical Center (CASM)</w:t>
      </w:r>
      <w:r w:rsidR="009A39AA">
        <w:t>, Saint Barnabas Medical Center (NJSB), and University of Alabama Birmingham Hospital (ALUA).</w:t>
      </w:r>
      <w:r w:rsidR="00D86ED4">
        <w:t xml:space="preserve"> Their kidney transplantation volumes can be seen in Table 4.</w:t>
      </w:r>
      <w:r w:rsidR="008638B4">
        <w:t xml:space="preserve"> </w:t>
      </w:r>
      <w:r w:rsidR="004E2B7B" w:rsidRPr="00A655B3">
        <w:t xml:space="preserve">Of the 10 institutions analyzed, </w:t>
      </w:r>
      <w:r w:rsidR="004E2B7B">
        <w:t xml:space="preserve">five </w:t>
      </w:r>
      <w:r w:rsidR="004E2B7B" w:rsidRPr="00A655B3">
        <w:t xml:space="preserve">(FLJM, AZMC, GAEM, NJSB, and ALUA) mentioned “transplant” as programs that were offered but nothing with respect to offering education </w:t>
      </w:r>
      <w:r w:rsidR="004E2B7B">
        <w:t xml:space="preserve">about </w:t>
      </w:r>
      <w:r w:rsidR="004E2B7B" w:rsidRPr="00A655B3">
        <w:t xml:space="preserve">transplantation as an option. The Transplant Center CASM was notable in that a partnership was </w:t>
      </w:r>
      <w:r w:rsidR="004E2B7B" w:rsidRPr="000023D0">
        <w:t>explicitly</w:t>
      </w:r>
      <w:r w:rsidR="004E2B7B" w:rsidRPr="00A655B3">
        <w:t xml:space="preserve"> mentioned with the National Kidney Foundation (NKF). The lack of mentioning of educational programs despite having large kidney transplant volumes offers an opportunity for organ and tissue donation education as an element that can be added to a CHNA in the next iteration of analysis. </w:t>
      </w:r>
      <w:r w:rsidR="004E2B7B" w:rsidRPr="00647CFC">
        <w:t>When considering the potential for adding organ and tissue education and transplantation programs as a possible component within a CHNA, there must also be integration into a subsequent IP to ensure that the objective is properly carried out for the community’s service.</w:t>
      </w:r>
      <w:r w:rsidR="004E2B7B">
        <w:t xml:space="preserve"> While hospital environments vary widely over geographical contexts, there are several best practices that should be integrated to make the most impactful </w:t>
      </w:r>
      <w:r w:rsidR="00697974">
        <w:t>community-based</w:t>
      </w:r>
      <w:r w:rsidR="004E2B7B">
        <w:t xml:space="preserve"> interventions which will be discussed later. </w:t>
      </w:r>
    </w:p>
    <w:p w14:paraId="41443699" w14:textId="70EF6B0A" w:rsidR="00F42D78" w:rsidRDefault="00F42D78" w:rsidP="004E2B7B"/>
    <w:p w14:paraId="2BEA4835" w14:textId="74DA7995" w:rsidR="00F42D78" w:rsidRDefault="00F42D78" w:rsidP="004E2B7B"/>
    <w:p w14:paraId="4CBEB65D" w14:textId="77777777" w:rsidR="008638B4" w:rsidRDefault="008638B4" w:rsidP="004E2B7B">
      <w:pPr>
        <w:rPr>
          <w:b/>
          <w:bCs/>
        </w:rPr>
      </w:pPr>
    </w:p>
    <w:p w14:paraId="623D2F75" w14:textId="517C3A6A" w:rsidR="004E2B7B" w:rsidRPr="002A29EE" w:rsidRDefault="001E217C" w:rsidP="001E217C">
      <w:pPr>
        <w:pStyle w:val="Caption"/>
      </w:pPr>
      <w:bookmarkStart w:id="19" w:name="_Toc39750911"/>
      <w:r>
        <w:lastRenderedPageBreak/>
        <w:t xml:space="preserve">Table </w:t>
      </w:r>
      <w:r>
        <w:fldChar w:fldCharType="begin"/>
      </w:r>
      <w:r>
        <w:instrText xml:space="preserve"> SEQ Table \* ARABIC </w:instrText>
      </w:r>
      <w:r>
        <w:fldChar w:fldCharType="separate"/>
      </w:r>
      <w:r w:rsidR="000A6B46">
        <w:t>4</w:t>
      </w:r>
      <w:r>
        <w:fldChar w:fldCharType="end"/>
      </w:r>
      <w:r>
        <w:t>: Top 10 Highest Kidney Transplant Performing Medical Centers, 2018</w:t>
      </w:r>
      <w:bookmarkEnd w:id="19"/>
    </w:p>
    <w:tbl>
      <w:tblPr>
        <w:tblStyle w:val="TableGrid"/>
        <w:tblW w:w="9535" w:type="dxa"/>
        <w:tblLook w:val="04A0" w:firstRow="1" w:lastRow="0" w:firstColumn="1" w:lastColumn="0" w:noHBand="0" w:noVBand="1"/>
      </w:tblPr>
      <w:tblGrid>
        <w:gridCol w:w="5845"/>
        <w:gridCol w:w="1980"/>
        <w:gridCol w:w="1710"/>
      </w:tblGrid>
      <w:tr w:rsidR="004E2B7B" w:rsidRPr="00A655B3" w14:paraId="789BF49A" w14:textId="77777777" w:rsidTr="00021D77">
        <w:tc>
          <w:tcPr>
            <w:tcW w:w="5845" w:type="dxa"/>
          </w:tcPr>
          <w:p w14:paraId="6052982F" w14:textId="77777777" w:rsidR="004E2B7B" w:rsidRPr="00A655B3" w:rsidRDefault="004E2B7B" w:rsidP="00BA1033">
            <w:pPr>
              <w:spacing w:line="360" w:lineRule="auto"/>
              <w:jc w:val="center"/>
              <w:rPr>
                <w:b/>
                <w:bCs/>
              </w:rPr>
            </w:pPr>
            <w:r w:rsidRPr="00A655B3">
              <w:rPr>
                <w:b/>
                <w:bCs/>
              </w:rPr>
              <w:t>Medical Center</w:t>
            </w:r>
          </w:p>
        </w:tc>
        <w:tc>
          <w:tcPr>
            <w:tcW w:w="1980" w:type="dxa"/>
          </w:tcPr>
          <w:p w14:paraId="5BA52681" w14:textId="77777777" w:rsidR="004E2B7B" w:rsidRPr="00A655B3" w:rsidRDefault="004E2B7B" w:rsidP="00BA1033">
            <w:pPr>
              <w:spacing w:line="360" w:lineRule="auto"/>
              <w:ind w:firstLine="0"/>
              <w:jc w:val="center"/>
              <w:rPr>
                <w:b/>
                <w:bCs/>
              </w:rPr>
            </w:pPr>
            <w:r w:rsidRPr="00A655B3">
              <w:rPr>
                <w:b/>
                <w:bCs/>
              </w:rPr>
              <w:t>Transplant Center Code</w:t>
            </w:r>
          </w:p>
        </w:tc>
        <w:tc>
          <w:tcPr>
            <w:tcW w:w="1710" w:type="dxa"/>
          </w:tcPr>
          <w:p w14:paraId="69C2FE20" w14:textId="77777777" w:rsidR="004E2B7B" w:rsidRPr="00A655B3" w:rsidRDefault="004E2B7B" w:rsidP="00BA1033">
            <w:pPr>
              <w:spacing w:line="360" w:lineRule="auto"/>
              <w:ind w:firstLine="0"/>
              <w:jc w:val="center"/>
              <w:rPr>
                <w:b/>
                <w:bCs/>
              </w:rPr>
            </w:pPr>
            <w:r w:rsidRPr="00A655B3">
              <w:rPr>
                <w:b/>
                <w:bCs/>
              </w:rPr>
              <w:t>Total Kidney Transplants</w:t>
            </w:r>
          </w:p>
        </w:tc>
      </w:tr>
      <w:tr w:rsidR="004E2B7B" w:rsidRPr="00A655B3" w14:paraId="4E630EDE" w14:textId="77777777" w:rsidTr="00021D77">
        <w:tc>
          <w:tcPr>
            <w:tcW w:w="5845" w:type="dxa"/>
          </w:tcPr>
          <w:p w14:paraId="1203B621" w14:textId="701F82B1" w:rsidR="004E2B7B" w:rsidRPr="00834F6C" w:rsidRDefault="004E2B7B" w:rsidP="00BA1033">
            <w:pPr>
              <w:spacing w:line="360" w:lineRule="auto"/>
              <w:ind w:firstLine="0"/>
              <w:jc w:val="left"/>
              <w:rPr>
                <w:vertAlign w:val="superscript"/>
              </w:rPr>
            </w:pPr>
            <w:r w:rsidRPr="00A655B3">
              <w:t>Jackson Memorial University of Miami</w:t>
            </w:r>
            <w:r w:rsidR="00834F6C">
              <w:rPr>
                <w:vertAlign w:val="superscript"/>
              </w:rPr>
              <w:t>10</w:t>
            </w:r>
          </w:p>
        </w:tc>
        <w:tc>
          <w:tcPr>
            <w:tcW w:w="1980" w:type="dxa"/>
          </w:tcPr>
          <w:p w14:paraId="336EBEF8" w14:textId="77777777" w:rsidR="004E2B7B" w:rsidRPr="00A655B3" w:rsidRDefault="004E2B7B" w:rsidP="00BA1033">
            <w:pPr>
              <w:spacing w:line="360" w:lineRule="auto"/>
              <w:ind w:firstLine="0"/>
              <w:jc w:val="center"/>
            </w:pPr>
            <w:r w:rsidRPr="00A655B3">
              <w:t>FLJM</w:t>
            </w:r>
          </w:p>
        </w:tc>
        <w:tc>
          <w:tcPr>
            <w:tcW w:w="1710" w:type="dxa"/>
          </w:tcPr>
          <w:p w14:paraId="3AA105AA" w14:textId="77777777" w:rsidR="004E2B7B" w:rsidRPr="00A655B3" w:rsidRDefault="004E2B7B" w:rsidP="00BA1033">
            <w:pPr>
              <w:spacing w:line="360" w:lineRule="auto"/>
              <w:ind w:firstLine="0"/>
              <w:jc w:val="center"/>
            </w:pPr>
            <w:r w:rsidRPr="00A655B3">
              <w:t>433</w:t>
            </w:r>
          </w:p>
        </w:tc>
      </w:tr>
      <w:tr w:rsidR="004E2B7B" w:rsidRPr="00A655B3" w14:paraId="386AC5C0" w14:textId="77777777" w:rsidTr="00021D77">
        <w:tc>
          <w:tcPr>
            <w:tcW w:w="5845" w:type="dxa"/>
          </w:tcPr>
          <w:p w14:paraId="493E38C2" w14:textId="1C81EFCB" w:rsidR="004E2B7B" w:rsidRPr="002A29EE" w:rsidRDefault="004E2B7B" w:rsidP="00BA1033">
            <w:pPr>
              <w:spacing w:line="360" w:lineRule="auto"/>
              <w:ind w:firstLine="0"/>
              <w:jc w:val="left"/>
              <w:rPr>
                <w:vertAlign w:val="superscript"/>
              </w:rPr>
            </w:pPr>
            <w:r w:rsidRPr="00A655B3">
              <w:t>University of California</w:t>
            </w:r>
            <w:r>
              <w:t xml:space="preserve"> – Los Angeles</w:t>
            </w:r>
            <w:r w:rsidRPr="00A655B3">
              <w:t xml:space="preserve"> Medical Center</w:t>
            </w:r>
            <w:r w:rsidR="002A29EE">
              <w:rPr>
                <w:vertAlign w:val="superscript"/>
              </w:rPr>
              <w:t>1</w:t>
            </w:r>
            <w:r w:rsidR="00834F6C">
              <w:rPr>
                <w:vertAlign w:val="superscript"/>
              </w:rPr>
              <w:t>2</w:t>
            </w:r>
          </w:p>
        </w:tc>
        <w:tc>
          <w:tcPr>
            <w:tcW w:w="1980" w:type="dxa"/>
          </w:tcPr>
          <w:p w14:paraId="731449B5" w14:textId="77777777" w:rsidR="004E2B7B" w:rsidRPr="00A655B3" w:rsidRDefault="004E2B7B" w:rsidP="00BA1033">
            <w:pPr>
              <w:spacing w:line="360" w:lineRule="auto"/>
              <w:ind w:firstLine="0"/>
              <w:jc w:val="center"/>
            </w:pPr>
            <w:r w:rsidRPr="00A655B3">
              <w:t>CAUC</w:t>
            </w:r>
          </w:p>
        </w:tc>
        <w:tc>
          <w:tcPr>
            <w:tcW w:w="1710" w:type="dxa"/>
          </w:tcPr>
          <w:p w14:paraId="6C5C9FC9" w14:textId="77777777" w:rsidR="004E2B7B" w:rsidRPr="00A655B3" w:rsidRDefault="004E2B7B" w:rsidP="00BA1033">
            <w:pPr>
              <w:spacing w:line="360" w:lineRule="auto"/>
              <w:ind w:firstLine="0"/>
              <w:jc w:val="center"/>
            </w:pPr>
            <w:r w:rsidRPr="00A655B3">
              <w:t>398</w:t>
            </w:r>
          </w:p>
        </w:tc>
      </w:tr>
      <w:tr w:rsidR="004E2B7B" w:rsidRPr="00A655B3" w14:paraId="18CE4DF6" w14:textId="77777777" w:rsidTr="00021D77">
        <w:tc>
          <w:tcPr>
            <w:tcW w:w="5845" w:type="dxa"/>
          </w:tcPr>
          <w:p w14:paraId="73312798" w14:textId="0249D571" w:rsidR="004E2B7B" w:rsidRPr="00EA4468" w:rsidRDefault="004E2B7B" w:rsidP="00BA1033">
            <w:pPr>
              <w:spacing w:line="360" w:lineRule="auto"/>
              <w:ind w:firstLine="0"/>
              <w:jc w:val="left"/>
            </w:pPr>
            <w:r w:rsidRPr="00EA4468">
              <w:t>University of California – San Francisco Medical Center</w:t>
            </w:r>
            <w:r w:rsidRPr="00EA4468">
              <w:rPr>
                <w:vertAlign w:val="superscript"/>
              </w:rPr>
              <w:t>1</w:t>
            </w:r>
            <w:r w:rsidR="00834F6C">
              <w:rPr>
                <w:vertAlign w:val="superscript"/>
              </w:rPr>
              <w:t>2</w:t>
            </w:r>
          </w:p>
        </w:tc>
        <w:tc>
          <w:tcPr>
            <w:tcW w:w="1980" w:type="dxa"/>
          </w:tcPr>
          <w:p w14:paraId="3FC8F20C" w14:textId="77777777" w:rsidR="004E2B7B" w:rsidRPr="00A655B3" w:rsidRDefault="004E2B7B" w:rsidP="00BA1033">
            <w:pPr>
              <w:spacing w:line="360" w:lineRule="auto"/>
              <w:ind w:firstLine="0"/>
              <w:jc w:val="center"/>
            </w:pPr>
            <w:r w:rsidRPr="00A655B3">
              <w:t>CASF</w:t>
            </w:r>
          </w:p>
        </w:tc>
        <w:tc>
          <w:tcPr>
            <w:tcW w:w="1710" w:type="dxa"/>
          </w:tcPr>
          <w:p w14:paraId="1AFA8BB5" w14:textId="77777777" w:rsidR="004E2B7B" w:rsidRPr="00A655B3" w:rsidRDefault="004E2B7B" w:rsidP="00BA1033">
            <w:pPr>
              <w:spacing w:line="360" w:lineRule="auto"/>
              <w:ind w:firstLine="0"/>
              <w:jc w:val="center"/>
            </w:pPr>
            <w:r w:rsidRPr="00A655B3">
              <w:t>368</w:t>
            </w:r>
          </w:p>
        </w:tc>
      </w:tr>
      <w:tr w:rsidR="004E2B7B" w:rsidRPr="00A655B3" w14:paraId="56EB39D5" w14:textId="77777777" w:rsidTr="00021D77">
        <w:tc>
          <w:tcPr>
            <w:tcW w:w="5845" w:type="dxa"/>
          </w:tcPr>
          <w:p w14:paraId="3D919A7A" w14:textId="13AE8948" w:rsidR="004E2B7B" w:rsidRPr="00A516BB" w:rsidRDefault="004E2B7B" w:rsidP="00BA1033">
            <w:pPr>
              <w:spacing w:line="360" w:lineRule="auto"/>
              <w:ind w:firstLine="0"/>
              <w:jc w:val="left"/>
            </w:pPr>
            <w:r w:rsidRPr="00A655B3">
              <w:t>Mayo Clinic Hospital (Arizona)</w:t>
            </w:r>
            <w:r>
              <w:rPr>
                <w:vertAlign w:val="superscript"/>
              </w:rPr>
              <w:t>1</w:t>
            </w:r>
            <w:r w:rsidR="00834F6C">
              <w:rPr>
                <w:vertAlign w:val="superscript"/>
              </w:rPr>
              <w:t>3</w:t>
            </w:r>
          </w:p>
        </w:tc>
        <w:tc>
          <w:tcPr>
            <w:tcW w:w="1980" w:type="dxa"/>
          </w:tcPr>
          <w:p w14:paraId="15E0186F" w14:textId="77777777" w:rsidR="004E2B7B" w:rsidRPr="00A655B3" w:rsidRDefault="004E2B7B" w:rsidP="00BA1033">
            <w:pPr>
              <w:spacing w:line="360" w:lineRule="auto"/>
              <w:ind w:firstLine="0"/>
              <w:jc w:val="center"/>
            </w:pPr>
            <w:r w:rsidRPr="00A655B3">
              <w:t>AZMC</w:t>
            </w:r>
          </w:p>
        </w:tc>
        <w:tc>
          <w:tcPr>
            <w:tcW w:w="1710" w:type="dxa"/>
          </w:tcPr>
          <w:p w14:paraId="51161332" w14:textId="77777777" w:rsidR="004E2B7B" w:rsidRPr="00A655B3" w:rsidRDefault="004E2B7B" w:rsidP="00BA1033">
            <w:pPr>
              <w:spacing w:line="360" w:lineRule="auto"/>
              <w:ind w:firstLine="0"/>
              <w:jc w:val="center"/>
            </w:pPr>
            <w:r w:rsidRPr="00A655B3">
              <w:t>341</w:t>
            </w:r>
          </w:p>
        </w:tc>
      </w:tr>
      <w:tr w:rsidR="004E2B7B" w:rsidRPr="00A655B3" w14:paraId="6C02190D" w14:textId="77777777" w:rsidTr="00021D77">
        <w:tc>
          <w:tcPr>
            <w:tcW w:w="5845" w:type="dxa"/>
          </w:tcPr>
          <w:p w14:paraId="191683F6" w14:textId="769AC4D0" w:rsidR="004E2B7B" w:rsidRPr="00944AEA" w:rsidRDefault="004E2B7B" w:rsidP="00BA1033">
            <w:pPr>
              <w:spacing w:line="360" w:lineRule="auto"/>
              <w:ind w:firstLine="0"/>
              <w:jc w:val="left"/>
            </w:pPr>
            <w:r w:rsidRPr="00A655B3">
              <w:t>Methodist Specialty Transplant Hospital</w:t>
            </w:r>
            <w:r>
              <w:rPr>
                <w:vertAlign w:val="superscript"/>
              </w:rPr>
              <w:t>1</w:t>
            </w:r>
            <w:r w:rsidR="00834F6C">
              <w:rPr>
                <w:vertAlign w:val="superscript"/>
              </w:rPr>
              <w:t>4</w:t>
            </w:r>
          </w:p>
        </w:tc>
        <w:tc>
          <w:tcPr>
            <w:tcW w:w="1980" w:type="dxa"/>
          </w:tcPr>
          <w:p w14:paraId="0FD13735" w14:textId="77777777" w:rsidR="004E2B7B" w:rsidRPr="00A655B3" w:rsidRDefault="004E2B7B" w:rsidP="00BA1033">
            <w:pPr>
              <w:spacing w:line="360" w:lineRule="auto"/>
              <w:ind w:firstLine="0"/>
              <w:jc w:val="center"/>
            </w:pPr>
            <w:r w:rsidRPr="00A655B3">
              <w:t>TXHS</w:t>
            </w:r>
          </w:p>
        </w:tc>
        <w:tc>
          <w:tcPr>
            <w:tcW w:w="1710" w:type="dxa"/>
          </w:tcPr>
          <w:p w14:paraId="683FA0A0" w14:textId="77777777" w:rsidR="004E2B7B" w:rsidRPr="00A655B3" w:rsidRDefault="004E2B7B" w:rsidP="00BA1033">
            <w:pPr>
              <w:spacing w:line="360" w:lineRule="auto"/>
              <w:ind w:firstLine="0"/>
              <w:jc w:val="center"/>
            </w:pPr>
            <w:r w:rsidRPr="00A655B3">
              <w:t>327</w:t>
            </w:r>
          </w:p>
        </w:tc>
      </w:tr>
      <w:tr w:rsidR="004E2B7B" w:rsidRPr="00A655B3" w14:paraId="78BBB5E4" w14:textId="77777777" w:rsidTr="00021D77">
        <w:tc>
          <w:tcPr>
            <w:tcW w:w="5845" w:type="dxa"/>
          </w:tcPr>
          <w:p w14:paraId="2787FC63" w14:textId="24854E56" w:rsidR="004E2B7B" w:rsidRPr="007129D0" w:rsidRDefault="004E2B7B" w:rsidP="00BA1033">
            <w:pPr>
              <w:spacing w:line="360" w:lineRule="auto"/>
              <w:ind w:firstLine="0"/>
              <w:jc w:val="left"/>
            </w:pPr>
            <w:r w:rsidRPr="00A655B3">
              <w:t>Emory University Hospital</w:t>
            </w:r>
            <w:r>
              <w:rPr>
                <w:vertAlign w:val="superscript"/>
              </w:rPr>
              <w:t>1</w:t>
            </w:r>
            <w:r w:rsidR="00834F6C">
              <w:rPr>
                <w:vertAlign w:val="superscript"/>
              </w:rPr>
              <w:t>5</w:t>
            </w:r>
          </w:p>
        </w:tc>
        <w:tc>
          <w:tcPr>
            <w:tcW w:w="1980" w:type="dxa"/>
          </w:tcPr>
          <w:p w14:paraId="26EA34C3" w14:textId="77777777" w:rsidR="004E2B7B" w:rsidRPr="00A655B3" w:rsidRDefault="004E2B7B" w:rsidP="00BA1033">
            <w:pPr>
              <w:spacing w:line="360" w:lineRule="auto"/>
              <w:ind w:firstLine="0"/>
              <w:jc w:val="center"/>
            </w:pPr>
            <w:r w:rsidRPr="00A655B3">
              <w:t>GAEM</w:t>
            </w:r>
          </w:p>
        </w:tc>
        <w:tc>
          <w:tcPr>
            <w:tcW w:w="1710" w:type="dxa"/>
          </w:tcPr>
          <w:p w14:paraId="01F6EBAB" w14:textId="77777777" w:rsidR="004E2B7B" w:rsidRPr="00A655B3" w:rsidRDefault="004E2B7B" w:rsidP="00BA1033">
            <w:pPr>
              <w:spacing w:line="360" w:lineRule="auto"/>
              <w:ind w:firstLine="0"/>
              <w:jc w:val="center"/>
            </w:pPr>
            <w:r w:rsidRPr="00A655B3">
              <w:t>281</w:t>
            </w:r>
          </w:p>
        </w:tc>
      </w:tr>
      <w:tr w:rsidR="004E2B7B" w:rsidRPr="00A655B3" w14:paraId="7E69172A" w14:textId="77777777" w:rsidTr="00021D77">
        <w:tc>
          <w:tcPr>
            <w:tcW w:w="5845" w:type="dxa"/>
          </w:tcPr>
          <w:p w14:paraId="543DE391" w14:textId="0973BAF5" w:rsidR="004E2B7B" w:rsidRPr="00367DBE" w:rsidRDefault="004E2B7B" w:rsidP="00BA1033">
            <w:pPr>
              <w:spacing w:line="360" w:lineRule="auto"/>
              <w:ind w:firstLine="0"/>
              <w:jc w:val="left"/>
            </w:pPr>
            <w:r w:rsidRPr="00A655B3">
              <w:t>University of Wisconsin Hospital and Clinics</w:t>
            </w:r>
            <w:r>
              <w:rPr>
                <w:vertAlign w:val="superscript"/>
              </w:rPr>
              <w:t>1</w:t>
            </w:r>
            <w:r w:rsidR="00834F6C">
              <w:rPr>
                <w:vertAlign w:val="superscript"/>
              </w:rPr>
              <w:t>6</w:t>
            </w:r>
          </w:p>
        </w:tc>
        <w:tc>
          <w:tcPr>
            <w:tcW w:w="1980" w:type="dxa"/>
          </w:tcPr>
          <w:p w14:paraId="65500645" w14:textId="77777777" w:rsidR="004E2B7B" w:rsidRPr="00A655B3" w:rsidRDefault="004E2B7B" w:rsidP="00BA1033">
            <w:pPr>
              <w:spacing w:line="360" w:lineRule="auto"/>
              <w:ind w:firstLine="0"/>
              <w:jc w:val="center"/>
            </w:pPr>
            <w:r w:rsidRPr="00A655B3">
              <w:t>WIUW</w:t>
            </w:r>
          </w:p>
        </w:tc>
        <w:tc>
          <w:tcPr>
            <w:tcW w:w="1710" w:type="dxa"/>
          </w:tcPr>
          <w:p w14:paraId="4A0D61AD" w14:textId="77777777" w:rsidR="004E2B7B" w:rsidRPr="00A655B3" w:rsidRDefault="004E2B7B" w:rsidP="00BA1033">
            <w:pPr>
              <w:spacing w:line="360" w:lineRule="auto"/>
              <w:ind w:firstLine="0"/>
              <w:jc w:val="center"/>
            </w:pPr>
            <w:r w:rsidRPr="00A655B3">
              <w:t>281</w:t>
            </w:r>
          </w:p>
        </w:tc>
      </w:tr>
      <w:tr w:rsidR="004E2B7B" w:rsidRPr="00A655B3" w14:paraId="7A73B11A" w14:textId="77777777" w:rsidTr="00021D77">
        <w:tc>
          <w:tcPr>
            <w:tcW w:w="5845" w:type="dxa"/>
          </w:tcPr>
          <w:p w14:paraId="20AAA6FD" w14:textId="478B76A2" w:rsidR="004E2B7B" w:rsidRPr="00EC6678" w:rsidRDefault="004E2B7B" w:rsidP="00BA1033">
            <w:pPr>
              <w:spacing w:line="360" w:lineRule="auto"/>
              <w:ind w:firstLine="0"/>
              <w:jc w:val="left"/>
            </w:pPr>
            <w:r w:rsidRPr="00A655B3">
              <w:t>University of California</w:t>
            </w:r>
            <w:r w:rsidR="008D4EA5">
              <w:t xml:space="preserve"> -</w:t>
            </w:r>
            <w:r w:rsidRPr="00A655B3">
              <w:t xml:space="preserve"> Davis Medical Center</w:t>
            </w:r>
            <w:r>
              <w:rPr>
                <w:vertAlign w:val="superscript"/>
              </w:rPr>
              <w:t>1</w:t>
            </w:r>
            <w:r w:rsidR="00834F6C">
              <w:rPr>
                <w:vertAlign w:val="superscript"/>
              </w:rPr>
              <w:t>7</w:t>
            </w:r>
          </w:p>
        </w:tc>
        <w:tc>
          <w:tcPr>
            <w:tcW w:w="1980" w:type="dxa"/>
          </w:tcPr>
          <w:p w14:paraId="4DD4EDC8" w14:textId="77777777" w:rsidR="004E2B7B" w:rsidRPr="00A655B3" w:rsidRDefault="004E2B7B" w:rsidP="00BA1033">
            <w:pPr>
              <w:spacing w:line="360" w:lineRule="auto"/>
              <w:ind w:firstLine="0"/>
              <w:jc w:val="center"/>
            </w:pPr>
            <w:r w:rsidRPr="00A655B3">
              <w:t>CASM</w:t>
            </w:r>
          </w:p>
        </w:tc>
        <w:tc>
          <w:tcPr>
            <w:tcW w:w="1710" w:type="dxa"/>
          </w:tcPr>
          <w:p w14:paraId="7CB3027F" w14:textId="77777777" w:rsidR="004E2B7B" w:rsidRPr="00A655B3" w:rsidRDefault="004E2B7B" w:rsidP="00BA1033">
            <w:pPr>
              <w:spacing w:line="360" w:lineRule="auto"/>
              <w:ind w:firstLine="0"/>
              <w:jc w:val="center"/>
            </w:pPr>
            <w:r w:rsidRPr="00A655B3">
              <w:t>278</w:t>
            </w:r>
          </w:p>
        </w:tc>
      </w:tr>
      <w:tr w:rsidR="004E2B7B" w:rsidRPr="00A655B3" w14:paraId="477833F3" w14:textId="77777777" w:rsidTr="00021D77">
        <w:tc>
          <w:tcPr>
            <w:tcW w:w="5845" w:type="dxa"/>
          </w:tcPr>
          <w:p w14:paraId="435E3319" w14:textId="775D7879" w:rsidR="004E2B7B" w:rsidRPr="00B711F4" w:rsidRDefault="004E2B7B" w:rsidP="00BA1033">
            <w:pPr>
              <w:spacing w:line="360" w:lineRule="auto"/>
              <w:ind w:firstLine="0"/>
              <w:jc w:val="left"/>
            </w:pPr>
            <w:r w:rsidRPr="00A655B3">
              <w:t>Saint Barnabas Medical Center</w:t>
            </w:r>
            <w:r>
              <w:rPr>
                <w:vertAlign w:val="superscript"/>
              </w:rPr>
              <w:t>1</w:t>
            </w:r>
            <w:r w:rsidR="00834F6C">
              <w:rPr>
                <w:vertAlign w:val="superscript"/>
              </w:rPr>
              <w:t>8</w:t>
            </w:r>
          </w:p>
        </w:tc>
        <w:tc>
          <w:tcPr>
            <w:tcW w:w="1980" w:type="dxa"/>
          </w:tcPr>
          <w:p w14:paraId="0FDB1B47" w14:textId="77777777" w:rsidR="004E2B7B" w:rsidRPr="00A655B3" w:rsidRDefault="004E2B7B" w:rsidP="00BA1033">
            <w:pPr>
              <w:spacing w:line="360" w:lineRule="auto"/>
              <w:ind w:firstLine="0"/>
              <w:jc w:val="center"/>
            </w:pPr>
            <w:r w:rsidRPr="00A655B3">
              <w:t>NJSB</w:t>
            </w:r>
          </w:p>
        </w:tc>
        <w:tc>
          <w:tcPr>
            <w:tcW w:w="1710" w:type="dxa"/>
          </w:tcPr>
          <w:p w14:paraId="63B23A6C" w14:textId="77777777" w:rsidR="004E2B7B" w:rsidRPr="00A655B3" w:rsidRDefault="004E2B7B" w:rsidP="00BA1033">
            <w:pPr>
              <w:spacing w:line="360" w:lineRule="auto"/>
              <w:ind w:firstLine="0"/>
              <w:jc w:val="center"/>
            </w:pPr>
            <w:r w:rsidRPr="00A655B3">
              <w:t>275</w:t>
            </w:r>
          </w:p>
        </w:tc>
      </w:tr>
      <w:tr w:rsidR="004E2B7B" w:rsidRPr="00A655B3" w14:paraId="18BE5CB8" w14:textId="77777777" w:rsidTr="00021D77">
        <w:tc>
          <w:tcPr>
            <w:tcW w:w="5845" w:type="dxa"/>
          </w:tcPr>
          <w:p w14:paraId="696DCEA3" w14:textId="54614020" w:rsidR="004E2B7B" w:rsidRPr="00DB1878" w:rsidRDefault="004E2B7B" w:rsidP="00BA1033">
            <w:pPr>
              <w:spacing w:line="360" w:lineRule="auto"/>
              <w:ind w:firstLine="0"/>
              <w:jc w:val="left"/>
            </w:pPr>
            <w:r w:rsidRPr="00A655B3">
              <w:t>University of Alabama (Birmingham) Hospital</w:t>
            </w:r>
            <w:r>
              <w:rPr>
                <w:vertAlign w:val="superscript"/>
              </w:rPr>
              <w:t>1</w:t>
            </w:r>
            <w:r w:rsidR="00834F6C">
              <w:rPr>
                <w:vertAlign w:val="superscript"/>
              </w:rPr>
              <w:t>9</w:t>
            </w:r>
          </w:p>
        </w:tc>
        <w:tc>
          <w:tcPr>
            <w:tcW w:w="1980" w:type="dxa"/>
            <w:tcBorders>
              <w:bottom w:val="single" w:sz="4" w:space="0" w:color="auto"/>
            </w:tcBorders>
          </w:tcPr>
          <w:p w14:paraId="349D297E" w14:textId="77777777" w:rsidR="004E2B7B" w:rsidRPr="00A655B3" w:rsidRDefault="004E2B7B" w:rsidP="00BA1033">
            <w:pPr>
              <w:spacing w:line="360" w:lineRule="auto"/>
              <w:ind w:firstLine="0"/>
              <w:jc w:val="center"/>
            </w:pPr>
            <w:r w:rsidRPr="00A655B3">
              <w:t>ALUA</w:t>
            </w:r>
          </w:p>
        </w:tc>
        <w:tc>
          <w:tcPr>
            <w:tcW w:w="1710" w:type="dxa"/>
          </w:tcPr>
          <w:p w14:paraId="0C4D9E4B" w14:textId="77777777" w:rsidR="004E2B7B" w:rsidRPr="00A655B3" w:rsidRDefault="004E2B7B" w:rsidP="00BA1033">
            <w:pPr>
              <w:spacing w:line="360" w:lineRule="auto"/>
              <w:ind w:firstLine="0"/>
              <w:jc w:val="center"/>
            </w:pPr>
            <w:r w:rsidRPr="00A655B3">
              <w:t>256</w:t>
            </w:r>
          </w:p>
        </w:tc>
      </w:tr>
    </w:tbl>
    <w:p w14:paraId="2D138E0C" w14:textId="33D50100" w:rsidR="004E2B7B" w:rsidRDefault="004E2B7B" w:rsidP="00FF256E"/>
    <w:p w14:paraId="064358F8" w14:textId="00324856" w:rsidR="00FF256E" w:rsidRDefault="00A63DBF" w:rsidP="00F06D22">
      <w:r>
        <w:t xml:space="preserve">With respect to the keyword search, </w:t>
      </w:r>
      <w:r w:rsidRPr="00D86ED4">
        <w:t xml:space="preserve">Table </w:t>
      </w:r>
      <w:r w:rsidR="00D86ED4" w:rsidRPr="00D86ED4">
        <w:t>5</w:t>
      </w:r>
      <w:r w:rsidR="001E217C" w:rsidRPr="00D86ED4">
        <w:rPr>
          <w:vertAlign w:val="superscript"/>
        </w:rPr>
        <w:t>8</w:t>
      </w:r>
      <w:r>
        <w:t xml:space="preserve"> describes the findin</w:t>
      </w:r>
      <w:r w:rsidR="00BC1DBF">
        <w:t xml:space="preserve">gs. For the keywords </w:t>
      </w:r>
      <w:r w:rsidR="005474FA">
        <w:t>“Graft,”</w:t>
      </w:r>
      <w:r>
        <w:t xml:space="preserve"> “Tissue,”</w:t>
      </w:r>
      <w:r w:rsidR="00BC1DBF">
        <w:t xml:space="preserve"> and “Donation,”</w:t>
      </w:r>
      <w:r>
        <w:t xml:space="preserve"> no matches were found and so they were excluded from the table.</w:t>
      </w:r>
      <w:r w:rsidR="00A00A4E">
        <w:t xml:space="preserve"> With respect to the “Education” category, many of the top 10 kidney transplanting institutions mentioned community-oriented education programs covering the subject of healthy lifestyles, chronic diseases overall, or diabetes management. </w:t>
      </w:r>
      <w:r w:rsidR="00FF256E">
        <w:t xml:space="preserve">While CHNAs commonly citing education-based programs that seek to target upstream risk factors </w:t>
      </w:r>
      <w:r w:rsidR="009E4FF2">
        <w:t>for</w:t>
      </w:r>
      <w:r w:rsidR="00FF256E">
        <w:t xml:space="preserve"> CKD is a good sign, education tended to produce results more related to academic centers educating medical classes in specialty care or education as a demographic data point that helped describe the community it serves.</w:t>
      </w:r>
    </w:p>
    <w:p w14:paraId="72EE5AF4" w14:textId="4C6F2E84" w:rsidR="009E4FF2" w:rsidRDefault="009E4FF2" w:rsidP="00F06D22"/>
    <w:p w14:paraId="60586C8C" w14:textId="77777777" w:rsidR="00AA7E5A" w:rsidRPr="00F06D22" w:rsidRDefault="00AA7E5A" w:rsidP="00F06D22"/>
    <w:p w14:paraId="2FFF9B87" w14:textId="05FDA649" w:rsidR="00FF256E" w:rsidRDefault="00FF256E" w:rsidP="008537C0">
      <w:pPr>
        <w:rPr>
          <w:b/>
          <w:bCs/>
        </w:rPr>
      </w:pPr>
    </w:p>
    <w:p w14:paraId="6EE0EA33" w14:textId="4585A2C2" w:rsidR="001E217C" w:rsidRDefault="001E217C" w:rsidP="008537C0">
      <w:pPr>
        <w:rPr>
          <w:b/>
          <w:bCs/>
        </w:rPr>
      </w:pPr>
    </w:p>
    <w:p w14:paraId="32C1CC9C" w14:textId="77777777" w:rsidR="001E217C" w:rsidRDefault="001E217C" w:rsidP="008537C0">
      <w:pPr>
        <w:rPr>
          <w:b/>
          <w:bCs/>
        </w:rPr>
      </w:pPr>
    </w:p>
    <w:p w14:paraId="134D4961" w14:textId="623C819F" w:rsidR="00E3282B" w:rsidRDefault="00DA5840" w:rsidP="00DA5840">
      <w:pPr>
        <w:pStyle w:val="Caption"/>
      </w:pPr>
      <w:bookmarkStart w:id="20" w:name="_Toc39750912"/>
      <w:r>
        <w:t xml:space="preserve">Table </w:t>
      </w:r>
      <w:r>
        <w:fldChar w:fldCharType="begin"/>
      </w:r>
      <w:r>
        <w:instrText xml:space="preserve"> SEQ Table \* ARABIC </w:instrText>
      </w:r>
      <w:r>
        <w:fldChar w:fldCharType="separate"/>
      </w:r>
      <w:r w:rsidR="000A6B46">
        <w:t>5</w:t>
      </w:r>
      <w:r>
        <w:fldChar w:fldCharType="end"/>
      </w:r>
      <w:r>
        <w:t>: Keyword Matches for CHNA Search</w:t>
      </w:r>
      <w:bookmarkEnd w:id="20"/>
    </w:p>
    <w:tbl>
      <w:tblPr>
        <w:tblStyle w:val="TableGrid"/>
        <w:tblW w:w="9535" w:type="dxa"/>
        <w:tblLook w:val="04A0" w:firstRow="1" w:lastRow="0" w:firstColumn="1" w:lastColumn="0" w:noHBand="0" w:noVBand="1"/>
      </w:tblPr>
      <w:tblGrid>
        <w:gridCol w:w="2070"/>
        <w:gridCol w:w="1345"/>
        <w:gridCol w:w="1800"/>
        <w:gridCol w:w="1530"/>
        <w:gridCol w:w="1680"/>
        <w:gridCol w:w="1110"/>
      </w:tblGrid>
      <w:tr w:rsidR="00BC1DBF" w:rsidRPr="00E3282B" w14:paraId="5D225F20" w14:textId="0749999C" w:rsidTr="00BC1DBF">
        <w:tc>
          <w:tcPr>
            <w:tcW w:w="2070" w:type="dxa"/>
          </w:tcPr>
          <w:p w14:paraId="0B45DCDC" w14:textId="1A476750" w:rsidR="00BC1DBF" w:rsidRPr="00E3282B" w:rsidRDefault="00BC1DBF" w:rsidP="00BA1033">
            <w:pPr>
              <w:spacing w:line="360" w:lineRule="auto"/>
              <w:ind w:firstLine="0"/>
              <w:jc w:val="center"/>
              <w:rPr>
                <w:b/>
                <w:bCs/>
              </w:rPr>
            </w:pPr>
            <w:r w:rsidRPr="00E3282B">
              <w:rPr>
                <w:b/>
                <w:bCs/>
              </w:rPr>
              <w:t>Medical Center</w:t>
            </w:r>
          </w:p>
        </w:tc>
        <w:tc>
          <w:tcPr>
            <w:tcW w:w="1345" w:type="dxa"/>
          </w:tcPr>
          <w:p w14:paraId="1236AC88" w14:textId="4243DF00" w:rsidR="00BC1DBF" w:rsidRPr="00E3282B" w:rsidRDefault="00BC1DBF" w:rsidP="00BA1033">
            <w:pPr>
              <w:spacing w:line="360" w:lineRule="auto"/>
              <w:ind w:firstLine="0"/>
              <w:jc w:val="center"/>
              <w:rPr>
                <w:b/>
                <w:bCs/>
              </w:rPr>
            </w:pPr>
            <w:r>
              <w:rPr>
                <w:b/>
                <w:bCs/>
              </w:rPr>
              <w:t>“Organ”</w:t>
            </w:r>
          </w:p>
        </w:tc>
        <w:tc>
          <w:tcPr>
            <w:tcW w:w="1800" w:type="dxa"/>
          </w:tcPr>
          <w:p w14:paraId="56859141" w14:textId="2A1644E8" w:rsidR="00BC1DBF" w:rsidRPr="00E3282B" w:rsidRDefault="00BC1DBF" w:rsidP="00BA1033">
            <w:pPr>
              <w:spacing w:line="360" w:lineRule="auto"/>
              <w:ind w:firstLine="0"/>
              <w:jc w:val="center"/>
              <w:rPr>
                <w:b/>
                <w:bCs/>
              </w:rPr>
            </w:pPr>
            <w:r>
              <w:rPr>
                <w:b/>
                <w:bCs/>
              </w:rPr>
              <w:t>“Transplant”</w:t>
            </w:r>
          </w:p>
        </w:tc>
        <w:tc>
          <w:tcPr>
            <w:tcW w:w="1530" w:type="dxa"/>
          </w:tcPr>
          <w:p w14:paraId="4104EA0A" w14:textId="035D37FB" w:rsidR="00BC1DBF" w:rsidRPr="00E3282B" w:rsidRDefault="00BC1DBF" w:rsidP="00BA1033">
            <w:pPr>
              <w:spacing w:line="360" w:lineRule="auto"/>
              <w:ind w:firstLine="0"/>
              <w:jc w:val="center"/>
              <w:rPr>
                <w:b/>
                <w:bCs/>
              </w:rPr>
            </w:pPr>
            <w:r>
              <w:rPr>
                <w:b/>
                <w:bCs/>
              </w:rPr>
              <w:t>“Kidney”</w:t>
            </w:r>
          </w:p>
        </w:tc>
        <w:tc>
          <w:tcPr>
            <w:tcW w:w="1680" w:type="dxa"/>
          </w:tcPr>
          <w:p w14:paraId="62EAC0A5" w14:textId="7D6DD6FB" w:rsidR="00BC1DBF" w:rsidRPr="00E3282B" w:rsidRDefault="00BC1DBF" w:rsidP="00BA1033">
            <w:pPr>
              <w:spacing w:line="360" w:lineRule="auto"/>
              <w:ind w:firstLine="0"/>
              <w:jc w:val="center"/>
              <w:rPr>
                <w:b/>
                <w:bCs/>
              </w:rPr>
            </w:pPr>
            <w:r>
              <w:rPr>
                <w:b/>
                <w:bCs/>
              </w:rPr>
              <w:t>“Education”</w:t>
            </w:r>
          </w:p>
        </w:tc>
        <w:tc>
          <w:tcPr>
            <w:tcW w:w="1110" w:type="dxa"/>
          </w:tcPr>
          <w:p w14:paraId="2D7EA955" w14:textId="6679BAAA" w:rsidR="00BC1DBF" w:rsidRDefault="00BC1DBF" w:rsidP="00BA1033">
            <w:pPr>
              <w:spacing w:line="360" w:lineRule="auto"/>
              <w:ind w:firstLine="0"/>
              <w:jc w:val="center"/>
              <w:rPr>
                <w:b/>
                <w:bCs/>
              </w:rPr>
            </w:pPr>
            <w:r>
              <w:rPr>
                <w:b/>
                <w:bCs/>
              </w:rPr>
              <w:t>“Donor”</w:t>
            </w:r>
          </w:p>
        </w:tc>
      </w:tr>
      <w:tr w:rsidR="00BC1DBF" w:rsidRPr="00E3282B" w14:paraId="53045CC3" w14:textId="25D2B4B2" w:rsidTr="00BC1DBF">
        <w:tc>
          <w:tcPr>
            <w:tcW w:w="2070" w:type="dxa"/>
          </w:tcPr>
          <w:p w14:paraId="0AA839C7" w14:textId="78F86C55" w:rsidR="00BC1DBF" w:rsidRPr="00E3282B" w:rsidRDefault="00BC1DBF" w:rsidP="00BA1033">
            <w:pPr>
              <w:spacing w:line="360" w:lineRule="auto"/>
              <w:ind w:firstLine="0"/>
              <w:jc w:val="center"/>
            </w:pPr>
            <w:r w:rsidRPr="00E3282B">
              <w:t>FLJM</w:t>
            </w:r>
          </w:p>
        </w:tc>
        <w:tc>
          <w:tcPr>
            <w:tcW w:w="1345" w:type="dxa"/>
          </w:tcPr>
          <w:p w14:paraId="72BD3106" w14:textId="77777777" w:rsidR="00BC1DBF" w:rsidRPr="00E3282B" w:rsidRDefault="00BC1DBF" w:rsidP="00BA1033">
            <w:pPr>
              <w:spacing w:line="360" w:lineRule="auto"/>
              <w:ind w:firstLine="0"/>
              <w:jc w:val="center"/>
              <w:rPr>
                <w:b/>
                <w:bCs/>
              </w:rPr>
            </w:pPr>
          </w:p>
        </w:tc>
        <w:tc>
          <w:tcPr>
            <w:tcW w:w="1800" w:type="dxa"/>
          </w:tcPr>
          <w:p w14:paraId="5F0EBA0D" w14:textId="4CE57813" w:rsidR="00BC1DBF" w:rsidRPr="00E3282B" w:rsidRDefault="00BC1DBF" w:rsidP="00BA1033">
            <w:pPr>
              <w:spacing w:line="360" w:lineRule="auto"/>
              <w:ind w:firstLine="0"/>
              <w:jc w:val="center"/>
              <w:rPr>
                <w:b/>
                <w:bCs/>
              </w:rPr>
            </w:pPr>
            <w:r>
              <w:rPr>
                <w:b/>
                <w:bCs/>
              </w:rPr>
              <w:t>X</w:t>
            </w:r>
          </w:p>
        </w:tc>
        <w:tc>
          <w:tcPr>
            <w:tcW w:w="1530" w:type="dxa"/>
          </w:tcPr>
          <w:p w14:paraId="720590F7" w14:textId="1A3C5E73" w:rsidR="00BC1DBF" w:rsidRPr="00E3282B" w:rsidRDefault="00BC1DBF" w:rsidP="00BA1033">
            <w:pPr>
              <w:spacing w:line="360" w:lineRule="auto"/>
              <w:ind w:firstLine="0"/>
              <w:jc w:val="center"/>
              <w:rPr>
                <w:b/>
                <w:bCs/>
              </w:rPr>
            </w:pPr>
            <w:r>
              <w:rPr>
                <w:b/>
                <w:bCs/>
              </w:rPr>
              <w:t>X</w:t>
            </w:r>
          </w:p>
        </w:tc>
        <w:tc>
          <w:tcPr>
            <w:tcW w:w="1680" w:type="dxa"/>
          </w:tcPr>
          <w:p w14:paraId="00FD5DB0" w14:textId="2FE0C9BD" w:rsidR="00BC1DBF" w:rsidRPr="00E3282B" w:rsidRDefault="00BC1DBF" w:rsidP="00BA1033">
            <w:pPr>
              <w:spacing w:line="360" w:lineRule="auto"/>
              <w:ind w:firstLine="0"/>
              <w:jc w:val="center"/>
              <w:rPr>
                <w:b/>
                <w:bCs/>
              </w:rPr>
            </w:pPr>
            <w:r>
              <w:rPr>
                <w:b/>
                <w:bCs/>
              </w:rPr>
              <w:t>X - CD</w:t>
            </w:r>
          </w:p>
        </w:tc>
        <w:tc>
          <w:tcPr>
            <w:tcW w:w="1110" w:type="dxa"/>
          </w:tcPr>
          <w:p w14:paraId="4DE36C21" w14:textId="76B57D6E" w:rsidR="00BC1DBF" w:rsidRPr="00E3282B" w:rsidRDefault="00BC1DBF" w:rsidP="00BA1033">
            <w:pPr>
              <w:spacing w:line="360" w:lineRule="auto"/>
              <w:ind w:firstLine="0"/>
              <w:jc w:val="center"/>
              <w:rPr>
                <w:b/>
                <w:bCs/>
              </w:rPr>
            </w:pPr>
            <w:r>
              <w:rPr>
                <w:b/>
                <w:bCs/>
              </w:rPr>
              <w:t>X</w:t>
            </w:r>
          </w:p>
        </w:tc>
      </w:tr>
      <w:tr w:rsidR="00BC1DBF" w:rsidRPr="00E3282B" w14:paraId="23DD4168" w14:textId="1DB1AFE6" w:rsidTr="00BC1DBF">
        <w:tc>
          <w:tcPr>
            <w:tcW w:w="2070" w:type="dxa"/>
          </w:tcPr>
          <w:p w14:paraId="69678F16" w14:textId="5700F612" w:rsidR="00BC1DBF" w:rsidRPr="00E3282B" w:rsidRDefault="00BC1DBF" w:rsidP="00BA1033">
            <w:pPr>
              <w:spacing w:line="360" w:lineRule="auto"/>
              <w:ind w:firstLine="0"/>
              <w:jc w:val="center"/>
            </w:pPr>
            <w:r w:rsidRPr="00E3282B">
              <w:t>CAUC</w:t>
            </w:r>
          </w:p>
        </w:tc>
        <w:tc>
          <w:tcPr>
            <w:tcW w:w="1345" w:type="dxa"/>
          </w:tcPr>
          <w:p w14:paraId="44E92E8F" w14:textId="77777777" w:rsidR="00BC1DBF" w:rsidRPr="00E3282B" w:rsidRDefault="00BC1DBF" w:rsidP="00BA1033">
            <w:pPr>
              <w:spacing w:line="360" w:lineRule="auto"/>
              <w:ind w:firstLine="0"/>
              <w:jc w:val="center"/>
              <w:rPr>
                <w:b/>
                <w:bCs/>
              </w:rPr>
            </w:pPr>
          </w:p>
        </w:tc>
        <w:tc>
          <w:tcPr>
            <w:tcW w:w="1800" w:type="dxa"/>
          </w:tcPr>
          <w:p w14:paraId="40AC0F8C" w14:textId="77777777" w:rsidR="00BC1DBF" w:rsidRPr="00E3282B" w:rsidRDefault="00BC1DBF" w:rsidP="00BA1033">
            <w:pPr>
              <w:spacing w:line="360" w:lineRule="auto"/>
              <w:ind w:firstLine="0"/>
              <w:jc w:val="center"/>
              <w:rPr>
                <w:b/>
                <w:bCs/>
              </w:rPr>
            </w:pPr>
          </w:p>
        </w:tc>
        <w:tc>
          <w:tcPr>
            <w:tcW w:w="1530" w:type="dxa"/>
          </w:tcPr>
          <w:p w14:paraId="2D851399" w14:textId="77777777" w:rsidR="00BC1DBF" w:rsidRPr="00E3282B" w:rsidRDefault="00BC1DBF" w:rsidP="00BA1033">
            <w:pPr>
              <w:spacing w:line="360" w:lineRule="auto"/>
              <w:ind w:firstLine="0"/>
              <w:jc w:val="center"/>
              <w:rPr>
                <w:b/>
                <w:bCs/>
              </w:rPr>
            </w:pPr>
          </w:p>
        </w:tc>
        <w:tc>
          <w:tcPr>
            <w:tcW w:w="1680" w:type="dxa"/>
          </w:tcPr>
          <w:p w14:paraId="540A380F" w14:textId="74AC33B4" w:rsidR="00BC1DBF" w:rsidRPr="00E3282B" w:rsidRDefault="00BC1DBF" w:rsidP="00BA1033">
            <w:pPr>
              <w:spacing w:line="360" w:lineRule="auto"/>
              <w:ind w:firstLine="0"/>
              <w:jc w:val="center"/>
              <w:rPr>
                <w:b/>
                <w:bCs/>
              </w:rPr>
            </w:pPr>
            <w:r>
              <w:rPr>
                <w:b/>
                <w:bCs/>
              </w:rPr>
              <w:t>X - CD</w:t>
            </w:r>
          </w:p>
        </w:tc>
        <w:tc>
          <w:tcPr>
            <w:tcW w:w="1110" w:type="dxa"/>
          </w:tcPr>
          <w:p w14:paraId="7332C52C" w14:textId="77777777" w:rsidR="00BC1DBF" w:rsidRPr="00E3282B" w:rsidRDefault="00BC1DBF" w:rsidP="00BA1033">
            <w:pPr>
              <w:spacing w:line="360" w:lineRule="auto"/>
              <w:ind w:firstLine="0"/>
              <w:jc w:val="center"/>
              <w:rPr>
                <w:b/>
                <w:bCs/>
              </w:rPr>
            </w:pPr>
          </w:p>
        </w:tc>
      </w:tr>
      <w:tr w:rsidR="00BC1DBF" w:rsidRPr="00E3282B" w14:paraId="5AF111B5" w14:textId="4156D30A" w:rsidTr="00BC1DBF">
        <w:tc>
          <w:tcPr>
            <w:tcW w:w="2070" w:type="dxa"/>
          </w:tcPr>
          <w:p w14:paraId="7A22FA8F" w14:textId="332F9F04" w:rsidR="00BC1DBF" w:rsidRPr="00E3282B" w:rsidRDefault="00BC1DBF" w:rsidP="00BA1033">
            <w:pPr>
              <w:spacing w:line="360" w:lineRule="auto"/>
              <w:ind w:firstLine="0"/>
              <w:jc w:val="center"/>
            </w:pPr>
            <w:r w:rsidRPr="00E3282B">
              <w:t>CASF</w:t>
            </w:r>
          </w:p>
        </w:tc>
        <w:tc>
          <w:tcPr>
            <w:tcW w:w="1345" w:type="dxa"/>
          </w:tcPr>
          <w:p w14:paraId="2AF3409A" w14:textId="77777777" w:rsidR="00BC1DBF" w:rsidRPr="00E3282B" w:rsidRDefault="00BC1DBF" w:rsidP="00BA1033">
            <w:pPr>
              <w:spacing w:line="360" w:lineRule="auto"/>
              <w:ind w:firstLine="0"/>
              <w:jc w:val="center"/>
              <w:rPr>
                <w:b/>
                <w:bCs/>
              </w:rPr>
            </w:pPr>
          </w:p>
        </w:tc>
        <w:tc>
          <w:tcPr>
            <w:tcW w:w="1800" w:type="dxa"/>
          </w:tcPr>
          <w:p w14:paraId="51022923" w14:textId="77777777" w:rsidR="00BC1DBF" w:rsidRPr="00E3282B" w:rsidRDefault="00BC1DBF" w:rsidP="00BA1033">
            <w:pPr>
              <w:spacing w:line="360" w:lineRule="auto"/>
              <w:ind w:firstLine="0"/>
              <w:jc w:val="center"/>
              <w:rPr>
                <w:b/>
                <w:bCs/>
              </w:rPr>
            </w:pPr>
          </w:p>
        </w:tc>
        <w:tc>
          <w:tcPr>
            <w:tcW w:w="1530" w:type="dxa"/>
          </w:tcPr>
          <w:p w14:paraId="28185493" w14:textId="77777777" w:rsidR="00BC1DBF" w:rsidRPr="00E3282B" w:rsidRDefault="00BC1DBF" w:rsidP="00BA1033">
            <w:pPr>
              <w:spacing w:line="360" w:lineRule="auto"/>
              <w:ind w:firstLine="0"/>
              <w:jc w:val="center"/>
              <w:rPr>
                <w:b/>
                <w:bCs/>
              </w:rPr>
            </w:pPr>
          </w:p>
        </w:tc>
        <w:tc>
          <w:tcPr>
            <w:tcW w:w="1680" w:type="dxa"/>
          </w:tcPr>
          <w:p w14:paraId="2F379AFA" w14:textId="76076C3C" w:rsidR="00BC1DBF" w:rsidRPr="00E3282B" w:rsidRDefault="00BC1DBF" w:rsidP="00BA1033">
            <w:pPr>
              <w:spacing w:line="360" w:lineRule="auto"/>
              <w:ind w:firstLine="0"/>
              <w:jc w:val="center"/>
              <w:rPr>
                <w:b/>
                <w:bCs/>
              </w:rPr>
            </w:pPr>
          </w:p>
        </w:tc>
        <w:tc>
          <w:tcPr>
            <w:tcW w:w="1110" w:type="dxa"/>
          </w:tcPr>
          <w:p w14:paraId="4C78A2A2" w14:textId="147E05D5" w:rsidR="00BC1DBF" w:rsidRPr="00E3282B" w:rsidRDefault="00BC1DBF" w:rsidP="00BA1033">
            <w:pPr>
              <w:spacing w:line="360" w:lineRule="auto"/>
              <w:ind w:firstLine="0"/>
              <w:jc w:val="center"/>
              <w:rPr>
                <w:b/>
                <w:bCs/>
              </w:rPr>
            </w:pPr>
          </w:p>
        </w:tc>
      </w:tr>
      <w:tr w:rsidR="00BC1DBF" w:rsidRPr="00E3282B" w14:paraId="14DF7FB5" w14:textId="7ABF220F" w:rsidTr="00BC1DBF">
        <w:tc>
          <w:tcPr>
            <w:tcW w:w="2070" w:type="dxa"/>
          </w:tcPr>
          <w:p w14:paraId="6D413F77" w14:textId="3A0CCB87" w:rsidR="00BC1DBF" w:rsidRPr="00E3282B" w:rsidRDefault="00BC1DBF" w:rsidP="00BA1033">
            <w:pPr>
              <w:spacing w:line="360" w:lineRule="auto"/>
              <w:ind w:firstLine="0"/>
              <w:jc w:val="center"/>
            </w:pPr>
            <w:r w:rsidRPr="00E3282B">
              <w:t>AZMC</w:t>
            </w:r>
          </w:p>
        </w:tc>
        <w:tc>
          <w:tcPr>
            <w:tcW w:w="1345" w:type="dxa"/>
          </w:tcPr>
          <w:p w14:paraId="7B2CBBF3" w14:textId="7439484B" w:rsidR="00BC1DBF" w:rsidRPr="00E3282B" w:rsidRDefault="00BC1DBF" w:rsidP="00BA1033">
            <w:pPr>
              <w:spacing w:line="360" w:lineRule="auto"/>
              <w:ind w:firstLine="0"/>
              <w:jc w:val="center"/>
              <w:rPr>
                <w:b/>
                <w:bCs/>
              </w:rPr>
            </w:pPr>
            <w:r>
              <w:rPr>
                <w:b/>
                <w:bCs/>
              </w:rPr>
              <w:t>X</w:t>
            </w:r>
          </w:p>
        </w:tc>
        <w:tc>
          <w:tcPr>
            <w:tcW w:w="1800" w:type="dxa"/>
          </w:tcPr>
          <w:p w14:paraId="7E336610" w14:textId="549756B0" w:rsidR="00BC1DBF" w:rsidRPr="00E3282B" w:rsidRDefault="00BC1DBF" w:rsidP="00BA1033">
            <w:pPr>
              <w:spacing w:line="360" w:lineRule="auto"/>
              <w:ind w:firstLine="0"/>
              <w:jc w:val="center"/>
              <w:rPr>
                <w:b/>
                <w:bCs/>
              </w:rPr>
            </w:pPr>
            <w:r>
              <w:rPr>
                <w:b/>
                <w:bCs/>
              </w:rPr>
              <w:t>X</w:t>
            </w:r>
          </w:p>
        </w:tc>
        <w:tc>
          <w:tcPr>
            <w:tcW w:w="1530" w:type="dxa"/>
          </w:tcPr>
          <w:p w14:paraId="053A1A49" w14:textId="77777777" w:rsidR="00BC1DBF" w:rsidRPr="00E3282B" w:rsidRDefault="00BC1DBF" w:rsidP="00BA1033">
            <w:pPr>
              <w:spacing w:line="360" w:lineRule="auto"/>
              <w:ind w:firstLine="0"/>
              <w:jc w:val="center"/>
              <w:rPr>
                <w:b/>
                <w:bCs/>
              </w:rPr>
            </w:pPr>
          </w:p>
        </w:tc>
        <w:tc>
          <w:tcPr>
            <w:tcW w:w="1680" w:type="dxa"/>
          </w:tcPr>
          <w:p w14:paraId="36E56C63" w14:textId="414727CD" w:rsidR="00BC1DBF" w:rsidRPr="00E3282B" w:rsidRDefault="00BC1DBF" w:rsidP="00BA1033">
            <w:pPr>
              <w:spacing w:line="360" w:lineRule="auto"/>
              <w:ind w:firstLine="0"/>
              <w:jc w:val="center"/>
              <w:rPr>
                <w:b/>
                <w:bCs/>
              </w:rPr>
            </w:pPr>
          </w:p>
        </w:tc>
        <w:tc>
          <w:tcPr>
            <w:tcW w:w="1110" w:type="dxa"/>
          </w:tcPr>
          <w:p w14:paraId="1809E458" w14:textId="77777777" w:rsidR="00BC1DBF" w:rsidRPr="00E3282B" w:rsidRDefault="00BC1DBF" w:rsidP="00BA1033">
            <w:pPr>
              <w:spacing w:line="360" w:lineRule="auto"/>
              <w:ind w:firstLine="0"/>
              <w:jc w:val="center"/>
              <w:rPr>
                <w:b/>
                <w:bCs/>
              </w:rPr>
            </w:pPr>
          </w:p>
        </w:tc>
      </w:tr>
      <w:tr w:rsidR="00BC1DBF" w:rsidRPr="00E3282B" w14:paraId="023F2FBC" w14:textId="36B0EB1A" w:rsidTr="00BC1DBF">
        <w:tc>
          <w:tcPr>
            <w:tcW w:w="2070" w:type="dxa"/>
          </w:tcPr>
          <w:p w14:paraId="5D32FB06" w14:textId="5A490E8D" w:rsidR="00BC1DBF" w:rsidRPr="00E3282B" w:rsidRDefault="00BC1DBF" w:rsidP="00BA1033">
            <w:pPr>
              <w:spacing w:line="360" w:lineRule="auto"/>
              <w:ind w:firstLine="0"/>
              <w:jc w:val="center"/>
            </w:pPr>
            <w:r w:rsidRPr="00E3282B">
              <w:t>TXHS</w:t>
            </w:r>
          </w:p>
        </w:tc>
        <w:tc>
          <w:tcPr>
            <w:tcW w:w="1345" w:type="dxa"/>
          </w:tcPr>
          <w:p w14:paraId="07D4FED5" w14:textId="77777777" w:rsidR="00BC1DBF" w:rsidRPr="00E3282B" w:rsidRDefault="00BC1DBF" w:rsidP="00BA1033">
            <w:pPr>
              <w:spacing w:line="360" w:lineRule="auto"/>
              <w:ind w:firstLine="0"/>
              <w:jc w:val="center"/>
              <w:rPr>
                <w:b/>
                <w:bCs/>
              </w:rPr>
            </w:pPr>
          </w:p>
        </w:tc>
        <w:tc>
          <w:tcPr>
            <w:tcW w:w="1800" w:type="dxa"/>
          </w:tcPr>
          <w:p w14:paraId="1140E934" w14:textId="77777777" w:rsidR="00BC1DBF" w:rsidRPr="00E3282B" w:rsidRDefault="00BC1DBF" w:rsidP="00BA1033">
            <w:pPr>
              <w:spacing w:line="360" w:lineRule="auto"/>
              <w:ind w:firstLine="0"/>
              <w:jc w:val="center"/>
              <w:rPr>
                <w:b/>
                <w:bCs/>
              </w:rPr>
            </w:pPr>
          </w:p>
        </w:tc>
        <w:tc>
          <w:tcPr>
            <w:tcW w:w="1530" w:type="dxa"/>
          </w:tcPr>
          <w:p w14:paraId="574CE722" w14:textId="77777777" w:rsidR="00BC1DBF" w:rsidRPr="00E3282B" w:rsidRDefault="00BC1DBF" w:rsidP="00BA1033">
            <w:pPr>
              <w:spacing w:line="360" w:lineRule="auto"/>
              <w:ind w:firstLine="0"/>
              <w:jc w:val="center"/>
              <w:rPr>
                <w:b/>
                <w:bCs/>
              </w:rPr>
            </w:pPr>
          </w:p>
        </w:tc>
        <w:tc>
          <w:tcPr>
            <w:tcW w:w="1680" w:type="dxa"/>
          </w:tcPr>
          <w:p w14:paraId="4E0DEB9C" w14:textId="3029E213" w:rsidR="00BC1DBF" w:rsidRPr="00E3282B" w:rsidRDefault="00BC1DBF" w:rsidP="00BA1033">
            <w:pPr>
              <w:spacing w:line="360" w:lineRule="auto"/>
              <w:ind w:firstLine="0"/>
              <w:jc w:val="center"/>
              <w:rPr>
                <w:b/>
                <w:bCs/>
              </w:rPr>
            </w:pPr>
            <w:r>
              <w:rPr>
                <w:b/>
                <w:bCs/>
              </w:rPr>
              <w:t>X - D</w:t>
            </w:r>
          </w:p>
        </w:tc>
        <w:tc>
          <w:tcPr>
            <w:tcW w:w="1110" w:type="dxa"/>
          </w:tcPr>
          <w:p w14:paraId="14EEC20C" w14:textId="0A83CA54" w:rsidR="00BC1DBF" w:rsidRPr="00E3282B" w:rsidRDefault="00BC1DBF" w:rsidP="00BA1033">
            <w:pPr>
              <w:spacing w:line="360" w:lineRule="auto"/>
              <w:ind w:firstLine="0"/>
              <w:jc w:val="center"/>
              <w:rPr>
                <w:b/>
                <w:bCs/>
              </w:rPr>
            </w:pPr>
            <w:r>
              <w:rPr>
                <w:b/>
                <w:bCs/>
              </w:rPr>
              <w:t>X</w:t>
            </w:r>
          </w:p>
        </w:tc>
      </w:tr>
      <w:tr w:rsidR="00BC1DBF" w:rsidRPr="00E3282B" w14:paraId="10F848A0" w14:textId="681974C9" w:rsidTr="00BC1DBF">
        <w:tc>
          <w:tcPr>
            <w:tcW w:w="2070" w:type="dxa"/>
          </w:tcPr>
          <w:p w14:paraId="4D16E97B" w14:textId="28D49AC1" w:rsidR="00BC1DBF" w:rsidRPr="00E3282B" w:rsidRDefault="00BC1DBF" w:rsidP="00BA1033">
            <w:pPr>
              <w:spacing w:line="360" w:lineRule="auto"/>
              <w:ind w:firstLine="0"/>
              <w:jc w:val="center"/>
            </w:pPr>
            <w:r w:rsidRPr="00E3282B">
              <w:t>GAEM</w:t>
            </w:r>
          </w:p>
        </w:tc>
        <w:tc>
          <w:tcPr>
            <w:tcW w:w="1345" w:type="dxa"/>
          </w:tcPr>
          <w:p w14:paraId="0307F7A5" w14:textId="77777777" w:rsidR="00BC1DBF" w:rsidRPr="00E3282B" w:rsidRDefault="00BC1DBF" w:rsidP="00BA1033">
            <w:pPr>
              <w:spacing w:line="360" w:lineRule="auto"/>
              <w:ind w:firstLine="0"/>
              <w:jc w:val="center"/>
              <w:rPr>
                <w:b/>
                <w:bCs/>
              </w:rPr>
            </w:pPr>
          </w:p>
        </w:tc>
        <w:tc>
          <w:tcPr>
            <w:tcW w:w="1800" w:type="dxa"/>
          </w:tcPr>
          <w:p w14:paraId="63B424E5" w14:textId="19002AAF" w:rsidR="00BC1DBF" w:rsidRPr="00E3282B" w:rsidRDefault="00BC1DBF" w:rsidP="00BA1033">
            <w:pPr>
              <w:spacing w:line="360" w:lineRule="auto"/>
              <w:ind w:firstLine="0"/>
              <w:jc w:val="center"/>
              <w:rPr>
                <w:b/>
                <w:bCs/>
              </w:rPr>
            </w:pPr>
            <w:r>
              <w:rPr>
                <w:b/>
                <w:bCs/>
              </w:rPr>
              <w:t>X</w:t>
            </w:r>
          </w:p>
        </w:tc>
        <w:tc>
          <w:tcPr>
            <w:tcW w:w="1530" w:type="dxa"/>
          </w:tcPr>
          <w:p w14:paraId="60DEFA18" w14:textId="77777777" w:rsidR="00BC1DBF" w:rsidRPr="00E3282B" w:rsidRDefault="00BC1DBF" w:rsidP="00BA1033">
            <w:pPr>
              <w:spacing w:line="360" w:lineRule="auto"/>
              <w:ind w:firstLine="0"/>
              <w:jc w:val="center"/>
              <w:rPr>
                <w:b/>
                <w:bCs/>
              </w:rPr>
            </w:pPr>
          </w:p>
        </w:tc>
        <w:tc>
          <w:tcPr>
            <w:tcW w:w="1680" w:type="dxa"/>
          </w:tcPr>
          <w:p w14:paraId="5D323CA7" w14:textId="782F47B6" w:rsidR="00BC1DBF" w:rsidRPr="00E3282B" w:rsidRDefault="00BC1DBF" w:rsidP="00BA1033">
            <w:pPr>
              <w:spacing w:line="360" w:lineRule="auto"/>
              <w:ind w:firstLine="0"/>
              <w:jc w:val="center"/>
              <w:rPr>
                <w:b/>
                <w:bCs/>
              </w:rPr>
            </w:pPr>
            <w:r>
              <w:rPr>
                <w:b/>
                <w:bCs/>
              </w:rPr>
              <w:t>X - LS</w:t>
            </w:r>
          </w:p>
        </w:tc>
        <w:tc>
          <w:tcPr>
            <w:tcW w:w="1110" w:type="dxa"/>
          </w:tcPr>
          <w:p w14:paraId="0836754D" w14:textId="77777777" w:rsidR="00BC1DBF" w:rsidRPr="00E3282B" w:rsidRDefault="00BC1DBF" w:rsidP="00BA1033">
            <w:pPr>
              <w:spacing w:line="360" w:lineRule="auto"/>
              <w:ind w:firstLine="0"/>
              <w:jc w:val="center"/>
              <w:rPr>
                <w:b/>
                <w:bCs/>
              </w:rPr>
            </w:pPr>
          </w:p>
        </w:tc>
      </w:tr>
      <w:tr w:rsidR="00BC1DBF" w:rsidRPr="00E3282B" w14:paraId="464BD9B6" w14:textId="6BBB16D3" w:rsidTr="00BC1DBF">
        <w:tc>
          <w:tcPr>
            <w:tcW w:w="2070" w:type="dxa"/>
          </w:tcPr>
          <w:p w14:paraId="2006EE08" w14:textId="31F5DD95" w:rsidR="00BC1DBF" w:rsidRPr="00E3282B" w:rsidRDefault="00BC1DBF" w:rsidP="00BA1033">
            <w:pPr>
              <w:spacing w:line="360" w:lineRule="auto"/>
              <w:ind w:firstLine="0"/>
              <w:jc w:val="center"/>
            </w:pPr>
            <w:r w:rsidRPr="00E3282B">
              <w:t>WIUW</w:t>
            </w:r>
          </w:p>
        </w:tc>
        <w:tc>
          <w:tcPr>
            <w:tcW w:w="1345" w:type="dxa"/>
          </w:tcPr>
          <w:p w14:paraId="44E65C75" w14:textId="77777777" w:rsidR="00BC1DBF" w:rsidRPr="00E3282B" w:rsidRDefault="00BC1DBF" w:rsidP="00BA1033">
            <w:pPr>
              <w:spacing w:line="360" w:lineRule="auto"/>
              <w:ind w:firstLine="0"/>
              <w:jc w:val="center"/>
              <w:rPr>
                <w:b/>
                <w:bCs/>
              </w:rPr>
            </w:pPr>
          </w:p>
        </w:tc>
        <w:tc>
          <w:tcPr>
            <w:tcW w:w="1800" w:type="dxa"/>
          </w:tcPr>
          <w:p w14:paraId="5475CD25" w14:textId="77777777" w:rsidR="00BC1DBF" w:rsidRPr="00E3282B" w:rsidRDefault="00BC1DBF" w:rsidP="00BA1033">
            <w:pPr>
              <w:spacing w:line="360" w:lineRule="auto"/>
              <w:ind w:firstLine="0"/>
              <w:jc w:val="center"/>
              <w:rPr>
                <w:b/>
                <w:bCs/>
              </w:rPr>
            </w:pPr>
          </w:p>
        </w:tc>
        <w:tc>
          <w:tcPr>
            <w:tcW w:w="1530" w:type="dxa"/>
          </w:tcPr>
          <w:p w14:paraId="5C6738CD" w14:textId="77777777" w:rsidR="00BC1DBF" w:rsidRPr="00E3282B" w:rsidRDefault="00BC1DBF" w:rsidP="00BA1033">
            <w:pPr>
              <w:spacing w:line="360" w:lineRule="auto"/>
              <w:ind w:firstLine="0"/>
              <w:jc w:val="center"/>
              <w:rPr>
                <w:b/>
                <w:bCs/>
              </w:rPr>
            </w:pPr>
          </w:p>
        </w:tc>
        <w:tc>
          <w:tcPr>
            <w:tcW w:w="1680" w:type="dxa"/>
          </w:tcPr>
          <w:p w14:paraId="708F82E0" w14:textId="0EE1B40C" w:rsidR="00BC1DBF" w:rsidRPr="00E3282B" w:rsidRDefault="00BC1DBF" w:rsidP="00BA1033">
            <w:pPr>
              <w:spacing w:line="360" w:lineRule="auto"/>
              <w:ind w:firstLine="0"/>
              <w:jc w:val="center"/>
              <w:rPr>
                <w:b/>
                <w:bCs/>
              </w:rPr>
            </w:pPr>
            <w:r>
              <w:rPr>
                <w:b/>
                <w:bCs/>
              </w:rPr>
              <w:t>X - D</w:t>
            </w:r>
          </w:p>
        </w:tc>
        <w:tc>
          <w:tcPr>
            <w:tcW w:w="1110" w:type="dxa"/>
          </w:tcPr>
          <w:p w14:paraId="1CFE14CF" w14:textId="77777777" w:rsidR="00BC1DBF" w:rsidRPr="00E3282B" w:rsidRDefault="00BC1DBF" w:rsidP="00BA1033">
            <w:pPr>
              <w:spacing w:line="360" w:lineRule="auto"/>
              <w:ind w:firstLine="0"/>
              <w:jc w:val="center"/>
              <w:rPr>
                <w:b/>
                <w:bCs/>
              </w:rPr>
            </w:pPr>
          </w:p>
        </w:tc>
      </w:tr>
      <w:tr w:rsidR="00BC1DBF" w:rsidRPr="00E3282B" w14:paraId="236154FD" w14:textId="5670C0E7" w:rsidTr="00BC1DBF">
        <w:tc>
          <w:tcPr>
            <w:tcW w:w="2070" w:type="dxa"/>
          </w:tcPr>
          <w:p w14:paraId="29FE5168" w14:textId="4F3B70E6" w:rsidR="00BC1DBF" w:rsidRPr="00E3282B" w:rsidRDefault="00BC1DBF" w:rsidP="00BA1033">
            <w:pPr>
              <w:spacing w:line="360" w:lineRule="auto"/>
              <w:ind w:firstLine="0"/>
              <w:jc w:val="center"/>
            </w:pPr>
            <w:r w:rsidRPr="00E3282B">
              <w:t>CASM</w:t>
            </w:r>
          </w:p>
        </w:tc>
        <w:tc>
          <w:tcPr>
            <w:tcW w:w="1345" w:type="dxa"/>
          </w:tcPr>
          <w:p w14:paraId="1C85CBFD" w14:textId="77777777" w:rsidR="00BC1DBF" w:rsidRPr="00E3282B" w:rsidRDefault="00BC1DBF" w:rsidP="00BA1033">
            <w:pPr>
              <w:spacing w:line="360" w:lineRule="auto"/>
              <w:ind w:firstLine="0"/>
              <w:jc w:val="center"/>
              <w:rPr>
                <w:b/>
                <w:bCs/>
              </w:rPr>
            </w:pPr>
          </w:p>
        </w:tc>
        <w:tc>
          <w:tcPr>
            <w:tcW w:w="1800" w:type="dxa"/>
          </w:tcPr>
          <w:p w14:paraId="53EF6E25" w14:textId="77777777" w:rsidR="00BC1DBF" w:rsidRPr="00E3282B" w:rsidRDefault="00BC1DBF" w:rsidP="00BA1033">
            <w:pPr>
              <w:spacing w:line="360" w:lineRule="auto"/>
              <w:ind w:firstLine="0"/>
              <w:jc w:val="center"/>
              <w:rPr>
                <w:b/>
                <w:bCs/>
              </w:rPr>
            </w:pPr>
          </w:p>
        </w:tc>
        <w:tc>
          <w:tcPr>
            <w:tcW w:w="1530" w:type="dxa"/>
          </w:tcPr>
          <w:p w14:paraId="504C9F77" w14:textId="5A436B4C" w:rsidR="00BC1DBF" w:rsidRPr="00E3282B" w:rsidRDefault="00BC1DBF" w:rsidP="00BA1033">
            <w:pPr>
              <w:spacing w:line="360" w:lineRule="auto"/>
              <w:ind w:firstLine="0"/>
              <w:jc w:val="center"/>
              <w:rPr>
                <w:b/>
                <w:bCs/>
              </w:rPr>
            </w:pPr>
            <w:r>
              <w:rPr>
                <w:b/>
                <w:bCs/>
              </w:rPr>
              <w:t>X*</w:t>
            </w:r>
          </w:p>
        </w:tc>
        <w:tc>
          <w:tcPr>
            <w:tcW w:w="1680" w:type="dxa"/>
          </w:tcPr>
          <w:p w14:paraId="32DE0902" w14:textId="06490FE0" w:rsidR="00BC1DBF" w:rsidRPr="00E3282B" w:rsidRDefault="00BC1DBF" w:rsidP="00BA1033">
            <w:pPr>
              <w:spacing w:line="360" w:lineRule="auto"/>
              <w:ind w:firstLine="0"/>
              <w:jc w:val="center"/>
              <w:rPr>
                <w:b/>
                <w:bCs/>
              </w:rPr>
            </w:pPr>
            <w:r>
              <w:rPr>
                <w:b/>
                <w:bCs/>
              </w:rPr>
              <w:t>X - D</w:t>
            </w:r>
          </w:p>
        </w:tc>
        <w:tc>
          <w:tcPr>
            <w:tcW w:w="1110" w:type="dxa"/>
          </w:tcPr>
          <w:p w14:paraId="16011FFA" w14:textId="77777777" w:rsidR="00BC1DBF" w:rsidRPr="00E3282B" w:rsidRDefault="00BC1DBF" w:rsidP="00BA1033">
            <w:pPr>
              <w:spacing w:line="360" w:lineRule="auto"/>
              <w:ind w:firstLine="0"/>
              <w:jc w:val="center"/>
              <w:rPr>
                <w:b/>
                <w:bCs/>
              </w:rPr>
            </w:pPr>
          </w:p>
        </w:tc>
      </w:tr>
      <w:tr w:rsidR="00BC1DBF" w:rsidRPr="00E3282B" w14:paraId="2B5AD2F6" w14:textId="6198A83E" w:rsidTr="00BC1DBF">
        <w:tc>
          <w:tcPr>
            <w:tcW w:w="2070" w:type="dxa"/>
          </w:tcPr>
          <w:p w14:paraId="6FFB2E1B" w14:textId="2C7BD98B" w:rsidR="00BC1DBF" w:rsidRPr="00E3282B" w:rsidRDefault="00BC1DBF" w:rsidP="00BA1033">
            <w:pPr>
              <w:spacing w:line="360" w:lineRule="auto"/>
              <w:ind w:firstLine="0"/>
              <w:jc w:val="center"/>
            </w:pPr>
            <w:r w:rsidRPr="00E3282B">
              <w:t>NJSB</w:t>
            </w:r>
          </w:p>
        </w:tc>
        <w:tc>
          <w:tcPr>
            <w:tcW w:w="1345" w:type="dxa"/>
          </w:tcPr>
          <w:p w14:paraId="1224A4A4" w14:textId="77777777" w:rsidR="00BC1DBF" w:rsidRPr="00E3282B" w:rsidRDefault="00BC1DBF" w:rsidP="00BA1033">
            <w:pPr>
              <w:spacing w:line="360" w:lineRule="auto"/>
              <w:ind w:firstLine="0"/>
              <w:jc w:val="center"/>
              <w:rPr>
                <w:b/>
                <w:bCs/>
              </w:rPr>
            </w:pPr>
          </w:p>
        </w:tc>
        <w:tc>
          <w:tcPr>
            <w:tcW w:w="1800" w:type="dxa"/>
          </w:tcPr>
          <w:p w14:paraId="22CCF189" w14:textId="59BF86A3" w:rsidR="00BC1DBF" w:rsidRPr="00E3282B" w:rsidRDefault="00BC1DBF" w:rsidP="00BA1033">
            <w:pPr>
              <w:spacing w:line="360" w:lineRule="auto"/>
              <w:ind w:firstLine="0"/>
              <w:jc w:val="center"/>
              <w:rPr>
                <w:b/>
                <w:bCs/>
              </w:rPr>
            </w:pPr>
            <w:r>
              <w:rPr>
                <w:b/>
                <w:bCs/>
              </w:rPr>
              <w:t>X</w:t>
            </w:r>
          </w:p>
        </w:tc>
        <w:tc>
          <w:tcPr>
            <w:tcW w:w="1530" w:type="dxa"/>
          </w:tcPr>
          <w:p w14:paraId="1D566020" w14:textId="77777777" w:rsidR="00BC1DBF" w:rsidRPr="00E3282B" w:rsidRDefault="00BC1DBF" w:rsidP="00BA1033">
            <w:pPr>
              <w:spacing w:line="360" w:lineRule="auto"/>
              <w:ind w:firstLine="0"/>
              <w:jc w:val="center"/>
              <w:rPr>
                <w:b/>
                <w:bCs/>
              </w:rPr>
            </w:pPr>
          </w:p>
        </w:tc>
        <w:tc>
          <w:tcPr>
            <w:tcW w:w="1680" w:type="dxa"/>
          </w:tcPr>
          <w:p w14:paraId="4D99F23F" w14:textId="42D9D9EC" w:rsidR="00BC1DBF" w:rsidRPr="00E3282B" w:rsidRDefault="00BC1DBF" w:rsidP="00BA1033">
            <w:pPr>
              <w:spacing w:line="360" w:lineRule="auto"/>
              <w:ind w:firstLine="0"/>
              <w:jc w:val="center"/>
              <w:rPr>
                <w:b/>
                <w:bCs/>
              </w:rPr>
            </w:pPr>
            <w:r>
              <w:rPr>
                <w:b/>
                <w:bCs/>
              </w:rPr>
              <w:t>X - D</w:t>
            </w:r>
          </w:p>
        </w:tc>
        <w:tc>
          <w:tcPr>
            <w:tcW w:w="1110" w:type="dxa"/>
          </w:tcPr>
          <w:p w14:paraId="1C6FE29A" w14:textId="77777777" w:rsidR="00BC1DBF" w:rsidRPr="00E3282B" w:rsidRDefault="00BC1DBF" w:rsidP="00BA1033">
            <w:pPr>
              <w:spacing w:line="360" w:lineRule="auto"/>
              <w:ind w:firstLine="0"/>
              <w:jc w:val="center"/>
              <w:rPr>
                <w:b/>
                <w:bCs/>
              </w:rPr>
            </w:pPr>
          </w:p>
        </w:tc>
      </w:tr>
      <w:tr w:rsidR="00BC1DBF" w:rsidRPr="00E3282B" w14:paraId="56F324C5" w14:textId="63B1DC50" w:rsidTr="00BC1DBF">
        <w:tc>
          <w:tcPr>
            <w:tcW w:w="2070" w:type="dxa"/>
          </w:tcPr>
          <w:p w14:paraId="4EC3217C" w14:textId="582CB826" w:rsidR="00BC1DBF" w:rsidRPr="00E3282B" w:rsidRDefault="00BC1DBF" w:rsidP="00BA1033">
            <w:pPr>
              <w:spacing w:line="360" w:lineRule="auto"/>
              <w:ind w:firstLine="0"/>
              <w:jc w:val="center"/>
            </w:pPr>
            <w:r w:rsidRPr="00E3282B">
              <w:t>ALUA</w:t>
            </w:r>
          </w:p>
        </w:tc>
        <w:tc>
          <w:tcPr>
            <w:tcW w:w="1345" w:type="dxa"/>
          </w:tcPr>
          <w:p w14:paraId="2EE86285" w14:textId="77777777" w:rsidR="00BC1DBF" w:rsidRPr="00E3282B" w:rsidRDefault="00BC1DBF" w:rsidP="00BA1033">
            <w:pPr>
              <w:spacing w:line="360" w:lineRule="auto"/>
              <w:ind w:firstLine="0"/>
              <w:jc w:val="center"/>
              <w:rPr>
                <w:b/>
                <w:bCs/>
              </w:rPr>
            </w:pPr>
          </w:p>
        </w:tc>
        <w:tc>
          <w:tcPr>
            <w:tcW w:w="1800" w:type="dxa"/>
          </w:tcPr>
          <w:p w14:paraId="2418654E" w14:textId="36724B4D" w:rsidR="00BC1DBF" w:rsidRPr="00E3282B" w:rsidRDefault="00BC1DBF" w:rsidP="00BA1033">
            <w:pPr>
              <w:spacing w:line="360" w:lineRule="auto"/>
              <w:ind w:firstLine="0"/>
              <w:jc w:val="center"/>
              <w:rPr>
                <w:b/>
                <w:bCs/>
              </w:rPr>
            </w:pPr>
            <w:r>
              <w:rPr>
                <w:b/>
                <w:bCs/>
              </w:rPr>
              <w:t>X</w:t>
            </w:r>
          </w:p>
        </w:tc>
        <w:tc>
          <w:tcPr>
            <w:tcW w:w="1530" w:type="dxa"/>
          </w:tcPr>
          <w:p w14:paraId="52A1B027" w14:textId="77777777" w:rsidR="00BC1DBF" w:rsidRPr="00E3282B" w:rsidRDefault="00BC1DBF" w:rsidP="00BA1033">
            <w:pPr>
              <w:spacing w:line="360" w:lineRule="auto"/>
              <w:ind w:firstLine="0"/>
              <w:jc w:val="center"/>
              <w:rPr>
                <w:b/>
                <w:bCs/>
              </w:rPr>
            </w:pPr>
          </w:p>
        </w:tc>
        <w:tc>
          <w:tcPr>
            <w:tcW w:w="1680" w:type="dxa"/>
          </w:tcPr>
          <w:p w14:paraId="4D8CC3F3" w14:textId="64DF1B7E" w:rsidR="00BC1DBF" w:rsidRPr="00E3282B" w:rsidRDefault="00BC1DBF" w:rsidP="00BA1033">
            <w:pPr>
              <w:spacing w:line="360" w:lineRule="auto"/>
              <w:ind w:firstLine="0"/>
              <w:jc w:val="center"/>
              <w:rPr>
                <w:b/>
                <w:bCs/>
              </w:rPr>
            </w:pPr>
            <w:r>
              <w:rPr>
                <w:b/>
                <w:bCs/>
              </w:rPr>
              <w:t>X - D</w:t>
            </w:r>
          </w:p>
        </w:tc>
        <w:tc>
          <w:tcPr>
            <w:tcW w:w="1110" w:type="dxa"/>
          </w:tcPr>
          <w:p w14:paraId="62D38BB9" w14:textId="77777777" w:rsidR="00BC1DBF" w:rsidRPr="00E3282B" w:rsidRDefault="00BC1DBF" w:rsidP="00BA1033">
            <w:pPr>
              <w:spacing w:line="360" w:lineRule="auto"/>
              <w:ind w:firstLine="0"/>
              <w:jc w:val="center"/>
              <w:rPr>
                <w:b/>
                <w:bCs/>
              </w:rPr>
            </w:pPr>
          </w:p>
        </w:tc>
      </w:tr>
    </w:tbl>
    <w:p w14:paraId="2EB32232" w14:textId="51B40B2B" w:rsidR="00E3282B" w:rsidRPr="00031399" w:rsidRDefault="00775DF1" w:rsidP="004A18FC">
      <w:pPr>
        <w:spacing w:line="360" w:lineRule="auto"/>
        <w:ind w:firstLine="0"/>
        <w:jc w:val="left"/>
        <w:rPr>
          <w:sz w:val="22"/>
        </w:rPr>
      </w:pPr>
      <w:r w:rsidRPr="00031399">
        <w:rPr>
          <w:b/>
          <w:bCs/>
          <w:sz w:val="22"/>
        </w:rPr>
        <w:t>*</w:t>
      </w:r>
      <w:r w:rsidRPr="00031399">
        <w:rPr>
          <w:sz w:val="22"/>
        </w:rPr>
        <w:t xml:space="preserve"> Indicates a specific partnership cited with the National Kidney Foundation</w:t>
      </w:r>
    </w:p>
    <w:p w14:paraId="031D54F4" w14:textId="30C3A232" w:rsidR="00C85B1B" w:rsidRPr="00031399" w:rsidRDefault="00C85B1B" w:rsidP="004A18FC">
      <w:pPr>
        <w:spacing w:line="360" w:lineRule="auto"/>
        <w:ind w:firstLine="0"/>
        <w:jc w:val="left"/>
        <w:rPr>
          <w:sz w:val="22"/>
        </w:rPr>
      </w:pPr>
      <w:r w:rsidRPr="00031399">
        <w:rPr>
          <w:sz w:val="22"/>
        </w:rPr>
        <w:t>X-CD indicates education is referring to chronic disease management overall</w:t>
      </w:r>
    </w:p>
    <w:p w14:paraId="1674AD4B" w14:textId="3BDA931C" w:rsidR="00FA7F39" w:rsidRDefault="00A30362" w:rsidP="004A18FC">
      <w:pPr>
        <w:spacing w:line="360" w:lineRule="auto"/>
        <w:ind w:firstLine="0"/>
        <w:jc w:val="left"/>
        <w:rPr>
          <w:sz w:val="22"/>
        </w:rPr>
      </w:pPr>
      <w:r w:rsidRPr="00031399">
        <w:rPr>
          <w:sz w:val="22"/>
        </w:rPr>
        <w:t>X</w:t>
      </w:r>
      <w:r w:rsidR="00031399">
        <w:rPr>
          <w:sz w:val="22"/>
        </w:rPr>
        <w:t>-D</w:t>
      </w:r>
      <w:r w:rsidRPr="00031399">
        <w:rPr>
          <w:sz w:val="22"/>
        </w:rPr>
        <w:t xml:space="preserve"> indicates life-style changing or teaching skills specifically targeted towards diabetes</w:t>
      </w:r>
    </w:p>
    <w:p w14:paraId="4B4A7115" w14:textId="331AAA90" w:rsidR="0013193F" w:rsidRDefault="0013193F" w:rsidP="004A18FC">
      <w:pPr>
        <w:spacing w:line="360" w:lineRule="auto"/>
        <w:ind w:firstLine="0"/>
        <w:jc w:val="left"/>
        <w:rPr>
          <w:sz w:val="22"/>
        </w:rPr>
      </w:pPr>
      <w:r>
        <w:rPr>
          <w:sz w:val="22"/>
        </w:rPr>
        <w:t xml:space="preserve">X-LS indicates </w:t>
      </w:r>
      <w:r w:rsidR="00905E6F">
        <w:rPr>
          <w:sz w:val="22"/>
        </w:rPr>
        <w:t>overall lifestyle education</w:t>
      </w:r>
      <w:r w:rsidR="004A18FC">
        <w:rPr>
          <w:sz w:val="22"/>
        </w:rPr>
        <w:t xml:space="preserve"> pertaining to </w:t>
      </w:r>
      <w:r w:rsidR="00905E6F">
        <w:rPr>
          <w:sz w:val="22"/>
        </w:rPr>
        <w:t xml:space="preserve">exercise, healthy eating, </w:t>
      </w:r>
      <w:r w:rsidR="004A18FC">
        <w:rPr>
          <w:sz w:val="22"/>
        </w:rPr>
        <w:t>or</w:t>
      </w:r>
      <w:r w:rsidR="00905E6F">
        <w:rPr>
          <w:sz w:val="22"/>
        </w:rPr>
        <w:t xml:space="preserve"> smoking cessation.</w:t>
      </w:r>
    </w:p>
    <w:p w14:paraId="1FDA470A" w14:textId="04DDED80" w:rsidR="00CD2EC1" w:rsidRPr="00792D8B" w:rsidRDefault="00B71304" w:rsidP="00792D8B">
      <w:pPr>
        <w:pStyle w:val="Heading2"/>
      </w:pPr>
      <w:bookmarkStart w:id="21" w:name="_Toc39750273"/>
      <w:r w:rsidRPr="00792D8B">
        <w:t>Existing Models</w:t>
      </w:r>
      <w:bookmarkEnd w:id="21"/>
    </w:p>
    <w:p w14:paraId="165A29CD" w14:textId="0E3F5E6B" w:rsidR="00CD2EC1" w:rsidRDefault="009061FF" w:rsidP="009061FF">
      <w:r>
        <w:t xml:space="preserve">Two </w:t>
      </w:r>
      <w:r w:rsidRPr="00A655B3">
        <w:t>predominant educational outreac</w:t>
      </w:r>
      <w:r>
        <w:t>h</w:t>
      </w:r>
      <w:r w:rsidRPr="00A655B3">
        <w:t xml:space="preserve"> programs function as national non-profit organization with localized chapters</w:t>
      </w:r>
      <w:r w:rsidR="00752977">
        <w:t xml:space="preserve">: </w:t>
      </w:r>
      <w:proofErr w:type="gramStart"/>
      <w:r w:rsidR="00752977">
        <w:t>the</w:t>
      </w:r>
      <w:proofErr w:type="gramEnd"/>
      <w:r w:rsidR="00752977">
        <w:t xml:space="preserve"> National Minority Organ and Tissue Transplantation Program, and the National Kidney Foundation.</w:t>
      </w:r>
      <w:r w:rsidRPr="00A655B3">
        <w:t xml:space="preserve"> They </w:t>
      </w:r>
      <w:r w:rsidR="00752977">
        <w:t xml:space="preserve">use </w:t>
      </w:r>
      <w:r w:rsidRPr="00A655B3">
        <w:t>slightly different approaches to transplantation both in terms of scop</w:t>
      </w:r>
      <w:r w:rsidR="005F449F">
        <w:t>e</w:t>
      </w:r>
      <w:r w:rsidRPr="00A655B3">
        <w:t xml:space="preserve"> as well as mission.</w:t>
      </w:r>
    </w:p>
    <w:p w14:paraId="630C4593" w14:textId="0F3159C1" w:rsidR="00B71304" w:rsidRDefault="00B71304" w:rsidP="00792D8B">
      <w:pPr>
        <w:pStyle w:val="Heading3"/>
      </w:pPr>
      <w:bookmarkStart w:id="22" w:name="_Toc39750274"/>
      <w:r>
        <w:lastRenderedPageBreak/>
        <w:t>National Minority Organ and Tissue Transplantation Program</w:t>
      </w:r>
      <w:bookmarkEnd w:id="22"/>
    </w:p>
    <w:p w14:paraId="0DF8C105" w14:textId="6B18EF93" w:rsidR="006A4F34" w:rsidRPr="00A655B3" w:rsidRDefault="006A4F34" w:rsidP="00CD2EC1">
      <w:pPr>
        <w:pStyle w:val="paragraph"/>
        <w:spacing w:before="0" w:beforeAutospacing="0" w:after="0" w:afterAutospacing="0" w:line="480" w:lineRule="auto"/>
        <w:ind w:firstLine="720"/>
        <w:textAlignment w:val="baseline"/>
        <w:rPr>
          <w:rStyle w:val="normaltextrun"/>
        </w:rPr>
      </w:pPr>
      <w:r>
        <w:t>In 1978, Dr. Clive Callender was a transplant surgeon at Howard University’s Transplant Center (HUTC). He was asked to investigate leading factors as to why the African</w:t>
      </w:r>
      <w:r w:rsidR="006B4B36">
        <w:t xml:space="preserve"> </w:t>
      </w:r>
      <w:r>
        <w:t xml:space="preserve">American patients in the Washington, DC (DC) area </w:t>
      </w:r>
      <w:r w:rsidRPr="00A655B3">
        <w:rPr>
          <w:rStyle w:val="normaltextrun"/>
        </w:rPr>
        <w:t>constituted a high proportion of the dialysis population (50-70%) but not of registered donors (3%)</w:t>
      </w:r>
      <w:r>
        <w:rPr>
          <w:rStyle w:val="normaltextrun"/>
        </w:rPr>
        <w:t xml:space="preserve">. </w:t>
      </w:r>
      <w:proofErr w:type="gramStart"/>
      <w:r>
        <w:rPr>
          <w:rStyle w:val="normaltextrun"/>
        </w:rPr>
        <w:t>Thus</w:t>
      </w:r>
      <w:proofErr w:type="gramEnd"/>
      <w:r>
        <w:rPr>
          <w:rStyle w:val="normaltextrun"/>
        </w:rPr>
        <w:t xml:space="preserve"> African</w:t>
      </w:r>
      <w:r w:rsidR="006B4B36">
        <w:rPr>
          <w:rStyle w:val="normaltextrun"/>
        </w:rPr>
        <w:t xml:space="preserve"> </w:t>
      </w:r>
      <w:r>
        <w:rPr>
          <w:rStyle w:val="normaltextrun"/>
        </w:rPr>
        <w:t xml:space="preserve">Americans elected to receive a kidney in a greater proportion than they would be willing to donate one. After developing a research plan, Dr. Callender </w:t>
      </w:r>
      <w:r w:rsidRPr="00A655B3">
        <w:rPr>
          <w:rStyle w:val="normaltextrun"/>
        </w:rPr>
        <w:t xml:space="preserve">discovered </w:t>
      </w:r>
      <w:r>
        <w:rPr>
          <w:rStyle w:val="normaltextrun"/>
        </w:rPr>
        <w:t>three</w:t>
      </w:r>
      <w:r w:rsidRPr="00A655B3">
        <w:rPr>
          <w:rStyle w:val="normaltextrun"/>
        </w:rPr>
        <w:t xml:space="preserve"> key takeaways:</w:t>
      </w:r>
    </w:p>
    <w:p w14:paraId="1B118881" w14:textId="77777777" w:rsidR="006A4F34" w:rsidRPr="00A655B3" w:rsidRDefault="006A4F34" w:rsidP="006A4F34">
      <w:pPr>
        <w:pStyle w:val="paragraph"/>
        <w:numPr>
          <w:ilvl w:val="0"/>
          <w:numId w:val="14"/>
        </w:numPr>
        <w:spacing w:before="0" w:beforeAutospacing="0" w:after="0" w:afterAutospacing="0" w:line="480" w:lineRule="auto"/>
        <w:textAlignment w:val="baseline"/>
      </w:pPr>
      <w:r w:rsidRPr="00A655B3">
        <w:rPr>
          <w:rStyle w:val="normaltextrun"/>
        </w:rPr>
        <w:t xml:space="preserve">With respect to evaluating the transplantation data </w:t>
      </w:r>
      <w:r>
        <w:rPr>
          <w:rStyle w:val="normaltextrun"/>
        </w:rPr>
        <w:t xml:space="preserve">at </w:t>
      </w:r>
      <w:r w:rsidRPr="00A655B3">
        <w:rPr>
          <w:rStyle w:val="normaltextrun"/>
        </w:rPr>
        <w:t>HUTC, Dr. </w:t>
      </w:r>
      <w:r w:rsidRPr="00A655B3">
        <w:rPr>
          <w:rStyle w:val="spellingerror"/>
        </w:rPr>
        <w:t>Callender</w:t>
      </w:r>
      <w:r w:rsidRPr="00A655B3">
        <w:rPr>
          <w:rStyle w:val="normaltextrun"/>
        </w:rPr>
        <w:t> found that in 1982, 41 of 47 (87%) and in 1982, 48 of 61 (78%) of transplants in HUTC were from Caucasian donors.</w:t>
      </w:r>
      <w:r w:rsidRPr="00A655B3">
        <w:rPr>
          <w:rStyle w:val="eop"/>
        </w:rPr>
        <w:t> </w:t>
      </w:r>
    </w:p>
    <w:p w14:paraId="0AAE6C5F" w14:textId="77777777" w:rsidR="006A4F34" w:rsidRPr="00A655B3" w:rsidRDefault="006A4F34" w:rsidP="006A4F34">
      <w:pPr>
        <w:pStyle w:val="paragraph"/>
        <w:numPr>
          <w:ilvl w:val="0"/>
          <w:numId w:val="14"/>
        </w:numPr>
        <w:spacing w:before="0" w:beforeAutospacing="0" w:after="0" w:afterAutospacing="0" w:line="480" w:lineRule="auto"/>
        <w:textAlignment w:val="baseline"/>
      </w:pPr>
      <w:r w:rsidRPr="00A655B3">
        <w:rPr>
          <w:rStyle w:val="normaltextrun"/>
        </w:rPr>
        <w:t xml:space="preserve">With respect to ESRD incidence, the 1980 DC incidence was the highest in the nation and the leading cause of ESRD is </w:t>
      </w:r>
      <w:r>
        <w:rPr>
          <w:rStyle w:val="normaltextrun"/>
        </w:rPr>
        <w:t>h</w:t>
      </w:r>
      <w:r w:rsidRPr="00A655B3">
        <w:rPr>
          <w:rStyle w:val="normaltextrun"/>
        </w:rPr>
        <w:t xml:space="preserve">ypertension. At HUTC, the African American population </w:t>
      </w:r>
      <w:r>
        <w:rPr>
          <w:rStyle w:val="normaltextrun"/>
        </w:rPr>
        <w:t xml:space="preserve">was about </w:t>
      </w:r>
      <w:r w:rsidRPr="00A655B3">
        <w:rPr>
          <w:rStyle w:val="normaltextrun"/>
        </w:rPr>
        <w:t>60%. </w:t>
      </w:r>
      <w:r w:rsidRPr="00A655B3">
        <w:rPr>
          <w:rStyle w:val="eop"/>
        </w:rPr>
        <w:t> </w:t>
      </w:r>
    </w:p>
    <w:p w14:paraId="60803221" w14:textId="7CFA3DD3" w:rsidR="006A4F34" w:rsidRPr="00A655B3" w:rsidRDefault="006A4F34" w:rsidP="006A4F34">
      <w:pPr>
        <w:pStyle w:val="paragraph"/>
        <w:numPr>
          <w:ilvl w:val="0"/>
          <w:numId w:val="14"/>
        </w:numPr>
        <w:spacing w:before="0" w:beforeAutospacing="0" w:after="0" w:afterAutospacing="0" w:line="480" w:lineRule="auto"/>
        <w:textAlignment w:val="baseline"/>
      </w:pPr>
      <w:r w:rsidRPr="00A655B3">
        <w:rPr>
          <w:rStyle w:val="normaltextrun"/>
        </w:rPr>
        <w:t>With respect to analyzing reasons for </w:t>
      </w:r>
      <w:r w:rsidRPr="00A655B3">
        <w:rPr>
          <w:rStyle w:val="contextualspellingandgrammarerror"/>
        </w:rPr>
        <w:t>African American</w:t>
      </w:r>
      <w:r w:rsidRPr="00A655B3">
        <w:rPr>
          <w:rStyle w:val="normaltextrun"/>
        </w:rPr>
        <w:t xml:space="preserve"> reluctance for organ and tissue donation, </w:t>
      </w:r>
      <w:r>
        <w:rPr>
          <w:rStyle w:val="normaltextrun"/>
        </w:rPr>
        <w:t xml:space="preserve">five </w:t>
      </w:r>
      <w:r w:rsidRPr="00A655B3">
        <w:rPr>
          <w:rStyle w:val="normaltextrun"/>
        </w:rPr>
        <w:t>predominant themes emerged. They were</w:t>
      </w:r>
      <w:r w:rsidR="00882509">
        <w:rPr>
          <w:rStyle w:val="normaltextrun"/>
        </w:rPr>
        <w:t xml:space="preserve"> as follows</w:t>
      </w:r>
      <w:r w:rsidRPr="00A655B3">
        <w:rPr>
          <w:rStyle w:val="eop"/>
        </w:rPr>
        <w:t> </w:t>
      </w:r>
    </w:p>
    <w:p w14:paraId="31100FFA" w14:textId="2353F425" w:rsidR="006A4F34" w:rsidRPr="00A655B3" w:rsidRDefault="006A4F34" w:rsidP="00882509">
      <w:pPr>
        <w:pStyle w:val="paragraph"/>
        <w:numPr>
          <w:ilvl w:val="1"/>
          <w:numId w:val="14"/>
        </w:numPr>
        <w:spacing w:before="0" w:beforeAutospacing="0" w:after="0" w:afterAutospacing="0" w:line="480" w:lineRule="auto"/>
        <w:textAlignment w:val="baseline"/>
      </w:pPr>
      <w:r w:rsidRPr="00A655B3">
        <w:rPr>
          <w:rStyle w:val="normaltextrun"/>
        </w:rPr>
        <w:t>Lack of awareness about renal disease and transplantation as a whole</w:t>
      </w:r>
      <w:r>
        <w:rPr>
          <w:rStyle w:val="normaltextrun"/>
        </w:rPr>
        <w:t>;</w:t>
      </w:r>
      <w:r w:rsidRPr="00A655B3">
        <w:rPr>
          <w:rStyle w:val="eop"/>
        </w:rPr>
        <w:t> </w:t>
      </w:r>
    </w:p>
    <w:p w14:paraId="5041CA8D" w14:textId="77777777" w:rsidR="006A4F34" w:rsidRPr="00A655B3" w:rsidRDefault="006A4F34" w:rsidP="006A4F34">
      <w:pPr>
        <w:pStyle w:val="paragraph"/>
        <w:numPr>
          <w:ilvl w:val="1"/>
          <w:numId w:val="14"/>
        </w:numPr>
        <w:spacing w:before="0" w:beforeAutospacing="0" w:after="0" w:afterAutospacing="0" w:line="480" w:lineRule="auto"/>
        <w:textAlignment w:val="baseline"/>
      </w:pPr>
      <w:r w:rsidRPr="00A655B3">
        <w:rPr>
          <w:rStyle w:val="normaltextrun"/>
        </w:rPr>
        <w:t>Misconceptions and myths pertaining to religion</w:t>
      </w:r>
      <w:r>
        <w:rPr>
          <w:rStyle w:val="normaltextrun"/>
        </w:rPr>
        <w:t>;</w:t>
      </w:r>
      <w:r w:rsidRPr="00A655B3">
        <w:rPr>
          <w:rStyle w:val="eop"/>
        </w:rPr>
        <w:t> </w:t>
      </w:r>
    </w:p>
    <w:p w14:paraId="0704702C" w14:textId="77777777" w:rsidR="006A4F34" w:rsidRPr="00A655B3" w:rsidRDefault="006A4F34" w:rsidP="006A4F34">
      <w:pPr>
        <w:pStyle w:val="paragraph"/>
        <w:numPr>
          <w:ilvl w:val="1"/>
          <w:numId w:val="14"/>
        </w:numPr>
        <w:spacing w:before="0" w:beforeAutospacing="0" w:after="0" w:afterAutospacing="0" w:line="480" w:lineRule="auto"/>
        <w:textAlignment w:val="baseline"/>
      </w:pPr>
      <w:r w:rsidRPr="00A655B3">
        <w:rPr>
          <w:rStyle w:val="normaltextrun"/>
        </w:rPr>
        <w:t>Lack of trust in healthcare providers and </w:t>
      </w:r>
      <w:r>
        <w:rPr>
          <w:rStyle w:val="normaltextrun"/>
        </w:rPr>
        <w:t xml:space="preserve">the healthcare </w:t>
      </w:r>
      <w:r w:rsidRPr="00A655B3">
        <w:rPr>
          <w:rStyle w:val="contextualspellingandgrammarerror"/>
        </w:rPr>
        <w:t>system</w:t>
      </w:r>
      <w:r>
        <w:rPr>
          <w:rStyle w:val="contextualspellingandgrammarerror"/>
        </w:rPr>
        <w:t>;</w:t>
      </w:r>
      <w:r w:rsidRPr="00A655B3">
        <w:rPr>
          <w:rStyle w:val="eop"/>
        </w:rPr>
        <w:t> </w:t>
      </w:r>
    </w:p>
    <w:p w14:paraId="504FFF81" w14:textId="77777777" w:rsidR="006A4F34" w:rsidRPr="00A655B3" w:rsidRDefault="006A4F34" w:rsidP="006A4F34">
      <w:pPr>
        <w:pStyle w:val="paragraph"/>
        <w:numPr>
          <w:ilvl w:val="1"/>
          <w:numId w:val="14"/>
        </w:numPr>
        <w:spacing w:before="0" w:beforeAutospacing="0" w:after="0" w:afterAutospacing="0" w:line="480" w:lineRule="auto"/>
        <w:textAlignment w:val="baseline"/>
      </w:pPr>
      <w:r w:rsidRPr="00A655B3">
        <w:rPr>
          <w:rStyle w:val="normaltextrun"/>
        </w:rPr>
        <w:t>Belief that signing organ donor cards (indicating intent to donate) might shift priority from life-saving measures to organ or tissue recovery</w:t>
      </w:r>
      <w:r>
        <w:rPr>
          <w:rStyle w:val="normaltextrun"/>
        </w:rPr>
        <w:t xml:space="preserve"> and</w:t>
      </w:r>
      <w:r w:rsidRPr="00A655B3">
        <w:rPr>
          <w:rStyle w:val="eop"/>
        </w:rPr>
        <w:t> </w:t>
      </w:r>
    </w:p>
    <w:p w14:paraId="2809E88F" w14:textId="7605EB0F" w:rsidR="006A4F34" w:rsidRPr="00A655B3" w:rsidRDefault="006A4F34" w:rsidP="006A4F34">
      <w:pPr>
        <w:pStyle w:val="paragraph"/>
        <w:numPr>
          <w:ilvl w:val="1"/>
          <w:numId w:val="14"/>
        </w:numPr>
        <w:spacing w:before="0" w:beforeAutospacing="0" w:after="0" w:afterAutospacing="0" w:line="480" w:lineRule="auto"/>
        <w:textAlignment w:val="baseline"/>
      </w:pPr>
      <w:r w:rsidRPr="00A655B3">
        <w:rPr>
          <w:rStyle w:val="normaltextrun"/>
        </w:rPr>
        <w:t xml:space="preserve">Fear that racism would </w:t>
      </w:r>
      <w:r>
        <w:rPr>
          <w:rStyle w:val="normaltextrun"/>
        </w:rPr>
        <w:t xml:space="preserve">allocate </w:t>
      </w:r>
      <w:r w:rsidRPr="00A655B3">
        <w:rPr>
          <w:rStyle w:val="contextualspellingandgrammarerror"/>
        </w:rPr>
        <w:t>African</w:t>
      </w:r>
      <w:r w:rsidR="006B4B36">
        <w:rPr>
          <w:rStyle w:val="contextualspellingandgrammarerror"/>
        </w:rPr>
        <w:t xml:space="preserve"> </w:t>
      </w:r>
      <w:r w:rsidRPr="00A655B3">
        <w:rPr>
          <w:rStyle w:val="contextualspellingandgrammarerror"/>
        </w:rPr>
        <w:t>American</w:t>
      </w:r>
      <w:r w:rsidRPr="00A655B3">
        <w:rPr>
          <w:rStyle w:val="normaltextrun"/>
        </w:rPr>
        <w:t> donated organs and tissues disproportionately to White recipients. </w:t>
      </w:r>
      <w:r w:rsidRPr="00A655B3">
        <w:rPr>
          <w:rStyle w:val="eop"/>
        </w:rPr>
        <w:t> </w:t>
      </w:r>
    </w:p>
    <w:p w14:paraId="1F2B709F" w14:textId="77777777" w:rsidR="006A4F34" w:rsidRPr="00A655B3" w:rsidRDefault="006A4F34" w:rsidP="006A4F34">
      <w:pPr>
        <w:pStyle w:val="paragraph"/>
        <w:spacing w:before="0" w:beforeAutospacing="0" w:after="0" w:afterAutospacing="0" w:line="480" w:lineRule="auto"/>
        <w:ind w:firstLine="720"/>
        <w:textAlignment w:val="baseline"/>
        <w:rPr>
          <w:rStyle w:val="normaltextrun"/>
        </w:rPr>
      </w:pPr>
    </w:p>
    <w:p w14:paraId="608C3FDA" w14:textId="2ED043DD" w:rsidR="006A4F34" w:rsidRDefault="006A4F34" w:rsidP="006A4F34">
      <w:pPr>
        <w:pStyle w:val="paragraph"/>
        <w:spacing w:before="0" w:beforeAutospacing="0" w:after="0" w:afterAutospacing="0" w:line="480" w:lineRule="auto"/>
        <w:ind w:firstLine="720"/>
        <w:textAlignment w:val="baseline"/>
        <w:rPr>
          <w:rStyle w:val="normaltextrun"/>
        </w:rPr>
      </w:pPr>
      <w:r w:rsidRPr="00A655B3">
        <w:rPr>
          <w:rStyle w:val="normaltextrun"/>
        </w:rPr>
        <w:lastRenderedPageBreak/>
        <w:t>As Dr. </w:t>
      </w:r>
      <w:r w:rsidRPr="00A655B3">
        <w:rPr>
          <w:rStyle w:val="spellingerror"/>
        </w:rPr>
        <w:t>Callender</w:t>
      </w:r>
      <w:r w:rsidRPr="00A655B3">
        <w:rPr>
          <w:rStyle w:val="normaltextrun"/>
        </w:rPr>
        <w:t> engaged with the African American population in the DC area, he conducted focus groups and found that at the</w:t>
      </w:r>
      <w:r>
        <w:rPr>
          <w:rStyle w:val="normaltextrun"/>
        </w:rPr>
        <w:t xml:space="preserve"> beginning of his study,</w:t>
      </w:r>
      <w:r w:rsidRPr="00A655B3">
        <w:rPr>
          <w:rStyle w:val="normaltextrun"/>
        </w:rPr>
        <w:t xml:space="preserve"> only 10% of those interviewed had signed organ donor cards. But after the focus group populations receive</w:t>
      </w:r>
      <w:r w:rsidR="005333A5">
        <w:rPr>
          <w:rStyle w:val="normaltextrun"/>
        </w:rPr>
        <w:t>d</w:t>
      </w:r>
      <w:r w:rsidRPr="00A655B3">
        <w:rPr>
          <w:rStyle w:val="normaltextrun"/>
        </w:rPr>
        <w:t xml:space="preserve"> culturally competent education about organ donation</w:t>
      </w:r>
      <w:r>
        <w:rPr>
          <w:rStyle w:val="normaltextrun"/>
        </w:rPr>
        <w:t xml:space="preserve"> as well as the opportunity to </w:t>
      </w:r>
      <w:r w:rsidRPr="00A655B3">
        <w:rPr>
          <w:rStyle w:val="normaltextrun"/>
        </w:rPr>
        <w:t xml:space="preserve">ask questions </w:t>
      </w:r>
      <w:r>
        <w:rPr>
          <w:rStyle w:val="normaltextrun"/>
        </w:rPr>
        <w:t xml:space="preserve">of </w:t>
      </w:r>
      <w:r w:rsidRPr="00A655B3">
        <w:rPr>
          <w:rStyle w:val="normaltextrun"/>
        </w:rPr>
        <w:t xml:space="preserve">a medical professional, 100% of </w:t>
      </w:r>
      <w:r w:rsidR="007609A5">
        <w:rPr>
          <w:rStyle w:val="normaltextrun"/>
        </w:rPr>
        <w:t>them</w:t>
      </w:r>
      <w:r w:rsidRPr="00A655B3">
        <w:rPr>
          <w:rStyle w:val="normaltextrun"/>
        </w:rPr>
        <w:t xml:space="preserve"> signed donor cards. </w:t>
      </w:r>
      <w:r>
        <w:rPr>
          <w:rStyle w:val="normaltextrun"/>
        </w:rPr>
        <w:t xml:space="preserve">Grounded in the influence his focus groups had, </w:t>
      </w:r>
      <w:r w:rsidRPr="00A655B3">
        <w:rPr>
          <w:rStyle w:val="normaltextrun"/>
        </w:rPr>
        <w:t xml:space="preserve">Dr. Callender began developing </w:t>
      </w:r>
      <w:r>
        <w:rPr>
          <w:rStyle w:val="normaltextrun"/>
        </w:rPr>
        <w:t xml:space="preserve">strategies </w:t>
      </w:r>
      <w:r w:rsidRPr="00A655B3">
        <w:rPr>
          <w:rStyle w:val="normaltextrun"/>
        </w:rPr>
        <w:t>and in 1991, MOTTEP was founded and continues the mission of seeking to educate minority populations with a culturally-sensitive approach to increase organ donation registrants</w:t>
      </w:r>
      <w:r w:rsidR="00335EE6">
        <w:rPr>
          <w:rStyle w:val="normaltextrun"/>
          <w:vertAlign w:val="superscript"/>
        </w:rPr>
        <w:t>20</w:t>
      </w:r>
      <w:r w:rsidRPr="00A655B3">
        <w:rPr>
          <w:rStyle w:val="normaltextrun"/>
        </w:rPr>
        <w:t>.</w:t>
      </w:r>
    </w:p>
    <w:p w14:paraId="387EE584" w14:textId="435F8306" w:rsidR="00775A0A" w:rsidRDefault="006A4F34" w:rsidP="009061FF">
      <w:pPr>
        <w:pStyle w:val="paragraph"/>
        <w:spacing w:before="0" w:beforeAutospacing="0" w:after="0" w:afterAutospacing="0" w:line="480" w:lineRule="auto"/>
        <w:ind w:firstLine="720"/>
        <w:textAlignment w:val="baseline"/>
        <w:rPr>
          <w:rStyle w:val="normaltextrun"/>
        </w:rPr>
      </w:pPr>
      <w:r>
        <w:rPr>
          <w:rStyle w:val="normaltextrun"/>
        </w:rPr>
        <w:t>In its current form, MOTTEP maintains a national office and seven chapters in Cleveland, OH; Detroit, MI; New York City, NY; Pittsburgh, PA; Chicago, IL; Nashville, TN; and Washington DC</w:t>
      </w:r>
      <w:r>
        <w:rPr>
          <w:rStyle w:val="normaltextrun"/>
          <w:vertAlign w:val="superscript"/>
        </w:rPr>
        <w:t>2</w:t>
      </w:r>
      <w:r w:rsidR="00C71414">
        <w:rPr>
          <w:rStyle w:val="normaltextrun"/>
          <w:vertAlign w:val="superscript"/>
        </w:rPr>
        <w:t>1</w:t>
      </w:r>
      <w:r>
        <w:rPr>
          <w:rStyle w:val="normaltextrun"/>
        </w:rPr>
        <w:t>. Previous sites include the US Virgin Islands and Honolulu, HI</w:t>
      </w:r>
      <w:r>
        <w:rPr>
          <w:rStyle w:val="normaltextrun"/>
          <w:vertAlign w:val="superscript"/>
        </w:rPr>
        <w:t>2</w:t>
      </w:r>
      <w:r w:rsidR="00C71414">
        <w:rPr>
          <w:rStyle w:val="normaltextrun"/>
          <w:vertAlign w:val="superscript"/>
        </w:rPr>
        <w:t>2</w:t>
      </w:r>
      <w:r>
        <w:rPr>
          <w:rStyle w:val="normaltextrun"/>
        </w:rPr>
        <w:t xml:space="preserve">. Since MOTTEP’s inception in 1991, Dr. Callender has published prolifically to establish MOTTEP as a prominent program that works and has published both its </w:t>
      </w:r>
      <w:r w:rsidRPr="000771B7">
        <w:rPr>
          <w:rStyle w:val="normaltextrun"/>
        </w:rPr>
        <w:t>Program Strategies</w:t>
      </w:r>
      <w:r w:rsidR="000771B7">
        <w:rPr>
          <w:rStyle w:val="normaltextrun"/>
          <w:vertAlign w:val="superscript"/>
        </w:rPr>
        <w:t>22</w:t>
      </w:r>
      <w:r w:rsidRPr="000771B7">
        <w:rPr>
          <w:rStyle w:val="normaltextrun"/>
        </w:rPr>
        <w:t xml:space="preserve"> (Table </w:t>
      </w:r>
      <w:r w:rsidR="005D5D6F" w:rsidRPr="000771B7">
        <w:rPr>
          <w:rStyle w:val="normaltextrun"/>
        </w:rPr>
        <w:t>6</w:t>
      </w:r>
      <w:r w:rsidRPr="000771B7">
        <w:rPr>
          <w:rStyle w:val="normaltextrun"/>
        </w:rPr>
        <w:t xml:space="preserve">) and </w:t>
      </w:r>
      <w:r w:rsidR="00697974" w:rsidRPr="000771B7">
        <w:rPr>
          <w:rStyle w:val="normaltextrun"/>
        </w:rPr>
        <w:t>Community-based</w:t>
      </w:r>
      <w:r w:rsidRPr="000771B7">
        <w:rPr>
          <w:rStyle w:val="normaltextrun"/>
        </w:rPr>
        <w:t xml:space="preserve"> Health Promotion Model</w:t>
      </w:r>
      <w:r w:rsidR="000771B7">
        <w:rPr>
          <w:rStyle w:val="normaltextrun"/>
          <w:vertAlign w:val="superscript"/>
        </w:rPr>
        <w:t>22</w:t>
      </w:r>
      <w:r w:rsidRPr="000771B7">
        <w:rPr>
          <w:rStyle w:val="normaltextrun"/>
        </w:rPr>
        <w:t xml:space="preserve"> (Table </w:t>
      </w:r>
      <w:r w:rsidR="005D5D6F" w:rsidRPr="000771B7">
        <w:rPr>
          <w:rStyle w:val="normaltextrun"/>
        </w:rPr>
        <w:t>7</w:t>
      </w:r>
      <w:r w:rsidRPr="000771B7">
        <w:rPr>
          <w:rStyle w:val="normaltextrun"/>
        </w:rPr>
        <w:t>).</w:t>
      </w:r>
    </w:p>
    <w:p w14:paraId="688CCAD4" w14:textId="2FE18253" w:rsidR="00792D8B" w:rsidRPr="00477DB5" w:rsidRDefault="00792D8B" w:rsidP="00792D8B">
      <w:pPr>
        <w:pStyle w:val="Caption"/>
        <w:rPr>
          <w:rStyle w:val="normaltextrun"/>
        </w:rPr>
      </w:pPr>
      <w:bookmarkStart w:id="23" w:name="_Toc39750913"/>
      <w:r>
        <w:t xml:space="preserve">Table </w:t>
      </w:r>
      <w:r>
        <w:fldChar w:fldCharType="begin"/>
      </w:r>
      <w:r>
        <w:instrText xml:space="preserve"> SEQ Table \* ARABIC </w:instrText>
      </w:r>
      <w:r>
        <w:fldChar w:fldCharType="separate"/>
      </w:r>
      <w:r w:rsidR="000A6B46">
        <w:t>6</w:t>
      </w:r>
      <w:r>
        <w:fldChar w:fldCharType="end"/>
      </w:r>
      <w:r w:rsidR="00A61776">
        <w:t>:</w:t>
      </w:r>
      <w:r>
        <w:t xml:space="preserve"> MOTTEP Strategies</w:t>
      </w:r>
      <w:bookmarkEnd w:id="23"/>
    </w:p>
    <w:tbl>
      <w:tblPr>
        <w:tblStyle w:val="TableGrid"/>
        <w:tblW w:w="0" w:type="auto"/>
        <w:tblLook w:val="04A0" w:firstRow="1" w:lastRow="0" w:firstColumn="1" w:lastColumn="0" w:noHBand="0" w:noVBand="1"/>
      </w:tblPr>
      <w:tblGrid>
        <w:gridCol w:w="1603"/>
        <w:gridCol w:w="7747"/>
      </w:tblGrid>
      <w:tr w:rsidR="006A4F34" w14:paraId="1F694EF8" w14:textId="77777777" w:rsidTr="009042AF">
        <w:tc>
          <w:tcPr>
            <w:tcW w:w="1603" w:type="dxa"/>
          </w:tcPr>
          <w:p w14:paraId="1567B1F0" w14:textId="77777777" w:rsidR="006A4F34" w:rsidRPr="00477DB5" w:rsidRDefault="006A4F34" w:rsidP="00021D77">
            <w:pPr>
              <w:pStyle w:val="paragraph"/>
              <w:spacing w:before="0" w:beforeAutospacing="0" w:after="0" w:afterAutospacing="0" w:line="480" w:lineRule="auto"/>
              <w:jc w:val="center"/>
              <w:textAlignment w:val="baseline"/>
              <w:rPr>
                <w:b/>
                <w:bCs/>
              </w:rPr>
            </w:pPr>
            <w:r w:rsidRPr="00477DB5">
              <w:rPr>
                <w:b/>
                <w:bCs/>
              </w:rPr>
              <w:t>Approach</w:t>
            </w:r>
          </w:p>
        </w:tc>
        <w:tc>
          <w:tcPr>
            <w:tcW w:w="7747" w:type="dxa"/>
          </w:tcPr>
          <w:p w14:paraId="4621F2B8" w14:textId="77777777" w:rsidR="006A4F34" w:rsidRPr="00477DB5" w:rsidRDefault="006A4F34" w:rsidP="00021D77">
            <w:pPr>
              <w:pStyle w:val="paragraph"/>
              <w:spacing w:before="0" w:beforeAutospacing="0" w:after="0" w:afterAutospacing="0" w:line="480" w:lineRule="auto"/>
              <w:textAlignment w:val="baseline"/>
              <w:rPr>
                <w:b/>
                <w:bCs/>
              </w:rPr>
            </w:pPr>
            <w:r w:rsidRPr="00477DB5">
              <w:rPr>
                <w:b/>
                <w:bCs/>
              </w:rPr>
              <w:t>Description</w:t>
            </w:r>
          </w:p>
        </w:tc>
      </w:tr>
      <w:tr w:rsidR="006A4F34" w14:paraId="117D6023" w14:textId="77777777" w:rsidTr="009042AF">
        <w:tc>
          <w:tcPr>
            <w:tcW w:w="1603" w:type="dxa"/>
          </w:tcPr>
          <w:p w14:paraId="26073692" w14:textId="77777777" w:rsidR="006A4F34" w:rsidRDefault="006A4F34" w:rsidP="00BA1033">
            <w:pPr>
              <w:pStyle w:val="paragraph"/>
              <w:spacing w:before="0" w:beforeAutospacing="0" w:after="0" w:afterAutospacing="0" w:line="360" w:lineRule="auto"/>
              <w:jc w:val="center"/>
              <w:textAlignment w:val="baseline"/>
            </w:pPr>
            <w:r>
              <w:t>Community Participation and Direction</w:t>
            </w:r>
          </w:p>
        </w:tc>
        <w:tc>
          <w:tcPr>
            <w:tcW w:w="7747" w:type="dxa"/>
          </w:tcPr>
          <w:p w14:paraId="7DC53489" w14:textId="7BC3E83D" w:rsidR="006A4F34" w:rsidRDefault="006A4F34" w:rsidP="00BA1033">
            <w:pPr>
              <w:pStyle w:val="paragraph"/>
              <w:spacing w:before="0" w:beforeAutospacing="0" w:after="0" w:afterAutospacing="0" w:line="360" w:lineRule="auto"/>
              <w:textAlignment w:val="baseline"/>
            </w:pPr>
            <w:r>
              <w:t xml:space="preserve">Each localized program aims to include various community members and organizations at each level of planning and implementation for their own </w:t>
            </w:r>
            <w:r w:rsidR="00697974">
              <w:t>community-based</w:t>
            </w:r>
            <w:r>
              <w:t xml:space="preserve"> activities to meet MOTTEP’s mission and goals</w:t>
            </w:r>
          </w:p>
        </w:tc>
      </w:tr>
      <w:tr w:rsidR="006A4F34" w14:paraId="3962C951" w14:textId="77777777" w:rsidTr="009042AF">
        <w:tc>
          <w:tcPr>
            <w:tcW w:w="1603" w:type="dxa"/>
          </w:tcPr>
          <w:p w14:paraId="11DDD5A4" w14:textId="77777777" w:rsidR="006A4F34" w:rsidRDefault="006A4F34" w:rsidP="00BA1033">
            <w:pPr>
              <w:pStyle w:val="paragraph"/>
              <w:spacing w:before="0" w:beforeAutospacing="0" w:after="0" w:afterAutospacing="0" w:line="360" w:lineRule="auto"/>
              <w:jc w:val="center"/>
              <w:textAlignment w:val="baseline"/>
            </w:pPr>
            <w:r>
              <w:t>Face-to-face presentations</w:t>
            </w:r>
          </w:p>
        </w:tc>
        <w:tc>
          <w:tcPr>
            <w:tcW w:w="7747" w:type="dxa"/>
          </w:tcPr>
          <w:p w14:paraId="0659AD87" w14:textId="77777777" w:rsidR="006A4F34" w:rsidRDefault="006A4F34" w:rsidP="00BA1033">
            <w:pPr>
              <w:pStyle w:val="paragraph"/>
              <w:spacing w:before="0" w:beforeAutospacing="0" w:after="0" w:afterAutospacing="0" w:line="360" w:lineRule="auto"/>
              <w:textAlignment w:val="baseline"/>
            </w:pPr>
            <w:r>
              <w:t>MOTTEP makes presentations at social, civic, and faith-based events to smaller audiences to encourage discussion.</w:t>
            </w:r>
          </w:p>
        </w:tc>
      </w:tr>
      <w:tr w:rsidR="006A4F34" w14:paraId="1EC18E11" w14:textId="77777777" w:rsidTr="009042AF">
        <w:tc>
          <w:tcPr>
            <w:tcW w:w="1603" w:type="dxa"/>
          </w:tcPr>
          <w:p w14:paraId="1DD207E3" w14:textId="77777777" w:rsidR="006A4F34" w:rsidRDefault="006A4F34" w:rsidP="00BA1033">
            <w:pPr>
              <w:pStyle w:val="paragraph"/>
              <w:spacing w:before="0" w:beforeAutospacing="0" w:after="0" w:afterAutospacing="0" w:line="360" w:lineRule="auto"/>
              <w:jc w:val="center"/>
              <w:textAlignment w:val="baseline"/>
            </w:pPr>
            <w:r>
              <w:t>Collaboration and partnerships</w:t>
            </w:r>
          </w:p>
        </w:tc>
        <w:tc>
          <w:tcPr>
            <w:tcW w:w="7747" w:type="dxa"/>
          </w:tcPr>
          <w:p w14:paraId="1D8552AE" w14:textId="77777777" w:rsidR="006A4F34" w:rsidRDefault="006A4F34" w:rsidP="00BA1033">
            <w:pPr>
              <w:pStyle w:val="paragraph"/>
              <w:spacing w:before="0" w:beforeAutospacing="0" w:after="0" w:afterAutospacing="0" w:line="360" w:lineRule="auto"/>
              <w:textAlignment w:val="baseline"/>
            </w:pPr>
            <w:r>
              <w:t>Collaborating with local organizations towards common missions is important for sustainability and productivity. Since 1995, MOTTEP has collaborated with more than 300 organizations.</w:t>
            </w:r>
          </w:p>
        </w:tc>
      </w:tr>
      <w:tr w:rsidR="006A4F34" w14:paraId="369F97F2" w14:textId="77777777" w:rsidTr="009042AF">
        <w:tc>
          <w:tcPr>
            <w:tcW w:w="1603" w:type="dxa"/>
          </w:tcPr>
          <w:p w14:paraId="0273E624" w14:textId="77777777" w:rsidR="006A4F34" w:rsidRDefault="006A4F34" w:rsidP="00BA1033">
            <w:pPr>
              <w:pStyle w:val="paragraph"/>
              <w:spacing w:before="0" w:beforeAutospacing="0" w:after="0" w:afterAutospacing="0" w:line="360" w:lineRule="auto"/>
              <w:jc w:val="center"/>
              <w:textAlignment w:val="baseline"/>
            </w:pPr>
            <w:r>
              <w:t>Media promotion</w:t>
            </w:r>
          </w:p>
        </w:tc>
        <w:tc>
          <w:tcPr>
            <w:tcW w:w="7747" w:type="dxa"/>
          </w:tcPr>
          <w:p w14:paraId="33509CE4" w14:textId="77777777" w:rsidR="006A4F34" w:rsidRDefault="006A4F34" w:rsidP="00BA1033">
            <w:pPr>
              <w:pStyle w:val="paragraph"/>
              <w:spacing w:before="0" w:beforeAutospacing="0" w:after="0" w:afterAutospacing="0" w:line="360" w:lineRule="auto"/>
              <w:textAlignment w:val="baseline"/>
            </w:pPr>
            <w:r>
              <w:t>The media (radio/television/print) helps disseminate MOTTEP’s mission. More than 10 billion media impressions have been created since 1995.</w:t>
            </w:r>
          </w:p>
        </w:tc>
      </w:tr>
      <w:tr w:rsidR="009042AF" w14:paraId="630A20D4" w14:textId="77777777" w:rsidTr="009042AF">
        <w:tc>
          <w:tcPr>
            <w:tcW w:w="9350" w:type="dxa"/>
            <w:gridSpan w:val="2"/>
            <w:tcBorders>
              <w:top w:val="nil"/>
              <w:left w:val="nil"/>
              <w:right w:val="nil"/>
            </w:tcBorders>
          </w:tcPr>
          <w:p w14:paraId="3BA5CF2F" w14:textId="16D69331" w:rsidR="009042AF" w:rsidRDefault="009042AF" w:rsidP="009042AF">
            <w:pPr>
              <w:pStyle w:val="Caption"/>
            </w:pPr>
            <w:r>
              <w:lastRenderedPageBreak/>
              <w:t xml:space="preserve">Table </w:t>
            </w:r>
            <w:r w:rsidR="000A6B46">
              <w:t>6</w:t>
            </w:r>
            <w:r>
              <w:t>: MOTTEP Strategies (continued)</w:t>
            </w:r>
          </w:p>
        </w:tc>
      </w:tr>
      <w:tr w:rsidR="006A4F34" w14:paraId="4853E076" w14:textId="77777777" w:rsidTr="009042AF">
        <w:tc>
          <w:tcPr>
            <w:tcW w:w="1603" w:type="dxa"/>
          </w:tcPr>
          <w:p w14:paraId="2394E37A" w14:textId="77777777" w:rsidR="006A4F34" w:rsidRDefault="006A4F34" w:rsidP="00BA1033">
            <w:pPr>
              <w:pStyle w:val="paragraph"/>
              <w:spacing w:before="0" w:beforeAutospacing="0" w:after="0" w:afterAutospacing="0" w:line="360" w:lineRule="auto"/>
              <w:jc w:val="center"/>
              <w:textAlignment w:val="baseline"/>
            </w:pPr>
            <w:r>
              <w:t>Information Dissemination</w:t>
            </w:r>
          </w:p>
        </w:tc>
        <w:tc>
          <w:tcPr>
            <w:tcW w:w="7747" w:type="dxa"/>
          </w:tcPr>
          <w:p w14:paraId="21E77A84" w14:textId="77777777" w:rsidR="006A4F34" w:rsidRDefault="006A4F34" w:rsidP="00BA1033">
            <w:pPr>
              <w:pStyle w:val="paragraph"/>
              <w:spacing w:before="0" w:beforeAutospacing="0" w:after="0" w:afterAutospacing="0" w:line="360" w:lineRule="auto"/>
              <w:textAlignment w:val="baseline"/>
            </w:pPr>
            <w:r>
              <w:t>MOTTEP develops culturally sensitive and informative brochures, videos, public service announcements, flyers, fact sheets, and other community-targeting information</w:t>
            </w:r>
          </w:p>
        </w:tc>
      </w:tr>
      <w:tr w:rsidR="006A4F34" w14:paraId="77AFC240" w14:textId="77777777" w:rsidTr="009042AF">
        <w:tc>
          <w:tcPr>
            <w:tcW w:w="1603" w:type="dxa"/>
          </w:tcPr>
          <w:p w14:paraId="54D6E5C8" w14:textId="77777777" w:rsidR="006A4F34" w:rsidRDefault="006A4F34" w:rsidP="00BA1033">
            <w:pPr>
              <w:pStyle w:val="paragraph"/>
              <w:spacing w:before="0" w:beforeAutospacing="0" w:after="0" w:afterAutospacing="0" w:line="360" w:lineRule="auto"/>
              <w:jc w:val="center"/>
              <w:textAlignment w:val="baseline"/>
            </w:pPr>
            <w:r>
              <w:t>Evaluation</w:t>
            </w:r>
          </w:p>
        </w:tc>
        <w:tc>
          <w:tcPr>
            <w:tcW w:w="7747" w:type="dxa"/>
          </w:tcPr>
          <w:p w14:paraId="533A1E78" w14:textId="77777777" w:rsidR="006A4F34" w:rsidRDefault="006A4F34" w:rsidP="00BA1033">
            <w:pPr>
              <w:pStyle w:val="paragraph"/>
              <w:spacing w:before="0" w:beforeAutospacing="0" w:after="0" w:afterAutospacing="0" w:line="360" w:lineRule="auto"/>
              <w:textAlignment w:val="baseline"/>
            </w:pPr>
            <w:r>
              <w:t>MOTTEP evaluates its programs with pre/post surveys of its program participants to gauge effectiveness.</w:t>
            </w:r>
          </w:p>
        </w:tc>
      </w:tr>
    </w:tbl>
    <w:p w14:paraId="72F4DC64" w14:textId="36B7E995" w:rsidR="00792D8B" w:rsidRDefault="00792D8B" w:rsidP="006A4F34">
      <w:pPr>
        <w:ind w:firstLine="0"/>
      </w:pPr>
    </w:p>
    <w:p w14:paraId="4888B958" w14:textId="7DAE4198" w:rsidR="00792D8B" w:rsidRPr="00765E2F" w:rsidRDefault="00792D8B" w:rsidP="00792D8B">
      <w:pPr>
        <w:pStyle w:val="Caption"/>
      </w:pPr>
      <w:bookmarkStart w:id="24" w:name="_Toc39750914"/>
      <w:r>
        <w:t xml:space="preserve">Table </w:t>
      </w:r>
      <w:r w:rsidR="000A6B46">
        <w:t>7</w:t>
      </w:r>
      <w:r w:rsidR="00A61776">
        <w:t>:</w:t>
      </w:r>
      <w:r>
        <w:t xml:space="preserve"> MOTTEP Community-based Health Promotion Model</w:t>
      </w:r>
      <w:bookmarkEnd w:id="24"/>
    </w:p>
    <w:tbl>
      <w:tblPr>
        <w:tblStyle w:val="TableGrid"/>
        <w:tblW w:w="0" w:type="auto"/>
        <w:tblLook w:val="04A0" w:firstRow="1" w:lastRow="0" w:firstColumn="1" w:lastColumn="0" w:noHBand="0" w:noVBand="1"/>
      </w:tblPr>
      <w:tblGrid>
        <w:gridCol w:w="2155"/>
        <w:gridCol w:w="7195"/>
      </w:tblGrid>
      <w:tr w:rsidR="006A4F34" w14:paraId="0CCA1775" w14:textId="77777777" w:rsidTr="009042AF">
        <w:tc>
          <w:tcPr>
            <w:tcW w:w="2155" w:type="dxa"/>
          </w:tcPr>
          <w:p w14:paraId="53AAFF17" w14:textId="77777777" w:rsidR="006A4F34" w:rsidRPr="00364663" w:rsidRDefault="006A4F34" w:rsidP="00021D77">
            <w:pPr>
              <w:ind w:firstLine="0"/>
              <w:rPr>
                <w:b/>
                <w:bCs/>
              </w:rPr>
            </w:pPr>
            <w:r w:rsidRPr="00364663">
              <w:rPr>
                <w:b/>
                <w:bCs/>
              </w:rPr>
              <w:t>Stages</w:t>
            </w:r>
          </w:p>
        </w:tc>
        <w:tc>
          <w:tcPr>
            <w:tcW w:w="7195" w:type="dxa"/>
          </w:tcPr>
          <w:p w14:paraId="6208F5C9" w14:textId="77777777" w:rsidR="006A4F34" w:rsidRPr="00364663" w:rsidRDefault="006A4F34" w:rsidP="00021D77">
            <w:pPr>
              <w:ind w:firstLine="0"/>
              <w:rPr>
                <w:b/>
                <w:bCs/>
              </w:rPr>
            </w:pPr>
            <w:r w:rsidRPr="00364663">
              <w:rPr>
                <w:b/>
                <w:bCs/>
              </w:rPr>
              <w:t>Some Key Elements</w:t>
            </w:r>
          </w:p>
        </w:tc>
      </w:tr>
      <w:tr w:rsidR="006A4F34" w14:paraId="586D1E0F" w14:textId="77777777" w:rsidTr="009042AF">
        <w:tc>
          <w:tcPr>
            <w:tcW w:w="2155" w:type="dxa"/>
          </w:tcPr>
          <w:p w14:paraId="3FF2AB83" w14:textId="77777777" w:rsidR="006A4F34" w:rsidRDefault="006A4F34" w:rsidP="00BA1033">
            <w:pPr>
              <w:spacing w:line="360" w:lineRule="auto"/>
              <w:ind w:firstLine="0"/>
              <w:jc w:val="center"/>
            </w:pPr>
            <w:r>
              <w:t>Community Analysis</w:t>
            </w:r>
          </w:p>
        </w:tc>
        <w:tc>
          <w:tcPr>
            <w:tcW w:w="7195" w:type="dxa"/>
          </w:tcPr>
          <w:p w14:paraId="5BAA896B" w14:textId="77777777" w:rsidR="006A4F34" w:rsidRDefault="006A4F34" w:rsidP="00BA1033">
            <w:pPr>
              <w:pStyle w:val="ListParagraph"/>
              <w:numPr>
                <w:ilvl w:val="0"/>
                <w:numId w:val="17"/>
              </w:numPr>
              <w:spacing w:line="360" w:lineRule="auto"/>
            </w:pPr>
            <w:r>
              <w:t>Defining the community</w:t>
            </w:r>
          </w:p>
          <w:p w14:paraId="3866BCFE" w14:textId="77777777" w:rsidR="006A4F34" w:rsidRDefault="006A4F34" w:rsidP="00BA1033">
            <w:pPr>
              <w:pStyle w:val="ListParagraph"/>
              <w:numPr>
                <w:ilvl w:val="0"/>
                <w:numId w:val="17"/>
              </w:numPr>
              <w:spacing w:line="360" w:lineRule="auto"/>
            </w:pPr>
            <w:r>
              <w:t>Assessing community capacities, barriers and readiness to change</w:t>
            </w:r>
          </w:p>
        </w:tc>
      </w:tr>
      <w:tr w:rsidR="006A4F34" w14:paraId="4AB074E2" w14:textId="77777777" w:rsidTr="009042AF">
        <w:tc>
          <w:tcPr>
            <w:tcW w:w="2155" w:type="dxa"/>
          </w:tcPr>
          <w:p w14:paraId="6D2711B8" w14:textId="77777777" w:rsidR="006A4F34" w:rsidRDefault="006A4F34" w:rsidP="00BA1033">
            <w:pPr>
              <w:spacing w:line="360" w:lineRule="auto"/>
              <w:ind w:firstLine="0"/>
              <w:jc w:val="center"/>
            </w:pPr>
            <w:r>
              <w:t>Design and Initiation</w:t>
            </w:r>
          </w:p>
        </w:tc>
        <w:tc>
          <w:tcPr>
            <w:tcW w:w="7195" w:type="dxa"/>
          </w:tcPr>
          <w:p w14:paraId="0EDFABBE" w14:textId="77777777" w:rsidR="006A4F34" w:rsidRDefault="006A4F34" w:rsidP="00BA1033">
            <w:pPr>
              <w:pStyle w:val="ListParagraph"/>
              <w:numPr>
                <w:ilvl w:val="0"/>
                <w:numId w:val="18"/>
              </w:numPr>
              <w:spacing w:line="360" w:lineRule="auto"/>
            </w:pPr>
            <w:r>
              <w:t>Establishing a core planning group of community members and organizations, agencies</w:t>
            </w:r>
          </w:p>
          <w:p w14:paraId="35CC6114" w14:textId="77777777" w:rsidR="006A4F34" w:rsidRDefault="006A4F34" w:rsidP="00BA1033">
            <w:pPr>
              <w:pStyle w:val="ListParagraph"/>
              <w:numPr>
                <w:ilvl w:val="0"/>
                <w:numId w:val="18"/>
              </w:numPr>
              <w:spacing w:line="360" w:lineRule="auto"/>
            </w:pPr>
            <w:r>
              <w:t>Establishing a local MOTTEP organizational structure with clearly defined mission and goals</w:t>
            </w:r>
          </w:p>
          <w:p w14:paraId="7CB519EC" w14:textId="77777777" w:rsidR="006A4F34" w:rsidRDefault="006A4F34" w:rsidP="00BA1033">
            <w:pPr>
              <w:pStyle w:val="ListParagraph"/>
              <w:numPr>
                <w:ilvl w:val="0"/>
                <w:numId w:val="18"/>
              </w:numPr>
              <w:spacing w:line="360" w:lineRule="auto"/>
            </w:pPr>
            <w:r>
              <w:t>Clarifying roles and responsibilities of advisory board staff, members, and volunteers</w:t>
            </w:r>
          </w:p>
        </w:tc>
      </w:tr>
      <w:tr w:rsidR="006A4F34" w14:paraId="13A3089C" w14:textId="77777777" w:rsidTr="009042AF">
        <w:tc>
          <w:tcPr>
            <w:tcW w:w="2155" w:type="dxa"/>
          </w:tcPr>
          <w:p w14:paraId="6E80EF92" w14:textId="77777777" w:rsidR="006A4F34" w:rsidRDefault="006A4F34" w:rsidP="00BA1033">
            <w:pPr>
              <w:spacing w:line="360" w:lineRule="auto"/>
              <w:ind w:firstLine="0"/>
              <w:jc w:val="center"/>
            </w:pPr>
            <w:r>
              <w:t>Implementation</w:t>
            </w:r>
          </w:p>
        </w:tc>
        <w:tc>
          <w:tcPr>
            <w:tcW w:w="7195" w:type="dxa"/>
          </w:tcPr>
          <w:p w14:paraId="63739C56" w14:textId="77777777" w:rsidR="006A4F34" w:rsidRDefault="006A4F34" w:rsidP="00BA1033">
            <w:pPr>
              <w:pStyle w:val="ListParagraph"/>
              <w:numPr>
                <w:ilvl w:val="0"/>
                <w:numId w:val="19"/>
              </w:numPr>
              <w:spacing w:line="360" w:lineRule="auto"/>
            </w:pPr>
            <w:r>
              <w:t>Developing community participation</w:t>
            </w:r>
          </w:p>
          <w:p w14:paraId="65418973" w14:textId="77777777" w:rsidR="006A4F34" w:rsidRDefault="006A4F34" w:rsidP="00BA1033">
            <w:pPr>
              <w:pStyle w:val="ListParagraph"/>
              <w:numPr>
                <w:ilvl w:val="0"/>
                <w:numId w:val="19"/>
              </w:numPr>
              <w:spacing w:line="360" w:lineRule="auto"/>
            </w:pPr>
            <w:r>
              <w:t>Developing a strategic plan for activities</w:t>
            </w:r>
          </w:p>
          <w:p w14:paraId="1E42E46F" w14:textId="77777777" w:rsidR="006A4F34" w:rsidRDefault="006A4F34" w:rsidP="00BA1033">
            <w:pPr>
              <w:pStyle w:val="ListParagraph"/>
              <w:numPr>
                <w:ilvl w:val="0"/>
                <w:numId w:val="19"/>
              </w:numPr>
              <w:spacing w:line="360" w:lineRule="auto"/>
            </w:pPr>
            <w:r>
              <w:t>Utilizing multiple strategies to influence community norms</w:t>
            </w:r>
          </w:p>
          <w:p w14:paraId="07424022" w14:textId="77777777" w:rsidR="006A4F34" w:rsidRDefault="006A4F34" w:rsidP="00BA1033">
            <w:pPr>
              <w:pStyle w:val="ListParagraph"/>
              <w:numPr>
                <w:ilvl w:val="0"/>
                <w:numId w:val="19"/>
              </w:numPr>
              <w:spacing w:line="360" w:lineRule="auto"/>
            </w:pPr>
            <w:r>
              <w:t>Integrate community values into program, materials, health messages</w:t>
            </w:r>
          </w:p>
        </w:tc>
      </w:tr>
      <w:tr w:rsidR="006A4F34" w14:paraId="59752F13" w14:textId="77777777" w:rsidTr="009042AF">
        <w:tc>
          <w:tcPr>
            <w:tcW w:w="2155" w:type="dxa"/>
          </w:tcPr>
          <w:p w14:paraId="708DFB3F" w14:textId="77777777" w:rsidR="006A4F34" w:rsidRDefault="006A4F34" w:rsidP="00BA1033">
            <w:pPr>
              <w:spacing w:line="360" w:lineRule="auto"/>
              <w:ind w:firstLine="0"/>
              <w:jc w:val="center"/>
            </w:pPr>
            <w:r>
              <w:t>Program Maintenance Consolidation</w:t>
            </w:r>
          </w:p>
        </w:tc>
        <w:tc>
          <w:tcPr>
            <w:tcW w:w="7195" w:type="dxa"/>
          </w:tcPr>
          <w:p w14:paraId="11EC9108" w14:textId="77777777" w:rsidR="006A4F34" w:rsidRDefault="006A4F34" w:rsidP="00BA1033">
            <w:pPr>
              <w:pStyle w:val="ListParagraph"/>
              <w:numPr>
                <w:ilvl w:val="0"/>
                <w:numId w:val="20"/>
              </w:numPr>
              <w:spacing w:line="360" w:lineRule="auto"/>
            </w:pPr>
            <w:r>
              <w:t>Integrating intervention activities into networks</w:t>
            </w:r>
          </w:p>
          <w:p w14:paraId="3B849E2C" w14:textId="77777777" w:rsidR="006A4F34" w:rsidRDefault="006A4F34" w:rsidP="00BA1033">
            <w:pPr>
              <w:pStyle w:val="ListParagraph"/>
              <w:numPr>
                <w:ilvl w:val="0"/>
                <w:numId w:val="20"/>
              </w:numPr>
              <w:spacing w:line="360" w:lineRule="auto"/>
            </w:pPr>
            <w:r>
              <w:t>Establishing regular communication links with other local MOTTEP sites.</w:t>
            </w:r>
          </w:p>
          <w:p w14:paraId="69B4D5A6" w14:textId="77777777" w:rsidR="006A4F34" w:rsidRDefault="006A4F34" w:rsidP="00BA1033">
            <w:pPr>
              <w:pStyle w:val="ListParagraph"/>
              <w:numPr>
                <w:ilvl w:val="0"/>
                <w:numId w:val="20"/>
              </w:numPr>
              <w:spacing w:line="360" w:lineRule="auto"/>
            </w:pPr>
            <w:r>
              <w:t>Developing strategies for ongoing recruitment of staff, volunteers for long-term projects</w:t>
            </w:r>
          </w:p>
        </w:tc>
      </w:tr>
      <w:tr w:rsidR="006A4F34" w14:paraId="2F633144" w14:textId="77777777" w:rsidTr="009042AF">
        <w:tc>
          <w:tcPr>
            <w:tcW w:w="2155" w:type="dxa"/>
          </w:tcPr>
          <w:p w14:paraId="7F9BC9B6" w14:textId="77777777" w:rsidR="006A4F34" w:rsidRDefault="006A4F34" w:rsidP="00A0165B">
            <w:pPr>
              <w:spacing w:line="240" w:lineRule="auto"/>
              <w:ind w:firstLine="0"/>
              <w:jc w:val="center"/>
            </w:pPr>
            <w:r>
              <w:t>Dissemination-Reassessment</w:t>
            </w:r>
          </w:p>
        </w:tc>
        <w:tc>
          <w:tcPr>
            <w:tcW w:w="7195" w:type="dxa"/>
          </w:tcPr>
          <w:p w14:paraId="169634D8" w14:textId="77777777" w:rsidR="006A4F34" w:rsidRDefault="006A4F34" w:rsidP="00A0165B">
            <w:pPr>
              <w:pStyle w:val="ListParagraph"/>
              <w:numPr>
                <w:ilvl w:val="0"/>
                <w:numId w:val="21"/>
              </w:numPr>
              <w:spacing w:line="240" w:lineRule="auto"/>
            </w:pPr>
            <w:r>
              <w:t>Reviewing outcomes from program effectiveness studies</w:t>
            </w:r>
          </w:p>
          <w:p w14:paraId="1B760156" w14:textId="77777777" w:rsidR="006A4F34" w:rsidRDefault="006A4F34" w:rsidP="00A0165B">
            <w:pPr>
              <w:pStyle w:val="ListParagraph"/>
              <w:numPr>
                <w:ilvl w:val="0"/>
                <w:numId w:val="21"/>
              </w:numPr>
              <w:spacing w:line="240" w:lineRule="auto"/>
            </w:pPr>
            <w:r>
              <w:t>Updating the community analysis</w:t>
            </w:r>
          </w:p>
          <w:p w14:paraId="191E02EE" w14:textId="77777777" w:rsidR="006A4F34" w:rsidRDefault="006A4F34" w:rsidP="00A0165B">
            <w:pPr>
              <w:pStyle w:val="ListParagraph"/>
              <w:numPr>
                <w:ilvl w:val="0"/>
                <w:numId w:val="21"/>
              </w:numPr>
              <w:spacing w:line="240" w:lineRule="auto"/>
            </w:pPr>
            <w:r>
              <w:t>Revising the strategic plan accordingly for new directions</w:t>
            </w:r>
          </w:p>
        </w:tc>
      </w:tr>
    </w:tbl>
    <w:p w14:paraId="318509DF" w14:textId="76E23829" w:rsidR="00B71304" w:rsidRPr="00C21418" w:rsidRDefault="00B71304" w:rsidP="00792D8B">
      <w:pPr>
        <w:pStyle w:val="Heading3"/>
      </w:pPr>
      <w:bookmarkStart w:id="25" w:name="_Toc39750275"/>
      <w:r w:rsidRPr="00C21418">
        <w:lastRenderedPageBreak/>
        <w:t>National Kidney Foundation</w:t>
      </w:r>
      <w:bookmarkEnd w:id="25"/>
    </w:p>
    <w:p w14:paraId="575FFFA7" w14:textId="1BBF0536" w:rsidR="00492B81" w:rsidRDefault="00492B81" w:rsidP="00492B81">
      <w:pPr>
        <w:ind w:left="1" w:firstLine="719"/>
      </w:pPr>
      <w:r w:rsidRPr="00C21418">
        <w:t>The National Kidney Foundation</w:t>
      </w:r>
      <w:r w:rsidR="00E1454F" w:rsidRPr="00C21418">
        <w:t xml:space="preserve"> aims to </w:t>
      </w:r>
      <w:r w:rsidRPr="00C21418">
        <w:t>advance the awareness, prevention and treatment of kidney disease.</w:t>
      </w:r>
      <w:r w:rsidR="009C42A2">
        <w:t xml:space="preserve"> Seemingly serving contradictory purposes, on</w:t>
      </w:r>
      <w:r w:rsidR="00A0165B">
        <w:t xml:space="preserve"> the</w:t>
      </w:r>
      <w:r w:rsidR="009C42A2">
        <w:t xml:space="preserve"> one hand</w:t>
      </w:r>
      <w:r w:rsidR="00294519">
        <w:t xml:space="preserve"> </w:t>
      </w:r>
      <w:r w:rsidRPr="00A655B3">
        <w:t xml:space="preserve">NKF focuses on awareness and being able to prevent the advancement of chronic kidney diseases to </w:t>
      </w:r>
      <w:r w:rsidR="00DD6A39">
        <w:t>ESRD</w:t>
      </w:r>
      <w:r w:rsidR="00DD6A39" w:rsidRPr="00A655B3">
        <w:t xml:space="preserve"> that</w:t>
      </w:r>
      <w:r w:rsidRPr="00A655B3">
        <w:t xml:space="preserve"> would require either dialysis or being listed on the waiting list for a kidney transplant.</w:t>
      </w:r>
      <w:r>
        <w:t xml:space="preserve"> On the other hand</w:t>
      </w:r>
      <w:r w:rsidR="00DD6A39">
        <w:t>,</w:t>
      </w:r>
      <w:r>
        <w:t xml:space="preserve"> </w:t>
      </w:r>
      <w:r w:rsidRPr="00A655B3">
        <w:t xml:space="preserve">NKF also is a large proponent of awareness for the option of kidney transplants as a viable option for helping to treat chronic kidney failure </w:t>
      </w:r>
      <w:r w:rsidR="00A0165B">
        <w:t xml:space="preserve">and provide </w:t>
      </w:r>
      <w:r w:rsidRPr="00A655B3">
        <w:t>a better quality of life for its recipients.</w:t>
      </w:r>
    </w:p>
    <w:p w14:paraId="18DF9844" w14:textId="79143B1F" w:rsidR="00492B81" w:rsidRDefault="00492B81" w:rsidP="00492B81">
      <w:pPr>
        <w:ind w:left="1" w:firstLine="719"/>
      </w:pPr>
      <w:r>
        <w:t>NKF has been instrumental in developing legislation and medicalization around kidney disease</w:t>
      </w:r>
      <w:r w:rsidR="00273DB0">
        <w:t>, demonstrated in being</w:t>
      </w:r>
      <w:r>
        <w:t xml:space="preserve"> the first organization to categorize kidney disease as its own separate illness. It has also pushed for dialysis options being made more accessible, passage of the 1968 Uniform Anatomical Git Act</w:t>
      </w:r>
      <w:r w:rsidR="00E528EB">
        <w:t xml:space="preserve"> which </w:t>
      </w:r>
      <w:r w:rsidR="00715CD4">
        <w:t>standardized a framework for organ transplantation</w:t>
      </w:r>
      <w:r>
        <w:t>, ensur</w:t>
      </w:r>
      <w:r w:rsidR="00155CE4">
        <w:t>ed</w:t>
      </w:r>
      <w:r>
        <w:t xml:space="preserve"> Medicare covers ESRD, and develop</w:t>
      </w:r>
      <w:r w:rsidR="00155CE4">
        <w:t>ed</w:t>
      </w:r>
      <w:r>
        <w:t xml:space="preserve"> the conceptualization of the stages of CKD diagnosis and treatment</w:t>
      </w:r>
      <w:r>
        <w:rPr>
          <w:vertAlign w:val="superscript"/>
        </w:rPr>
        <w:t>2</w:t>
      </w:r>
      <w:r w:rsidR="00273D63">
        <w:rPr>
          <w:vertAlign w:val="superscript"/>
        </w:rPr>
        <w:t>3</w:t>
      </w:r>
      <w:r>
        <w:t xml:space="preserve">. More recently, it has developed a primary-care facing strategy termed </w:t>
      </w:r>
      <w:proofErr w:type="spellStart"/>
      <w:r>
        <w:t>CKD</w:t>
      </w:r>
      <w:r>
        <w:rPr>
          <w:i/>
          <w:iCs/>
        </w:rPr>
        <w:t>Intercept</w:t>
      </w:r>
      <w:r>
        <w:rPr>
          <w:vertAlign w:val="superscript"/>
        </w:rPr>
        <w:t>TM</w:t>
      </w:r>
      <w:proofErr w:type="spellEnd"/>
      <w:r>
        <w:t xml:space="preserve"> with the goal of improving CKD diagnosis in primary care. An online platform called </w:t>
      </w:r>
      <w:r w:rsidRPr="00004CC0">
        <w:rPr>
          <w:i/>
          <w:iCs/>
        </w:rPr>
        <w:t>Kidney Pathways</w:t>
      </w:r>
      <w:r>
        <w:t xml:space="preserve"> evaluates a patient based on their family history, lab results, and medical history to provide targeted education based on kidney health status and ways to help prevent progression into further stages of CKD</w:t>
      </w:r>
      <w:r>
        <w:rPr>
          <w:vertAlign w:val="superscript"/>
        </w:rPr>
        <w:t>2</w:t>
      </w:r>
      <w:r w:rsidR="00273D63">
        <w:rPr>
          <w:vertAlign w:val="superscript"/>
        </w:rPr>
        <w:t>4</w:t>
      </w:r>
      <w:r>
        <w:t xml:space="preserve">. </w:t>
      </w:r>
    </w:p>
    <w:p w14:paraId="54E12013" w14:textId="514B8459" w:rsidR="00492B81" w:rsidRDefault="00492B81" w:rsidP="00492B81">
      <w:pPr>
        <w:ind w:left="1" w:firstLine="719"/>
      </w:pPr>
      <w:r>
        <w:t xml:space="preserve">NKF also pushes the boundaries with being able to integrate new technology into managing multiple patients in one database. This </w:t>
      </w:r>
      <w:r w:rsidRPr="00CA56EA">
        <w:rPr>
          <w:i/>
          <w:iCs/>
        </w:rPr>
        <w:t>NKF Patient Network</w:t>
      </w:r>
      <w:r>
        <w:t xml:space="preserve"> aims to provide patient education and support based on patients’ stage of disease, comorbidities, medical history, and demographics. It also pools data into one centralized service that allows for analysis of outcomes to further inform what strategies work and should be retained, which should be improved, and which should be cut</w:t>
      </w:r>
      <w:r>
        <w:rPr>
          <w:vertAlign w:val="superscript"/>
        </w:rPr>
        <w:t>2</w:t>
      </w:r>
      <w:r w:rsidR="00273D63">
        <w:rPr>
          <w:vertAlign w:val="superscript"/>
        </w:rPr>
        <w:t>5</w:t>
      </w:r>
      <w:r>
        <w:t>.</w:t>
      </w:r>
    </w:p>
    <w:p w14:paraId="1B8EAADE" w14:textId="64C50799" w:rsidR="007E5BB0" w:rsidRPr="00A655B3" w:rsidRDefault="005C3CB3" w:rsidP="00792D8B">
      <w:pPr>
        <w:pStyle w:val="Heading1"/>
      </w:pPr>
      <w:bookmarkStart w:id="26" w:name="_Toc39750276"/>
      <w:r>
        <w:lastRenderedPageBreak/>
        <w:t xml:space="preserve">Best Practices for </w:t>
      </w:r>
      <w:r w:rsidR="001D6C26">
        <w:t>Programming and CHNA Evaluation</w:t>
      </w:r>
      <w:bookmarkEnd w:id="26"/>
    </w:p>
    <w:p w14:paraId="1AA8E112" w14:textId="25321507" w:rsidR="00492B81" w:rsidRPr="00222AAE" w:rsidRDefault="007853B5" w:rsidP="00775A0A">
      <w:r>
        <w:t xml:space="preserve">In order for a </w:t>
      </w:r>
      <w:r w:rsidR="00697974">
        <w:t>community-based</w:t>
      </w:r>
      <w:r>
        <w:t xml:space="preserve"> intervention to be successful, a partnership between the medical system and the community should be created on terms that both parties can agree to and </w:t>
      </w:r>
      <w:r w:rsidR="008F06DD">
        <w:t xml:space="preserve">ensure can be modulated as environmental and regulatory landscapes shift. </w:t>
      </w:r>
      <w:r w:rsidR="00570448">
        <w:t>The following sections aim to provide best practices that should be integrated into any community oriented intervention to ensure its success</w:t>
      </w:r>
      <w:r w:rsidR="001A769C">
        <w:t xml:space="preserve"> in developing a </w:t>
      </w:r>
      <w:r w:rsidR="00AC71F6">
        <w:t>sustainable collaboration.</w:t>
      </w:r>
    </w:p>
    <w:p w14:paraId="546F5B16" w14:textId="631F952C" w:rsidR="00352085" w:rsidRPr="00792D8B" w:rsidRDefault="00492B81" w:rsidP="00792D8B">
      <w:pPr>
        <w:pStyle w:val="Heading2"/>
      </w:pPr>
      <w:bookmarkStart w:id="27" w:name="_Toc39750277"/>
      <w:r w:rsidRPr="00792D8B">
        <w:t>Best Practices</w:t>
      </w:r>
      <w:bookmarkEnd w:id="27"/>
    </w:p>
    <w:p w14:paraId="79608E9D" w14:textId="4889BFEA" w:rsidR="00DE3A8C" w:rsidRDefault="00352085" w:rsidP="00492B81">
      <w:pPr>
        <w:pStyle w:val="paragraph"/>
        <w:spacing w:before="0" w:beforeAutospacing="0" w:after="0" w:afterAutospacing="0" w:line="480" w:lineRule="auto"/>
        <w:ind w:firstLine="720"/>
        <w:textAlignment w:val="baseline"/>
      </w:pPr>
      <w:r w:rsidRPr="00A655B3">
        <w:t>A paper recently published by Umeukeje et al</w:t>
      </w:r>
      <w:r w:rsidR="00681674">
        <w:t>.</w:t>
      </w:r>
      <w:r w:rsidR="00CD68F8">
        <w:rPr>
          <w:vertAlign w:val="superscript"/>
        </w:rPr>
        <w:t>2</w:t>
      </w:r>
      <w:r w:rsidR="00273D63">
        <w:rPr>
          <w:vertAlign w:val="superscript"/>
        </w:rPr>
        <w:t xml:space="preserve">6 </w:t>
      </w:r>
      <w:r w:rsidRPr="00A655B3">
        <w:t xml:space="preserve">sought to identify perceived barriers among </w:t>
      </w:r>
      <w:r w:rsidR="00000E1A">
        <w:t>African</w:t>
      </w:r>
      <w:r w:rsidR="00000E1A" w:rsidRPr="00A655B3">
        <w:t xml:space="preserve"> </w:t>
      </w:r>
      <w:r w:rsidRPr="00A655B3">
        <w:t xml:space="preserve">American populations for community screenings of kidney disease. These barriers fell into two categories: participant factors and logistic factors. Participant factors included many individual-level barriers such as limited kidney disease knowledge, spiritual or religious beliefs, emotional reactions, and the culture of the individual. Logistic factors tended </w:t>
      </w:r>
      <w:r w:rsidR="00681674">
        <w:t xml:space="preserve">to be </w:t>
      </w:r>
      <w:r w:rsidRPr="00A655B3">
        <w:t>community or organizational level barriers such as lack of convenience or incentives for maintaining care as well as poor advertisement. This paper recommend</w:t>
      </w:r>
      <w:r w:rsidR="00681674">
        <w:t>s</w:t>
      </w:r>
      <w:r w:rsidRPr="00A655B3">
        <w:t xml:space="preserve"> that</w:t>
      </w:r>
      <w:r w:rsidR="00603A6D">
        <w:t xml:space="preserve"> screening and treatment</w:t>
      </w:r>
      <w:r w:rsidRPr="00A655B3">
        <w:t xml:space="preserve"> efforts could be improved if the logistic barriers were removed such that care could be regularly accessed, that ample education both about the clinical implications of having CKD</w:t>
      </w:r>
      <w:r w:rsidR="00681674">
        <w:t xml:space="preserve"> be provided</w:t>
      </w:r>
      <w:r w:rsidRPr="00A655B3">
        <w:t>, services offered to help manage</w:t>
      </w:r>
      <w:r w:rsidR="0059661B">
        <w:t xml:space="preserve"> their kidney disease</w:t>
      </w:r>
      <w:r w:rsidRPr="00A655B3">
        <w:t xml:space="preserve">, and to make screening more convenient. Each strategy should be culturally sensitive and ideally partnered with trusted community members to build rapport with the target population and some thought should be </w:t>
      </w:r>
      <w:r w:rsidRPr="00A655B3">
        <w:lastRenderedPageBreak/>
        <w:t>given towards providing incentives for participating</w:t>
      </w:r>
      <w:r w:rsidR="00CD68F8">
        <w:rPr>
          <w:vertAlign w:val="superscript"/>
        </w:rPr>
        <w:t>2</w:t>
      </w:r>
      <w:r w:rsidR="00273D63">
        <w:rPr>
          <w:vertAlign w:val="superscript"/>
        </w:rPr>
        <w:t>6</w:t>
      </w:r>
      <w:r w:rsidRPr="00A655B3">
        <w:t xml:space="preserve">. With that being said, some best practices are proposed here when seeking to develop </w:t>
      </w:r>
      <w:r w:rsidR="00697974">
        <w:t>community-based</w:t>
      </w:r>
      <w:r w:rsidRPr="00A655B3">
        <w:t xml:space="preserve"> outreach</w:t>
      </w:r>
      <w:r w:rsidR="005A1163">
        <w:t>.</w:t>
      </w:r>
    </w:p>
    <w:p w14:paraId="1FF5CCCF" w14:textId="1AB1B8EE" w:rsidR="00352085" w:rsidRPr="00792D8B" w:rsidRDefault="00352085" w:rsidP="00792D8B">
      <w:pPr>
        <w:pStyle w:val="Heading3"/>
        <w:rPr>
          <w:rStyle w:val="eop"/>
        </w:rPr>
      </w:pPr>
      <w:bookmarkStart w:id="28" w:name="_Toc39750278"/>
      <w:r w:rsidRPr="00792D8B">
        <w:rPr>
          <w:rStyle w:val="normaltextrun"/>
        </w:rPr>
        <w:t>Community Advisory Boards (CAB)</w:t>
      </w:r>
      <w:bookmarkEnd w:id="28"/>
      <w:r w:rsidRPr="00792D8B">
        <w:rPr>
          <w:rStyle w:val="eop"/>
        </w:rPr>
        <w:t> </w:t>
      </w:r>
    </w:p>
    <w:p w14:paraId="3C84306A" w14:textId="6177E107" w:rsidR="00352085" w:rsidRPr="00A655B3" w:rsidRDefault="00352085" w:rsidP="00A655B3">
      <w:pPr>
        <w:pStyle w:val="paragraph"/>
        <w:spacing w:before="0" w:beforeAutospacing="0" w:after="0" w:afterAutospacing="0" w:line="480" w:lineRule="auto"/>
        <w:ind w:firstLine="720"/>
        <w:textAlignment w:val="baseline"/>
      </w:pPr>
      <w:r w:rsidRPr="00A655B3">
        <w:rPr>
          <w:rStyle w:val="normaltextrun"/>
        </w:rPr>
        <w:t>Community Advisory Boards are an essential, flexible tool for ensuring that pertinent stakeholders such as community organizations</w:t>
      </w:r>
      <w:r w:rsidR="006A5489">
        <w:rPr>
          <w:rStyle w:val="normaltextrun"/>
        </w:rPr>
        <w:t xml:space="preserve"> </w:t>
      </w:r>
      <w:r w:rsidR="00681674">
        <w:rPr>
          <w:rStyle w:val="normaltextrun"/>
        </w:rPr>
        <w:t>and</w:t>
      </w:r>
      <w:r w:rsidRPr="00A655B3">
        <w:rPr>
          <w:rStyle w:val="normaltextrun"/>
        </w:rPr>
        <w:t xml:space="preserve"> health system representatives, as well as</w:t>
      </w:r>
      <w:r w:rsidR="006A5489">
        <w:rPr>
          <w:rStyle w:val="normaltextrun"/>
        </w:rPr>
        <w:t xml:space="preserve"> </w:t>
      </w:r>
      <w:r w:rsidRPr="00A655B3">
        <w:rPr>
          <w:rStyle w:val="normaltextrun"/>
        </w:rPr>
        <w:t xml:space="preserve">community members are brought to the table when it comes to developing the strategy and provision of </w:t>
      </w:r>
      <w:r w:rsidR="00697974">
        <w:rPr>
          <w:rStyle w:val="normaltextrun"/>
        </w:rPr>
        <w:t>community-based</w:t>
      </w:r>
      <w:r w:rsidRPr="00A655B3">
        <w:rPr>
          <w:rStyle w:val="normaltextrun"/>
        </w:rPr>
        <w:t xml:space="preserve"> care. A CAB’s mission, vision, purpose, remunerative policies, and temporality should be established early in its inception so that all participants are fully aware of what activities</w:t>
      </w:r>
      <w:r w:rsidR="006A5489">
        <w:rPr>
          <w:rStyle w:val="normaltextrun"/>
        </w:rPr>
        <w:t xml:space="preserve"> would be value-adding to the community,</w:t>
      </w:r>
      <w:r w:rsidR="006A5489">
        <w:rPr>
          <w:rStyle w:val="CommentReference"/>
        </w:rPr>
        <w:t xml:space="preserve"> </w:t>
      </w:r>
      <w:r w:rsidR="006A5489">
        <w:rPr>
          <w:rStyle w:val="normaltextrun"/>
        </w:rPr>
        <w:t>and w</w:t>
      </w:r>
      <w:r w:rsidRPr="00A655B3">
        <w:rPr>
          <w:rStyle w:val="normaltextrun"/>
        </w:rPr>
        <w:t xml:space="preserve">hether succession plans should be developed, who is replaceable, and how.  Community Advisory Boards are meant to work </w:t>
      </w:r>
      <w:r w:rsidR="00953D52">
        <w:rPr>
          <w:rStyle w:val="normaltextrun"/>
        </w:rPr>
        <w:t>both in favor of the health care system by</w:t>
      </w:r>
      <w:r w:rsidR="00371674">
        <w:rPr>
          <w:rStyle w:val="normaltextrun"/>
        </w:rPr>
        <w:t xml:space="preserve"> providing the most comprehensive view to deploy the most effective intervention and ensure it</w:t>
      </w:r>
      <w:r w:rsidR="004066AB">
        <w:rPr>
          <w:rStyle w:val="normaltextrun"/>
        </w:rPr>
        <w:t xml:space="preserve"> i</w:t>
      </w:r>
      <w:r w:rsidR="00371674">
        <w:rPr>
          <w:rStyle w:val="normaltextrun"/>
        </w:rPr>
        <w:t>s being implemented correctly while the community members are made aware o</w:t>
      </w:r>
      <w:r w:rsidR="004E6BA1">
        <w:rPr>
          <w:rStyle w:val="normaltextrun"/>
        </w:rPr>
        <w:t xml:space="preserve">f the intervention and can give feedback towards </w:t>
      </w:r>
      <w:r w:rsidR="00AC5A0B">
        <w:rPr>
          <w:rStyle w:val="normaltextrun"/>
        </w:rPr>
        <w:t xml:space="preserve">how to suggest changes to the interventions as they see fit. </w:t>
      </w:r>
    </w:p>
    <w:p w14:paraId="6F7C72E9" w14:textId="32D81B2F" w:rsidR="00352085" w:rsidRPr="00792D8B" w:rsidRDefault="00CB3DC0" w:rsidP="00792D8B">
      <w:pPr>
        <w:pStyle w:val="Heading3"/>
        <w:rPr>
          <w:rStyle w:val="eop"/>
          <w:bCs w:val="0"/>
        </w:rPr>
      </w:pPr>
      <w:bookmarkStart w:id="29" w:name="_Toc39750279"/>
      <w:r w:rsidRPr="00792D8B">
        <w:rPr>
          <w:rStyle w:val="normaltextrun"/>
          <w:bCs w:val="0"/>
        </w:rPr>
        <w:t xml:space="preserve">Considering and </w:t>
      </w:r>
      <w:r w:rsidR="00352085" w:rsidRPr="00792D8B">
        <w:rPr>
          <w:rStyle w:val="normaltextrun"/>
          <w:bCs w:val="0"/>
        </w:rPr>
        <w:t>Integrating Public Health Resources</w:t>
      </w:r>
      <w:bookmarkEnd w:id="29"/>
    </w:p>
    <w:p w14:paraId="1A69D27D" w14:textId="4575535F" w:rsidR="00352085" w:rsidRPr="00A655B3" w:rsidRDefault="00352085" w:rsidP="00F40CC2">
      <w:pPr>
        <w:pStyle w:val="paragraph"/>
        <w:spacing w:before="0" w:beforeAutospacing="0" w:after="0" w:afterAutospacing="0" w:line="480" w:lineRule="auto"/>
        <w:ind w:firstLine="720"/>
        <w:textAlignment w:val="baseline"/>
        <w:rPr>
          <w:rStyle w:val="eop"/>
        </w:rPr>
      </w:pPr>
      <w:r w:rsidRPr="00A655B3">
        <w:rPr>
          <w:rStyle w:val="eop"/>
        </w:rPr>
        <w:tab/>
        <w:t xml:space="preserve">Health systems should continually </w:t>
      </w:r>
      <w:r w:rsidR="00FF39EC">
        <w:rPr>
          <w:rStyle w:val="eop"/>
        </w:rPr>
        <w:t xml:space="preserve">inform themselves about </w:t>
      </w:r>
      <w:r w:rsidRPr="00A655B3">
        <w:rPr>
          <w:rStyle w:val="eop"/>
        </w:rPr>
        <w:t xml:space="preserve">what priorities are being set by their state’s public health departments. Depending on the organizational structure, a state or local public health department may be seeking to provide improved care in a specific area that aligns with developing efforts to productively manage chronic disease. Being able to tap into </w:t>
      </w:r>
      <w:r w:rsidRPr="00A655B3">
        <w:rPr>
          <w:rStyle w:val="eop"/>
        </w:rPr>
        <w:lastRenderedPageBreak/>
        <w:t>health department resources can help to synergize and reduce duplication of efforts in similar service areas and in some cases may grant money</w:t>
      </w:r>
      <w:r w:rsidR="00F40CC2" w:rsidRPr="00A655B3">
        <w:rPr>
          <w:rStyle w:val="eop"/>
        </w:rPr>
        <w:t>.</w:t>
      </w:r>
    </w:p>
    <w:p w14:paraId="68BCBD3B" w14:textId="046FF5CB" w:rsidR="00352085" w:rsidRPr="00792D8B" w:rsidRDefault="00352085" w:rsidP="00792D8B">
      <w:pPr>
        <w:pStyle w:val="Heading3"/>
        <w:rPr>
          <w:rStyle w:val="eop"/>
          <w:bCs w:val="0"/>
        </w:rPr>
      </w:pPr>
      <w:bookmarkStart w:id="30" w:name="_Toc39750280"/>
      <w:r w:rsidRPr="00792D8B">
        <w:rPr>
          <w:rStyle w:val="normaltextrun"/>
          <w:bCs w:val="0"/>
        </w:rPr>
        <w:t>Community Health Workers (CHW)</w:t>
      </w:r>
      <w:r w:rsidR="00E67E7F">
        <w:rPr>
          <w:rStyle w:val="normaltextrun"/>
          <w:bCs w:val="0"/>
        </w:rPr>
        <w:t xml:space="preserve"> </w:t>
      </w:r>
      <w:r w:rsidRPr="00792D8B">
        <w:rPr>
          <w:rStyle w:val="normaltextrun"/>
          <w:bCs w:val="0"/>
        </w:rPr>
        <w:t xml:space="preserve">and Focusing on Strengths, </w:t>
      </w:r>
      <w:r w:rsidR="0064506C" w:rsidRPr="00792D8B">
        <w:rPr>
          <w:rStyle w:val="normaltextrun"/>
          <w:bCs w:val="0"/>
        </w:rPr>
        <w:t xml:space="preserve">and </w:t>
      </w:r>
      <w:r w:rsidRPr="00792D8B">
        <w:rPr>
          <w:rStyle w:val="normaltextrun"/>
          <w:bCs w:val="0"/>
        </w:rPr>
        <w:t>Capacity Building</w:t>
      </w:r>
      <w:bookmarkEnd w:id="30"/>
    </w:p>
    <w:p w14:paraId="2BB466A3" w14:textId="19CAA248" w:rsidR="00352085" w:rsidRPr="00A655B3" w:rsidRDefault="00352085" w:rsidP="00F40CC2">
      <w:pPr>
        <w:pStyle w:val="paragraph"/>
        <w:spacing w:before="0" w:beforeAutospacing="0" w:after="0" w:afterAutospacing="0" w:line="480" w:lineRule="auto"/>
        <w:ind w:left="-90" w:firstLine="810"/>
        <w:textAlignment w:val="baseline"/>
      </w:pPr>
      <w:r w:rsidRPr="00A655B3">
        <w:rPr>
          <w:rStyle w:val="normaltextrun"/>
        </w:rPr>
        <w:t xml:space="preserve">Should a neighborhood-based clinic come </w:t>
      </w:r>
      <w:r w:rsidR="0064506C">
        <w:rPr>
          <w:rStyle w:val="normaltextrun"/>
        </w:rPr>
        <w:t>out of</w:t>
      </w:r>
      <w:r w:rsidRPr="00A655B3">
        <w:rPr>
          <w:rStyle w:val="normaltextrun"/>
        </w:rPr>
        <w:t xml:space="preserve"> a joint decision </w:t>
      </w:r>
      <w:r w:rsidR="00FF39EC">
        <w:rPr>
          <w:rStyle w:val="normaltextrun"/>
        </w:rPr>
        <w:t xml:space="preserve">between </w:t>
      </w:r>
      <w:r w:rsidRPr="00A655B3">
        <w:rPr>
          <w:rStyle w:val="normaltextrun"/>
        </w:rPr>
        <w:t xml:space="preserve">a health system’s leadership and a CAB, its main mission </w:t>
      </w:r>
      <w:r w:rsidR="00FF39EC">
        <w:rPr>
          <w:rStyle w:val="normaltextrun"/>
        </w:rPr>
        <w:t xml:space="preserve">is </w:t>
      </w:r>
      <w:r w:rsidRPr="00A655B3">
        <w:rPr>
          <w:rStyle w:val="normaltextrun"/>
        </w:rPr>
        <w:t>to i</w:t>
      </w:r>
      <w:r w:rsidR="0064506C">
        <w:rPr>
          <w:rStyle w:val="normaltextrun"/>
        </w:rPr>
        <w:t>mprove</w:t>
      </w:r>
      <w:r w:rsidRPr="00A655B3">
        <w:rPr>
          <w:rStyle w:val="normaltextrun"/>
        </w:rPr>
        <w:t xml:space="preserve"> the health of those in its neighborhood</w:t>
      </w:r>
      <w:r w:rsidR="00000E1A">
        <w:rPr>
          <w:rStyle w:val="normaltextrun"/>
        </w:rPr>
        <w:t xml:space="preserve">.  However, </w:t>
      </w:r>
      <w:r w:rsidRPr="00A655B3">
        <w:rPr>
          <w:rStyle w:val="normaltextrun"/>
        </w:rPr>
        <w:t>it can ultimately be developed as a venture that can provide healthcare,</w:t>
      </w:r>
      <w:r w:rsidR="00E67E7F">
        <w:rPr>
          <w:rStyle w:val="normaltextrun"/>
        </w:rPr>
        <w:t xml:space="preserve"> </w:t>
      </w:r>
      <w:r w:rsidRPr="00A655B3">
        <w:rPr>
          <w:rStyle w:val="normaltextrun"/>
        </w:rPr>
        <w:t>economic</w:t>
      </w:r>
      <w:r w:rsidR="00E67E7F">
        <w:rPr>
          <w:rStyle w:val="normaltextrun"/>
        </w:rPr>
        <w:t xml:space="preserve"> </w:t>
      </w:r>
      <w:r w:rsidRPr="00A655B3">
        <w:rPr>
          <w:rStyle w:val="normaltextrun"/>
        </w:rPr>
        <w:t>development, and job training to the population it serves. One avenue for achieving these targets can come from using trained Community Health Workers.</w:t>
      </w:r>
    </w:p>
    <w:p w14:paraId="4F012288" w14:textId="4728AE82" w:rsidR="00FF2B8D" w:rsidRPr="00A655B3" w:rsidRDefault="00352085" w:rsidP="00F40CC2">
      <w:pPr>
        <w:pStyle w:val="paragraph"/>
        <w:spacing w:before="0" w:beforeAutospacing="0" w:after="0" w:afterAutospacing="0" w:line="480" w:lineRule="auto"/>
        <w:ind w:left="-90" w:firstLine="810"/>
        <w:textAlignment w:val="baseline"/>
      </w:pPr>
      <w:r w:rsidRPr="00A655B3">
        <w:t xml:space="preserve">Any manager considering </w:t>
      </w:r>
      <w:r w:rsidR="00FF39EC">
        <w:t xml:space="preserve">using </w:t>
      </w:r>
      <w:r w:rsidRPr="00A655B3">
        <w:t xml:space="preserve">CHWs should be </w:t>
      </w:r>
      <w:r w:rsidR="0064506C">
        <w:t>aware</w:t>
      </w:r>
      <w:r w:rsidRPr="00A655B3">
        <w:t xml:space="preserve"> of terminology </w:t>
      </w:r>
      <w:r w:rsidR="00FF39EC">
        <w:t xml:space="preserve">in </w:t>
      </w:r>
      <w:r w:rsidRPr="00A655B3">
        <w:t xml:space="preserve">their state’s licensing laws. Some states or municipalities have stricter guidelines for what CHWs are required to achieve in order to </w:t>
      </w:r>
      <w:r w:rsidR="00FF39EC">
        <w:t xml:space="preserve">get </w:t>
      </w:r>
      <w:r w:rsidRPr="00A655B3">
        <w:t xml:space="preserve">licensure whereas other states have less stringent, </w:t>
      </w:r>
      <w:r w:rsidR="00FF39EC">
        <w:t>perhaps no</w:t>
      </w:r>
      <w:r w:rsidRPr="00A655B3">
        <w:t xml:space="preserve">, </w:t>
      </w:r>
      <w:r w:rsidR="00BC3511" w:rsidRPr="00A655B3">
        <w:t>requirements.</w:t>
      </w:r>
      <w:r w:rsidR="00AF2EEB">
        <w:t xml:space="preserve"> (Such information can be found here: </w:t>
      </w:r>
      <w:hyperlink r:id="rId16" w:history="1">
        <w:r w:rsidR="00AF2EEB" w:rsidRPr="00AF2EEB">
          <w:rPr>
            <w:rStyle w:val="Hyperlink"/>
          </w:rPr>
          <w:t>https://www.astho.org/Public-Policy/Public-Health-Law/Scope-of-Practice/CHW-Certification-Standards-Map/</w:t>
        </w:r>
      </w:hyperlink>
      <w:r w:rsidR="00AF2EEB">
        <w:rPr>
          <w:rStyle w:val="Hyperlink"/>
        </w:rPr>
        <w:t>)</w:t>
      </w:r>
      <w:r w:rsidR="000771B7" w:rsidRPr="000771B7">
        <w:rPr>
          <w:rStyle w:val="Hyperlink"/>
          <w:color w:val="auto"/>
          <w:u w:val="none"/>
          <w:vertAlign w:val="superscript"/>
        </w:rPr>
        <w:t>27</w:t>
      </w:r>
      <w:r w:rsidR="000771B7" w:rsidRPr="000771B7">
        <w:rPr>
          <w:rStyle w:val="Hyperlink"/>
          <w:color w:val="auto"/>
          <w:u w:val="none"/>
        </w:rPr>
        <w:t>.</w:t>
      </w:r>
      <w:r w:rsidRPr="000771B7">
        <w:t xml:space="preserve"> </w:t>
      </w:r>
      <w:r w:rsidR="000771B7">
        <w:t>S</w:t>
      </w:r>
      <w:r w:rsidRPr="00A655B3">
        <w:t>tate differences with regard to licensure of CHWs</w:t>
      </w:r>
      <w:r w:rsidR="00FF39EC">
        <w:t xml:space="preserve"> </w:t>
      </w:r>
      <w:r w:rsidRPr="00A655B3">
        <w:t xml:space="preserve">may </w:t>
      </w:r>
      <w:r w:rsidR="00FF39EC">
        <w:t xml:space="preserve">determine if </w:t>
      </w:r>
      <w:r w:rsidRPr="00A655B3">
        <w:t xml:space="preserve">CHW-related work </w:t>
      </w:r>
      <w:r w:rsidR="00FF39EC">
        <w:t xml:space="preserve">is </w:t>
      </w:r>
      <w:r w:rsidRPr="00A655B3">
        <w:t>reimbursable by public insurances or not.  Regardless of legal designation, CHWs are regarded as an important aspect of community-level interventions because they serve as knowledgeable peer navigators who are from the community and are aware of its internal capacity</w:t>
      </w:r>
      <w:r w:rsidR="00E93BDF">
        <w:t>.</w:t>
      </w:r>
      <w:r w:rsidRPr="00A655B3">
        <w:t xml:space="preserve"> Multiple studies have </w:t>
      </w:r>
      <w:r w:rsidR="000F1B69">
        <w:t xml:space="preserve">described </w:t>
      </w:r>
      <w:r w:rsidRPr="00A655B3">
        <w:t>the positive impact from integrating CHWs such as the Colorectal Cancer Male Navigation Program</w:t>
      </w:r>
      <w:r w:rsidR="000F1B69">
        <w:t>,</w:t>
      </w:r>
      <w:r w:rsidRPr="00A655B3">
        <w:t xml:space="preserve"> which helped both increase participants</w:t>
      </w:r>
      <w:r w:rsidR="000F1B69">
        <w:t>’</w:t>
      </w:r>
      <w:r w:rsidRPr="00A655B3">
        <w:t xml:space="preserve"> life expectancy and save more than $1,100 per patient compared to non-participants</w:t>
      </w:r>
      <w:r w:rsidR="00072154">
        <w:rPr>
          <w:vertAlign w:val="superscript"/>
        </w:rPr>
        <w:t>2</w:t>
      </w:r>
      <w:r w:rsidR="00E473ED">
        <w:rPr>
          <w:vertAlign w:val="superscript"/>
        </w:rPr>
        <w:t>7</w:t>
      </w:r>
      <w:r w:rsidRPr="00A655B3">
        <w:t xml:space="preserve">. </w:t>
      </w:r>
    </w:p>
    <w:p w14:paraId="61EABC66" w14:textId="43BA296A" w:rsidR="00352085" w:rsidRDefault="00FF2B8D" w:rsidP="00F40CC2">
      <w:pPr>
        <w:pStyle w:val="paragraph"/>
        <w:spacing w:before="0" w:beforeAutospacing="0" w:after="0" w:afterAutospacing="0" w:line="480" w:lineRule="auto"/>
        <w:ind w:left="-90" w:firstLine="810"/>
        <w:textAlignment w:val="baseline"/>
      </w:pPr>
      <w:r w:rsidRPr="00A655B3">
        <w:lastRenderedPageBreak/>
        <w:tab/>
      </w:r>
      <w:r w:rsidR="00352085" w:rsidRPr="00A655B3">
        <w:tab/>
        <w:t xml:space="preserve">While the specialized knowledge specific to managing chronic conditions </w:t>
      </w:r>
      <w:r w:rsidR="000F1B69">
        <w:t xml:space="preserve">is </w:t>
      </w:r>
      <w:r w:rsidR="00352085" w:rsidRPr="00A655B3">
        <w:t xml:space="preserve">in no way </w:t>
      </w:r>
      <w:r w:rsidR="005A3D66">
        <w:t>limited</w:t>
      </w:r>
      <w:r w:rsidR="003C131C">
        <w:t xml:space="preserve"> </w:t>
      </w:r>
      <w:r w:rsidR="00352085" w:rsidRPr="00A655B3">
        <w:t xml:space="preserve">to CHWs, </w:t>
      </w:r>
      <w:r w:rsidR="003C131C">
        <w:t>one</w:t>
      </w:r>
      <w:r w:rsidR="00352085" w:rsidRPr="00A655B3">
        <w:t xml:space="preserve"> strength they bring to a multidisciplinary team stems from the cultural capital they bring with them</w:t>
      </w:r>
      <w:r w:rsidR="005A3D66">
        <w:t xml:space="preserve"> that will help them engage</w:t>
      </w:r>
      <w:r w:rsidR="00352085" w:rsidRPr="00A655B3">
        <w:t xml:space="preserve"> their own communities</w:t>
      </w:r>
      <w:r w:rsidR="000E391E">
        <w:t>. Strong examples come from communities that have a high prevalence of bilingualism or where the community has a</w:t>
      </w:r>
      <w:r w:rsidR="006918F5">
        <w:t>n attitude of mistrust towards healthcare systems</w:t>
      </w:r>
      <w:r w:rsidR="002C7F07">
        <w:t>. CHWs also tend to have a better inventory of what their community capacity can fulfill and what leverageable resources have yet to be tapped</w:t>
      </w:r>
      <w:r w:rsidR="006918F5">
        <w:t xml:space="preserve"> </w:t>
      </w:r>
      <w:r w:rsidR="002C7F07">
        <w:t>to their fullest potential</w:t>
      </w:r>
      <w:r w:rsidR="009052FD">
        <w:rPr>
          <w:rStyle w:val="normaltextrun"/>
          <w:vertAlign w:val="superscript"/>
        </w:rPr>
        <w:t>2</w:t>
      </w:r>
      <w:r w:rsidR="00273D63">
        <w:rPr>
          <w:rStyle w:val="normaltextrun"/>
          <w:vertAlign w:val="superscript"/>
        </w:rPr>
        <w:t>8</w:t>
      </w:r>
      <w:r w:rsidR="00BC3511" w:rsidRPr="00A655B3">
        <w:rPr>
          <w:rStyle w:val="normaltextrun"/>
        </w:rPr>
        <w:t>.</w:t>
      </w:r>
      <w:r w:rsidR="00352085" w:rsidRPr="00A655B3">
        <w:t xml:space="preserve"> Additionally, </w:t>
      </w:r>
      <w:r w:rsidR="00E55C9C">
        <w:t>when serving</w:t>
      </w:r>
      <w:r w:rsidR="00352085" w:rsidRPr="00A655B3">
        <w:t xml:space="preserve"> populations that may have more entrenched distrust of the medical system, having representatives from one’s community is more a</w:t>
      </w:r>
      <w:r w:rsidR="00E55C9C">
        <w:t>cceptable</w:t>
      </w:r>
      <w:r w:rsidR="00352085" w:rsidRPr="00A655B3">
        <w:t xml:space="preserve"> than having someone from the medical system doing the frontline work</w:t>
      </w:r>
      <w:r w:rsidR="007B2981">
        <w:rPr>
          <w:vertAlign w:val="superscript"/>
        </w:rPr>
        <w:t>2</w:t>
      </w:r>
      <w:r w:rsidR="00273D63">
        <w:rPr>
          <w:vertAlign w:val="superscript"/>
        </w:rPr>
        <w:t>9</w:t>
      </w:r>
      <w:r w:rsidR="00352085" w:rsidRPr="00A655B3">
        <w:t xml:space="preserve">. </w:t>
      </w:r>
      <w:r w:rsidR="002B3241">
        <w:t xml:space="preserve">By collaborating with a health system, ideally a proper mix of cultural, social, economic, and intellectual capital </w:t>
      </w:r>
      <w:r w:rsidR="00D65EA5">
        <w:t>is</w:t>
      </w:r>
      <w:r w:rsidR="002B3241">
        <w:t xml:space="preserve"> brought together to best impact </w:t>
      </w:r>
      <w:r w:rsidR="00B76CE6">
        <w:t xml:space="preserve">a localized issue with a </w:t>
      </w:r>
      <w:r w:rsidR="00697974">
        <w:t xml:space="preserve">community-based </w:t>
      </w:r>
      <w:r w:rsidR="00B76CE6">
        <w:t>program.</w:t>
      </w:r>
    </w:p>
    <w:p w14:paraId="684D09C7" w14:textId="1EB0F37E" w:rsidR="00F2150F" w:rsidRDefault="00CE6FA9" w:rsidP="00F2150F">
      <w:pPr>
        <w:pStyle w:val="paragraph"/>
        <w:spacing w:before="0" w:beforeAutospacing="0" w:after="0" w:afterAutospacing="0" w:line="480" w:lineRule="auto"/>
        <w:ind w:left="-90" w:firstLine="810"/>
        <w:textAlignment w:val="baseline"/>
      </w:pPr>
      <w:r>
        <w:tab/>
      </w:r>
      <w:r w:rsidRPr="00210B79">
        <w:t>By using CHWs,</w:t>
      </w:r>
      <w:r w:rsidR="008E5FAB" w:rsidRPr="00210B79">
        <w:t xml:space="preserve"> collaboration focuses on</w:t>
      </w:r>
      <w:r w:rsidRPr="00531A5B">
        <w:t xml:space="preserve"> a community</w:t>
      </w:r>
      <w:r w:rsidR="008E5FAB" w:rsidRPr="00531A5B">
        <w:t xml:space="preserve">’s </w:t>
      </w:r>
      <w:r w:rsidR="004B2A45" w:rsidRPr="00531A5B">
        <w:t>strengths seeks</w:t>
      </w:r>
      <w:r w:rsidR="008E5FAB" w:rsidRPr="00531A5B">
        <w:t xml:space="preserve"> to build on </w:t>
      </w:r>
      <w:r w:rsidRPr="00553DCC">
        <w:t>existing</w:t>
      </w:r>
      <w:r w:rsidR="00141E60" w:rsidRPr="00553DCC">
        <w:t xml:space="preserve"> community</w:t>
      </w:r>
      <w:r w:rsidRPr="00553DCC">
        <w:t xml:space="preserve"> infrastructure</w:t>
      </w:r>
      <w:r w:rsidR="00E41D94" w:rsidRPr="00210B79">
        <w:t xml:space="preserve">. By focusing on developing a community’s capacity </w:t>
      </w:r>
      <w:r w:rsidR="00C176A4" w:rsidRPr="00210B79">
        <w:t xml:space="preserve">to </w:t>
      </w:r>
      <w:r w:rsidR="00E41D94" w:rsidRPr="00210B79">
        <w:t>complement its own needs,</w:t>
      </w:r>
      <w:r w:rsidR="00210B79" w:rsidRPr="00210B79">
        <w:t xml:space="preserve"> it becomes empowered and </w:t>
      </w:r>
      <w:r w:rsidR="002E5A4E">
        <w:t>creates an</w:t>
      </w:r>
      <w:r w:rsidR="00210B79" w:rsidRPr="00210B79">
        <w:t xml:space="preserve"> example of what a strong collaboration can accomplish.</w:t>
      </w:r>
      <w:r w:rsidR="002E5A4E">
        <w:t xml:space="preserve"> </w:t>
      </w:r>
      <w:r w:rsidR="009525F0">
        <w:t>Especially f</w:t>
      </w:r>
      <w:r w:rsidR="002E5A4E">
        <w:t>or communities that had been wary of medical systems, a productive collaboration can create a foundational program that helps develop sustainable partnerships.</w:t>
      </w:r>
    </w:p>
    <w:p w14:paraId="188F1F30" w14:textId="42A8984E" w:rsidR="00352085" w:rsidRPr="00B87450" w:rsidRDefault="00352085" w:rsidP="00B87450">
      <w:pPr>
        <w:pStyle w:val="Heading3"/>
        <w:rPr>
          <w:rStyle w:val="eop"/>
          <w:bCs w:val="0"/>
        </w:rPr>
      </w:pPr>
      <w:bookmarkStart w:id="31" w:name="_Toc39750281"/>
      <w:r w:rsidRPr="00B87450">
        <w:rPr>
          <w:rStyle w:val="normaltextrun"/>
          <w:bCs w:val="0"/>
        </w:rPr>
        <w:t>Targeting Health Literacy and Incorporating Cultural Humility</w:t>
      </w:r>
      <w:bookmarkEnd w:id="31"/>
      <w:r w:rsidRPr="00B87450">
        <w:rPr>
          <w:rStyle w:val="eop"/>
          <w:bCs w:val="0"/>
        </w:rPr>
        <w:t> </w:t>
      </w:r>
    </w:p>
    <w:p w14:paraId="78F70881" w14:textId="0A7E9BA4" w:rsidR="00352085" w:rsidRPr="00A655B3" w:rsidRDefault="00352085" w:rsidP="00F40CC2">
      <w:pPr>
        <w:pStyle w:val="paragraph"/>
        <w:spacing w:before="0" w:beforeAutospacing="0" w:after="0" w:afterAutospacing="0" w:line="480" w:lineRule="auto"/>
        <w:ind w:left="1" w:firstLine="719"/>
        <w:textAlignment w:val="baseline"/>
        <w:rPr>
          <w:rStyle w:val="eop"/>
        </w:rPr>
      </w:pPr>
      <w:r w:rsidRPr="00A655B3">
        <w:rPr>
          <w:rStyle w:val="eop"/>
        </w:rPr>
        <w:t xml:space="preserve">Health </w:t>
      </w:r>
      <w:r w:rsidR="000F1B69">
        <w:rPr>
          <w:rStyle w:val="eop"/>
        </w:rPr>
        <w:t xml:space="preserve">literacy </w:t>
      </w:r>
      <w:r w:rsidRPr="00A655B3">
        <w:rPr>
          <w:rStyle w:val="eop"/>
        </w:rPr>
        <w:t xml:space="preserve">is an essential consideration for addressing </w:t>
      </w:r>
      <w:r w:rsidR="000F1B69">
        <w:rPr>
          <w:rStyle w:val="eop"/>
        </w:rPr>
        <w:t xml:space="preserve">a community’s </w:t>
      </w:r>
      <w:r w:rsidRPr="00A655B3">
        <w:rPr>
          <w:rStyle w:val="eop"/>
        </w:rPr>
        <w:t xml:space="preserve">average educational attainment </w:t>
      </w:r>
      <w:r w:rsidR="004E0941">
        <w:rPr>
          <w:rStyle w:val="eop"/>
        </w:rPr>
        <w:t>level</w:t>
      </w:r>
      <w:r w:rsidRPr="00A655B3">
        <w:rPr>
          <w:rStyle w:val="eop"/>
        </w:rPr>
        <w:t xml:space="preserve"> and separating the skills of speaking a language and reading or writing. Some readability tests such as the Simple Measure of Gobbledygook (SMOG) assess a document’s readability by counting sentences at the beginning, middle, and end of a document </w:t>
      </w:r>
      <w:r w:rsidRPr="00A655B3">
        <w:rPr>
          <w:rStyle w:val="eop"/>
        </w:rPr>
        <w:lastRenderedPageBreak/>
        <w:t xml:space="preserve">(or the entire document if </w:t>
      </w:r>
      <w:r w:rsidR="00796FD9">
        <w:rPr>
          <w:rStyle w:val="eop"/>
        </w:rPr>
        <w:t xml:space="preserve">it is </w:t>
      </w:r>
      <w:r w:rsidRPr="00A655B3">
        <w:rPr>
          <w:rStyle w:val="eop"/>
        </w:rPr>
        <w:t xml:space="preserve">less than 30 sentences) and </w:t>
      </w:r>
      <w:proofErr w:type="spellStart"/>
      <w:r w:rsidRPr="00A655B3">
        <w:rPr>
          <w:rStyle w:val="eop"/>
        </w:rPr>
        <w:t>tally</w:t>
      </w:r>
      <w:r w:rsidR="004E0941">
        <w:rPr>
          <w:rStyle w:val="eop"/>
        </w:rPr>
        <w:t>s</w:t>
      </w:r>
      <w:proofErr w:type="spellEnd"/>
      <w:r w:rsidRPr="00A655B3">
        <w:rPr>
          <w:rStyle w:val="eop"/>
        </w:rPr>
        <w:t xml:space="preserve"> how many words in each section have </w:t>
      </w:r>
      <w:r w:rsidR="00796FD9">
        <w:rPr>
          <w:rStyle w:val="eop"/>
        </w:rPr>
        <w:t xml:space="preserve">three </w:t>
      </w:r>
      <w:r w:rsidRPr="00A655B3">
        <w:rPr>
          <w:rStyle w:val="eop"/>
        </w:rPr>
        <w:t xml:space="preserve">or more syllables. This aggregate number is then compared to a SMOG table (see Appendix </w:t>
      </w:r>
      <w:r w:rsidR="00AE50C4">
        <w:rPr>
          <w:rStyle w:val="eop"/>
        </w:rPr>
        <w:t>B</w:t>
      </w:r>
      <w:r w:rsidRPr="00A655B3">
        <w:rPr>
          <w:rStyle w:val="eop"/>
        </w:rPr>
        <w:t>)</w:t>
      </w:r>
      <w:r w:rsidR="00273D63">
        <w:rPr>
          <w:rStyle w:val="eop"/>
          <w:vertAlign w:val="superscript"/>
        </w:rPr>
        <w:t>30</w:t>
      </w:r>
      <w:r w:rsidRPr="00A655B3">
        <w:rPr>
          <w:rStyle w:val="eop"/>
        </w:rPr>
        <w:t xml:space="preserve"> which relates it to a reading grade level.</w:t>
      </w:r>
      <w:r w:rsidR="005C31E2">
        <w:rPr>
          <w:rStyle w:val="eop"/>
        </w:rPr>
        <w:t xml:space="preserve"> Being able to </w:t>
      </w:r>
      <w:r w:rsidR="00796FD9">
        <w:rPr>
          <w:rStyle w:val="eop"/>
        </w:rPr>
        <w:t xml:space="preserve">adjust for </w:t>
      </w:r>
      <w:r w:rsidR="00F97988">
        <w:rPr>
          <w:rStyle w:val="eop"/>
        </w:rPr>
        <w:t>readability is essential both for printed and electronic media to ensure that the targeted population is able to incorporate all of the information needed to inform their best health choices.</w:t>
      </w:r>
    </w:p>
    <w:p w14:paraId="22ECC63A" w14:textId="2FD55D5C" w:rsidR="00D76273" w:rsidRDefault="00352085" w:rsidP="004A6809">
      <w:pPr>
        <w:pStyle w:val="paragraph"/>
        <w:spacing w:before="0" w:beforeAutospacing="0" w:after="0" w:afterAutospacing="0" w:line="480" w:lineRule="auto"/>
        <w:ind w:firstLine="720"/>
        <w:textAlignment w:val="baseline"/>
      </w:pPr>
      <w:r w:rsidRPr="00A655B3">
        <w:rPr>
          <w:rStyle w:val="eop"/>
        </w:rPr>
        <w:t xml:space="preserve">Cultural </w:t>
      </w:r>
      <w:r w:rsidR="00796FD9">
        <w:rPr>
          <w:rStyle w:val="eop"/>
        </w:rPr>
        <w:t>h</w:t>
      </w:r>
      <w:r w:rsidRPr="00A655B3">
        <w:rPr>
          <w:rStyle w:val="eop"/>
        </w:rPr>
        <w:t>umility</w:t>
      </w:r>
      <w:r w:rsidR="001F0EE7">
        <w:rPr>
          <w:rStyle w:val="eop"/>
        </w:rPr>
        <w:t xml:space="preserve"> </w:t>
      </w:r>
      <w:r w:rsidR="00ED6648">
        <w:rPr>
          <w:rStyle w:val="eop"/>
        </w:rPr>
        <w:t xml:space="preserve">is a way of developing a process-oriented </w:t>
      </w:r>
      <w:r w:rsidR="005A1AEA">
        <w:rPr>
          <w:rStyle w:val="eop"/>
        </w:rPr>
        <w:t>approach to cultural competency. Three factors guide th</w:t>
      </w:r>
      <w:r w:rsidR="001E49EC">
        <w:rPr>
          <w:rStyle w:val="eop"/>
        </w:rPr>
        <w:t>is construct</w:t>
      </w:r>
      <w:r w:rsidR="00D26DDD">
        <w:rPr>
          <w:rStyle w:val="eop"/>
        </w:rPr>
        <w:t>:</w:t>
      </w:r>
      <w:r w:rsidR="001E49EC">
        <w:rPr>
          <w:rStyle w:val="eop"/>
        </w:rPr>
        <w:t xml:space="preserve"> </w:t>
      </w:r>
      <w:r w:rsidR="000224CA">
        <w:rPr>
          <w:rStyle w:val="eop"/>
        </w:rPr>
        <w:t>having a</w:t>
      </w:r>
      <w:r w:rsidR="001E49EC">
        <w:rPr>
          <w:rStyle w:val="eop"/>
        </w:rPr>
        <w:t xml:space="preserve"> lifelong commitment to</w:t>
      </w:r>
      <w:r w:rsidR="000224CA">
        <w:rPr>
          <w:rStyle w:val="eop"/>
        </w:rPr>
        <w:t xml:space="preserve"> learning with internal </w:t>
      </w:r>
      <w:r w:rsidR="001E49EC">
        <w:rPr>
          <w:rStyle w:val="eop"/>
        </w:rPr>
        <w:t xml:space="preserve">evaluation and critique, </w:t>
      </w:r>
      <w:r w:rsidR="007D324A">
        <w:rPr>
          <w:rStyle w:val="eop"/>
        </w:rPr>
        <w:t xml:space="preserve">inherently wanting </w:t>
      </w:r>
      <w:r w:rsidR="001E49EC">
        <w:rPr>
          <w:rStyle w:val="eop"/>
        </w:rPr>
        <w:t xml:space="preserve">to fix power imbalances that affect social determinants of health, and </w:t>
      </w:r>
      <w:r w:rsidR="007951F6">
        <w:rPr>
          <w:rStyle w:val="eop"/>
        </w:rPr>
        <w:t>developing</w:t>
      </w:r>
      <w:r w:rsidR="001E49EC">
        <w:rPr>
          <w:rStyle w:val="eop"/>
        </w:rPr>
        <w:t xml:space="preserve"> partnerships with people and groups who advocate for others</w:t>
      </w:r>
      <w:r w:rsidR="00E473ED">
        <w:rPr>
          <w:rStyle w:val="eop"/>
          <w:vertAlign w:val="superscript"/>
        </w:rPr>
        <w:t>3</w:t>
      </w:r>
      <w:r w:rsidR="00273D63">
        <w:rPr>
          <w:rStyle w:val="eop"/>
          <w:vertAlign w:val="superscript"/>
        </w:rPr>
        <w:t>1</w:t>
      </w:r>
      <w:r w:rsidR="001E49EC">
        <w:rPr>
          <w:rStyle w:val="eop"/>
        </w:rPr>
        <w:t>.</w:t>
      </w:r>
      <w:r w:rsidR="00983F70">
        <w:rPr>
          <w:rStyle w:val="eop"/>
        </w:rPr>
        <w:t xml:space="preserve"> </w:t>
      </w:r>
      <w:r w:rsidR="0036336A">
        <w:rPr>
          <w:rStyle w:val="eop"/>
        </w:rPr>
        <w:t xml:space="preserve">Integrating a </w:t>
      </w:r>
      <w:r w:rsidR="00796FD9">
        <w:rPr>
          <w:rStyle w:val="eop"/>
        </w:rPr>
        <w:t>c</w:t>
      </w:r>
      <w:r w:rsidR="0036336A">
        <w:rPr>
          <w:rStyle w:val="eop"/>
        </w:rPr>
        <w:t xml:space="preserve">ultural </w:t>
      </w:r>
      <w:r w:rsidR="00796FD9">
        <w:rPr>
          <w:rStyle w:val="eop"/>
        </w:rPr>
        <w:t>h</w:t>
      </w:r>
      <w:r w:rsidR="0036336A">
        <w:rPr>
          <w:rStyle w:val="eop"/>
        </w:rPr>
        <w:t xml:space="preserve">umility-informed approach allows the hybridization </w:t>
      </w:r>
      <w:r w:rsidR="006166D0">
        <w:rPr>
          <w:rStyle w:val="eop"/>
        </w:rPr>
        <w:t xml:space="preserve">of information </w:t>
      </w:r>
      <w:r w:rsidR="0089126A">
        <w:rPr>
          <w:rStyle w:val="eop"/>
        </w:rPr>
        <w:t>from academic research that may not be completely generalizable to the target population and complementing that research with community feedback</w:t>
      </w:r>
      <w:r w:rsidR="00BD272D">
        <w:rPr>
          <w:rStyle w:val="eop"/>
        </w:rPr>
        <w:t>.</w:t>
      </w:r>
      <w:r w:rsidR="00B578B4">
        <w:rPr>
          <w:rStyle w:val="eop"/>
        </w:rPr>
        <w:t xml:space="preserve"> Thus</w:t>
      </w:r>
      <w:r w:rsidR="00000E1A">
        <w:rPr>
          <w:rStyle w:val="eop"/>
        </w:rPr>
        <w:t>,</w:t>
      </w:r>
      <w:r w:rsidR="00B578B4">
        <w:rPr>
          <w:rStyle w:val="eop"/>
        </w:rPr>
        <w:t xml:space="preserve"> cultural humility allows a proper community assessment to be done from the top</w:t>
      </w:r>
      <w:r w:rsidR="00334F1C">
        <w:rPr>
          <w:rStyle w:val="eop"/>
        </w:rPr>
        <w:t xml:space="preserve"> </w:t>
      </w:r>
      <w:r w:rsidR="00B578B4">
        <w:rPr>
          <w:rStyle w:val="eop"/>
        </w:rPr>
        <w:t>down but</w:t>
      </w:r>
      <w:r w:rsidR="00AD29A3">
        <w:rPr>
          <w:rStyle w:val="eop"/>
        </w:rPr>
        <w:t xml:space="preserve"> that</w:t>
      </w:r>
      <w:r w:rsidR="00B578B4">
        <w:rPr>
          <w:rStyle w:val="eop"/>
        </w:rPr>
        <w:t xml:space="preserve"> is also strengthened by the contextualization of </w:t>
      </w:r>
      <w:r w:rsidR="00DE372E">
        <w:rPr>
          <w:rStyle w:val="eop"/>
        </w:rPr>
        <w:t>academic research</w:t>
      </w:r>
      <w:r w:rsidR="00B578B4">
        <w:rPr>
          <w:rStyle w:val="eop"/>
        </w:rPr>
        <w:t xml:space="preserve"> the community itself</w:t>
      </w:r>
      <w:r w:rsidR="00AD29A3">
        <w:rPr>
          <w:rStyle w:val="eop"/>
        </w:rPr>
        <w:t xml:space="preserve"> to fill in gaps in knowledge</w:t>
      </w:r>
      <w:r w:rsidRPr="00A655B3">
        <w:rPr>
          <w:rStyle w:val="eop"/>
        </w:rPr>
        <w:t xml:space="preserve">. </w:t>
      </w:r>
    </w:p>
    <w:p w14:paraId="4A15E35E" w14:textId="65C9537B" w:rsidR="00175779" w:rsidRPr="00B87450" w:rsidRDefault="00175779" w:rsidP="00B87450">
      <w:pPr>
        <w:pStyle w:val="Heading2"/>
      </w:pPr>
      <w:bookmarkStart w:id="32" w:name="_Toc39750282"/>
      <w:r w:rsidRPr="00B87450">
        <w:rPr>
          <w:noProof/>
        </w:rPr>
        <w:t>Assessing CHNA and IP Strength</w:t>
      </w:r>
      <w:bookmarkEnd w:id="32"/>
    </w:p>
    <w:p w14:paraId="7CFE8357" w14:textId="207318F8" w:rsidR="000B003C" w:rsidRDefault="00E55E59" w:rsidP="009B4D10">
      <w:pPr>
        <w:jc w:val="left"/>
      </w:pPr>
      <w:r>
        <w:tab/>
      </w:r>
      <w:r>
        <w:tab/>
      </w:r>
      <w:r>
        <w:tab/>
        <w:t>When assessing the strength of a CHNA, it</w:t>
      </w:r>
      <w:r w:rsidR="003E1F34">
        <w:t xml:space="preserve"> i</w:t>
      </w:r>
      <w:r>
        <w:t>s important to realize that the guidelines proposed by the IRS are general so that health institutions can have lat</w:t>
      </w:r>
      <w:r w:rsidR="003E1F34">
        <w:t>itude</w:t>
      </w:r>
      <w:r>
        <w:t xml:space="preserve"> to conduct a CHNA within their geographical and medical contexts. </w:t>
      </w:r>
      <w:r w:rsidR="00E23197">
        <w:t>A</w:t>
      </w:r>
      <w:r w:rsidR="009B4D10">
        <w:t>s a result,</w:t>
      </w:r>
      <w:r>
        <w:t xml:space="preserve"> some CHNAs can be ambiguously worded and not have in-depth metrics to measure the </w:t>
      </w:r>
      <w:r w:rsidR="00CB20D8">
        <w:t>impact</w:t>
      </w:r>
      <w:r>
        <w:t xml:space="preserve"> of a </w:t>
      </w:r>
      <w:r w:rsidR="00697974">
        <w:t>community-based</w:t>
      </w:r>
      <w:r w:rsidR="00CB20D8">
        <w:t xml:space="preserve"> health progra</w:t>
      </w:r>
      <w:r w:rsidR="00B35902">
        <w:t xml:space="preserve">m’s progress. </w:t>
      </w:r>
      <w:r w:rsidR="000B003C">
        <w:t xml:space="preserve">Therefore, being able to build a strong CHNA and IP with regards to kidney </w:t>
      </w:r>
      <w:r w:rsidR="000B003C">
        <w:lastRenderedPageBreak/>
        <w:t xml:space="preserve">health </w:t>
      </w:r>
      <w:r w:rsidR="003E1F34">
        <w:t>allows for integrating</w:t>
      </w:r>
      <w:r w:rsidR="000B003C">
        <w:t xml:space="preserve"> strong language</w:t>
      </w:r>
      <w:r w:rsidR="009B4D10">
        <w:t xml:space="preserve"> and surveying methodology that clearly states a dedication to kidney health along multiple disease states. For example, a CHNA could explicitly commit to improving kidney health by addressing cardiovascular illness, diabetes, obesity, and CKD along with measurable goals and metrics</w:t>
      </w:r>
      <w:r w:rsidR="00DD6C49">
        <w:t xml:space="preserve"> that</w:t>
      </w:r>
      <w:r w:rsidR="009B4D10">
        <w:t xml:space="preserve"> measure intervention impact.</w:t>
      </w:r>
    </w:p>
    <w:p w14:paraId="31F7C71D" w14:textId="6E70953A" w:rsidR="00AE1286" w:rsidRDefault="000B003C" w:rsidP="00AE1286">
      <w:pPr>
        <w:jc w:val="left"/>
      </w:pPr>
      <w:r>
        <w:t xml:space="preserve">Methodology should be assessed as well. Often, community organizations and representatives are brought on in focus groups to communicate needs that </w:t>
      </w:r>
      <w:r w:rsidR="00DD6C49">
        <w:t>usually regard necessities in managing</w:t>
      </w:r>
      <w:r>
        <w:t xml:space="preserve"> diabetes or </w:t>
      </w:r>
      <w:r w:rsidR="00DD6C49">
        <w:t>in implementing and maintaining healthy life</w:t>
      </w:r>
      <w:r>
        <w:t xml:space="preserve">style health changes but that do not extend into downstream needs. While diabetes and lifestyle changes are undoubtedly </w:t>
      </w:r>
      <w:r w:rsidR="00D75374">
        <w:t>contributing factors</w:t>
      </w:r>
      <w:r>
        <w:t xml:space="preserve"> to the development and progression of CKD, what programs are available for those who are screened positive in earlier or mid stages of CKD?</w:t>
      </w:r>
      <w:r w:rsidR="00AE1286">
        <w:t xml:space="preserve"> Further, in such focus groups, what questions are asked and how is discussion allowed to take place? Is it strictly a monologue from the community leading </w:t>
      </w:r>
      <w:r w:rsidR="00EE4369">
        <w:t xml:space="preserve">the discussion or how does the health system play into the dialogue as well? Were all data collection methodologies </w:t>
      </w:r>
      <w:r w:rsidR="008D337B">
        <w:t>of one type</w:t>
      </w:r>
      <w:r w:rsidR="00EE4369">
        <w:t xml:space="preserve"> such as solely surveys distributed through hard copies or</w:t>
      </w:r>
      <w:r w:rsidR="00737619">
        <w:t xml:space="preserve"> only</w:t>
      </w:r>
      <w:r w:rsidR="00EE4369">
        <w:t xml:space="preserve"> focus groups? How were accommodations made for handicapped individuals or for those working non-first shift jobs?</w:t>
      </w:r>
    </w:p>
    <w:p w14:paraId="31652A44" w14:textId="35C223C9" w:rsidR="00AE1286" w:rsidRPr="00763606" w:rsidRDefault="00AE1286" w:rsidP="00AE1286">
      <w:pPr>
        <w:jc w:val="left"/>
      </w:pPr>
      <w:r>
        <w:t xml:space="preserve">Did the hospital lead the CHNA and IP on </w:t>
      </w:r>
      <w:r w:rsidR="006D3C32">
        <w:t>its</w:t>
      </w:r>
      <w:r>
        <w:t xml:space="preserve"> own or did </w:t>
      </w:r>
      <w:r w:rsidR="006D3C32">
        <w:t>it</w:t>
      </w:r>
      <w:r>
        <w:t xml:space="preserve"> partner with other no</w:t>
      </w:r>
      <w:r w:rsidR="006D3C32">
        <w:t>n</w:t>
      </w:r>
      <w:r>
        <w:t xml:space="preserve">-profits and academic institutions to ensure the metrics and methodologies follow best practices? How are such practices codified or chosen as best practices? Some non-profit or governmental agencies have published recommendations on how to conduct a proper CHNA such as the CDC’s </w:t>
      </w:r>
      <w:r>
        <w:rPr>
          <w:i/>
          <w:iCs/>
        </w:rPr>
        <w:t>Community Needs Assessment Participant Workbook</w:t>
      </w:r>
      <w:r>
        <w:t xml:space="preserve"> (2013)</w:t>
      </w:r>
      <w:r w:rsidR="00DE464F">
        <w:rPr>
          <w:vertAlign w:val="superscript"/>
        </w:rPr>
        <w:t>32</w:t>
      </w:r>
      <w:r w:rsidR="00763606">
        <w:t xml:space="preserve">. This document specifically helps to situate CHNA changes into </w:t>
      </w:r>
      <w:r w:rsidR="00925DAC">
        <w:t>three</w:t>
      </w:r>
      <w:r w:rsidR="00763606">
        <w:t xml:space="preserve"> separate domains: Policy Change, System Change, and Environmental Change before providing guidance on how to conduct a proper CHN</w:t>
      </w:r>
      <w:r w:rsidR="002C210C">
        <w:t>A and mobilize learned information into a community action plan.</w:t>
      </w:r>
    </w:p>
    <w:p w14:paraId="09277675" w14:textId="6C05EADF" w:rsidR="00175779" w:rsidRDefault="00175779" w:rsidP="00AE1286">
      <w:pPr>
        <w:ind w:firstLine="0"/>
        <w:rPr>
          <w:b/>
          <w:bCs/>
        </w:rPr>
      </w:pPr>
    </w:p>
    <w:p w14:paraId="3CD1511F" w14:textId="11AD4B8B" w:rsidR="00546FE7" w:rsidRPr="00B87450" w:rsidRDefault="00522D19" w:rsidP="00B87450">
      <w:pPr>
        <w:pStyle w:val="Heading2"/>
      </w:pPr>
      <w:bookmarkStart w:id="33" w:name="_Toc39750283"/>
      <w:r w:rsidRPr="00B87450">
        <w:lastRenderedPageBreak/>
        <w:t xml:space="preserve">Weaknesses and </w:t>
      </w:r>
      <w:r w:rsidR="00546FE7" w:rsidRPr="00B87450">
        <w:t>Limitations</w:t>
      </w:r>
      <w:bookmarkEnd w:id="33"/>
    </w:p>
    <w:p w14:paraId="41152CE8" w14:textId="69920686" w:rsidR="00E629FF" w:rsidRPr="00E629FF" w:rsidRDefault="00F25868" w:rsidP="00F25868">
      <w:r w:rsidRPr="00A655B3">
        <w:rPr>
          <w:b/>
          <w:bCs/>
        </w:rPr>
        <w:tab/>
      </w:r>
      <w:r w:rsidR="00E629FF">
        <w:t>The strategy for analyzing CHNAs came from a</w:t>
      </w:r>
      <w:r w:rsidR="009525F0">
        <w:t xml:space="preserve">n initial mission </w:t>
      </w:r>
      <w:r w:rsidR="00E629FF">
        <w:t>to analyze not-for-profit hospitals</w:t>
      </w:r>
      <w:r w:rsidR="00E82ABE">
        <w:t xml:space="preserve">’ programs regarding transplantation and associated education. While for-profit hospitals are not exempt from being able to create a CHNA and IP, they are not by law required to do so because they </w:t>
      </w:r>
      <w:r w:rsidR="00796FD9">
        <w:t xml:space="preserve">cannot receive </w:t>
      </w:r>
      <w:r w:rsidR="00D85CA4">
        <w:t>not-for-profit designations from the IRS. Some research indicate</w:t>
      </w:r>
      <w:r w:rsidR="00796FD9">
        <w:t>s</w:t>
      </w:r>
      <w:r w:rsidR="00D85CA4">
        <w:t xml:space="preserve"> that the median time to kidney transplantation may</w:t>
      </w:r>
      <w:r w:rsidR="00BB003C">
        <w:t xml:space="preserve"> be</w:t>
      </w:r>
      <w:r w:rsidR="00D85CA4">
        <w:t xml:space="preserve"> </w:t>
      </w:r>
      <w:r w:rsidR="00796FD9">
        <w:t xml:space="preserve">longer </w:t>
      </w:r>
      <w:r w:rsidR="00BB003C">
        <w:t>in</w:t>
      </w:r>
      <w:r w:rsidR="00D85CA4">
        <w:t xml:space="preserve"> for-profit hospitals in part due to the revenue that is generat</w:t>
      </w:r>
      <w:r w:rsidR="00796FD9">
        <w:t>ed</w:t>
      </w:r>
      <w:r w:rsidR="00D85CA4">
        <w:t xml:space="preserve"> from keeping a patient on dialysis </w:t>
      </w:r>
      <w:r w:rsidR="00796FD9">
        <w:t xml:space="preserve">rather than providing </w:t>
      </w:r>
      <w:r w:rsidR="00D85CA4">
        <w:t xml:space="preserve">a transplant at the earliest </w:t>
      </w:r>
      <w:r w:rsidR="00E327DF">
        <w:t>possible date</w:t>
      </w:r>
      <w:r w:rsidR="00E3584C">
        <w:rPr>
          <w:vertAlign w:val="superscript"/>
        </w:rPr>
        <w:t>3</w:t>
      </w:r>
      <w:r w:rsidR="00853A9E">
        <w:rPr>
          <w:vertAlign w:val="superscript"/>
        </w:rPr>
        <w:t>3</w:t>
      </w:r>
      <w:r w:rsidR="00D85CA4">
        <w:t xml:space="preserve">. </w:t>
      </w:r>
    </w:p>
    <w:p w14:paraId="5D5FD101" w14:textId="20B9CDDD" w:rsidR="00D76273" w:rsidRPr="00E73A09" w:rsidRDefault="00F25868" w:rsidP="00E73A09">
      <w:pPr>
        <w:rPr>
          <w:bCs/>
        </w:rPr>
      </w:pPr>
      <w:r w:rsidRPr="00A655B3">
        <w:rPr>
          <w:bCs/>
        </w:rPr>
        <w:t xml:space="preserve">One significant limitation when it came to evaluating the success of either the MOTTEP or NKF model is that they </w:t>
      </w:r>
      <w:r w:rsidR="00055BE4">
        <w:rPr>
          <w:bCs/>
        </w:rPr>
        <w:t>d</w:t>
      </w:r>
      <w:r w:rsidR="00F2150F">
        <w:rPr>
          <w:bCs/>
        </w:rPr>
        <w:t>id</w:t>
      </w:r>
      <w:r w:rsidR="00C128F4">
        <w:rPr>
          <w:bCs/>
        </w:rPr>
        <w:t xml:space="preserve"> often</w:t>
      </w:r>
      <w:r w:rsidR="00055BE4">
        <w:rPr>
          <w:bCs/>
        </w:rPr>
        <w:t xml:space="preserve"> not </w:t>
      </w:r>
      <w:r w:rsidRPr="00A655B3">
        <w:rPr>
          <w:bCs/>
        </w:rPr>
        <w:t xml:space="preserve">have </w:t>
      </w:r>
      <w:r w:rsidR="00055BE4">
        <w:rPr>
          <w:bCs/>
        </w:rPr>
        <w:t xml:space="preserve">evaluations that </w:t>
      </w:r>
      <w:r w:rsidR="00511968">
        <w:rPr>
          <w:bCs/>
        </w:rPr>
        <w:t>we</w:t>
      </w:r>
      <w:r w:rsidR="00055BE4">
        <w:rPr>
          <w:bCs/>
        </w:rPr>
        <w:t xml:space="preserve">re </w:t>
      </w:r>
      <w:r w:rsidRPr="00A655B3">
        <w:rPr>
          <w:bCs/>
        </w:rPr>
        <w:t>peer-reviewed</w:t>
      </w:r>
      <w:r w:rsidR="002E624C">
        <w:rPr>
          <w:bCs/>
        </w:rPr>
        <w:t>. I</w:t>
      </w:r>
      <w:r w:rsidRPr="00A655B3">
        <w:rPr>
          <w:bCs/>
        </w:rPr>
        <w:t xml:space="preserve">n NKF’s case, </w:t>
      </w:r>
      <w:r w:rsidR="00A33EA6">
        <w:rPr>
          <w:bCs/>
        </w:rPr>
        <w:t>it</w:t>
      </w:r>
      <w:r w:rsidRPr="00A655B3">
        <w:rPr>
          <w:bCs/>
        </w:rPr>
        <w:t xml:space="preserve"> sometimes publish</w:t>
      </w:r>
      <w:r w:rsidR="00A33EA6">
        <w:rPr>
          <w:bCs/>
        </w:rPr>
        <w:t>es</w:t>
      </w:r>
      <w:r w:rsidRPr="00A655B3">
        <w:rPr>
          <w:bCs/>
        </w:rPr>
        <w:t xml:space="preserve"> guidelines in academic journals which are then critiqued, but MOTTEP’s academically reviewed evaluations are written by the organization’s founder, Clive Callender.</w:t>
      </w:r>
    </w:p>
    <w:p w14:paraId="357EE00A" w14:textId="69E4ECB4" w:rsidR="00D76273" w:rsidRPr="00A655B3" w:rsidRDefault="00752B70" w:rsidP="00F25868">
      <w:pPr>
        <w:jc w:val="left"/>
        <w:rPr>
          <w:b/>
          <w:bCs/>
        </w:rPr>
      </w:pPr>
      <w:r w:rsidRPr="00752B70">
        <w:t xml:space="preserve">Being able </w:t>
      </w:r>
      <w:r>
        <w:t xml:space="preserve">to draw inferences about a medical institution’s ability to provide proper kidney-related care is assumed based on </w:t>
      </w:r>
      <w:r w:rsidR="00246A55">
        <w:t>its transplantation</w:t>
      </w:r>
      <w:r>
        <w:t xml:space="preserve"> </w:t>
      </w:r>
      <w:r w:rsidR="00246A55">
        <w:t>volume</w:t>
      </w:r>
      <w:r>
        <w:t xml:space="preserve"> instead of assessing many commonly used quality measures such as </w:t>
      </w:r>
      <w:r w:rsidR="007C0282">
        <w:t xml:space="preserve">prestigious, well-rated nephrologists, the ratings of its chronic disease management programs, hospital-related ratings from Hospital Compare, or patient ratings. In addition, </w:t>
      </w:r>
      <w:r w:rsidR="00717398">
        <w:t>kidney transplantation does not always relate to geography in that prestigious</w:t>
      </w:r>
      <w:r w:rsidR="00780340">
        <w:t xml:space="preserve"> high performing institutions may develop a name for transplantation volume but whether those transplant recipients come from the surrounding community or not and how the provision of care before and after such transplants were not evaluated. A</w:t>
      </w:r>
      <w:r w:rsidR="00796771">
        <w:t>n</w:t>
      </w:r>
      <w:r w:rsidR="00780340">
        <w:t xml:space="preserve"> assumption was made that </w:t>
      </w:r>
      <w:r w:rsidR="00CC245D">
        <w:t xml:space="preserve">since the top 10 highest kidney transplanting hospitals were from urban areas, </w:t>
      </w:r>
      <w:r w:rsidR="00796771">
        <w:t xml:space="preserve">the community </w:t>
      </w:r>
      <w:r w:rsidR="00B17612">
        <w:t>it serves</w:t>
      </w:r>
      <w:r w:rsidR="00CC245D">
        <w:t xml:space="preserve"> is </w:t>
      </w:r>
      <w:r w:rsidR="00CC245D">
        <w:rPr>
          <w:i/>
          <w:iCs/>
        </w:rPr>
        <w:t>primarily</w:t>
      </w:r>
      <w:r w:rsidR="00CC245D">
        <w:t xml:space="preserve"> the urban community</w:t>
      </w:r>
      <w:r w:rsidR="00796771">
        <w:t xml:space="preserve"> where it is located.</w:t>
      </w:r>
    </w:p>
    <w:p w14:paraId="6E22D85B" w14:textId="3B63EC2E" w:rsidR="00546FE7" w:rsidRDefault="00546FE7" w:rsidP="00B87450">
      <w:pPr>
        <w:pStyle w:val="Heading1"/>
      </w:pPr>
      <w:bookmarkStart w:id="34" w:name="_Toc39750284"/>
      <w:r w:rsidRPr="00A655B3">
        <w:lastRenderedPageBreak/>
        <w:t>Conclusions</w:t>
      </w:r>
      <w:bookmarkEnd w:id="34"/>
    </w:p>
    <w:p w14:paraId="1A442AE2" w14:textId="169E7A40" w:rsidR="00FB2ACA" w:rsidRDefault="00B223B8" w:rsidP="00B223B8">
      <w:pPr>
        <w:jc w:val="left"/>
      </w:pPr>
      <w:r>
        <w:t xml:space="preserve">By evaluating the CHNAs from the top 10 highest kidney-transplanting medical centers, it was discovered that </w:t>
      </w:r>
      <w:r w:rsidR="001C1901">
        <w:t>explicit mentioning of kidney transplantation</w:t>
      </w:r>
      <w:r w:rsidR="006042C1">
        <w:t xml:space="preserve"> programs, education pertaining to kidney transplantation as a treatment option, and </w:t>
      </w:r>
      <w:r w:rsidR="0074247B">
        <w:t>education aimed towards CKD and ESRD chronic kidney disease is severely lacking.</w:t>
      </w:r>
      <w:r w:rsidR="00FB2ACA">
        <w:t xml:space="preserve"> The business </w:t>
      </w:r>
      <w:r w:rsidR="00F51A28">
        <w:t xml:space="preserve">case </w:t>
      </w:r>
      <w:r w:rsidR="00FB2ACA">
        <w:t xml:space="preserve">for health institutions to implement programs regarding community care of kidney disease comes across two main avenues being that </w:t>
      </w:r>
      <w:r w:rsidR="00E062EB">
        <w:t>(a) hospitals are required to</w:t>
      </w:r>
      <w:r w:rsidR="00FB2ACA">
        <w:t xml:space="preserve"> conduct robust CHNA and IP analyses</w:t>
      </w:r>
      <w:r w:rsidR="00E062EB">
        <w:t xml:space="preserve"> to maintain not-for-profit designations and that (b)</w:t>
      </w:r>
      <w:r w:rsidR="00FB2ACA">
        <w:t xml:space="preserve"> it would potentially drive down avoidable costs.</w:t>
      </w:r>
    </w:p>
    <w:p w14:paraId="2B67941C" w14:textId="5C7DC703" w:rsidR="00B223B8" w:rsidRDefault="0074247B" w:rsidP="00B223B8">
      <w:pPr>
        <w:jc w:val="left"/>
      </w:pPr>
      <w:r>
        <w:t xml:space="preserve">Therefore, after </w:t>
      </w:r>
      <w:r w:rsidR="00F51A28">
        <w:t xml:space="preserve">identifying </w:t>
      </w:r>
      <w:r>
        <w:t xml:space="preserve">two national non-profit organizations in the form the Minority Organ and Tissue Transplantation Education Program and </w:t>
      </w:r>
      <w:r w:rsidR="00D01172">
        <w:t xml:space="preserve">National Kidney Foundation as models that emulate </w:t>
      </w:r>
      <w:r w:rsidR="00697974">
        <w:t>community-based</w:t>
      </w:r>
      <w:r w:rsidR="00D01172">
        <w:t xml:space="preserve"> educational programs, recommendations </w:t>
      </w:r>
      <w:r w:rsidR="0036270D">
        <w:t>in the form of best practice</w:t>
      </w:r>
      <w:r w:rsidR="00D01172">
        <w:t xml:space="preserve"> strategies </w:t>
      </w:r>
      <w:r w:rsidR="0036270D">
        <w:t xml:space="preserve">are offered which medical institutions are encouraged to integrate into </w:t>
      </w:r>
      <w:r w:rsidR="00697974">
        <w:t>community-based</w:t>
      </w:r>
      <w:r w:rsidR="0036270D">
        <w:t xml:space="preserve"> interventions to ensure a sustainable partnership with the community it desires to work within.</w:t>
      </w:r>
      <w:r w:rsidR="00D01172">
        <w:t xml:space="preserve"> </w:t>
      </w:r>
    </w:p>
    <w:p w14:paraId="0C6FB6D8" w14:textId="2B7362F5" w:rsidR="002C4DD7" w:rsidRDefault="001152BC" w:rsidP="00E56CD9">
      <w:pPr>
        <w:jc w:val="left"/>
        <w:sectPr w:rsidR="002C4DD7" w:rsidSect="006158D6">
          <w:pgSz w:w="12240" w:h="15840"/>
          <w:pgMar w:top="1440" w:right="1440" w:bottom="1260" w:left="1440" w:header="720" w:footer="720" w:gutter="0"/>
          <w:pgNumType w:start="1"/>
          <w:cols w:space="720"/>
          <w:docGrid w:linePitch="360"/>
        </w:sectPr>
      </w:pPr>
      <w:r>
        <w:t xml:space="preserve">In order to best form a successful intervention, it is </w:t>
      </w:r>
      <w:r w:rsidR="004831D9">
        <w:t xml:space="preserve">crucial for the healthcare system to develop a trusting collaboration with the communities they want to target by </w:t>
      </w:r>
      <w:r w:rsidR="00575A4A">
        <w:t xml:space="preserve">listening to their needs and complementing a community’s needs with their specialized capacity to provide </w:t>
      </w:r>
      <w:r w:rsidR="007564C3">
        <w:t xml:space="preserve">culturally humble work. Some ways to achieve this is to establish and </w:t>
      </w:r>
      <w:r w:rsidR="00D91268">
        <w:t>empower a</w:t>
      </w:r>
      <w:r w:rsidR="007564C3">
        <w:t xml:space="preserve"> Community Advisory Board to ensure that the community voice(s) are consistently heard </w:t>
      </w:r>
      <w:r w:rsidR="00D91268">
        <w:t xml:space="preserve">and that the interventions or programs are able to </w:t>
      </w:r>
      <w:r w:rsidR="00F611C2">
        <w:t>account for and integrate this c</w:t>
      </w:r>
      <w:r w:rsidR="00E506AF">
        <w:t>ritical feedback. The use of community health workers can</w:t>
      </w:r>
      <w:r w:rsidR="00C20609">
        <w:t xml:space="preserve"> help</w:t>
      </w:r>
      <w:r w:rsidR="00997C75">
        <w:t xml:space="preserve"> bridge a healthcare system </w:t>
      </w:r>
      <w:r w:rsidR="00806525">
        <w:t>to</w:t>
      </w:r>
      <w:r w:rsidR="00997C75">
        <w:t xml:space="preserve"> communities </w:t>
      </w:r>
      <w:r w:rsidR="000C5247">
        <w:t>with high levels of medical</w:t>
      </w:r>
      <w:r w:rsidR="00997C75">
        <w:t xml:space="preserve"> mistrust</w:t>
      </w:r>
      <w:r w:rsidR="000C5247">
        <w:t xml:space="preserve"> or bilingualism</w:t>
      </w:r>
      <w:r w:rsidR="00997C75">
        <w:t xml:space="preserve"> by leveraging their cultural capital</w:t>
      </w:r>
      <w:r w:rsidR="00806525">
        <w:t xml:space="preserve"> and understanding of how </w:t>
      </w:r>
      <w:r w:rsidR="00806525">
        <w:lastRenderedPageBreak/>
        <w:t>the communities they participate in operate and leverage its resources.</w:t>
      </w:r>
      <w:r w:rsidR="00997C75">
        <w:t xml:space="preserve"> </w:t>
      </w:r>
      <w:r w:rsidR="00E506AF">
        <w:t xml:space="preserve">Finally, by targeting health literacy </w:t>
      </w:r>
      <w:r w:rsidR="000C0B7C">
        <w:t>deficits</w:t>
      </w:r>
      <w:r w:rsidR="00E506AF">
        <w:t xml:space="preserve"> within a community, </w:t>
      </w:r>
      <w:r w:rsidR="000C0B7C">
        <w:t>a programmatic intervention is more likely to be</w:t>
      </w:r>
      <w:r w:rsidR="00997C75">
        <w:t xml:space="preserve"> understood,</w:t>
      </w:r>
      <w:r w:rsidR="000C0B7C">
        <w:t xml:space="preserve"> adhered to</w:t>
      </w:r>
      <w:r w:rsidR="00997C75">
        <w:t>,</w:t>
      </w:r>
      <w:r w:rsidR="000C0B7C">
        <w:t xml:space="preserve"> and</w:t>
      </w:r>
      <w:r w:rsidR="00997C75">
        <w:t xml:space="preserve"> thus</w:t>
      </w:r>
      <w:r w:rsidR="000C0B7C">
        <w:t xml:space="preserve"> have a lasting</w:t>
      </w:r>
      <w:r w:rsidR="00806525">
        <w:t xml:space="preserve"> positive</w:t>
      </w:r>
      <w:r w:rsidR="000C0B7C">
        <w:t xml:space="preserve"> outcome</w:t>
      </w:r>
      <w:r w:rsidR="00806525">
        <w:t>.</w:t>
      </w:r>
      <w:bookmarkEnd w:id="12"/>
      <w:bookmarkEnd w:id="13"/>
      <w:bookmarkEnd w:id="14"/>
    </w:p>
    <w:p w14:paraId="10789320" w14:textId="6DA9A46C" w:rsidR="002C4DD7" w:rsidRPr="00B87450" w:rsidRDefault="002C4DD7" w:rsidP="00B87450">
      <w:pPr>
        <w:pStyle w:val="Appendix"/>
      </w:pPr>
      <w:bookmarkStart w:id="35" w:name="_Toc39750285"/>
      <w:r w:rsidRPr="00B87450">
        <w:lastRenderedPageBreak/>
        <w:t xml:space="preserve">Data </w:t>
      </w:r>
      <w:r w:rsidR="00C84F56" w:rsidRPr="00B87450">
        <w:t>Figures</w:t>
      </w:r>
      <w:bookmarkEnd w:id="35"/>
    </w:p>
    <w:p w14:paraId="08980AD6" w14:textId="77777777" w:rsidR="00BC5D6A" w:rsidRDefault="001D309C" w:rsidP="00BC5D6A">
      <w:pPr>
        <w:pStyle w:val="ListParagraph"/>
        <w:ind w:left="-720" w:firstLine="0"/>
        <w:jc w:val="center"/>
      </w:pPr>
      <w:r w:rsidRPr="001D309C">
        <w:rPr>
          <w:noProof/>
        </w:rPr>
        <w:drawing>
          <wp:inline distT="0" distB="0" distL="0" distR="0" wp14:anchorId="1E43BA18" wp14:editId="3A1072F1">
            <wp:extent cx="6010275" cy="2850707"/>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0275" cy="2850707"/>
                    </a:xfrm>
                    <a:prstGeom prst="rect">
                      <a:avLst/>
                    </a:prstGeom>
                    <a:noFill/>
                    <a:ln>
                      <a:noFill/>
                    </a:ln>
                  </pic:spPr>
                </pic:pic>
              </a:graphicData>
            </a:graphic>
          </wp:inline>
        </w:drawing>
      </w:r>
    </w:p>
    <w:p w14:paraId="13A66909" w14:textId="637D7A5F" w:rsidR="00BC5D6A" w:rsidRDefault="00E67E7F" w:rsidP="00E67E7F">
      <w:pPr>
        <w:pStyle w:val="Caption"/>
      </w:pPr>
      <w:bookmarkStart w:id="36" w:name="_Toc39751372"/>
      <w:r>
        <w:t xml:space="preserve">Appendix </w:t>
      </w:r>
      <w:r w:rsidR="00C00DEB">
        <w:t xml:space="preserve">A </w:t>
      </w:r>
      <w:r>
        <w:t xml:space="preserve">Figure </w:t>
      </w:r>
      <w:r>
        <w:fldChar w:fldCharType="begin"/>
      </w:r>
      <w:r>
        <w:instrText xml:space="preserve"> SEQ Appendix_Figure \* ARABIC </w:instrText>
      </w:r>
      <w:r>
        <w:fldChar w:fldCharType="separate"/>
      </w:r>
      <w:r w:rsidR="000A6B46">
        <w:t>1</w:t>
      </w:r>
      <w:r>
        <w:fldChar w:fldCharType="end"/>
      </w:r>
      <w:r>
        <w:t>: Total Transplants vs. Kidney Transplants and % Transplants that are Kidney Transplants</w:t>
      </w:r>
      <w:bookmarkEnd w:id="36"/>
    </w:p>
    <w:p w14:paraId="31E01E34" w14:textId="1BEC9E52" w:rsidR="00C00DEB" w:rsidRPr="00C00DEB" w:rsidRDefault="00AE7AFD" w:rsidP="00777BA6">
      <w:pPr>
        <w:pStyle w:val="ListParagraph"/>
        <w:ind w:left="-720" w:firstLine="0"/>
        <w:jc w:val="center"/>
      </w:pPr>
      <w:r w:rsidRPr="00AE7AFD">
        <w:t>Data from</w:t>
      </w:r>
      <w:r>
        <w:t xml:space="preserve"> OPTN was analyzed to produce the proportion of kidney transplants that are performed compared to the annual total</w:t>
      </w:r>
      <w:r w:rsidR="00777BA6">
        <w:t>. Kidney transplants have consistently accounted for ~60% of annual transplants.</w:t>
      </w:r>
      <w:r w:rsidRPr="00AE7AFD">
        <w:rPr>
          <w:vertAlign w:val="superscript"/>
        </w:rPr>
        <w:t xml:space="preserve"> </w:t>
      </w:r>
      <w:r w:rsidR="00C00DEB" w:rsidRPr="00AE7AFD">
        <w:rPr>
          <w:vertAlign w:val="superscript"/>
        </w:rPr>
        <w:t>32</w:t>
      </w:r>
    </w:p>
    <w:p w14:paraId="77A91328" w14:textId="5EF6AD5E" w:rsidR="002F1E61" w:rsidRPr="002C4DD7" w:rsidRDefault="00045D85" w:rsidP="00AF2EEB">
      <w:pPr>
        <w:sectPr w:rsidR="002F1E61" w:rsidRPr="002C4DD7" w:rsidSect="00B87450">
          <w:footerReference w:type="default" r:id="rId18"/>
          <w:pgSz w:w="15840" w:h="12240" w:orient="landscape"/>
          <w:pgMar w:top="1440" w:right="1440" w:bottom="1440" w:left="1440" w:header="720" w:footer="432" w:gutter="0"/>
          <w:pgNumType w:start="29"/>
          <w:cols w:space="720"/>
          <w:docGrid w:linePitch="360"/>
        </w:sectPr>
      </w:pPr>
      <w:r>
        <w:tab/>
      </w:r>
    </w:p>
    <w:p w14:paraId="1F987C45" w14:textId="39B63AB7" w:rsidR="009936FB" w:rsidRPr="00C00DEB" w:rsidRDefault="00CD1430" w:rsidP="00C00DEB">
      <w:pPr>
        <w:pStyle w:val="Appendix"/>
      </w:pPr>
      <w:bookmarkStart w:id="37" w:name="_Toc39750286"/>
      <w:r w:rsidRPr="00C00DEB">
        <w:lastRenderedPageBreak/>
        <w:t>SMOG Chart</w:t>
      </w:r>
      <w:bookmarkEnd w:id="37"/>
      <w:r w:rsidR="00036E2C">
        <w:t xml:space="preserve"> Examples</w:t>
      </w:r>
    </w:p>
    <w:p w14:paraId="605D8628" w14:textId="5E918FB5" w:rsidR="005D10C8" w:rsidRDefault="005D10C8" w:rsidP="005D10C8">
      <w:r>
        <w:rPr>
          <w:noProof/>
        </w:rPr>
        <w:drawing>
          <wp:inline distT="0" distB="0" distL="0" distR="0" wp14:anchorId="0440953A" wp14:editId="768F4A1E">
            <wp:extent cx="5172710" cy="4097866"/>
            <wp:effectExtent l="0" t="0" r="8890" b="0"/>
            <wp:docPr id="8" name="Picture 8"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OG charts.jpg"/>
                    <pic:cNvPicPr/>
                  </pic:nvPicPr>
                  <pic:blipFill rotWithShape="1">
                    <a:blip r:embed="rId19">
                      <a:extLst>
                        <a:ext uri="{28A0092B-C50C-407E-A947-70E740481C1C}">
                          <a14:useLocalDpi xmlns:a14="http://schemas.microsoft.com/office/drawing/2010/main" val="0"/>
                        </a:ext>
                      </a:extLst>
                    </a:blip>
                    <a:srcRect t="2156" r="5971" b="2990"/>
                    <a:stretch/>
                  </pic:blipFill>
                  <pic:spPr bwMode="auto">
                    <a:xfrm>
                      <a:off x="0" y="0"/>
                      <a:ext cx="5173133" cy="4098201"/>
                    </a:xfrm>
                    <a:prstGeom prst="rect">
                      <a:avLst/>
                    </a:prstGeom>
                    <a:ln>
                      <a:noFill/>
                    </a:ln>
                    <a:extLst>
                      <a:ext uri="{53640926-AAD7-44D8-BBD7-CCE9431645EC}">
                        <a14:shadowObscured xmlns:a14="http://schemas.microsoft.com/office/drawing/2010/main"/>
                      </a:ext>
                    </a:extLst>
                  </pic:spPr>
                </pic:pic>
              </a:graphicData>
            </a:graphic>
          </wp:inline>
        </w:drawing>
      </w:r>
    </w:p>
    <w:p w14:paraId="51816D33" w14:textId="38A22697" w:rsidR="00122D8C" w:rsidRDefault="00122D8C" w:rsidP="00122D8C">
      <w:pPr>
        <w:pStyle w:val="Caption"/>
      </w:pPr>
      <w:r>
        <w:t xml:space="preserve">Appendix B Figure </w:t>
      </w:r>
      <w:r>
        <w:fldChar w:fldCharType="begin"/>
      </w:r>
      <w:r>
        <w:instrText xml:space="preserve"> SEQ Appendix_B_Figure \* ARABIC </w:instrText>
      </w:r>
      <w:r>
        <w:fldChar w:fldCharType="separate"/>
      </w:r>
      <w:r w:rsidR="000A6B46">
        <w:t>1</w:t>
      </w:r>
      <w:r>
        <w:fldChar w:fldCharType="end"/>
      </w:r>
      <w:r>
        <w:t>: SMOG Charts</w:t>
      </w:r>
    </w:p>
    <w:p w14:paraId="6C3A5DDD" w14:textId="6D470FB9" w:rsidR="005D10C8" w:rsidRPr="002F1E61" w:rsidRDefault="005D10C8" w:rsidP="002F1E61">
      <w:pPr>
        <w:ind w:firstLine="0"/>
        <w:rPr>
          <w:sz w:val="20"/>
          <w:szCs w:val="20"/>
        </w:rPr>
      </w:pPr>
      <w:r w:rsidRPr="002F1E61">
        <w:rPr>
          <w:sz w:val="20"/>
          <w:szCs w:val="20"/>
        </w:rPr>
        <w:t xml:space="preserve">More information on how to conduct the readability test can be found here: </w:t>
      </w:r>
      <w:hyperlink r:id="rId20" w:history="1">
        <w:r w:rsidR="00B13B01" w:rsidRPr="002F1E61">
          <w:rPr>
            <w:rStyle w:val="Hyperlink"/>
            <w:sz w:val="20"/>
            <w:szCs w:val="20"/>
          </w:rPr>
          <w:t>http://aspiruslibrary.org/literacy/SMOG%20Readability%20Formula.pdf</w:t>
        </w:r>
      </w:hyperlink>
    </w:p>
    <w:p w14:paraId="19E8338E" w14:textId="77777777" w:rsidR="00B13B01" w:rsidRDefault="00B13B01" w:rsidP="005D10C8"/>
    <w:p w14:paraId="5AFD1D51" w14:textId="7321EA61" w:rsidR="000C1ECB" w:rsidRPr="00A655B3" w:rsidRDefault="000C1ECB" w:rsidP="000C1ECB">
      <w:pPr>
        <w:pStyle w:val="Appendix"/>
        <w:numPr>
          <w:ilvl w:val="0"/>
          <w:numId w:val="0"/>
        </w:numPr>
      </w:pPr>
      <w:bookmarkStart w:id="38" w:name="_Toc8115848"/>
      <w:bookmarkStart w:id="39" w:name="_Toc39750287"/>
      <w:r>
        <w:lastRenderedPageBreak/>
        <w:t xml:space="preserve">Appendix </w:t>
      </w:r>
      <w:bookmarkEnd w:id="38"/>
      <w:r w:rsidR="00AE50C4">
        <w:t>C</w:t>
      </w:r>
      <w:r>
        <w:t xml:space="preserve"> </w:t>
      </w:r>
      <w:r>
        <w:rPr>
          <w:noProof/>
        </w:rPr>
        <w:t>OPTN Acknowledgement of Data Usage</w:t>
      </w:r>
      <w:bookmarkEnd w:id="39"/>
      <w:r>
        <w:t xml:space="preserve"> </w:t>
      </w:r>
    </w:p>
    <w:p w14:paraId="3B5A9853" w14:textId="247A182E" w:rsidR="000C1ECB" w:rsidRPr="00201656" w:rsidRDefault="000C1ECB" w:rsidP="000C1ECB">
      <w:pPr>
        <w:ind w:firstLine="0"/>
        <w:rPr>
          <w:b/>
          <w:bCs/>
        </w:rPr>
      </w:pPr>
      <w:r>
        <w:rPr>
          <w:b/>
          <w:bCs/>
        </w:rPr>
        <w:t>OPTN Acknowledgement:</w:t>
      </w:r>
    </w:p>
    <w:p w14:paraId="1D927136" w14:textId="4232E049" w:rsidR="000C1ECB" w:rsidRPr="00201656" w:rsidRDefault="000C1ECB" w:rsidP="000C1ECB">
      <w:pPr>
        <w:ind w:firstLine="1"/>
        <w:rPr>
          <w:color w:val="000000"/>
          <w:shd w:val="clear" w:color="auto" w:fill="FFFFFF"/>
        </w:rPr>
      </w:pPr>
      <w:r w:rsidRPr="00201656">
        <w:rPr>
          <w:color w:val="000000"/>
          <w:shd w:val="clear" w:color="auto" w:fill="FFFFFF"/>
        </w:rPr>
        <w:t>This work was supported in part by Health Resources and Services Administration contract 234-2005-37011C. The content is the responsibility of the authors alone and does not necessarily reflect the views or policies of the Department of Health and Human Services, nor does mention of trade names, commercial products, or organizations imply endorsement by the U.S. Government</w:t>
      </w:r>
      <w:r w:rsidR="00AE7AFD">
        <w:rPr>
          <w:color w:val="000000"/>
          <w:shd w:val="clear" w:color="auto" w:fill="FFFFFF"/>
          <w:vertAlign w:val="superscript"/>
        </w:rPr>
        <w:t>34</w:t>
      </w:r>
      <w:r w:rsidRPr="00201656">
        <w:rPr>
          <w:color w:val="000000"/>
          <w:shd w:val="clear" w:color="auto" w:fill="FFFFFF"/>
        </w:rPr>
        <w:t>.</w:t>
      </w:r>
    </w:p>
    <w:p w14:paraId="0AC24C7D" w14:textId="77777777" w:rsidR="000C1ECB" w:rsidRDefault="000C1ECB">
      <w:pPr>
        <w:spacing w:line="240" w:lineRule="auto"/>
        <w:ind w:firstLine="0"/>
        <w:jc w:val="left"/>
        <w:rPr>
          <w:b/>
          <w:noProof/>
        </w:rPr>
      </w:pPr>
    </w:p>
    <w:p w14:paraId="4DE792B6" w14:textId="77777777" w:rsidR="001C5B28" w:rsidRPr="00A655B3" w:rsidRDefault="001C5B28" w:rsidP="00AE000E">
      <w:pPr>
        <w:pStyle w:val="CaptionDescription"/>
        <w:jc w:val="left"/>
        <w:rPr>
          <w:vanish/>
          <w:sz w:val="24"/>
          <w:specVanish/>
        </w:rPr>
      </w:pPr>
    </w:p>
    <w:p w14:paraId="2914F604" w14:textId="493CD1CB" w:rsidR="00DA5BA8" w:rsidRPr="00A655B3" w:rsidRDefault="00D96DC8" w:rsidP="00DA5BA8">
      <w:pPr>
        <w:pStyle w:val="Heading"/>
        <w:rPr>
          <w:rFonts w:cs="Times New Roman"/>
        </w:rPr>
      </w:pPr>
      <w:bookmarkStart w:id="40" w:name="_Toc8115852"/>
      <w:bookmarkStart w:id="41" w:name="_Toc39750288"/>
      <w:r>
        <w:rPr>
          <w:rFonts w:cs="Times New Roman"/>
        </w:rPr>
        <w:lastRenderedPageBreak/>
        <w:t>Bib</w:t>
      </w:r>
      <w:r w:rsidR="00DA5BA8" w:rsidRPr="00A655B3">
        <w:rPr>
          <w:rFonts w:cs="Times New Roman"/>
        </w:rPr>
        <w:t>liography</w:t>
      </w:r>
      <w:bookmarkEnd w:id="40"/>
      <w:bookmarkEnd w:id="41"/>
    </w:p>
    <w:p w14:paraId="08336C86" w14:textId="6C91B826" w:rsidR="00831894" w:rsidRDefault="00C52CBE" w:rsidP="00991755">
      <w:pPr>
        <w:pStyle w:val="Footer"/>
        <w:tabs>
          <w:tab w:val="clear" w:pos="4320"/>
          <w:tab w:val="center" w:pos="540"/>
        </w:tabs>
        <w:spacing w:line="240" w:lineRule="auto"/>
        <w:ind w:left="720" w:hanging="720"/>
        <w:jc w:val="left"/>
      </w:pPr>
      <w:r>
        <w:t xml:space="preserve">1. </w:t>
      </w:r>
      <w:r w:rsidR="00831894">
        <w:t xml:space="preserve">National Kidney Foundation. Report of National Kidney Foundation Consensus Conference to Decrease Kidney Discards. </w:t>
      </w:r>
      <w:r w:rsidR="00831894" w:rsidRPr="00E37205">
        <w:t>https://www.kidney.org/news/report-national-kidney-foundation-consensus-conference-to-decrease-kidney-discards</w:t>
      </w:r>
      <w:r w:rsidR="00831894">
        <w:t>. Published Oct 22 2018. Accessed Mar 10 2020.</w:t>
      </w:r>
    </w:p>
    <w:p w14:paraId="76208D80" w14:textId="77777777" w:rsidR="00991755" w:rsidRDefault="00991755" w:rsidP="00991755">
      <w:pPr>
        <w:pStyle w:val="Footer"/>
        <w:tabs>
          <w:tab w:val="clear" w:pos="4320"/>
          <w:tab w:val="center" w:pos="540"/>
        </w:tabs>
        <w:spacing w:line="240" w:lineRule="auto"/>
        <w:ind w:left="720" w:hanging="720"/>
        <w:jc w:val="left"/>
      </w:pPr>
    </w:p>
    <w:p w14:paraId="37D716D0" w14:textId="1845C9E0" w:rsidR="00831894" w:rsidRDefault="00C52CBE" w:rsidP="009134CC">
      <w:pPr>
        <w:pStyle w:val="paragraph"/>
        <w:spacing w:before="0" w:beforeAutospacing="0" w:after="0" w:afterAutospacing="0"/>
        <w:ind w:left="720" w:hanging="719"/>
        <w:textAlignment w:val="baseline"/>
      </w:pPr>
      <w:r>
        <w:t xml:space="preserve">2. </w:t>
      </w:r>
      <w:r w:rsidR="00C20DD4">
        <w:t xml:space="preserve">Community Health Needs Assessment for Charitable Hospital Organizations – Section </w:t>
      </w:r>
      <w:r w:rsidR="00C20DD4">
        <w:tab/>
        <w:t xml:space="preserve">501(r)(3). Internal Revenue Service. </w:t>
      </w:r>
      <w:r w:rsidR="00C20DD4" w:rsidRPr="00E37205">
        <w:t>https://www.irs.gov/charities-non-profits/community-health-needs-assessment-for-charitable-hospital-organizations-section-501r3</w:t>
      </w:r>
      <w:r w:rsidR="00C20DD4">
        <w:t>. Updated Sep 20 2020. Accessed Mar 7 2020.</w:t>
      </w:r>
    </w:p>
    <w:p w14:paraId="381A8D24" w14:textId="77777777" w:rsidR="00991755" w:rsidRDefault="00991755" w:rsidP="00991755">
      <w:pPr>
        <w:pStyle w:val="paragraph"/>
        <w:spacing w:before="0" w:beforeAutospacing="0" w:after="0" w:afterAutospacing="0"/>
        <w:ind w:left="1080"/>
        <w:textAlignment w:val="baseline"/>
      </w:pPr>
    </w:p>
    <w:p w14:paraId="40E0B1D5" w14:textId="4072C7F9" w:rsidR="00C143CC" w:rsidRDefault="00C52CBE" w:rsidP="00C143CC">
      <w:pPr>
        <w:pStyle w:val="paragraph"/>
        <w:spacing w:before="0" w:beforeAutospacing="0" w:after="0" w:afterAutospacing="0"/>
        <w:ind w:left="720" w:hanging="720"/>
        <w:textAlignment w:val="baseline"/>
      </w:pPr>
      <w:r>
        <w:t xml:space="preserve">3. </w:t>
      </w:r>
      <w:r w:rsidR="00C143CC">
        <w:t xml:space="preserve">Community Health Needs Assessment (CHNA). HPSA Acumen. </w:t>
      </w:r>
      <w:r w:rsidR="00C143CC" w:rsidRPr="00E37205">
        <w:t>https://hpsa.us/services/chna/community-health-needs-assessment-chna/</w:t>
      </w:r>
      <w:r w:rsidR="00C143CC">
        <w:t>. Accessed Mar 15 2020.</w:t>
      </w:r>
    </w:p>
    <w:p w14:paraId="518E474C" w14:textId="77777777" w:rsidR="007B67DF" w:rsidRDefault="007B67DF" w:rsidP="007B67DF">
      <w:pPr>
        <w:pStyle w:val="paragraph"/>
        <w:spacing w:before="0" w:beforeAutospacing="0" w:after="0" w:afterAutospacing="0"/>
        <w:textAlignment w:val="baseline"/>
      </w:pPr>
    </w:p>
    <w:p w14:paraId="100D570F" w14:textId="3F404EA7" w:rsidR="00831894" w:rsidRDefault="00C52CBE" w:rsidP="009134CC">
      <w:pPr>
        <w:pStyle w:val="paragraph"/>
        <w:spacing w:before="0" w:beforeAutospacing="0" w:after="0" w:afterAutospacing="0"/>
        <w:ind w:left="720" w:hanging="720"/>
        <w:textAlignment w:val="baseline"/>
      </w:pPr>
      <w:r>
        <w:t>4</w:t>
      </w:r>
      <w:r w:rsidR="00BB661B" w:rsidRPr="00BB661B">
        <w:t xml:space="preserve"> </w:t>
      </w:r>
      <w:r w:rsidR="00BB661B">
        <w:t xml:space="preserve">Morrisey, Michael A et al. Do Nonprofit Hospitals Pay Their Way? </w:t>
      </w:r>
      <w:r w:rsidR="00BB661B">
        <w:rPr>
          <w:i/>
          <w:iCs/>
        </w:rPr>
        <w:t>Health Affairs</w:t>
      </w:r>
      <w:r w:rsidR="00BB661B">
        <w:t xml:space="preserve">. 1996:15(4):132-144. </w:t>
      </w:r>
      <w:r w:rsidR="00BB661B" w:rsidRPr="00E37205">
        <w:t>https://www.healthaffairs.org/doi/full/10.1377/hlthaff.15.4.132</w:t>
      </w:r>
      <w:r w:rsidR="00BB661B">
        <w:t xml:space="preserve"> Accessed Mar 16 2020.</w:t>
      </w:r>
    </w:p>
    <w:p w14:paraId="053CDD52" w14:textId="77777777" w:rsidR="007B67DF" w:rsidRDefault="007B67DF" w:rsidP="007B67DF">
      <w:pPr>
        <w:pStyle w:val="paragraph"/>
        <w:spacing w:before="0" w:beforeAutospacing="0" w:after="0" w:afterAutospacing="0"/>
        <w:ind w:left="1080"/>
        <w:textAlignment w:val="baseline"/>
      </w:pPr>
    </w:p>
    <w:p w14:paraId="263FB550" w14:textId="2C68CEFC" w:rsidR="00D950CD" w:rsidRDefault="00C52CBE" w:rsidP="00D950CD">
      <w:pPr>
        <w:pStyle w:val="Footer"/>
        <w:spacing w:line="240" w:lineRule="auto"/>
        <w:ind w:left="720" w:hanging="720"/>
        <w:jc w:val="left"/>
      </w:pPr>
      <w:r>
        <w:t>5</w:t>
      </w:r>
      <w:r w:rsidR="00D950CD">
        <w:t>.</w:t>
      </w:r>
      <w:r w:rsidR="00D950CD" w:rsidRPr="00D950CD">
        <w:t xml:space="preserve"> </w:t>
      </w:r>
      <w:r w:rsidR="00D950CD">
        <w:t xml:space="preserve">United States Renal Data System. Chapter 9: Healthcare Expenditures for Persons with ESRD. </w:t>
      </w:r>
      <w:r w:rsidR="00D950CD" w:rsidRPr="00E37205">
        <w:t>https://www.usrds.org/2018/view/v2_09.aspx</w:t>
      </w:r>
      <w:r w:rsidR="00D950CD">
        <w:t>. Accessed Mar 10 2020.</w:t>
      </w:r>
    </w:p>
    <w:p w14:paraId="6B1B0CC5" w14:textId="77777777" w:rsidR="007B67DF" w:rsidRDefault="007B67DF" w:rsidP="007B67DF">
      <w:pPr>
        <w:pStyle w:val="paragraph"/>
        <w:spacing w:before="0" w:beforeAutospacing="0" w:after="0" w:afterAutospacing="0"/>
        <w:textAlignment w:val="baseline"/>
      </w:pPr>
    </w:p>
    <w:p w14:paraId="04FC463D" w14:textId="7CFB72B2" w:rsidR="00831894" w:rsidRDefault="00C52CBE" w:rsidP="007B67DF">
      <w:pPr>
        <w:pStyle w:val="paragraph"/>
        <w:spacing w:before="0" w:beforeAutospacing="0" w:after="0" w:afterAutospacing="0"/>
        <w:ind w:left="720" w:hanging="720"/>
        <w:textAlignment w:val="baseline"/>
      </w:pPr>
      <w:r>
        <w:t xml:space="preserve">6. </w:t>
      </w:r>
      <w:r w:rsidR="00831894">
        <w:t xml:space="preserve">Kidney Disease Statistics for the United States. National Institute of Diabetes and Digestive and Kidney Diseases. </w:t>
      </w:r>
      <w:r w:rsidR="00831894" w:rsidRPr="00E37205">
        <w:t>https://www.niddk.nih.gov/health-information/health-statistics/kidney-disease</w:t>
      </w:r>
      <w:r w:rsidR="00831894">
        <w:t>. Posted Dec 2016. Accessed Mar 15 2020</w:t>
      </w:r>
    </w:p>
    <w:p w14:paraId="3222FCFE" w14:textId="77777777" w:rsidR="007B67DF" w:rsidRDefault="007B67DF" w:rsidP="007B67DF">
      <w:pPr>
        <w:pStyle w:val="paragraph"/>
        <w:spacing w:before="0" w:beforeAutospacing="0" w:after="0" w:afterAutospacing="0"/>
        <w:textAlignment w:val="baseline"/>
      </w:pPr>
    </w:p>
    <w:p w14:paraId="67FE1A7D" w14:textId="77777777" w:rsidR="00AD3CFD" w:rsidRDefault="00C52CBE" w:rsidP="00AD3CFD">
      <w:pPr>
        <w:pStyle w:val="paragraph"/>
        <w:spacing w:before="0" w:beforeAutospacing="0" w:after="0" w:afterAutospacing="0"/>
        <w:ind w:left="810" w:hanging="810"/>
        <w:textAlignment w:val="baseline"/>
      </w:pPr>
      <w:r>
        <w:t>7</w:t>
      </w:r>
      <w:r w:rsidRPr="002F338C">
        <w:t xml:space="preserve">. </w:t>
      </w:r>
      <w:r w:rsidR="00AD3CFD">
        <w:t xml:space="preserve">Hall, Yoshio N. Social Determinants of Health: Addressing Unmet Needs in Nephrology. </w:t>
      </w:r>
      <w:r w:rsidR="00AD3CFD">
        <w:rPr>
          <w:i/>
          <w:iCs/>
        </w:rPr>
        <w:t>American Journal of Kidney Diseases</w:t>
      </w:r>
      <w:r w:rsidR="00AD3CFD">
        <w:t xml:space="preserve">. 2018:72(4):582-591. </w:t>
      </w:r>
      <w:proofErr w:type="spellStart"/>
      <w:r w:rsidR="00AD3CFD">
        <w:t>doi</w:t>
      </w:r>
      <w:proofErr w:type="spellEnd"/>
      <w:r w:rsidR="00AD3CFD">
        <w:t>: 10.1053/j.ajkd.2017.12.2016. Accessed April 14 2020.</w:t>
      </w:r>
    </w:p>
    <w:p w14:paraId="6898F923" w14:textId="5E651C5E" w:rsidR="00AD3CFD" w:rsidRDefault="00AD3CFD" w:rsidP="002F338C">
      <w:pPr>
        <w:pStyle w:val="Footer"/>
        <w:spacing w:line="240" w:lineRule="auto"/>
        <w:ind w:left="720" w:hanging="720"/>
        <w:jc w:val="left"/>
      </w:pPr>
    </w:p>
    <w:p w14:paraId="44FCEB20" w14:textId="213AA247" w:rsidR="00F160CD" w:rsidRPr="00164663" w:rsidRDefault="00AD3CFD" w:rsidP="00F160CD">
      <w:pPr>
        <w:spacing w:line="240" w:lineRule="auto"/>
        <w:ind w:left="720" w:hanging="720"/>
        <w:rPr>
          <w:highlight w:val="yellow"/>
        </w:rPr>
      </w:pPr>
      <w:r>
        <w:t xml:space="preserve">8. </w:t>
      </w:r>
      <w:r w:rsidR="00F160CD" w:rsidRPr="00164663">
        <w:t xml:space="preserve">Bronfenbrenner, </w:t>
      </w:r>
      <w:proofErr w:type="spellStart"/>
      <w:r w:rsidR="00F160CD" w:rsidRPr="00164663">
        <w:t>Urie</w:t>
      </w:r>
      <w:proofErr w:type="spellEnd"/>
      <w:r w:rsidR="00F160CD" w:rsidRPr="00164663">
        <w:t>. Toward an Experimental Ecology of Human Development. American Psychologist. 1977;32(7):513-531. DOI:10.1037/0003-066X.32.7.513.</w:t>
      </w:r>
    </w:p>
    <w:p w14:paraId="0C4B6F63" w14:textId="77777777" w:rsidR="00F160CD" w:rsidRDefault="00F160CD" w:rsidP="002F338C">
      <w:pPr>
        <w:pStyle w:val="Footer"/>
        <w:spacing w:line="240" w:lineRule="auto"/>
        <w:ind w:left="720" w:hanging="720"/>
        <w:jc w:val="left"/>
      </w:pPr>
    </w:p>
    <w:p w14:paraId="434F6DDE" w14:textId="763D83A2" w:rsidR="002F338C" w:rsidRPr="009B272F" w:rsidRDefault="00F160CD" w:rsidP="002F338C">
      <w:pPr>
        <w:pStyle w:val="Footer"/>
        <w:spacing w:line="240" w:lineRule="auto"/>
        <w:ind w:left="720" w:hanging="720"/>
        <w:jc w:val="left"/>
        <w:rPr>
          <w:highlight w:val="yellow"/>
        </w:rPr>
      </w:pPr>
      <w:r>
        <w:t xml:space="preserve">9. </w:t>
      </w:r>
      <w:r w:rsidR="002F338C" w:rsidRPr="002F338C">
        <w:t xml:space="preserve">Transplant: </w:t>
      </w:r>
      <w:r w:rsidR="00397898">
        <w:t>Donor type by Transplant Center</w:t>
      </w:r>
      <w:r w:rsidR="00EE0B83">
        <w:t xml:space="preserve">. </w:t>
      </w:r>
      <w:r w:rsidR="002F338C" w:rsidRPr="002F338C">
        <w:t xml:space="preserve">Transplants Performed: January 1, 1988 – February 27, 2020. Based on Data as of February 27, 2020. Built using: </w:t>
      </w:r>
      <w:r w:rsidR="002F338C" w:rsidRPr="00E37205">
        <w:t>https://optn.transplant.hrsa.gov/data/view-data-reports/build-advanced/</w:t>
      </w:r>
      <w:r w:rsidR="002F338C" w:rsidRPr="002F338C">
        <w:t xml:space="preserve"> Created February 27, 2020. Data Category: Transplant, Report Column: Donor Type (2 items), Report Rows: Transplant Center (350 items), </w:t>
      </w:r>
      <w:r w:rsidR="002F338C" w:rsidRPr="002F338C">
        <w:rPr>
          <w:i/>
          <w:iCs/>
        </w:rPr>
        <w:t>Optional options</w:t>
      </w:r>
      <w:r w:rsidR="002F338C" w:rsidRPr="002F338C">
        <w:t>: Organ: Kidney, Year: 2018.</w:t>
      </w:r>
    </w:p>
    <w:p w14:paraId="52773C41" w14:textId="77777777" w:rsidR="002F338C" w:rsidRDefault="002F338C" w:rsidP="007B67DF">
      <w:pPr>
        <w:pStyle w:val="paragraph"/>
        <w:spacing w:before="0" w:beforeAutospacing="0" w:after="0" w:afterAutospacing="0"/>
        <w:ind w:left="720" w:hanging="720"/>
        <w:textAlignment w:val="baseline"/>
      </w:pPr>
    </w:p>
    <w:p w14:paraId="5D1F41BD" w14:textId="6D2DD1E4" w:rsidR="00831894" w:rsidRDefault="00F160CD" w:rsidP="007B67DF">
      <w:pPr>
        <w:pStyle w:val="paragraph"/>
        <w:spacing w:before="0" w:beforeAutospacing="0" w:after="0" w:afterAutospacing="0"/>
        <w:ind w:left="720" w:hanging="720"/>
        <w:textAlignment w:val="baseline"/>
      </w:pPr>
      <w:r>
        <w:lastRenderedPageBreak/>
        <w:t>10</w:t>
      </w:r>
      <w:r w:rsidR="002F338C">
        <w:t xml:space="preserve">. </w:t>
      </w:r>
      <w:r w:rsidR="00831894">
        <w:t>Jackson Health System Community Health Needs Assessment 2017. Health Council of South Florida.</w:t>
      </w:r>
      <w:r w:rsidR="00831894" w:rsidRPr="00E37205">
        <w:t>https://jacksonhealth.org/library/reports/2017-CHNA-report.pdf</w:t>
      </w:r>
      <w:r w:rsidR="00831894">
        <w:t>. Accessed Mar 7 2020.</w:t>
      </w:r>
    </w:p>
    <w:p w14:paraId="1C6D8B59" w14:textId="77777777" w:rsidR="007B67DF" w:rsidRDefault="007B67DF" w:rsidP="007B67DF">
      <w:pPr>
        <w:pStyle w:val="paragraph"/>
        <w:spacing w:before="0" w:beforeAutospacing="0" w:after="0" w:afterAutospacing="0"/>
        <w:textAlignment w:val="baseline"/>
      </w:pPr>
    </w:p>
    <w:p w14:paraId="1329D69D" w14:textId="599B0B02" w:rsidR="00831894" w:rsidRDefault="00AD3CFD" w:rsidP="007B67DF">
      <w:pPr>
        <w:pStyle w:val="paragraph"/>
        <w:spacing w:before="0" w:beforeAutospacing="0" w:after="0" w:afterAutospacing="0"/>
        <w:ind w:left="720" w:hanging="720"/>
        <w:textAlignment w:val="baseline"/>
      </w:pPr>
      <w:r>
        <w:t>1</w:t>
      </w:r>
      <w:r w:rsidR="00F160CD">
        <w:t>1</w:t>
      </w:r>
      <w:r w:rsidR="00C52CBE">
        <w:t xml:space="preserve">. </w:t>
      </w:r>
      <w:r w:rsidR="00831894">
        <w:t xml:space="preserve">Ronald Reagan UCLA Medical Center Community Health Needs Assessment 2019. UCLA Health. </w:t>
      </w:r>
      <w:r w:rsidR="00831894" w:rsidRPr="00E37205">
        <w:t>https://www.uclahealth.org/Workfiles/CHNA/Ronald-Reagan-2019-CHNA.pdf</w:t>
      </w:r>
      <w:r w:rsidR="00831894">
        <w:t>. Accessed Mar 7 2020.</w:t>
      </w:r>
    </w:p>
    <w:p w14:paraId="6A7B166F" w14:textId="77777777" w:rsidR="00936B51" w:rsidRDefault="00936B51" w:rsidP="007B67DF">
      <w:pPr>
        <w:pStyle w:val="paragraph"/>
        <w:spacing w:before="0" w:beforeAutospacing="0" w:after="0" w:afterAutospacing="0"/>
        <w:ind w:left="720" w:hanging="720"/>
        <w:textAlignment w:val="baseline"/>
      </w:pPr>
    </w:p>
    <w:p w14:paraId="6B329439" w14:textId="497D47D8" w:rsidR="004D3A16" w:rsidRDefault="002F338C" w:rsidP="0018516F">
      <w:pPr>
        <w:pStyle w:val="paragraph"/>
        <w:spacing w:before="0" w:beforeAutospacing="0" w:after="0" w:afterAutospacing="0"/>
        <w:ind w:left="810" w:hanging="810"/>
        <w:textAlignment w:val="baseline"/>
      </w:pPr>
      <w:r>
        <w:t>1</w:t>
      </w:r>
      <w:r w:rsidR="00F160CD">
        <w:t>2</w:t>
      </w:r>
      <w:r w:rsidR="00C52CBE">
        <w:t xml:space="preserve">. </w:t>
      </w:r>
      <w:r w:rsidR="00831894">
        <w:t xml:space="preserve">Community Health Needs Assessment. San Francisco Health Improvement Partnership. </w:t>
      </w:r>
      <w:r w:rsidR="004D3A16" w:rsidRPr="00E37205">
        <w:t>https://drive.google.com/file/d/1tHNl4BKq7nR4r_TunKaMh9nVFr3NR3FH/view</w:t>
      </w:r>
    </w:p>
    <w:p w14:paraId="4F25D740" w14:textId="0ABD8417" w:rsidR="00936B51" w:rsidRDefault="00831894" w:rsidP="004D3A16">
      <w:pPr>
        <w:pStyle w:val="paragraph"/>
        <w:spacing w:before="0" w:beforeAutospacing="0" w:after="0" w:afterAutospacing="0"/>
        <w:ind w:left="1620" w:hanging="809"/>
        <w:textAlignment w:val="baseline"/>
      </w:pPr>
      <w:r>
        <w:t>November 2019. Accessed Mar 7 2020.</w:t>
      </w:r>
    </w:p>
    <w:p w14:paraId="4306DE94" w14:textId="77777777" w:rsidR="00936B51" w:rsidRDefault="00936B51" w:rsidP="00936B51">
      <w:pPr>
        <w:pStyle w:val="paragraph"/>
        <w:spacing w:before="0" w:beforeAutospacing="0" w:after="0" w:afterAutospacing="0"/>
        <w:textAlignment w:val="baseline"/>
      </w:pPr>
    </w:p>
    <w:p w14:paraId="7409A53D" w14:textId="333F1449" w:rsidR="00831894" w:rsidRDefault="00C52CBE" w:rsidP="00936B51">
      <w:pPr>
        <w:pStyle w:val="paragraph"/>
        <w:spacing w:before="0" w:beforeAutospacing="0" w:after="0" w:afterAutospacing="0"/>
        <w:ind w:left="720" w:hanging="720"/>
        <w:textAlignment w:val="baseline"/>
      </w:pPr>
      <w:r>
        <w:t>1</w:t>
      </w:r>
      <w:r w:rsidR="00F160CD">
        <w:t>3</w:t>
      </w:r>
      <w:r>
        <w:t xml:space="preserve">. </w:t>
      </w:r>
      <w:r w:rsidR="00831894">
        <w:t xml:space="preserve">Maricopa County Coordinated Community Health Needs Assessment. SYNAPSE and Maricopa County Public Health. </w:t>
      </w:r>
      <w:r w:rsidR="00831894" w:rsidRPr="00BC62DD">
        <w:t>https://communityengagement.mayoclinic.org/wp-content/uploads/2019/12/2019-CHNAMayoAZ-1.pdf</w:t>
      </w:r>
      <w:r w:rsidR="00831894">
        <w:t xml:space="preserve">. Published Jun 21 2020. Accessed Mar 7 2020. </w:t>
      </w:r>
    </w:p>
    <w:p w14:paraId="51128B3D" w14:textId="77777777" w:rsidR="00936B51" w:rsidRDefault="00936B51" w:rsidP="00936B51">
      <w:pPr>
        <w:pStyle w:val="paragraph"/>
        <w:spacing w:before="0" w:beforeAutospacing="0" w:after="0" w:afterAutospacing="0"/>
        <w:textAlignment w:val="baseline"/>
      </w:pPr>
    </w:p>
    <w:p w14:paraId="3114FE96" w14:textId="70D97E8D" w:rsidR="00831894" w:rsidRDefault="00C52CBE" w:rsidP="00936B51">
      <w:pPr>
        <w:pStyle w:val="paragraph"/>
        <w:spacing w:before="0" w:beforeAutospacing="0" w:after="0" w:afterAutospacing="0"/>
        <w:ind w:left="720" w:hanging="720"/>
        <w:textAlignment w:val="baseline"/>
      </w:pPr>
      <w:r>
        <w:t>1</w:t>
      </w:r>
      <w:r w:rsidR="00F160CD">
        <w:t>4</w:t>
      </w:r>
      <w:r>
        <w:t xml:space="preserve">. </w:t>
      </w:r>
      <w:r w:rsidR="00831894">
        <w:t xml:space="preserve">Methodist Hospital Specialty and Transplant Community Health Needs Assessment and Implementation Strategy. </w:t>
      </w:r>
      <w:r w:rsidR="00831894" w:rsidRPr="00BC62DD">
        <w:t>https://sahealth.com/util/forms/community/2020/508_Methodist-Hospital-Specialty-and-Transplant-2020-2022-Community-Health-Improvement-Plan.pdf</w:t>
      </w:r>
      <w:r w:rsidR="00831894">
        <w:t>. Accessed Mar 7 2020.</w:t>
      </w:r>
    </w:p>
    <w:p w14:paraId="7AB90A0C" w14:textId="77777777" w:rsidR="00936B51" w:rsidRDefault="00936B51" w:rsidP="00936B51">
      <w:pPr>
        <w:pStyle w:val="paragraph"/>
        <w:spacing w:before="0" w:beforeAutospacing="0" w:after="0" w:afterAutospacing="0"/>
        <w:textAlignment w:val="baseline"/>
      </w:pPr>
    </w:p>
    <w:p w14:paraId="0D7789DA" w14:textId="57CEF55C" w:rsidR="00831894" w:rsidRDefault="00C52CBE" w:rsidP="007768FA">
      <w:pPr>
        <w:pStyle w:val="paragraph"/>
        <w:spacing w:before="0" w:beforeAutospacing="0" w:after="0" w:afterAutospacing="0"/>
        <w:ind w:left="810" w:hanging="810"/>
        <w:textAlignment w:val="baseline"/>
      </w:pPr>
      <w:r>
        <w:t>1</w:t>
      </w:r>
      <w:r w:rsidR="00F160CD">
        <w:t>5</w:t>
      </w:r>
      <w:r>
        <w:t xml:space="preserve">. </w:t>
      </w:r>
      <w:r w:rsidR="00831894">
        <w:t xml:space="preserve">2019 Community Health Needs Assessment &amp; Implementation Plan. Emory Healthcare. </w:t>
      </w:r>
      <w:r w:rsidR="00831894" w:rsidRPr="00BC62DD">
        <w:t>https://www.emoryhealthcare.org/ui/pdfs/community/ehc-chna-2019.pdf</w:t>
      </w:r>
      <w:r w:rsidR="00831894">
        <w:t>. August 2019. Accessed Mar 7 2020.</w:t>
      </w:r>
    </w:p>
    <w:p w14:paraId="6732E18D" w14:textId="77777777" w:rsidR="007768FA" w:rsidRDefault="007768FA" w:rsidP="007768FA">
      <w:pPr>
        <w:pStyle w:val="paragraph"/>
        <w:spacing w:before="0" w:beforeAutospacing="0" w:after="0" w:afterAutospacing="0"/>
        <w:textAlignment w:val="baseline"/>
      </w:pPr>
    </w:p>
    <w:p w14:paraId="3DF01D01" w14:textId="690BF28C" w:rsidR="00831894" w:rsidRDefault="00C52CBE" w:rsidP="007768FA">
      <w:pPr>
        <w:pStyle w:val="paragraph"/>
        <w:spacing w:before="0" w:beforeAutospacing="0" w:after="0" w:afterAutospacing="0"/>
        <w:ind w:left="720" w:hanging="720"/>
        <w:textAlignment w:val="baseline"/>
      </w:pPr>
      <w:r>
        <w:t>1</w:t>
      </w:r>
      <w:r w:rsidR="00F160CD">
        <w:t>6</w:t>
      </w:r>
      <w:r>
        <w:t xml:space="preserve">. </w:t>
      </w:r>
      <w:r w:rsidR="00831894">
        <w:t xml:space="preserve">2019-2021 Dane County, Wisconsin Community Health Needs Assessment. Healthy Dane Collaborative. </w:t>
      </w:r>
      <w:r w:rsidR="00831894" w:rsidRPr="00BC62DD">
        <w:t>https://www.uwhealth.org/files/uwhealth/docs/pdf6/UW%20Health%202019-2021%20CHNA_FINAL.pdf</w:t>
      </w:r>
      <w:r w:rsidR="00831894">
        <w:t xml:space="preserve">. Accessed Mar 7 2020. </w:t>
      </w:r>
    </w:p>
    <w:p w14:paraId="6F8F07B4" w14:textId="77777777" w:rsidR="007768FA" w:rsidRDefault="007768FA" w:rsidP="007768FA">
      <w:pPr>
        <w:pStyle w:val="paragraph"/>
        <w:spacing w:before="0" w:beforeAutospacing="0" w:after="0" w:afterAutospacing="0"/>
        <w:textAlignment w:val="baseline"/>
      </w:pPr>
    </w:p>
    <w:p w14:paraId="3F957AAB" w14:textId="2AD27218" w:rsidR="00831894" w:rsidRDefault="00C52CBE" w:rsidP="007768FA">
      <w:pPr>
        <w:pStyle w:val="paragraph"/>
        <w:spacing w:before="0" w:beforeAutospacing="0" w:after="0" w:afterAutospacing="0"/>
        <w:ind w:left="720" w:hanging="720"/>
        <w:textAlignment w:val="baseline"/>
      </w:pPr>
      <w:r>
        <w:t>1</w:t>
      </w:r>
      <w:r w:rsidR="00F160CD">
        <w:t>7</w:t>
      </w:r>
      <w:r>
        <w:t xml:space="preserve">. </w:t>
      </w:r>
      <w:r w:rsidR="00831894">
        <w:t xml:space="preserve">2019 Community Health Needs Assessment of Sacramento County. UC Davis Health. </w:t>
      </w:r>
      <w:r w:rsidR="00F160CD" w:rsidRPr="00BC62DD">
        <w:t>https://health.ucdavis.edu/community_relations/pdf/Community-Health-Needs-Assessment.pdf</w:t>
      </w:r>
      <w:r w:rsidR="00831894">
        <w:t xml:space="preserve">. Accessed Mar 7 2020. </w:t>
      </w:r>
    </w:p>
    <w:p w14:paraId="47D44655" w14:textId="77777777" w:rsidR="007768FA" w:rsidRDefault="007768FA" w:rsidP="007768FA">
      <w:pPr>
        <w:pStyle w:val="paragraph"/>
        <w:spacing w:before="0" w:beforeAutospacing="0" w:after="0" w:afterAutospacing="0"/>
        <w:textAlignment w:val="baseline"/>
      </w:pPr>
    </w:p>
    <w:p w14:paraId="648FBAA6" w14:textId="7F105919" w:rsidR="00831894" w:rsidRDefault="00C52CBE" w:rsidP="007768FA">
      <w:pPr>
        <w:pStyle w:val="paragraph"/>
        <w:spacing w:before="0" w:beforeAutospacing="0" w:after="0" w:afterAutospacing="0"/>
        <w:ind w:left="720" w:hanging="720"/>
        <w:textAlignment w:val="baseline"/>
      </w:pPr>
      <w:r>
        <w:t>1</w:t>
      </w:r>
      <w:r w:rsidR="00F160CD">
        <w:t>8</w:t>
      </w:r>
      <w:r>
        <w:t xml:space="preserve">. </w:t>
      </w:r>
      <w:r w:rsidR="00831894">
        <w:t xml:space="preserve">Community Health Needs Assessment Saint Barnabas Medical Center 2019. RWJ Barnabas Health: Saint Barnabas Medical Center. </w:t>
      </w:r>
      <w:r w:rsidR="00831894" w:rsidRPr="00BC62DD">
        <w:t>https://www.rwjbh.org/documents/community-health-needs-assessment/SBMC-CHNA-1219.pdf</w:t>
      </w:r>
      <w:r w:rsidR="00831894">
        <w:t xml:space="preserve">. Accessed Mar 7 2020. </w:t>
      </w:r>
    </w:p>
    <w:p w14:paraId="56133F74" w14:textId="77777777" w:rsidR="007768FA" w:rsidRDefault="007768FA" w:rsidP="007768FA">
      <w:pPr>
        <w:pStyle w:val="paragraph"/>
        <w:spacing w:before="0" w:beforeAutospacing="0" w:after="0" w:afterAutospacing="0"/>
        <w:textAlignment w:val="baseline"/>
      </w:pPr>
    </w:p>
    <w:p w14:paraId="390BE92D" w14:textId="6196BF20" w:rsidR="007768FA" w:rsidRDefault="00C52CBE" w:rsidP="007768FA">
      <w:pPr>
        <w:pStyle w:val="paragraph"/>
        <w:spacing w:before="0" w:beforeAutospacing="0" w:after="0" w:afterAutospacing="0"/>
        <w:ind w:left="720" w:hanging="720"/>
        <w:textAlignment w:val="baseline"/>
      </w:pPr>
      <w:r>
        <w:t>1</w:t>
      </w:r>
      <w:r w:rsidR="00F160CD">
        <w:t>9</w:t>
      </w:r>
      <w:r>
        <w:t xml:space="preserve">. </w:t>
      </w:r>
      <w:r w:rsidR="00831894">
        <w:t xml:space="preserve">Community Health Needs Assessment 2019. UAB Medicine. </w:t>
      </w:r>
      <w:r w:rsidR="00831894" w:rsidRPr="00BC62DD">
        <w:t>https://www.uabmedicine.org/documents/142028/185199/CHNA+UAB+2019_FINAL+Approved.pdf/0634e584-3ac6-fdb9-9262-5f33c4a0cbdd</w:t>
      </w:r>
      <w:r w:rsidR="00831894">
        <w:t>. Accessed Mar 7 2020.</w:t>
      </w:r>
    </w:p>
    <w:p w14:paraId="2C89FEBB" w14:textId="77777777" w:rsidR="007768FA" w:rsidRDefault="007768FA" w:rsidP="007768FA">
      <w:pPr>
        <w:pStyle w:val="paragraph"/>
        <w:spacing w:before="0" w:beforeAutospacing="0" w:after="0" w:afterAutospacing="0"/>
        <w:ind w:left="720" w:hanging="720"/>
        <w:textAlignment w:val="baseline"/>
      </w:pPr>
    </w:p>
    <w:p w14:paraId="7689CC59" w14:textId="77777777" w:rsidR="00F160CD" w:rsidRDefault="00F160CD" w:rsidP="007768FA">
      <w:pPr>
        <w:spacing w:line="240" w:lineRule="auto"/>
        <w:ind w:left="720" w:hanging="720"/>
        <w:jc w:val="left"/>
        <w:rPr>
          <w:color w:val="000000"/>
          <w:lang w:val="es-PE"/>
        </w:rPr>
      </w:pPr>
    </w:p>
    <w:p w14:paraId="4E3A08B7" w14:textId="55A946F8" w:rsidR="00831894" w:rsidRPr="007768FA" w:rsidRDefault="00AD3CFD" w:rsidP="007768FA">
      <w:pPr>
        <w:spacing w:line="240" w:lineRule="auto"/>
        <w:ind w:left="720" w:hanging="720"/>
        <w:jc w:val="left"/>
        <w:rPr>
          <w:color w:val="000000"/>
        </w:rPr>
      </w:pPr>
      <w:r>
        <w:rPr>
          <w:color w:val="000000"/>
          <w:lang w:val="es-PE"/>
        </w:rPr>
        <w:lastRenderedPageBreak/>
        <w:t>20</w:t>
      </w:r>
      <w:r w:rsidR="00C52CBE" w:rsidRPr="00EC184B">
        <w:rPr>
          <w:color w:val="000000"/>
          <w:lang w:val="es-PE"/>
        </w:rPr>
        <w:t xml:space="preserve">. </w:t>
      </w:r>
      <w:r w:rsidR="00831894" w:rsidRPr="00EC184B">
        <w:rPr>
          <w:color w:val="000000"/>
          <w:lang w:val="es-PE"/>
        </w:rPr>
        <w:t xml:space="preserve">Callender, Clive O et al. </w:t>
      </w:r>
      <w:r w:rsidR="00831894" w:rsidRPr="007768FA">
        <w:rPr>
          <w:color w:val="000000"/>
        </w:rPr>
        <w:t xml:space="preserve">A National Minority Organ/Tissue Transplant Education Program: The First Step in the Evolution of a National Minority Strategy and Minority Transplant Equity in the USA. </w:t>
      </w:r>
      <w:r w:rsidR="00F160CD" w:rsidRPr="00BC62DD">
        <w:t>https://scholarworks.umb.edu/cgi/viewcontent.cgi?article= 1286&amp;context=</w:t>
      </w:r>
      <w:proofErr w:type="spellStart"/>
      <w:r w:rsidR="00F160CD" w:rsidRPr="00BC62DD">
        <w:t>trotter_review</w:t>
      </w:r>
      <w:proofErr w:type="spellEnd"/>
      <w:r w:rsidR="00831894" w:rsidRPr="00646086">
        <w:t xml:space="preserve">. Published Feb 1995. Uploaded Jun 21 1995. Accessed December 12 2019. </w:t>
      </w:r>
    </w:p>
    <w:p w14:paraId="6B317540" w14:textId="77777777" w:rsidR="007768FA" w:rsidRDefault="007768FA" w:rsidP="007768FA">
      <w:pPr>
        <w:spacing w:line="240" w:lineRule="auto"/>
        <w:ind w:firstLine="0"/>
      </w:pPr>
    </w:p>
    <w:p w14:paraId="32E1AADB" w14:textId="3AF53E62" w:rsidR="007768FA" w:rsidRDefault="002F338C" w:rsidP="00F160CD">
      <w:pPr>
        <w:spacing w:line="240" w:lineRule="auto"/>
        <w:ind w:left="720" w:hanging="720"/>
      </w:pPr>
      <w:r>
        <w:t>2</w:t>
      </w:r>
      <w:r w:rsidR="00AD3CFD">
        <w:t>1</w:t>
      </w:r>
      <w:r w:rsidR="00C52CBE">
        <w:t xml:space="preserve">. </w:t>
      </w:r>
      <w:r w:rsidR="00831894">
        <w:t xml:space="preserve">Sample of MOTTEP Site Accomplishments. National Minority Organ Tissue Transplant Education Program. </w:t>
      </w:r>
      <w:r w:rsidR="00831894" w:rsidRPr="00A72355">
        <w:t>https://www.natlmottep.org/mottep-sites</w:t>
      </w:r>
      <w:r w:rsidR="00831894">
        <w:t>. Accessed Feb 15 2020.</w:t>
      </w:r>
    </w:p>
    <w:p w14:paraId="7ADEB494" w14:textId="77777777" w:rsidR="007768FA" w:rsidRDefault="007768FA" w:rsidP="007768FA">
      <w:pPr>
        <w:spacing w:line="240" w:lineRule="auto"/>
        <w:ind w:firstLine="0"/>
      </w:pPr>
    </w:p>
    <w:p w14:paraId="05422F7F" w14:textId="231652C3" w:rsidR="007768FA" w:rsidRDefault="00C52CBE" w:rsidP="0018516F">
      <w:pPr>
        <w:spacing w:line="240" w:lineRule="auto"/>
        <w:ind w:left="720" w:hanging="720"/>
      </w:pPr>
      <w:r>
        <w:t>2</w:t>
      </w:r>
      <w:r w:rsidR="00AD3CFD">
        <w:t>2</w:t>
      </w:r>
      <w:r>
        <w:t xml:space="preserve">. </w:t>
      </w:r>
      <w:r w:rsidR="00831894" w:rsidRPr="00402784">
        <w:t xml:space="preserve">Callender Clive O and Patrice V Miles. Minority Organ Donation: The Power of an Educated Community. </w:t>
      </w:r>
      <w:r w:rsidR="00831894" w:rsidRPr="007768FA">
        <w:rPr>
          <w:i/>
          <w:iCs/>
        </w:rPr>
        <w:t>Journal of the American College of Surgeons</w:t>
      </w:r>
      <w:r w:rsidR="00831894" w:rsidRPr="00402784">
        <w:t xml:space="preserve">. 2010;210(5):708-715. </w:t>
      </w:r>
      <w:proofErr w:type="spellStart"/>
      <w:r w:rsidR="00831894" w:rsidRPr="00402784">
        <w:t>doi</w:t>
      </w:r>
      <w:proofErr w:type="spellEnd"/>
      <w:r w:rsidR="00831894" w:rsidRPr="00402784">
        <w:t xml:space="preserve">: </w:t>
      </w:r>
      <w:r w:rsidR="00831894" w:rsidRPr="00A72355">
        <w:rPr>
          <w:shd w:val="clear" w:color="auto" w:fill="FFFFFF"/>
        </w:rPr>
        <w:t>10.1016/j.jamcollsurg.2010.02.037</w:t>
      </w:r>
    </w:p>
    <w:p w14:paraId="3ACC468F" w14:textId="77777777" w:rsidR="007768FA" w:rsidRDefault="007768FA" w:rsidP="007768FA">
      <w:pPr>
        <w:pStyle w:val="ListParagraph"/>
        <w:spacing w:line="240" w:lineRule="auto"/>
        <w:ind w:left="1080" w:firstLine="0"/>
        <w:jc w:val="left"/>
      </w:pPr>
    </w:p>
    <w:p w14:paraId="378979E3" w14:textId="53DA38B9" w:rsidR="00831894" w:rsidRDefault="00C52CBE" w:rsidP="007768FA">
      <w:pPr>
        <w:spacing w:line="240" w:lineRule="auto"/>
        <w:ind w:left="720" w:hanging="720"/>
        <w:jc w:val="left"/>
      </w:pPr>
      <w:r>
        <w:t>2</w:t>
      </w:r>
      <w:r w:rsidR="00AD3CFD">
        <w:t>3</w:t>
      </w:r>
      <w:r>
        <w:t xml:space="preserve">. </w:t>
      </w:r>
      <w:r w:rsidR="00831894">
        <w:t xml:space="preserve">NKF Governance and Structure – Who We Are, </w:t>
      </w:r>
      <w:proofErr w:type="gramStart"/>
      <w:r w:rsidR="00831894">
        <w:t>How</w:t>
      </w:r>
      <w:proofErr w:type="gramEnd"/>
      <w:r w:rsidR="00831894">
        <w:t xml:space="preserve"> we Work. National Kidney Foundation. </w:t>
      </w:r>
      <w:r w:rsidR="00831894" w:rsidRPr="00A72355">
        <w:t>https://www.kidney.org/content/nkf-governance-and-structure%E2%80%94who-we-are-how-we-work</w:t>
      </w:r>
      <w:r w:rsidR="00831894">
        <w:t>. Accessed Mar 17 2020.</w:t>
      </w:r>
    </w:p>
    <w:p w14:paraId="7EB8FC5E" w14:textId="77777777" w:rsidR="007768FA" w:rsidRDefault="007768FA" w:rsidP="007768FA">
      <w:pPr>
        <w:spacing w:line="240" w:lineRule="auto"/>
        <w:ind w:firstLine="0"/>
        <w:jc w:val="left"/>
      </w:pPr>
    </w:p>
    <w:p w14:paraId="3015C84A" w14:textId="5B956D11" w:rsidR="00831894" w:rsidRDefault="00C52CBE" w:rsidP="007768FA">
      <w:pPr>
        <w:spacing w:line="240" w:lineRule="auto"/>
        <w:ind w:left="720" w:hanging="720"/>
        <w:jc w:val="left"/>
      </w:pPr>
      <w:r>
        <w:t>2</w:t>
      </w:r>
      <w:r w:rsidR="00AD3CFD">
        <w:t>4</w:t>
      </w:r>
      <w:r>
        <w:t xml:space="preserve">. </w:t>
      </w:r>
      <w:r w:rsidR="00831894">
        <w:t xml:space="preserve">NKF Unveils Kidney Pathways, a Curated Kidney Health Education Curriculum. National Kidney Foundation. </w:t>
      </w:r>
      <w:r w:rsidR="00831894" w:rsidRPr="00A72355">
        <w:t>https://www.kidney.org/news/national-kidney-foundation-unveils-kidney-pathways-curated-kidney-health-education-curriculum</w:t>
      </w:r>
      <w:r w:rsidR="00831894">
        <w:t>. Published June 14 2019. Accessed Mar 17 2020.</w:t>
      </w:r>
    </w:p>
    <w:p w14:paraId="47CB55EF" w14:textId="77777777" w:rsidR="007768FA" w:rsidRDefault="007768FA" w:rsidP="007768FA">
      <w:pPr>
        <w:spacing w:line="240" w:lineRule="auto"/>
        <w:ind w:firstLine="0"/>
        <w:jc w:val="left"/>
      </w:pPr>
    </w:p>
    <w:p w14:paraId="4EB19C05" w14:textId="4694E29D" w:rsidR="00831894" w:rsidRPr="00A655B3" w:rsidRDefault="00C52CBE" w:rsidP="007768FA">
      <w:pPr>
        <w:spacing w:line="240" w:lineRule="auto"/>
        <w:ind w:left="720" w:hanging="720"/>
        <w:jc w:val="left"/>
      </w:pPr>
      <w:r>
        <w:t>2</w:t>
      </w:r>
      <w:r w:rsidR="00AD3CFD">
        <w:t>5</w:t>
      </w:r>
      <w:r>
        <w:t xml:space="preserve">. </w:t>
      </w:r>
      <w:r w:rsidR="00831894">
        <w:t xml:space="preserve">NKF to Develop First-Ever Patient Registry for Chronic Kidney Disease. National Kidney Foundation. </w:t>
      </w:r>
      <w:r w:rsidR="00831894" w:rsidRPr="00A72355">
        <w:t>https://www.kidney.org/news/nkf-to-develop-first-ever-patient-registry-chronic-kidney-disease</w:t>
      </w:r>
      <w:r w:rsidR="00831894">
        <w:t>. Published May 21 2019. Accessed Mar 17 2020.</w:t>
      </w:r>
    </w:p>
    <w:p w14:paraId="667BB1EB" w14:textId="77777777" w:rsidR="007768FA" w:rsidRDefault="007768FA" w:rsidP="007768FA">
      <w:pPr>
        <w:spacing w:line="240" w:lineRule="auto"/>
        <w:ind w:firstLine="0"/>
      </w:pPr>
    </w:p>
    <w:p w14:paraId="0EBB3D31" w14:textId="7E8A06EB" w:rsidR="00831894" w:rsidRPr="007768FA" w:rsidRDefault="00C52CBE" w:rsidP="007768FA">
      <w:pPr>
        <w:spacing w:line="240" w:lineRule="auto"/>
        <w:ind w:left="720" w:hanging="720"/>
        <w:rPr>
          <w:rStyle w:val="Hyperlink"/>
          <w:color w:val="auto"/>
          <w:u w:val="none"/>
        </w:rPr>
      </w:pPr>
      <w:r>
        <w:t>2</w:t>
      </w:r>
      <w:r w:rsidR="00AD3CFD">
        <w:t>6</w:t>
      </w:r>
      <w:r>
        <w:t xml:space="preserve">. </w:t>
      </w:r>
      <w:r w:rsidR="00831894" w:rsidRPr="00F96478">
        <w:t xml:space="preserve">Umeukeje, Ebele M et al. Black Americans’ Perspectives of Barriers and Facilitators of Community Screening for Kidney Disease. </w:t>
      </w:r>
      <w:r w:rsidR="00831894" w:rsidRPr="007768FA">
        <w:rPr>
          <w:i/>
          <w:iCs/>
        </w:rPr>
        <w:t>Clinical Journal of American Society of Nephrology</w:t>
      </w:r>
      <w:r w:rsidR="00831894" w:rsidRPr="00F96478">
        <w:t xml:space="preserve">. 2018;13(4):551-559. </w:t>
      </w:r>
      <w:proofErr w:type="spellStart"/>
      <w:r w:rsidR="00831894" w:rsidRPr="00F96478">
        <w:t>doi</w:t>
      </w:r>
      <w:proofErr w:type="spellEnd"/>
      <w:r w:rsidR="00831894" w:rsidRPr="00F96478">
        <w:t xml:space="preserve">: </w:t>
      </w:r>
      <w:r w:rsidR="00831894" w:rsidRPr="00A72355">
        <w:rPr>
          <w:shd w:val="clear" w:color="auto" w:fill="FFFFFF"/>
        </w:rPr>
        <w:t>10.2215/CJN.07580717</w:t>
      </w:r>
    </w:p>
    <w:p w14:paraId="4E5966E3" w14:textId="77777777" w:rsidR="007768FA" w:rsidRDefault="007768FA" w:rsidP="007768FA">
      <w:pPr>
        <w:tabs>
          <w:tab w:val="left" w:pos="180"/>
        </w:tabs>
        <w:spacing w:line="240" w:lineRule="auto"/>
        <w:ind w:firstLine="0"/>
        <w:rPr>
          <w:rStyle w:val="eop"/>
        </w:rPr>
      </w:pPr>
    </w:p>
    <w:p w14:paraId="40273E51" w14:textId="4EC9338E" w:rsidR="00831894" w:rsidRDefault="00C52CBE" w:rsidP="007768FA">
      <w:pPr>
        <w:tabs>
          <w:tab w:val="left" w:pos="180"/>
        </w:tabs>
        <w:spacing w:line="240" w:lineRule="auto"/>
        <w:ind w:left="720" w:hanging="720"/>
      </w:pPr>
      <w:r>
        <w:rPr>
          <w:rStyle w:val="eop"/>
        </w:rPr>
        <w:t>2</w:t>
      </w:r>
      <w:r w:rsidR="00AD3CFD">
        <w:rPr>
          <w:rStyle w:val="eop"/>
        </w:rPr>
        <w:t>7</w:t>
      </w:r>
      <w:r>
        <w:rPr>
          <w:rStyle w:val="eop"/>
        </w:rPr>
        <w:t xml:space="preserve">. </w:t>
      </w:r>
      <w:r w:rsidR="00831894">
        <w:rPr>
          <w:rStyle w:val="eop"/>
        </w:rPr>
        <w:t xml:space="preserve">Community Health Workers (CHWs) Training/Certification Standards Current Status. Association of State and Territorial Health Officials. </w:t>
      </w:r>
      <w:r w:rsidR="00831894" w:rsidRPr="00A72355">
        <w:t>https://www.astho.org/Public-Policy/Public-Health-Law/Scope-of-Practice/CHW-Certification-Standards-Map/</w:t>
      </w:r>
      <w:r w:rsidR="00831894">
        <w:t xml:space="preserve">. Last Updated Jan 17 2017. Accessed Mar 6 2020. </w:t>
      </w:r>
    </w:p>
    <w:p w14:paraId="142CA456" w14:textId="77777777" w:rsidR="007768FA" w:rsidRDefault="007768FA" w:rsidP="007768FA">
      <w:pPr>
        <w:pStyle w:val="ListParagraph"/>
        <w:spacing w:line="240" w:lineRule="auto"/>
        <w:ind w:left="1080" w:firstLine="0"/>
      </w:pPr>
    </w:p>
    <w:p w14:paraId="6E4A1057" w14:textId="4A2EB178" w:rsidR="007768FA" w:rsidRDefault="00C52CBE" w:rsidP="007768FA">
      <w:pPr>
        <w:spacing w:line="240" w:lineRule="auto"/>
        <w:ind w:left="720" w:hanging="720"/>
        <w:rPr>
          <w:rStyle w:val="eop"/>
        </w:rPr>
      </w:pPr>
      <w:r>
        <w:t>2</w:t>
      </w:r>
      <w:r w:rsidR="00AD3CFD">
        <w:t>8</w:t>
      </w:r>
      <w:r>
        <w:t xml:space="preserve">. </w:t>
      </w:r>
      <w:r w:rsidR="00831894">
        <w:t xml:space="preserve">Addressing Chronic Disease through Community Health Workers:  A policy and </w:t>
      </w:r>
      <w:r w:rsidR="00831894" w:rsidRPr="00E32F04">
        <w:t xml:space="preserve">Systems Level Approach. National Center for Chronic Disease prevention and Health Promotion, Division for Heart Disease and Stroke Prevention. </w:t>
      </w:r>
      <w:r w:rsidR="00831894" w:rsidRPr="00A72355">
        <w:t>https://www.cdc.gov/dhdsp/docs/chw_brief.pdf</w:t>
      </w:r>
      <w:r w:rsidR="00831894" w:rsidRPr="00E32F04">
        <w:t>. Published April 2015. Accessed Mar 6 2020.</w:t>
      </w:r>
      <w:r w:rsidR="00831894" w:rsidRPr="00E32F04">
        <w:rPr>
          <w:rStyle w:val="eop"/>
        </w:rPr>
        <w:t xml:space="preserve"> </w:t>
      </w:r>
    </w:p>
    <w:p w14:paraId="0241E1C0" w14:textId="77777777" w:rsidR="007768FA" w:rsidRPr="008D490D" w:rsidRDefault="007768FA" w:rsidP="007768FA">
      <w:pPr>
        <w:spacing w:line="240" w:lineRule="auto"/>
        <w:ind w:firstLine="0"/>
        <w:rPr>
          <w:rStyle w:val="eop"/>
          <w:b/>
        </w:rPr>
      </w:pPr>
    </w:p>
    <w:p w14:paraId="12FE7831" w14:textId="1538F81B" w:rsidR="007768FA" w:rsidRPr="008D490D" w:rsidRDefault="00C52CBE" w:rsidP="0018516F">
      <w:pPr>
        <w:shd w:val="clear" w:color="auto" w:fill="FFFFFF"/>
        <w:spacing w:line="240" w:lineRule="auto"/>
        <w:ind w:left="720" w:hanging="720"/>
        <w:jc w:val="left"/>
      </w:pPr>
      <w:r w:rsidRPr="008D490D">
        <w:t>2</w:t>
      </w:r>
      <w:r w:rsidR="00AD3CFD" w:rsidRPr="008D490D">
        <w:t>9</w:t>
      </w:r>
      <w:r w:rsidRPr="008D490D">
        <w:t xml:space="preserve">. </w:t>
      </w:r>
      <w:r w:rsidR="00831894" w:rsidRPr="008D490D">
        <w:t xml:space="preserve">Kahn, Si. Entering the community. In: Beebe, Linda, Revised edition. </w:t>
      </w:r>
      <w:r w:rsidR="00831894" w:rsidRPr="008D490D">
        <w:rPr>
          <w:i/>
          <w:iCs/>
        </w:rPr>
        <w:t>How People Get Power</w:t>
      </w:r>
      <w:r w:rsidR="00831894" w:rsidRPr="008D490D">
        <w:t>. Washington DC: NASW Press; 1994: 1-9.</w:t>
      </w:r>
    </w:p>
    <w:p w14:paraId="6704242B" w14:textId="77777777" w:rsidR="0018516F" w:rsidRPr="0018516F" w:rsidRDefault="0018516F" w:rsidP="0018516F">
      <w:pPr>
        <w:shd w:val="clear" w:color="auto" w:fill="FFFFFF"/>
        <w:spacing w:line="240" w:lineRule="auto"/>
        <w:ind w:left="720" w:hanging="720"/>
        <w:jc w:val="left"/>
        <w:rPr>
          <w:color w:val="333333"/>
        </w:rPr>
      </w:pPr>
    </w:p>
    <w:p w14:paraId="5C3FB428" w14:textId="127D46F7" w:rsidR="00831894" w:rsidRDefault="00AD3CFD" w:rsidP="0018516F">
      <w:pPr>
        <w:spacing w:line="240" w:lineRule="auto"/>
        <w:ind w:left="720" w:hanging="720"/>
        <w:jc w:val="left"/>
      </w:pPr>
      <w:r>
        <w:lastRenderedPageBreak/>
        <w:t>30</w:t>
      </w:r>
      <w:r w:rsidR="00C52CBE">
        <w:t xml:space="preserve">. </w:t>
      </w:r>
      <w:r w:rsidR="00831894">
        <w:t xml:space="preserve">SMOG Readability. Aspirus Library. </w:t>
      </w:r>
      <w:r w:rsidR="00831894" w:rsidRPr="006B6309">
        <w:t>http://aspiruslibrary.org/literacy/SMOG%20Readability%20Formula.pdf</w:t>
      </w:r>
      <w:r w:rsidR="00831894">
        <w:t>. Accessed Mar 17 2020.</w:t>
      </w:r>
    </w:p>
    <w:p w14:paraId="0D3B8698" w14:textId="77777777" w:rsidR="007768FA" w:rsidRDefault="007768FA" w:rsidP="007768FA">
      <w:pPr>
        <w:spacing w:line="240" w:lineRule="auto"/>
        <w:ind w:firstLine="0"/>
        <w:jc w:val="left"/>
      </w:pPr>
    </w:p>
    <w:p w14:paraId="12EF491C" w14:textId="07C0C1AC" w:rsidR="00831894" w:rsidRDefault="002F338C" w:rsidP="007768FA">
      <w:pPr>
        <w:spacing w:line="240" w:lineRule="auto"/>
        <w:ind w:left="720" w:hanging="720"/>
        <w:jc w:val="left"/>
      </w:pPr>
      <w:r>
        <w:t>3</w:t>
      </w:r>
      <w:r w:rsidR="00C25CA7">
        <w:t>1</w:t>
      </w:r>
      <w:r w:rsidR="00C52CBE">
        <w:t xml:space="preserve">. </w:t>
      </w:r>
      <w:r w:rsidR="00831894">
        <w:t xml:space="preserve">Waters, Amanda and Lisa </w:t>
      </w:r>
      <w:proofErr w:type="spellStart"/>
      <w:r w:rsidR="00831894">
        <w:t>Asbill</w:t>
      </w:r>
      <w:proofErr w:type="spellEnd"/>
      <w:r w:rsidR="00831894">
        <w:t xml:space="preserve">. Reflections on Cultural Humility. American Psychological Association. </w:t>
      </w:r>
      <w:r w:rsidR="00831894" w:rsidRPr="006B6309">
        <w:t>https://www.apa.org/pi/families/resources/newsletter/2013/08/cultural-humility</w:t>
      </w:r>
      <w:r w:rsidR="00831894">
        <w:t xml:space="preserve">. Published Aug 2013. Accessed Mar 17 2020. </w:t>
      </w:r>
    </w:p>
    <w:p w14:paraId="64DF3DBF" w14:textId="77777777" w:rsidR="00CE1208" w:rsidRDefault="00CE1208" w:rsidP="007768FA">
      <w:pPr>
        <w:spacing w:line="240" w:lineRule="auto"/>
        <w:ind w:left="720" w:hanging="720"/>
        <w:rPr>
          <w:bCs/>
        </w:rPr>
      </w:pPr>
    </w:p>
    <w:p w14:paraId="1365C637" w14:textId="417BB73F" w:rsidR="00C25CA7" w:rsidRDefault="00C52CBE" w:rsidP="00C25CA7">
      <w:pPr>
        <w:spacing w:line="240" w:lineRule="auto"/>
        <w:ind w:left="720" w:hanging="720"/>
        <w:jc w:val="left"/>
        <w:rPr>
          <w:bCs/>
        </w:rPr>
      </w:pPr>
      <w:r>
        <w:rPr>
          <w:bCs/>
        </w:rPr>
        <w:t>3</w:t>
      </w:r>
      <w:r w:rsidR="00C25CA7">
        <w:rPr>
          <w:bCs/>
        </w:rPr>
        <w:t>2</w:t>
      </w:r>
      <w:r>
        <w:rPr>
          <w:bCs/>
        </w:rPr>
        <w:t xml:space="preserve">. </w:t>
      </w:r>
      <w:r w:rsidR="00C25CA7">
        <w:t xml:space="preserve">Centers for Disease Control and Prevention. (2013) </w:t>
      </w:r>
      <w:r w:rsidR="00C25CA7" w:rsidRPr="00AD3CFD">
        <w:rPr>
          <w:i/>
          <w:iCs/>
        </w:rPr>
        <w:t>Community Health Needs Assessment Participant</w:t>
      </w:r>
      <w:r w:rsidR="00C25CA7">
        <w:rPr>
          <w:i/>
          <w:iCs/>
        </w:rPr>
        <w:t xml:space="preserve"> </w:t>
      </w:r>
      <w:r w:rsidR="00C25CA7" w:rsidRPr="00AD3CFD">
        <w:rPr>
          <w:i/>
          <w:iCs/>
        </w:rPr>
        <w:t>Workbook</w:t>
      </w:r>
      <w:r w:rsidR="00C25CA7">
        <w:t xml:space="preserve">. </w:t>
      </w:r>
      <w:r w:rsidR="00C25CA7" w:rsidRPr="006B6309">
        <w:t>https://www.cdc.gov/globalhealth/healthprotection/fetp/training_modules/15/community-needs_pw_final_9252013.pdf</w:t>
      </w:r>
    </w:p>
    <w:p w14:paraId="277387B6" w14:textId="77777777" w:rsidR="00C25CA7" w:rsidRDefault="00C25CA7" w:rsidP="00AD3CFD">
      <w:pPr>
        <w:spacing w:line="240" w:lineRule="auto"/>
        <w:ind w:left="720" w:hanging="720"/>
        <w:rPr>
          <w:bCs/>
        </w:rPr>
      </w:pPr>
    </w:p>
    <w:p w14:paraId="34F2BA6A" w14:textId="51BE844F" w:rsidR="00AD3CFD" w:rsidRDefault="00C25CA7" w:rsidP="00AD3CFD">
      <w:pPr>
        <w:spacing w:line="240" w:lineRule="auto"/>
        <w:ind w:left="720" w:hanging="720"/>
      </w:pPr>
      <w:r>
        <w:rPr>
          <w:bCs/>
        </w:rPr>
        <w:t xml:space="preserve">33. </w:t>
      </w:r>
      <w:r w:rsidR="00831894" w:rsidRPr="007768FA">
        <w:rPr>
          <w:bCs/>
        </w:rPr>
        <w:t xml:space="preserve">Gander, Jennifer C. et al. Association Between Dialysis Facility Ownership and Access to Kidney Transplantation. </w:t>
      </w:r>
      <w:r w:rsidR="00831894" w:rsidRPr="007768FA">
        <w:rPr>
          <w:bCs/>
          <w:i/>
          <w:iCs/>
        </w:rPr>
        <w:t>Journal of the American Medical Association</w:t>
      </w:r>
      <w:r w:rsidR="00831894" w:rsidRPr="007768FA">
        <w:rPr>
          <w:bCs/>
        </w:rPr>
        <w:t xml:space="preserve">. 2019;322(10):957-973. </w:t>
      </w:r>
      <w:proofErr w:type="spellStart"/>
      <w:r w:rsidR="00831894" w:rsidRPr="007768FA">
        <w:rPr>
          <w:bCs/>
        </w:rPr>
        <w:t>doi</w:t>
      </w:r>
      <w:proofErr w:type="spellEnd"/>
      <w:r w:rsidR="00831894" w:rsidRPr="007768FA">
        <w:rPr>
          <w:bCs/>
        </w:rPr>
        <w:t>:</w:t>
      </w:r>
      <w:r w:rsidR="00831894">
        <w:t xml:space="preserve"> 10.1001/jama.2019.12803</w:t>
      </w:r>
    </w:p>
    <w:p w14:paraId="07C8D804" w14:textId="77777777" w:rsidR="00AD3CFD" w:rsidRDefault="00AD3CFD" w:rsidP="00C25CA7">
      <w:pPr>
        <w:spacing w:line="240" w:lineRule="auto"/>
        <w:ind w:firstLine="0"/>
        <w:jc w:val="left"/>
      </w:pPr>
    </w:p>
    <w:p w14:paraId="312D6818" w14:textId="021D5578" w:rsidR="00AD3CFD" w:rsidRDefault="00AD3CFD" w:rsidP="00AD3CFD">
      <w:pPr>
        <w:spacing w:line="240" w:lineRule="auto"/>
        <w:ind w:left="720" w:hanging="720"/>
        <w:jc w:val="left"/>
      </w:pPr>
      <w:r>
        <w:t>3</w:t>
      </w:r>
      <w:r w:rsidR="00C25CA7">
        <w:t>4</w:t>
      </w:r>
      <w:r>
        <w:t xml:space="preserve">. </w:t>
      </w:r>
      <w:r w:rsidR="00B0725A">
        <w:t>Transplant: Transplant Year by Organ. US Transplants Performed: January 1, 1988 – February 2</w:t>
      </w:r>
      <w:r w:rsidR="00D770EA">
        <w:t>7</w:t>
      </w:r>
      <w:r w:rsidR="00B0725A">
        <w:t xml:space="preserve">, 2020. Based on Data as of </w:t>
      </w:r>
      <w:r w:rsidR="00D770EA">
        <w:t>February</w:t>
      </w:r>
      <w:r w:rsidR="00B0725A">
        <w:t xml:space="preserve"> </w:t>
      </w:r>
      <w:r w:rsidR="00D770EA">
        <w:t>27</w:t>
      </w:r>
      <w:r w:rsidR="00B0725A">
        <w:t>, 2020. Built using</w:t>
      </w:r>
      <w:r w:rsidR="00D770EA">
        <w:t>:</w:t>
      </w:r>
      <w:r w:rsidR="00B0725A">
        <w:t xml:space="preserve"> </w:t>
      </w:r>
      <w:r w:rsidR="00D770EA" w:rsidRPr="006B6309">
        <w:t>https://optn.transplant.hrsa.gov/data/view-data-reports/build-advanced/</w:t>
      </w:r>
      <w:r w:rsidR="00D770EA">
        <w:t xml:space="preserve"> Created February 27, 2020. Data Category:  Transplant, Report Column: </w:t>
      </w:r>
      <w:r w:rsidR="00F75E1D">
        <w:t>Transplant Year (33 items), Report Rows: Organ (19 items).</w:t>
      </w:r>
    </w:p>
    <w:p w14:paraId="1C6AA6A1" w14:textId="77777777" w:rsidR="00AD3CFD" w:rsidRDefault="00AD3CFD" w:rsidP="00AD3CFD">
      <w:pPr>
        <w:spacing w:line="240" w:lineRule="auto"/>
        <w:ind w:left="720" w:hanging="720"/>
        <w:jc w:val="left"/>
      </w:pPr>
    </w:p>
    <w:p w14:paraId="4F4F637E" w14:textId="0B2FC749" w:rsidR="00BD2105" w:rsidRDefault="00AD3CFD" w:rsidP="00AD3CFD">
      <w:pPr>
        <w:spacing w:line="240" w:lineRule="auto"/>
        <w:ind w:left="720" w:hanging="720"/>
        <w:jc w:val="left"/>
      </w:pPr>
      <w:r>
        <w:t>3</w:t>
      </w:r>
      <w:r w:rsidR="00C25CA7">
        <w:t>5</w:t>
      </w:r>
      <w:r>
        <w:t xml:space="preserve">. </w:t>
      </w:r>
      <w:r w:rsidR="00BD2105" w:rsidRPr="00BD2105">
        <w:t>About the OPTN. Organ Procurement and Transplantation Network.</w:t>
      </w:r>
      <w:r>
        <w:t xml:space="preserve"> </w:t>
      </w:r>
      <w:r w:rsidR="00BD2105" w:rsidRPr="00BD2105">
        <w:t>https://optn.transplant.hrsa.gov/</w:t>
      </w:r>
    </w:p>
    <w:bookmarkEnd w:id="0"/>
    <w:p w14:paraId="0178B931" w14:textId="072FC96F" w:rsidR="00BD2105" w:rsidRPr="00A655B3" w:rsidRDefault="00BD2105" w:rsidP="00BD2105">
      <w:pPr>
        <w:pStyle w:val="Footer"/>
        <w:spacing w:line="240" w:lineRule="auto"/>
        <w:ind w:left="720" w:hanging="719"/>
        <w:jc w:val="left"/>
      </w:pPr>
    </w:p>
    <w:sectPr w:rsidR="00BD2105" w:rsidRPr="00A655B3" w:rsidSect="008942C9">
      <w:footerReference w:type="default" r:id="rId21"/>
      <w:pgSz w:w="12240" w:h="15840"/>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008E" w14:textId="77777777" w:rsidR="00FE5916" w:rsidRDefault="00FE5916">
      <w:r>
        <w:separator/>
      </w:r>
    </w:p>
  </w:endnote>
  <w:endnote w:type="continuationSeparator" w:id="0">
    <w:p w14:paraId="2EAF2FA7" w14:textId="77777777" w:rsidR="00FE5916" w:rsidRDefault="00FE5916">
      <w:r>
        <w:continuationSeparator/>
      </w:r>
    </w:p>
  </w:endnote>
  <w:endnote w:type="continuationNotice" w:id="1">
    <w:p w14:paraId="223138A1" w14:textId="77777777" w:rsidR="00FE5916" w:rsidRDefault="00FE59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F780" w14:textId="77777777" w:rsidR="00036E2C" w:rsidRDefault="00036E2C" w:rsidP="006B1124">
    <w:pPr>
      <w:tabs>
        <w:tab w:val="center" w:pos="4680"/>
      </w:tabs>
      <w:ind w:firstLine="0"/>
    </w:pPr>
    <w:r>
      <w:tab/>
    </w:r>
    <w:r>
      <w:rPr>
        <w:noProof/>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AA5D" w14:textId="77777777" w:rsidR="00036E2C" w:rsidRDefault="00036E2C"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2717"/>
      <w:docPartObj>
        <w:docPartGallery w:val="Page Numbers (Bottom of Page)"/>
        <w:docPartUnique/>
      </w:docPartObj>
    </w:sdtPr>
    <w:sdtEndPr>
      <w:rPr>
        <w:noProof/>
      </w:rPr>
    </w:sdtEndPr>
    <w:sdtContent>
      <w:p w14:paraId="4341B449" w14:textId="16F62AF2" w:rsidR="00036E2C" w:rsidRDefault="00036E2C" w:rsidP="008B659C">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19975"/>
      <w:docPartObj>
        <w:docPartGallery w:val="Page Numbers (Bottom of Page)"/>
        <w:docPartUnique/>
      </w:docPartObj>
    </w:sdtPr>
    <w:sdtEndPr>
      <w:rPr>
        <w:noProof/>
      </w:rPr>
    </w:sdtEndPr>
    <w:sdtContent>
      <w:p w14:paraId="19463AA9" w14:textId="13A9F6C1" w:rsidR="00036E2C" w:rsidRDefault="00036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06684"/>
      <w:docPartObj>
        <w:docPartGallery w:val="Page Numbers (Bottom of Page)"/>
        <w:docPartUnique/>
      </w:docPartObj>
    </w:sdtPr>
    <w:sdtEndPr>
      <w:rPr>
        <w:noProof/>
      </w:rPr>
    </w:sdtEndPr>
    <w:sdtContent>
      <w:p w14:paraId="431D8A76" w14:textId="77777777" w:rsidR="00036E2C" w:rsidRDefault="00036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5A0BD" w14:textId="77777777" w:rsidR="00036E2C" w:rsidRDefault="00036E2C" w:rsidP="006B1124">
    <w:pPr>
      <w:tabs>
        <w:tab w:val="center" w:pos="468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89C1" w14:textId="77777777" w:rsidR="00FE5916" w:rsidRDefault="00FE5916">
      <w:r>
        <w:separator/>
      </w:r>
    </w:p>
  </w:footnote>
  <w:footnote w:type="continuationSeparator" w:id="0">
    <w:p w14:paraId="430F77F9" w14:textId="77777777" w:rsidR="00FE5916" w:rsidRDefault="00FE5916">
      <w:r>
        <w:continuationSeparator/>
      </w:r>
    </w:p>
  </w:footnote>
  <w:footnote w:type="continuationNotice" w:id="1">
    <w:p w14:paraId="48BB1B30" w14:textId="77777777" w:rsidR="00FE5916" w:rsidRDefault="00FE59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D89E" w14:textId="77777777" w:rsidR="00036E2C" w:rsidRPr="00932701" w:rsidRDefault="00036E2C"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F24273"/>
    <w:multiLevelType w:val="hybridMultilevel"/>
    <w:tmpl w:val="DEB2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43517"/>
    <w:multiLevelType w:val="multilevel"/>
    <w:tmpl w:val="CD92D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7609CB"/>
    <w:multiLevelType w:val="hybridMultilevel"/>
    <w:tmpl w:val="E8F8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A013B"/>
    <w:multiLevelType w:val="hybridMultilevel"/>
    <w:tmpl w:val="BF20C4B2"/>
    <w:lvl w:ilvl="0" w:tplc="6778E35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F33F97"/>
    <w:multiLevelType w:val="multilevel"/>
    <w:tmpl w:val="7D5CAF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BF71520"/>
    <w:multiLevelType w:val="hybridMultilevel"/>
    <w:tmpl w:val="55F2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67A86"/>
    <w:multiLevelType w:val="hybridMultilevel"/>
    <w:tmpl w:val="63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54615"/>
    <w:multiLevelType w:val="hybridMultilevel"/>
    <w:tmpl w:val="D0DA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43B34"/>
    <w:multiLevelType w:val="multilevel"/>
    <w:tmpl w:val="DDC2F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D51CF"/>
    <w:multiLevelType w:val="hybridMultilevel"/>
    <w:tmpl w:val="6CAC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17"/>
  </w:num>
  <w:num w:numId="13">
    <w:abstractNumId w:val="16"/>
  </w:num>
  <w:num w:numId="14">
    <w:abstractNumId w:val="12"/>
  </w:num>
  <w:num w:numId="15">
    <w:abstractNumId w:val="14"/>
  </w:num>
  <w:num w:numId="16">
    <w:abstractNumId w:val="11"/>
  </w:num>
  <w:num w:numId="17">
    <w:abstractNumId w:val="18"/>
  </w:num>
  <w:num w:numId="18">
    <w:abstractNumId w:val="20"/>
  </w:num>
  <w:num w:numId="19">
    <w:abstractNumId w:val="13"/>
  </w:num>
  <w:num w:numId="20">
    <w:abstractNumId w:val="22"/>
  </w:num>
  <w:num w:numId="21">
    <w:abstractNumId w:val="19"/>
  </w:num>
  <w:num w:numId="22">
    <w:abstractNumId w:val="15"/>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026A"/>
    <w:rsid w:val="00000E1A"/>
    <w:rsid w:val="0000139C"/>
    <w:rsid w:val="00001A56"/>
    <w:rsid w:val="00001C37"/>
    <w:rsid w:val="000023D0"/>
    <w:rsid w:val="00004658"/>
    <w:rsid w:val="00004915"/>
    <w:rsid w:val="00004CC0"/>
    <w:rsid w:val="000055BF"/>
    <w:rsid w:val="00007079"/>
    <w:rsid w:val="0000761A"/>
    <w:rsid w:val="000079B8"/>
    <w:rsid w:val="00007B03"/>
    <w:rsid w:val="0001069E"/>
    <w:rsid w:val="00010FEE"/>
    <w:rsid w:val="00015609"/>
    <w:rsid w:val="0001649C"/>
    <w:rsid w:val="00020691"/>
    <w:rsid w:val="00020DFF"/>
    <w:rsid w:val="00021498"/>
    <w:rsid w:val="00021BFA"/>
    <w:rsid w:val="00021D77"/>
    <w:rsid w:val="00021F1F"/>
    <w:rsid w:val="0002247B"/>
    <w:rsid w:val="000224CA"/>
    <w:rsid w:val="00022C1B"/>
    <w:rsid w:val="0002394E"/>
    <w:rsid w:val="00026E3B"/>
    <w:rsid w:val="0002741E"/>
    <w:rsid w:val="00027DE5"/>
    <w:rsid w:val="00031399"/>
    <w:rsid w:val="00034BA0"/>
    <w:rsid w:val="00035D1E"/>
    <w:rsid w:val="00036E2C"/>
    <w:rsid w:val="00037CEE"/>
    <w:rsid w:val="000439D6"/>
    <w:rsid w:val="00044D8D"/>
    <w:rsid w:val="0004550E"/>
    <w:rsid w:val="00045B49"/>
    <w:rsid w:val="00045D85"/>
    <w:rsid w:val="00046FB0"/>
    <w:rsid w:val="00054E45"/>
    <w:rsid w:val="00055BE4"/>
    <w:rsid w:val="00056FAC"/>
    <w:rsid w:val="00057391"/>
    <w:rsid w:val="00057F87"/>
    <w:rsid w:val="00062E6F"/>
    <w:rsid w:val="000635D4"/>
    <w:rsid w:val="00064169"/>
    <w:rsid w:val="00065C6A"/>
    <w:rsid w:val="00066088"/>
    <w:rsid w:val="00067EB5"/>
    <w:rsid w:val="00072154"/>
    <w:rsid w:val="00072F32"/>
    <w:rsid w:val="00073843"/>
    <w:rsid w:val="00073879"/>
    <w:rsid w:val="00073B34"/>
    <w:rsid w:val="00074A7A"/>
    <w:rsid w:val="000750AF"/>
    <w:rsid w:val="000771B7"/>
    <w:rsid w:val="0008437E"/>
    <w:rsid w:val="00086364"/>
    <w:rsid w:val="0009107E"/>
    <w:rsid w:val="00091C8E"/>
    <w:rsid w:val="00093A7C"/>
    <w:rsid w:val="000A04DE"/>
    <w:rsid w:val="000A1F85"/>
    <w:rsid w:val="000A4790"/>
    <w:rsid w:val="000A6B46"/>
    <w:rsid w:val="000A6C52"/>
    <w:rsid w:val="000B003C"/>
    <w:rsid w:val="000B0C6D"/>
    <w:rsid w:val="000B1A98"/>
    <w:rsid w:val="000B4CEB"/>
    <w:rsid w:val="000B6FD1"/>
    <w:rsid w:val="000B716F"/>
    <w:rsid w:val="000C0539"/>
    <w:rsid w:val="000C0B7C"/>
    <w:rsid w:val="000C1ECB"/>
    <w:rsid w:val="000C3418"/>
    <w:rsid w:val="000C5247"/>
    <w:rsid w:val="000C7912"/>
    <w:rsid w:val="000D17E0"/>
    <w:rsid w:val="000D1B5B"/>
    <w:rsid w:val="000D39EA"/>
    <w:rsid w:val="000D3CF8"/>
    <w:rsid w:val="000D4A50"/>
    <w:rsid w:val="000D7BFD"/>
    <w:rsid w:val="000E391E"/>
    <w:rsid w:val="000E6B5F"/>
    <w:rsid w:val="000F1663"/>
    <w:rsid w:val="000F1B69"/>
    <w:rsid w:val="000F2C54"/>
    <w:rsid w:val="000F4351"/>
    <w:rsid w:val="000F523C"/>
    <w:rsid w:val="000F5DBB"/>
    <w:rsid w:val="00100723"/>
    <w:rsid w:val="001021B3"/>
    <w:rsid w:val="001065A2"/>
    <w:rsid w:val="00106608"/>
    <w:rsid w:val="00107DBF"/>
    <w:rsid w:val="001131A2"/>
    <w:rsid w:val="001152BC"/>
    <w:rsid w:val="00115FF0"/>
    <w:rsid w:val="0011612C"/>
    <w:rsid w:val="0011645E"/>
    <w:rsid w:val="00116F16"/>
    <w:rsid w:val="001176DE"/>
    <w:rsid w:val="0012127B"/>
    <w:rsid w:val="00121533"/>
    <w:rsid w:val="00122D8C"/>
    <w:rsid w:val="00122F04"/>
    <w:rsid w:val="001253F1"/>
    <w:rsid w:val="00127472"/>
    <w:rsid w:val="0013002B"/>
    <w:rsid w:val="00130B6B"/>
    <w:rsid w:val="0013193F"/>
    <w:rsid w:val="00131BB5"/>
    <w:rsid w:val="001324BC"/>
    <w:rsid w:val="00141E60"/>
    <w:rsid w:val="001455C4"/>
    <w:rsid w:val="00146E49"/>
    <w:rsid w:val="00146F35"/>
    <w:rsid w:val="00150EF7"/>
    <w:rsid w:val="00151F3F"/>
    <w:rsid w:val="00155CE4"/>
    <w:rsid w:val="00157F28"/>
    <w:rsid w:val="00161126"/>
    <w:rsid w:val="00162425"/>
    <w:rsid w:val="001632D0"/>
    <w:rsid w:val="00163C4B"/>
    <w:rsid w:val="0016572C"/>
    <w:rsid w:val="00165F2F"/>
    <w:rsid w:val="001670EB"/>
    <w:rsid w:val="00171140"/>
    <w:rsid w:val="00171D55"/>
    <w:rsid w:val="00174952"/>
    <w:rsid w:val="00175779"/>
    <w:rsid w:val="001825AA"/>
    <w:rsid w:val="00182C2C"/>
    <w:rsid w:val="0018516F"/>
    <w:rsid w:val="0018647C"/>
    <w:rsid w:val="00186B52"/>
    <w:rsid w:val="001A0971"/>
    <w:rsid w:val="001A217D"/>
    <w:rsid w:val="001A3C28"/>
    <w:rsid w:val="001A57E7"/>
    <w:rsid w:val="001A5B53"/>
    <w:rsid w:val="001A769C"/>
    <w:rsid w:val="001B1B66"/>
    <w:rsid w:val="001B1C3F"/>
    <w:rsid w:val="001B2CE4"/>
    <w:rsid w:val="001C1901"/>
    <w:rsid w:val="001C1C2F"/>
    <w:rsid w:val="001C20C1"/>
    <w:rsid w:val="001C211D"/>
    <w:rsid w:val="001C31B4"/>
    <w:rsid w:val="001C3FA9"/>
    <w:rsid w:val="001C4284"/>
    <w:rsid w:val="001C44F7"/>
    <w:rsid w:val="001C48B7"/>
    <w:rsid w:val="001C53A8"/>
    <w:rsid w:val="001C5B28"/>
    <w:rsid w:val="001C7AFC"/>
    <w:rsid w:val="001C7CDC"/>
    <w:rsid w:val="001D309C"/>
    <w:rsid w:val="001D3B30"/>
    <w:rsid w:val="001D3F1D"/>
    <w:rsid w:val="001D5C8B"/>
    <w:rsid w:val="001D60C9"/>
    <w:rsid w:val="001D6C26"/>
    <w:rsid w:val="001E0068"/>
    <w:rsid w:val="001E0298"/>
    <w:rsid w:val="001E1DA2"/>
    <w:rsid w:val="001E217C"/>
    <w:rsid w:val="001E49EC"/>
    <w:rsid w:val="001E527E"/>
    <w:rsid w:val="001F0EE7"/>
    <w:rsid w:val="001F0F24"/>
    <w:rsid w:val="001F2FB8"/>
    <w:rsid w:val="001F3B6F"/>
    <w:rsid w:val="001F3C64"/>
    <w:rsid w:val="002002D8"/>
    <w:rsid w:val="00200B2E"/>
    <w:rsid w:val="00201A07"/>
    <w:rsid w:val="00203592"/>
    <w:rsid w:val="002044C5"/>
    <w:rsid w:val="00205CE4"/>
    <w:rsid w:val="002060D7"/>
    <w:rsid w:val="00210B79"/>
    <w:rsid w:val="002148B2"/>
    <w:rsid w:val="00217C31"/>
    <w:rsid w:val="002228B6"/>
    <w:rsid w:val="00222AAE"/>
    <w:rsid w:val="002342F0"/>
    <w:rsid w:val="00234E31"/>
    <w:rsid w:val="00236CD7"/>
    <w:rsid w:val="00243F4B"/>
    <w:rsid w:val="002466E5"/>
    <w:rsid w:val="00246A55"/>
    <w:rsid w:val="0024733F"/>
    <w:rsid w:val="0025093C"/>
    <w:rsid w:val="00252D48"/>
    <w:rsid w:val="00253411"/>
    <w:rsid w:val="00256526"/>
    <w:rsid w:val="00257D37"/>
    <w:rsid w:val="00261153"/>
    <w:rsid w:val="002653BC"/>
    <w:rsid w:val="00267158"/>
    <w:rsid w:val="00270583"/>
    <w:rsid w:val="002706BA"/>
    <w:rsid w:val="00271AF8"/>
    <w:rsid w:val="00271C20"/>
    <w:rsid w:val="0027219A"/>
    <w:rsid w:val="00273D63"/>
    <w:rsid w:val="00273DB0"/>
    <w:rsid w:val="00274D4E"/>
    <w:rsid w:val="00275472"/>
    <w:rsid w:val="00275637"/>
    <w:rsid w:val="002760C5"/>
    <w:rsid w:val="00276231"/>
    <w:rsid w:val="00276616"/>
    <w:rsid w:val="00276E7E"/>
    <w:rsid w:val="0028084B"/>
    <w:rsid w:val="00281E1B"/>
    <w:rsid w:val="0028370F"/>
    <w:rsid w:val="0028377C"/>
    <w:rsid w:val="00284073"/>
    <w:rsid w:val="00285876"/>
    <w:rsid w:val="002866B1"/>
    <w:rsid w:val="0028782F"/>
    <w:rsid w:val="00287EAA"/>
    <w:rsid w:val="002920DB"/>
    <w:rsid w:val="00294519"/>
    <w:rsid w:val="0029549C"/>
    <w:rsid w:val="00295A1C"/>
    <w:rsid w:val="00295E24"/>
    <w:rsid w:val="0029665F"/>
    <w:rsid w:val="002973A6"/>
    <w:rsid w:val="00297DCD"/>
    <w:rsid w:val="002A133F"/>
    <w:rsid w:val="002A17DA"/>
    <w:rsid w:val="002A29EE"/>
    <w:rsid w:val="002B06E7"/>
    <w:rsid w:val="002B3241"/>
    <w:rsid w:val="002B41A8"/>
    <w:rsid w:val="002B5C5E"/>
    <w:rsid w:val="002C09FD"/>
    <w:rsid w:val="002C210C"/>
    <w:rsid w:val="002C2C22"/>
    <w:rsid w:val="002C4DD7"/>
    <w:rsid w:val="002C7BA2"/>
    <w:rsid w:val="002C7F07"/>
    <w:rsid w:val="002D01B1"/>
    <w:rsid w:val="002D11E0"/>
    <w:rsid w:val="002D2339"/>
    <w:rsid w:val="002D44DE"/>
    <w:rsid w:val="002D7E78"/>
    <w:rsid w:val="002E0536"/>
    <w:rsid w:val="002E1937"/>
    <w:rsid w:val="002E2B48"/>
    <w:rsid w:val="002E3DCE"/>
    <w:rsid w:val="002E4056"/>
    <w:rsid w:val="002E5A4E"/>
    <w:rsid w:val="002E5E0E"/>
    <w:rsid w:val="002E624C"/>
    <w:rsid w:val="002E7BEE"/>
    <w:rsid w:val="002E7C77"/>
    <w:rsid w:val="002F093A"/>
    <w:rsid w:val="002F1CAE"/>
    <w:rsid w:val="002F1E61"/>
    <w:rsid w:val="002F338C"/>
    <w:rsid w:val="003003F4"/>
    <w:rsid w:val="00302171"/>
    <w:rsid w:val="0030592B"/>
    <w:rsid w:val="00305972"/>
    <w:rsid w:val="00305D30"/>
    <w:rsid w:val="00306EFE"/>
    <w:rsid w:val="00307A4C"/>
    <w:rsid w:val="00307BA4"/>
    <w:rsid w:val="00311D01"/>
    <w:rsid w:val="00313440"/>
    <w:rsid w:val="00313A39"/>
    <w:rsid w:val="0031478B"/>
    <w:rsid w:val="00315C00"/>
    <w:rsid w:val="00324A7D"/>
    <w:rsid w:val="00326C4F"/>
    <w:rsid w:val="003347EB"/>
    <w:rsid w:val="00334F1C"/>
    <w:rsid w:val="00335EE6"/>
    <w:rsid w:val="00337AEA"/>
    <w:rsid w:val="00337CC7"/>
    <w:rsid w:val="00340FA1"/>
    <w:rsid w:val="00342EA0"/>
    <w:rsid w:val="00344F7A"/>
    <w:rsid w:val="00347530"/>
    <w:rsid w:val="00352085"/>
    <w:rsid w:val="003549E8"/>
    <w:rsid w:val="0035629D"/>
    <w:rsid w:val="00360D7F"/>
    <w:rsid w:val="00361C81"/>
    <w:rsid w:val="0036270D"/>
    <w:rsid w:val="0036336A"/>
    <w:rsid w:val="003633E3"/>
    <w:rsid w:val="00363894"/>
    <w:rsid w:val="00364412"/>
    <w:rsid w:val="00364663"/>
    <w:rsid w:val="00366489"/>
    <w:rsid w:val="00367476"/>
    <w:rsid w:val="00367767"/>
    <w:rsid w:val="00367DBE"/>
    <w:rsid w:val="00371674"/>
    <w:rsid w:val="00372DBD"/>
    <w:rsid w:val="00375457"/>
    <w:rsid w:val="00377E9D"/>
    <w:rsid w:val="003807B1"/>
    <w:rsid w:val="0038085A"/>
    <w:rsid w:val="00381271"/>
    <w:rsid w:val="0038428D"/>
    <w:rsid w:val="0038438E"/>
    <w:rsid w:val="00390A5B"/>
    <w:rsid w:val="003973CC"/>
    <w:rsid w:val="00397898"/>
    <w:rsid w:val="003A25F2"/>
    <w:rsid w:val="003A34DE"/>
    <w:rsid w:val="003A39A0"/>
    <w:rsid w:val="003A3DE3"/>
    <w:rsid w:val="003B1894"/>
    <w:rsid w:val="003B1E04"/>
    <w:rsid w:val="003B3147"/>
    <w:rsid w:val="003B3ECB"/>
    <w:rsid w:val="003B4561"/>
    <w:rsid w:val="003B5FDC"/>
    <w:rsid w:val="003B7B2F"/>
    <w:rsid w:val="003B7BA6"/>
    <w:rsid w:val="003C03CA"/>
    <w:rsid w:val="003C131C"/>
    <w:rsid w:val="003C17A9"/>
    <w:rsid w:val="003C22DE"/>
    <w:rsid w:val="003C2721"/>
    <w:rsid w:val="003C29C9"/>
    <w:rsid w:val="003C2A9F"/>
    <w:rsid w:val="003C42E6"/>
    <w:rsid w:val="003C435E"/>
    <w:rsid w:val="003C791E"/>
    <w:rsid w:val="003D056F"/>
    <w:rsid w:val="003D1F85"/>
    <w:rsid w:val="003E02CC"/>
    <w:rsid w:val="003E1F34"/>
    <w:rsid w:val="003E31E1"/>
    <w:rsid w:val="003E647B"/>
    <w:rsid w:val="003F05E3"/>
    <w:rsid w:val="003F179F"/>
    <w:rsid w:val="003F1C72"/>
    <w:rsid w:val="003F5D91"/>
    <w:rsid w:val="003F664D"/>
    <w:rsid w:val="004002DA"/>
    <w:rsid w:val="004022A7"/>
    <w:rsid w:val="00402784"/>
    <w:rsid w:val="00404F54"/>
    <w:rsid w:val="00405594"/>
    <w:rsid w:val="004057F9"/>
    <w:rsid w:val="004066AB"/>
    <w:rsid w:val="00412360"/>
    <w:rsid w:val="004128EE"/>
    <w:rsid w:val="0041322E"/>
    <w:rsid w:val="0041643D"/>
    <w:rsid w:val="00416E36"/>
    <w:rsid w:val="0042151D"/>
    <w:rsid w:val="004250A3"/>
    <w:rsid w:val="004254FA"/>
    <w:rsid w:val="00425588"/>
    <w:rsid w:val="004303E6"/>
    <w:rsid w:val="004367F6"/>
    <w:rsid w:val="0043747C"/>
    <w:rsid w:val="00442BB5"/>
    <w:rsid w:val="00442C4D"/>
    <w:rsid w:val="004442FA"/>
    <w:rsid w:val="00445CB2"/>
    <w:rsid w:val="00450673"/>
    <w:rsid w:val="00451CB4"/>
    <w:rsid w:val="00453098"/>
    <w:rsid w:val="00455D94"/>
    <w:rsid w:val="00456745"/>
    <w:rsid w:val="00462D02"/>
    <w:rsid w:val="0046438E"/>
    <w:rsid w:val="00466964"/>
    <w:rsid w:val="00470AD4"/>
    <w:rsid w:val="00471469"/>
    <w:rsid w:val="00474137"/>
    <w:rsid w:val="00475BB8"/>
    <w:rsid w:val="0047719F"/>
    <w:rsid w:val="004777C1"/>
    <w:rsid w:val="00477DB5"/>
    <w:rsid w:val="004831D9"/>
    <w:rsid w:val="00483C66"/>
    <w:rsid w:val="00486073"/>
    <w:rsid w:val="00486137"/>
    <w:rsid w:val="004875BC"/>
    <w:rsid w:val="00492B81"/>
    <w:rsid w:val="00492C04"/>
    <w:rsid w:val="00492F5A"/>
    <w:rsid w:val="004936DC"/>
    <w:rsid w:val="0049590A"/>
    <w:rsid w:val="00495B23"/>
    <w:rsid w:val="004A18FC"/>
    <w:rsid w:val="004A3BD8"/>
    <w:rsid w:val="004A6809"/>
    <w:rsid w:val="004B2107"/>
    <w:rsid w:val="004B2A45"/>
    <w:rsid w:val="004B7295"/>
    <w:rsid w:val="004B7B28"/>
    <w:rsid w:val="004B7D31"/>
    <w:rsid w:val="004C4BD3"/>
    <w:rsid w:val="004C6BFD"/>
    <w:rsid w:val="004D3A16"/>
    <w:rsid w:val="004D46BF"/>
    <w:rsid w:val="004D6D34"/>
    <w:rsid w:val="004D7AA4"/>
    <w:rsid w:val="004E0941"/>
    <w:rsid w:val="004E1D31"/>
    <w:rsid w:val="004E2B7B"/>
    <w:rsid w:val="004E2D3D"/>
    <w:rsid w:val="004E32F7"/>
    <w:rsid w:val="004E3B59"/>
    <w:rsid w:val="004E5E20"/>
    <w:rsid w:val="004E6BA1"/>
    <w:rsid w:val="004E7D6D"/>
    <w:rsid w:val="004F0846"/>
    <w:rsid w:val="004F1935"/>
    <w:rsid w:val="004F223B"/>
    <w:rsid w:val="004F22FD"/>
    <w:rsid w:val="004F467F"/>
    <w:rsid w:val="004F5D61"/>
    <w:rsid w:val="004F605E"/>
    <w:rsid w:val="004F6A97"/>
    <w:rsid w:val="004F799D"/>
    <w:rsid w:val="004F7CAF"/>
    <w:rsid w:val="0050756F"/>
    <w:rsid w:val="00507649"/>
    <w:rsid w:val="005101A6"/>
    <w:rsid w:val="00511968"/>
    <w:rsid w:val="00511F59"/>
    <w:rsid w:val="0051424D"/>
    <w:rsid w:val="005162C8"/>
    <w:rsid w:val="005163C9"/>
    <w:rsid w:val="005226CC"/>
    <w:rsid w:val="00522D19"/>
    <w:rsid w:val="0052306D"/>
    <w:rsid w:val="0052326D"/>
    <w:rsid w:val="00524533"/>
    <w:rsid w:val="00525322"/>
    <w:rsid w:val="0052562E"/>
    <w:rsid w:val="00531A5B"/>
    <w:rsid w:val="00531FF1"/>
    <w:rsid w:val="005333A5"/>
    <w:rsid w:val="005344F6"/>
    <w:rsid w:val="00536110"/>
    <w:rsid w:val="00537AE3"/>
    <w:rsid w:val="00537BA3"/>
    <w:rsid w:val="00542B1D"/>
    <w:rsid w:val="00546BB3"/>
    <w:rsid w:val="00546FE7"/>
    <w:rsid w:val="005474FA"/>
    <w:rsid w:val="005518A0"/>
    <w:rsid w:val="00552B0C"/>
    <w:rsid w:val="00553DCC"/>
    <w:rsid w:val="005565A4"/>
    <w:rsid w:val="00556C20"/>
    <w:rsid w:val="00557281"/>
    <w:rsid w:val="005606D8"/>
    <w:rsid w:val="00563A92"/>
    <w:rsid w:val="00564115"/>
    <w:rsid w:val="005641CB"/>
    <w:rsid w:val="0056532E"/>
    <w:rsid w:val="00565EF8"/>
    <w:rsid w:val="00567FFE"/>
    <w:rsid w:val="00570448"/>
    <w:rsid w:val="00570642"/>
    <w:rsid w:val="005707E5"/>
    <w:rsid w:val="0057324B"/>
    <w:rsid w:val="00575A4A"/>
    <w:rsid w:val="00576D97"/>
    <w:rsid w:val="00580B93"/>
    <w:rsid w:val="00582E8E"/>
    <w:rsid w:val="00584476"/>
    <w:rsid w:val="00584ADB"/>
    <w:rsid w:val="00584B00"/>
    <w:rsid w:val="00584F25"/>
    <w:rsid w:val="00592470"/>
    <w:rsid w:val="0059661B"/>
    <w:rsid w:val="005A1163"/>
    <w:rsid w:val="005A1AEA"/>
    <w:rsid w:val="005A1DB0"/>
    <w:rsid w:val="005A3714"/>
    <w:rsid w:val="005A37DA"/>
    <w:rsid w:val="005A3D66"/>
    <w:rsid w:val="005A4A45"/>
    <w:rsid w:val="005A5AEF"/>
    <w:rsid w:val="005A64E0"/>
    <w:rsid w:val="005A6B42"/>
    <w:rsid w:val="005A7266"/>
    <w:rsid w:val="005B0694"/>
    <w:rsid w:val="005B390A"/>
    <w:rsid w:val="005B53CD"/>
    <w:rsid w:val="005B57EA"/>
    <w:rsid w:val="005B65AB"/>
    <w:rsid w:val="005C2DE6"/>
    <w:rsid w:val="005C31E2"/>
    <w:rsid w:val="005C3CB3"/>
    <w:rsid w:val="005C6FF4"/>
    <w:rsid w:val="005C75CC"/>
    <w:rsid w:val="005C7A08"/>
    <w:rsid w:val="005D0D17"/>
    <w:rsid w:val="005D10C8"/>
    <w:rsid w:val="005D12FD"/>
    <w:rsid w:val="005D167C"/>
    <w:rsid w:val="005D40C2"/>
    <w:rsid w:val="005D51D4"/>
    <w:rsid w:val="005D5D6F"/>
    <w:rsid w:val="005D7C50"/>
    <w:rsid w:val="005E359C"/>
    <w:rsid w:val="005E3C06"/>
    <w:rsid w:val="005E6269"/>
    <w:rsid w:val="005E74F2"/>
    <w:rsid w:val="005E7BD7"/>
    <w:rsid w:val="005E7DD1"/>
    <w:rsid w:val="005F05C0"/>
    <w:rsid w:val="005F0882"/>
    <w:rsid w:val="005F0D3D"/>
    <w:rsid w:val="005F2EA5"/>
    <w:rsid w:val="005F31F6"/>
    <w:rsid w:val="005F3251"/>
    <w:rsid w:val="005F449F"/>
    <w:rsid w:val="005F51BB"/>
    <w:rsid w:val="005F56E0"/>
    <w:rsid w:val="005F7459"/>
    <w:rsid w:val="006005C2"/>
    <w:rsid w:val="00600F7A"/>
    <w:rsid w:val="00601DB7"/>
    <w:rsid w:val="00603086"/>
    <w:rsid w:val="00603A6D"/>
    <w:rsid w:val="006042C1"/>
    <w:rsid w:val="00604371"/>
    <w:rsid w:val="00612A47"/>
    <w:rsid w:val="00613270"/>
    <w:rsid w:val="00614C9C"/>
    <w:rsid w:val="006158D6"/>
    <w:rsid w:val="00615A20"/>
    <w:rsid w:val="006166D0"/>
    <w:rsid w:val="00617D2C"/>
    <w:rsid w:val="0062140E"/>
    <w:rsid w:val="006250C2"/>
    <w:rsid w:val="006320E7"/>
    <w:rsid w:val="00632F4F"/>
    <w:rsid w:val="006332E1"/>
    <w:rsid w:val="00633C36"/>
    <w:rsid w:val="00635710"/>
    <w:rsid w:val="00635D18"/>
    <w:rsid w:val="00635D1A"/>
    <w:rsid w:val="00636C11"/>
    <w:rsid w:val="006371A1"/>
    <w:rsid w:val="00640220"/>
    <w:rsid w:val="00640718"/>
    <w:rsid w:val="0064149E"/>
    <w:rsid w:val="00641B52"/>
    <w:rsid w:val="00642508"/>
    <w:rsid w:val="006425BF"/>
    <w:rsid w:val="006428E0"/>
    <w:rsid w:val="00642CFC"/>
    <w:rsid w:val="0064506C"/>
    <w:rsid w:val="00646086"/>
    <w:rsid w:val="00647CFC"/>
    <w:rsid w:val="00650B4D"/>
    <w:rsid w:val="00650DF3"/>
    <w:rsid w:val="0065376F"/>
    <w:rsid w:val="00653B98"/>
    <w:rsid w:val="006553BB"/>
    <w:rsid w:val="00656EE6"/>
    <w:rsid w:val="0065702E"/>
    <w:rsid w:val="00661FF0"/>
    <w:rsid w:val="00662856"/>
    <w:rsid w:val="00662BE2"/>
    <w:rsid w:val="00664796"/>
    <w:rsid w:val="00664A77"/>
    <w:rsid w:val="006713F1"/>
    <w:rsid w:val="0067188F"/>
    <w:rsid w:val="00671C34"/>
    <w:rsid w:val="00676758"/>
    <w:rsid w:val="00680824"/>
    <w:rsid w:val="00681674"/>
    <w:rsid w:val="00681A50"/>
    <w:rsid w:val="00686D98"/>
    <w:rsid w:val="0068748D"/>
    <w:rsid w:val="00690D5C"/>
    <w:rsid w:val="0069134F"/>
    <w:rsid w:val="006918F5"/>
    <w:rsid w:val="00691B37"/>
    <w:rsid w:val="006920C1"/>
    <w:rsid w:val="006935F2"/>
    <w:rsid w:val="00694341"/>
    <w:rsid w:val="00694982"/>
    <w:rsid w:val="006977F8"/>
    <w:rsid w:val="00697974"/>
    <w:rsid w:val="00697977"/>
    <w:rsid w:val="006A1CB4"/>
    <w:rsid w:val="006A348D"/>
    <w:rsid w:val="006A4F34"/>
    <w:rsid w:val="006A5489"/>
    <w:rsid w:val="006A5780"/>
    <w:rsid w:val="006A5C33"/>
    <w:rsid w:val="006B1124"/>
    <w:rsid w:val="006B2067"/>
    <w:rsid w:val="006B347F"/>
    <w:rsid w:val="006B4B36"/>
    <w:rsid w:val="006B6309"/>
    <w:rsid w:val="006B6F59"/>
    <w:rsid w:val="006C03CC"/>
    <w:rsid w:val="006C0DC2"/>
    <w:rsid w:val="006C3E92"/>
    <w:rsid w:val="006C45DD"/>
    <w:rsid w:val="006C48D6"/>
    <w:rsid w:val="006C5345"/>
    <w:rsid w:val="006C5EB4"/>
    <w:rsid w:val="006D104D"/>
    <w:rsid w:val="006D1D8D"/>
    <w:rsid w:val="006D3C32"/>
    <w:rsid w:val="006D45DB"/>
    <w:rsid w:val="006D4F5B"/>
    <w:rsid w:val="006D76FF"/>
    <w:rsid w:val="006F07B0"/>
    <w:rsid w:val="006F53F8"/>
    <w:rsid w:val="006F6B3A"/>
    <w:rsid w:val="006F73B0"/>
    <w:rsid w:val="0070056D"/>
    <w:rsid w:val="00701137"/>
    <w:rsid w:val="00701306"/>
    <w:rsid w:val="007037E9"/>
    <w:rsid w:val="007060CF"/>
    <w:rsid w:val="00706579"/>
    <w:rsid w:val="007065C7"/>
    <w:rsid w:val="007129D0"/>
    <w:rsid w:val="00714CB5"/>
    <w:rsid w:val="00715CD4"/>
    <w:rsid w:val="00715DD4"/>
    <w:rsid w:val="0071680A"/>
    <w:rsid w:val="00717398"/>
    <w:rsid w:val="007202A1"/>
    <w:rsid w:val="00721F90"/>
    <w:rsid w:val="00725E86"/>
    <w:rsid w:val="00732F74"/>
    <w:rsid w:val="0073599C"/>
    <w:rsid w:val="00737619"/>
    <w:rsid w:val="0074247B"/>
    <w:rsid w:val="00745C21"/>
    <w:rsid w:val="00745D2C"/>
    <w:rsid w:val="007478F8"/>
    <w:rsid w:val="00750D4B"/>
    <w:rsid w:val="00751EB5"/>
    <w:rsid w:val="00752977"/>
    <w:rsid w:val="00752B70"/>
    <w:rsid w:val="007534CB"/>
    <w:rsid w:val="00754725"/>
    <w:rsid w:val="007564C3"/>
    <w:rsid w:val="0075752F"/>
    <w:rsid w:val="007609A5"/>
    <w:rsid w:val="00762BE7"/>
    <w:rsid w:val="00763606"/>
    <w:rsid w:val="007637AF"/>
    <w:rsid w:val="00765E2F"/>
    <w:rsid w:val="007671FB"/>
    <w:rsid w:val="00767339"/>
    <w:rsid w:val="0076768F"/>
    <w:rsid w:val="00767875"/>
    <w:rsid w:val="00771A1F"/>
    <w:rsid w:val="0077365C"/>
    <w:rsid w:val="00775294"/>
    <w:rsid w:val="00775409"/>
    <w:rsid w:val="00775A0A"/>
    <w:rsid w:val="00775DF1"/>
    <w:rsid w:val="007768FA"/>
    <w:rsid w:val="00777BA6"/>
    <w:rsid w:val="00780340"/>
    <w:rsid w:val="00782026"/>
    <w:rsid w:val="007823B0"/>
    <w:rsid w:val="00782C38"/>
    <w:rsid w:val="007853B5"/>
    <w:rsid w:val="00786ED6"/>
    <w:rsid w:val="00790598"/>
    <w:rsid w:val="00792D8B"/>
    <w:rsid w:val="007951F6"/>
    <w:rsid w:val="00796771"/>
    <w:rsid w:val="00796FD9"/>
    <w:rsid w:val="007978A2"/>
    <w:rsid w:val="00797F0E"/>
    <w:rsid w:val="007A2A62"/>
    <w:rsid w:val="007A3684"/>
    <w:rsid w:val="007A376F"/>
    <w:rsid w:val="007A43BC"/>
    <w:rsid w:val="007A54E0"/>
    <w:rsid w:val="007A68F6"/>
    <w:rsid w:val="007A7907"/>
    <w:rsid w:val="007B2981"/>
    <w:rsid w:val="007B2E9F"/>
    <w:rsid w:val="007B3608"/>
    <w:rsid w:val="007B3646"/>
    <w:rsid w:val="007B3848"/>
    <w:rsid w:val="007B3A6A"/>
    <w:rsid w:val="007B5DD8"/>
    <w:rsid w:val="007B67DF"/>
    <w:rsid w:val="007C0282"/>
    <w:rsid w:val="007C2912"/>
    <w:rsid w:val="007C2BEA"/>
    <w:rsid w:val="007C54BB"/>
    <w:rsid w:val="007D2CDD"/>
    <w:rsid w:val="007D324A"/>
    <w:rsid w:val="007D3A44"/>
    <w:rsid w:val="007D625B"/>
    <w:rsid w:val="007D7273"/>
    <w:rsid w:val="007E027B"/>
    <w:rsid w:val="007E07DF"/>
    <w:rsid w:val="007E2ADD"/>
    <w:rsid w:val="007E5BB0"/>
    <w:rsid w:val="007F0218"/>
    <w:rsid w:val="007F4269"/>
    <w:rsid w:val="007F6F98"/>
    <w:rsid w:val="008013DA"/>
    <w:rsid w:val="00806034"/>
    <w:rsid w:val="00806525"/>
    <w:rsid w:val="008130F1"/>
    <w:rsid w:val="00814583"/>
    <w:rsid w:val="00821C6C"/>
    <w:rsid w:val="00822639"/>
    <w:rsid w:val="00822EA4"/>
    <w:rsid w:val="00824678"/>
    <w:rsid w:val="0082490B"/>
    <w:rsid w:val="00824B8C"/>
    <w:rsid w:val="00831894"/>
    <w:rsid w:val="008319E9"/>
    <w:rsid w:val="00833BF0"/>
    <w:rsid w:val="00834193"/>
    <w:rsid w:val="00834F6C"/>
    <w:rsid w:val="0083788D"/>
    <w:rsid w:val="008437E0"/>
    <w:rsid w:val="00845B02"/>
    <w:rsid w:val="0085053C"/>
    <w:rsid w:val="008524E4"/>
    <w:rsid w:val="008526FB"/>
    <w:rsid w:val="00853685"/>
    <w:rsid w:val="008537C0"/>
    <w:rsid w:val="00853A9E"/>
    <w:rsid w:val="0086185A"/>
    <w:rsid w:val="008638B4"/>
    <w:rsid w:val="00863A37"/>
    <w:rsid w:val="00863D37"/>
    <w:rsid w:val="00863F0C"/>
    <w:rsid w:val="008650E7"/>
    <w:rsid w:val="00865D31"/>
    <w:rsid w:val="00866C20"/>
    <w:rsid w:val="008715A5"/>
    <w:rsid w:val="008720B5"/>
    <w:rsid w:val="00872F59"/>
    <w:rsid w:val="0087750B"/>
    <w:rsid w:val="00877A79"/>
    <w:rsid w:val="00881F16"/>
    <w:rsid w:val="00882509"/>
    <w:rsid w:val="0088646D"/>
    <w:rsid w:val="00887496"/>
    <w:rsid w:val="0089126A"/>
    <w:rsid w:val="008924C8"/>
    <w:rsid w:val="00894208"/>
    <w:rsid w:val="008942C9"/>
    <w:rsid w:val="0089496D"/>
    <w:rsid w:val="00896178"/>
    <w:rsid w:val="00897767"/>
    <w:rsid w:val="008A110F"/>
    <w:rsid w:val="008A2142"/>
    <w:rsid w:val="008A4541"/>
    <w:rsid w:val="008A4D1D"/>
    <w:rsid w:val="008B189E"/>
    <w:rsid w:val="008B1A0C"/>
    <w:rsid w:val="008B2803"/>
    <w:rsid w:val="008B2A0D"/>
    <w:rsid w:val="008B3AF9"/>
    <w:rsid w:val="008B475F"/>
    <w:rsid w:val="008B659C"/>
    <w:rsid w:val="008C615B"/>
    <w:rsid w:val="008D00FB"/>
    <w:rsid w:val="008D17A1"/>
    <w:rsid w:val="008D337B"/>
    <w:rsid w:val="008D490D"/>
    <w:rsid w:val="008D4D41"/>
    <w:rsid w:val="008D4EA5"/>
    <w:rsid w:val="008D7D77"/>
    <w:rsid w:val="008E1221"/>
    <w:rsid w:val="008E192E"/>
    <w:rsid w:val="008E5FAB"/>
    <w:rsid w:val="008F06DD"/>
    <w:rsid w:val="008F10E7"/>
    <w:rsid w:val="008F3AD7"/>
    <w:rsid w:val="008F60CE"/>
    <w:rsid w:val="008F693F"/>
    <w:rsid w:val="008F6FEE"/>
    <w:rsid w:val="008F709A"/>
    <w:rsid w:val="00901CC9"/>
    <w:rsid w:val="009042AF"/>
    <w:rsid w:val="00904D41"/>
    <w:rsid w:val="00904DFC"/>
    <w:rsid w:val="009052FD"/>
    <w:rsid w:val="00905846"/>
    <w:rsid w:val="00905848"/>
    <w:rsid w:val="00905E6F"/>
    <w:rsid w:val="009061FF"/>
    <w:rsid w:val="0091054F"/>
    <w:rsid w:val="00912DCA"/>
    <w:rsid w:val="009131E9"/>
    <w:rsid w:val="009134CC"/>
    <w:rsid w:val="009141A7"/>
    <w:rsid w:val="009173A2"/>
    <w:rsid w:val="00920DFB"/>
    <w:rsid w:val="00923358"/>
    <w:rsid w:val="00925C16"/>
    <w:rsid w:val="00925DAC"/>
    <w:rsid w:val="00932701"/>
    <w:rsid w:val="00933052"/>
    <w:rsid w:val="00933068"/>
    <w:rsid w:val="00935BF4"/>
    <w:rsid w:val="00936B51"/>
    <w:rsid w:val="00936D19"/>
    <w:rsid w:val="00936D40"/>
    <w:rsid w:val="0094076E"/>
    <w:rsid w:val="0094195A"/>
    <w:rsid w:val="00944AEA"/>
    <w:rsid w:val="0094766A"/>
    <w:rsid w:val="009503B5"/>
    <w:rsid w:val="00951E1C"/>
    <w:rsid w:val="009525F0"/>
    <w:rsid w:val="00953B67"/>
    <w:rsid w:val="00953D52"/>
    <w:rsid w:val="009557AD"/>
    <w:rsid w:val="00956858"/>
    <w:rsid w:val="00957C5D"/>
    <w:rsid w:val="00972AE8"/>
    <w:rsid w:val="00972D3B"/>
    <w:rsid w:val="00973D60"/>
    <w:rsid w:val="00974216"/>
    <w:rsid w:val="00975FBA"/>
    <w:rsid w:val="00977828"/>
    <w:rsid w:val="0098368E"/>
    <w:rsid w:val="00983E4F"/>
    <w:rsid w:val="00983F70"/>
    <w:rsid w:val="009866B4"/>
    <w:rsid w:val="00987A37"/>
    <w:rsid w:val="009909AD"/>
    <w:rsid w:val="00991755"/>
    <w:rsid w:val="009936FB"/>
    <w:rsid w:val="00993876"/>
    <w:rsid w:val="009939AC"/>
    <w:rsid w:val="0099539E"/>
    <w:rsid w:val="00996941"/>
    <w:rsid w:val="00997C75"/>
    <w:rsid w:val="009A00F6"/>
    <w:rsid w:val="009A209F"/>
    <w:rsid w:val="009A2348"/>
    <w:rsid w:val="009A290B"/>
    <w:rsid w:val="009A365C"/>
    <w:rsid w:val="009A38C6"/>
    <w:rsid w:val="009A39AA"/>
    <w:rsid w:val="009A55F5"/>
    <w:rsid w:val="009A5B1E"/>
    <w:rsid w:val="009A6E62"/>
    <w:rsid w:val="009B3B5D"/>
    <w:rsid w:val="009B4D10"/>
    <w:rsid w:val="009B5021"/>
    <w:rsid w:val="009C1A7A"/>
    <w:rsid w:val="009C283C"/>
    <w:rsid w:val="009C3CF0"/>
    <w:rsid w:val="009C42A2"/>
    <w:rsid w:val="009C4B67"/>
    <w:rsid w:val="009C7E52"/>
    <w:rsid w:val="009D2698"/>
    <w:rsid w:val="009D2E4E"/>
    <w:rsid w:val="009D536F"/>
    <w:rsid w:val="009E09E3"/>
    <w:rsid w:val="009E4FF2"/>
    <w:rsid w:val="009E725F"/>
    <w:rsid w:val="009F57E8"/>
    <w:rsid w:val="009F61DD"/>
    <w:rsid w:val="00A00A4E"/>
    <w:rsid w:val="00A010EA"/>
    <w:rsid w:val="00A0165B"/>
    <w:rsid w:val="00A029A8"/>
    <w:rsid w:val="00A03913"/>
    <w:rsid w:val="00A061B2"/>
    <w:rsid w:val="00A07608"/>
    <w:rsid w:val="00A12E17"/>
    <w:rsid w:val="00A12E35"/>
    <w:rsid w:val="00A13372"/>
    <w:rsid w:val="00A1660F"/>
    <w:rsid w:val="00A1730D"/>
    <w:rsid w:val="00A208D2"/>
    <w:rsid w:val="00A21542"/>
    <w:rsid w:val="00A232A3"/>
    <w:rsid w:val="00A23857"/>
    <w:rsid w:val="00A25B8B"/>
    <w:rsid w:val="00A27EF3"/>
    <w:rsid w:val="00A30340"/>
    <w:rsid w:val="00A30362"/>
    <w:rsid w:val="00A30BDF"/>
    <w:rsid w:val="00A3281F"/>
    <w:rsid w:val="00A32853"/>
    <w:rsid w:val="00A33EA6"/>
    <w:rsid w:val="00A3456D"/>
    <w:rsid w:val="00A34A67"/>
    <w:rsid w:val="00A35269"/>
    <w:rsid w:val="00A40148"/>
    <w:rsid w:val="00A4099F"/>
    <w:rsid w:val="00A4149D"/>
    <w:rsid w:val="00A435D2"/>
    <w:rsid w:val="00A4439F"/>
    <w:rsid w:val="00A4495A"/>
    <w:rsid w:val="00A45643"/>
    <w:rsid w:val="00A45E2A"/>
    <w:rsid w:val="00A45F73"/>
    <w:rsid w:val="00A46098"/>
    <w:rsid w:val="00A4751A"/>
    <w:rsid w:val="00A475A1"/>
    <w:rsid w:val="00A516BB"/>
    <w:rsid w:val="00A5418A"/>
    <w:rsid w:val="00A56D12"/>
    <w:rsid w:val="00A5782D"/>
    <w:rsid w:val="00A61776"/>
    <w:rsid w:val="00A639F6"/>
    <w:rsid w:val="00A63DBF"/>
    <w:rsid w:val="00A655B3"/>
    <w:rsid w:val="00A66B6E"/>
    <w:rsid w:val="00A72355"/>
    <w:rsid w:val="00A732FF"/>
    <w:rsid w:val="00A740AF"/>
    <w:rsid w:val="00A75099"/>
    <w:rsid w:val="00A771DF"/>
    <w:rsid w:val="00A80DCA"/>
    <w:rsid w:val="00A80F79"/>
    <w:rsid w:val="00A8146F"/>
    <w:rsid w:val="00A836FD"/>
    <w:rsid w:val="00A84CFB"/>
    <w:rsid w:val="00A87584"/>
    <w:rsid w:val="00A912E3"/>
    <w:rsid w:val="00A91FA1"/>
    <w:rsid w:val="00A96B60"/>
    <w:rsid w:val="00AA0956"/>
    <w:rsid w:val="00AA227E"/>
    <w:rsid w:val="00AA2C6A"/>
    <w:rsid w:val="00AA3E52"/>
    <w:rsid w:val="00AA590B"/>
    <w:rsid w:val="00AA74A1"/>
    <w:rsid w:val="00AA773F"/>
    <w:rsid w:val="00AA7BED"/>
    <w:rsid w:val="00AA7E5A"/>
    <w:rsid w:val="00AB03BA"/>
    <w:rsid w:val="00AB08F3"/>
    <w:rsid w:val="00AB0D57"/>
    <w:rsid w:val="00AC258E"/>
    <w:rsid w:val="00AC2921"/>
    <w:rsid w:val="00AC29F2"/>
    <w:rsid w:val="00AC2D1B"/>
    <w:rsid w:val="00AC4CF3"/>
    <w:rsid w:val="00AC4D49"/>
    <w:rsid w:val="00AC5A0B"/>
    <w:rsid w:val="00AC71F6"/>
    <w:rsid w:val="00AC7DB1"/>
    <w:rsid w:val="00AD29A3"/>
    <w:rsid w:val="00AD2AA9"/>
    <w:rsid w:val="00AD3CFD"/>
    <w:rsid w:val="00AD51CB"/>
    <w:rsid w:val="00AD6C79"/>
    <w:rsid w:val="00AE000E"/>
    <w:rsid w:val="00AE1286"/>
    <w:rsid w:val="00AE23D5"/>
    <w:rsid w:val="00AE42DF"/>
    <w:rsid w:val="00AE447B"/>
    <w:rsid w:val="00AE50C4"/>
    <w:rsid w:val="00AE7AFD"/>
    <w:rsid w:val="00AF006C"/>
    <w:rsid w:val="00AF0220"/>
    <w:rsid w:val="00AF061E"/>
    <w:rsid w:val="00AF2EEB"/>
    <w:rsid w:val="00AF3154"/>
    <w:rsid w:val="00AF4632"/>
    <w:rsid w:val="00AF4B93"/>
    <w:rsid w:val="00AF5143"/>
    <w:rsid w:val="00AF554A"/>
    <w:rsid w:val="00AF6557"/>
    <w:rsid w:val="00B00241"/>
    <w:rsid w:val="00B0177B"/>
    <w:rsid w:val="00B0718A"/>
    <w:rsid w:val="00B0725A"/>
    <w:rsid w:val="00B13B01"/>
    <w:rsid w:val="00B164EF"/>
    <w:rsid w:val="00B17612"/>
    <w:rsid w:val="00B177A4"/>
    <w:rsid w:val="00B21DD8"/>
    <w:rsid w:val="00B2204A"/>
    <w:rsid w:val="00B223B8"/>
    <w:rsid w:val="00B27900"/>
    <w:rsid w:val="00B30A1C"/>
    <w:rsid w:val="00B33801"/>
    <w:rsid w:val="00B342CA"/>
    <w:rsid w:val="00B35902"/>
    <w:rsid w:val="00B37B03"/>
    <w:rsid w:val="00B407AC"/>
    <w:rsid w:val="00B407EB"/>
    <w:rsid w:val="00B40E08"/>
    <w:rsid w:val="00B41994"/>
    <w:rsid w:val="00B41D45"/>
    <w:rsid w:val="00B42340"/>
    <w:rsid w:val="00B424B6"/>
    <w:rsid w:val="00B43D0A"/>
    <w:rsid w:val="00B44E24"/>
    <w:rsid w:val="00B46E2C"/>
    <w:rsid w:val="00B5425F"/>
    <w:rsid w:val="00B56F3C"/>
    <w:rsid w:val="00B578B4"/>
    <w:rsid w:val="00B57E9B"/>
    <w:rsid w:val="00B6078A"/>
    <w:rsid w:val="00B614F2"/>
    <w:rsid w:val="00B625D7"/>
    <w:rsid w:val="00B64A90"/>
    <w:rsid w:val="00B653CF"/>
    <w:rsid w:val="00B711F4"/>
    <w:rsid w:val="00B71304"/>
    <w:rsid w:val="00B72822"/>
    <w:rsid w:val="00B73696"/>
    <w:rsid w:val="00B74B27"/>
    <w:rsid w:val="00B76CE6"/>
    <w:rsid w:val="00B76EBD"/>
    <w:rsid w:val="00B800F8"/>
    <w:rsid w:val="00B80318"/>
    <w:rsid w:val="00B811CD"/>
    <w:rsid w:val="00B824CF"/>
    <w:rsid w:val="00B86E14"/>
    <w:rsid w:val="00B87450"/>
    <w:rsid w:val="00B87538"/>
    <w:rsid w:val="00B917F0"/>
    <w:rsid w:val="00B93770"/>
    <w:rsid w:val="00B95CAC"/>
    <w:rsid w:val="00B96F03"/>
    <w:rsid w:val="00B972E3"/>
    <w:rsid w:val="00BA1033"/>
    <w:rsid w:val="00BA2E78"/>
    <w:rsid w:val="00BA2FD2"/>
    <w:rsid w:val="00BA506C"/>
    <w:rsid w:val="00BA6A59"/>
    <w:rsid w:val="00BB003C"/>
    <w:rsid w:val="00BB07CD"/>
    <w:rsid w:val="00BB0929"/>
    <w:rsid w:val="00BB3336"/>
    <w:rsid w:val="00BB4D74"/>
    <w:rsid w:val="00BB4FAE"/>
    <w:rsid w:val="00BB500A"/>
    <w:rsid w:val="00BB57F1"/>
    <w:rsid w:val="00BB661B"/>
    <w:rsid w:val="00BB7CE5"/>
    <w:rsid w:val="00BC04A6"/>
    <w:rsid w:val="00BC1DBF"/>
    <w:rsid w:val="00BC2948"/>
    <w:rsid w:val="00BC3511"/>
    <w:rsid w:val="00BC3BE6"/>
    <w:rsid w:val="00BC5D6A"/>
    <w:rsid w:val="00BC62DD"/>
    <w:rsid w:val="00BD2105"/>
    <w:rsid w:val="00BD2344"/>
    <w:rsid w:val="00BD272D"/>
    <w:rsid w:val="00BD4D38"/>
    <w:rsid w:val="00BD6DBD"/>
    <w:rsid w:val="00BD7CCB"/>
    <w:rsid w:val="00BE0D05"/>
    <w:rsid w:val="00BE1BD6"/>
    <w:rsid w:val="00BE374A"/>
    <w:rsid w:val="00BE485A"/>
    <w:rsid w:val="00BE5376"/>
    <w:rsid w:val="00BE5EFE"/>
    <w:rsid w:val="00BE77C7"/>
    <w:rsid w:val="00BF168D"/>
    <w:rsid w:val="00BF3159"/>
    <w:rsid w:val="00BF57C4"/>
    <w:rsid w:val="00BF62C0"/>
    <w:rsid w:val="00BF71F0"/>
    <w:rsid w:val="00BF7D4D"/>
    <w:rsid w:val="00C00DEB"/>
    <w:rsid w:val="00C04EAB"/>
    <w:rsid w:val="00C06BEC"/>
    <w:rsid w:val="00C07F29"/>
    <w:rsid w:val="00C128F4"/>
    <w:rsid w:val="00C13CD4"/>
    <w:rsid w:val="00C143CC"/>
    <w:rsid w:val="00C14B13"/>
    <w:rsid w:val="00C176A4"/>
    <w:rsid w:val="00C177A5"/>
    <w:rsid w:val="00C20609"/>
    <w:rsid w:val="00C20DD4"/>
    <w:rsid w:val="00C21418"/>
    <w:rsid w:val="00C214D6"/>
    <w:rsid w:val="00C21B44"/>
    <w:rsid w:val="00C24E07"/>
    <w:rsid w:val="00C25CA7"/>
    <w:rsid w:val="00C27330"/>
    <w:rsid w:val="00C3237F"/>
    <w:rsid w:val="00C328C1"/>
    <w:rsid w:val="00C35A51"/>
    <w:rsid w:val="00C368BD"/>
    <w:rsid w:val="00C37FBC"/>
    <w:rsid w:val="00C41ED8"/>
    <w:rsid w:val="00C422CB"/>
    <w:rsid w:val="00C430D2"/>
    <w:rsid w:val="00C43878"/>
    <w:rsid w:val="00C43E92"/>
    <w:rsid w:val="00C4735A"/>
    <w:rsid w:val="00C4772D"/>
    <w:rsid w:val="00C514CB"/>
    <w:rsid w:val="00C52CBE"/>
    <w:rsid w:val="00C531DC"/>
    <w:rsid w:val="00C53C8C"/>
    <w:rsid w:val="00C55F4B"/>
    <w:rsid w:val="00C55F57"/>
    <w:rsid w:val="00C563D7"/>
    <w:rsid w:val="00C577AF"/>
    <w:rsid w:val="00C6006A"/>
    <w:rsid w:val="00C672EB"/>
    <w:rsid w:val="00C674B3"/>
    <w:rsid w:val="00C70B05"/>
    <w:rsid w:val="00C71414"/>
    <w:rsid w:val="00C71A73"/>
    <w:rsid w:val="00C720F5"/>
    <w:rsid w:val="00C723E4"/>
    <w:rsid w:val="00C75985"/>
    <w:rsid w:val="00C835E2"/>
    <w:rsid w:val="00C84F56"/>
    <w:rsid w:val="00C85B1B"/>
    <w:rsid w:val="00C9228E"/>
    <w:rsid w:val="00C95854"/>
    <w:rsid w:val="00CA13C2"/>
    <w:rsid w:val="00CA2BC8"/>
    <w:rsid w:val="00CA4246"/>
    <w:rsid w:val="00CA4457"/>
    <w:rsid w:val="00CA531D"/>
    <w:rsid w:val="00CA56EA"/>
    <w:rsid w:val="00CA5F54"/>
    <w:rsid w:val="00CA7B01"/>
    <w:rsid w:val="00CB03F9"/>
    <w:rsid w:val="00CB20D8"/>
    <w:rsid w:val="00CB2329"/>
    <w:rsid w:val="00CB3DC0"/>
    <w:rsid w:val="00CB45F1"/>
    <w:rsid w:val="00CB5602"/>
    <w:rsid w:val="00CB6931"/>
    <w:rsid w:val="00CB6A62"/>
    <w:rsid w:val="00CB76AA"/>
    <w:rsid w:val="00CC1859"/>
    <w:rsid w:val="00CC245D"/>
    <w:rsid w:val="00CC3A2B"/>
    <w:rsid w:val="00CC5E7C"/>
    <w:rsid w:val="00CD029A"/>
    <w:rsid w:val="00CD1430"/>
    <w:rsid w:val="00CD2EC1"/>
    <w:rsid w:val="00CD4012"/>
    <w:rsid w:val="00CD5740"/>
    <w:rsid w:val="00CD64E3"/>
    <w:rsid w:val="00CD68F8"/>
    <w:rsid w:val="00CD69E3"/>
    <w:rsid w:val="00CD6B2B"/>
    <w:rsid w:val="00CE1208"/>
    <w:rsid w:val="00CE2814"/>
    <w:rsid w:val="00CE2FA5"/>
    <w:rsid w:val="00CE3D88"/>
    <w:rsid w:val="00CE49B0"/>
    <w:rsid w:val="00CE56F5"/>
    <w:rsid w:val="00CE5CF3"/>
    <w:rsid w:val="00CE6FA9"/>
    <w:rsid w:val="00CF6A5F"/>
    <w:rsid w:val="00CF738B"/>
    <w:rsid w:val="00D004F3"/>
    <w:rsid w:val="00D01172"/>
    <w:rsid w:val="00D04152"/>
    <w:rsid w:val="00D0421C"/>
    <w:rsid w:val="00D057FC"/>
    <w:rsid w:val="00D062B0"/>
    <w:rsid w:val="00D06DD6"/>
    <w:rsid w:val="00D07708"/>
    <w:rsid w:val="00D10078"/>
    <w:rsid w:val="00D125CC"/>
    <w:rsid w:val="00D129CE"/>
    <w:rsid w:val="00D13C7D"/>
    <w:rsid w:val="00D14761"/>
    <w:rsid w:val="00D209E1"/>
    <w:rsid w:val="00D21791"/>
    <w:rsid w:val="00D24711"/>
    <w:rsid w:val="00D24F97"/>
    <w:rsid w:val="00D26166"/>
    <w:rsid w:val="00D26DDD"/>
    <w:rsid w:val="00D31491"/>
    <w:rsid w:val="00D369C8"/>
    <w:rsid w:val="00D36A97"/>
    <w:rsid w:val="00D37D03"/>
    <w:rsid w:val="00D37F70"/>
    <w:rsid w:val="00D40794"/>
    <w:rsid w:val="00D4163E"/>
    <w:rsid w:val="00D43A39"/>
    <w:rsid w:val="00D443F7"/>
    <w:rsid w:val="00D51594"/>
    <w:rsid w:val="00D52A43"/>
    <w:rsid w:val="00D52D15"/>
    <w:rsid w:val="00D530BC"/>
    <w:rsid w:val="00D543F1"/>
    <w:rsid w:val="00D560C4"/>
    <w:rsid w:val="00D57000"/>
    <w:rsid w:val="00D6526E"/>
    <w:rsid w:val="00D65A07"/>
    <w:rsid w:val="00D65EA5"/>
    <w:rsid w:val="00D67519"/>
    <w:rsid w:val="00D6775C"/>
    <w:rsid w:val="00D67E10"/>
    <w:rsid w:val="00D7152D"/>
    <w:rsid w:val="00D72C29"/>
    <w:rsid w:val="00D74CB6"/>
    <w:rsid w:val="00D75374"/>
    <w:rsid w:val="00D76142"/>
    <w:rsid w:val="00D76273"/>
    <w:rsid w:val="00D76FBE"/>
    <w:rsid w:val="00D770EA"/>
    <w:rsid w:val="00D81ED0"/>
    <w:rsid w:val="00D83B24"/>
    <w:rsid w:val="00D844E2"/>
    <w:rsid w:val="00D85CA4"/>
    <w:rsid w:val="00D86287"/>
    <w:rsid w:val="00D86ED4"/>
    <w:rsid w:val="00D90187"/>
    <w:rsid w:val="00D91268"/>
    <w:rsid w:val="00D916E2"/>
    <w:rsid w:val="00D934A4"/>
    <w:rsid w:val="00D9440E"/>
    <w:rsid w:val="00D9484A"/>
    <w:rsid w:val="00D950CD"/>
    <w:rsid w:val="00D961DC"/>
    <w:rsid w:val="00D963DF"/>
    <w:rsid w:val="00D96DC8"/>
    <w:rsid w:val="00D97469"/>
    <w:rsid w:val="00DA1998"/>
    <w:rsid w:val="00DA35C2"/>
    <w:rsid w:val="00DA560B"/>
    <w:rsid w:val="00DA5840"/>
    <w:rsid w:val="00DA5BA8"/>
    <w:rsid w:val="00DA63AF"/>
    <w:rsid w:val="00DA7F20"/>
    <w:rsid w:val="00DB1878"/>
    <w:rsid w:val="00DB437B"/>
    <w:rsid w:val="00DB7D20"/>
    <w:rsid w:val="00DC026B"/>
    <w:rsid w:val="00DC2A9D"/>
    <w:rsid w:val="00DC30CD"/>
    <w:rsid w:val="00DC3381"/>
    <w:rsid w:val="00DC7019"/>
    <w:rsid w:val="00DC75C0"/>
    <w:rsid w:val="00DD0BDA"/>
    <w:rsid w:val="00DD1AE4"/>
    <w:rsid w:val="00DD1B1B"/>
    <w:rsid w:val="00DD1DF0"/>
    <w:rsid w:val="00DD47D6"/>
    <w:rsid w:val="00DD6759"/>
    <w:rsid w:val="00DD6A39"/>
    <w:rsid w:val="00DD6C49"/>
    <w:rsid w:val="00DE2C27"/>
    <w:rsid w:val="00DE372E"/>
    <w:rsid w:val="00DE3A8C"/>
    <w:rsid w:val="00DE3C17"/>
    <w:rsid w:val="00DE464F"/>
    <w:rsid w:val="00DE7065"/>
    <w:rsid w:val="00DF31DD"/>
    <w:rsid w:val="00DF3D54"/>
    <w:rsid w:val="00DF4722"/>
    <w:rsid w:val="00DF61C9"/>
    <w:rsid w:val="00DF66D2"/>
    <w:rsid w:val="00DF7C3D"/>
    <w:rsid w:val="00E012CD"/>
    <w:rsid w:val="00E05002"/>
    <w:rsid w:val="00E05154"/>
    <w:rsid w:val="00E062EB"/>
    <w:rsid w:val="00E06F1B"/>
    <w:rsid w:val="00E07878"/>
    <w:rsid w:val="00E07ACC"/>
    <w:rsid w:val="00E11B4E"/>
    <w:rsid w:val="00E12154"/>
    <w:rsid w:val="00E14322"/>
    <w:rsid w:val="00E1454F"/>
    <w:rsid w:val="00E23197"/>
    <w:rsid w:val="00E24171"/>
    <w:rsid w:val="00E252EA"/>
    <w:rsid w:val="00E26CFF"/>
    <w:rsid w:val="00E26EF5"/>
    <w:rsid w:val="00E27238"/>
    <w:rsid w:val="00E30E30"/>
    <w:rsid w:val="00E323A2"/>
    <w:rsid w:val="00E327DF"/>
    <w:rsid w:val="00E3282B"/>
    <w:rsid w:val="00E32D09"/>
    <w:rsid w:val="00E32F04"/>
    <w:rsid w:val="00E33E40"/>
    <w:rsid w:val="00E34012"/>
    <w:rsid w:val="00E35361"/>
    <w:rsid w:val="00E3584C"/>
    <w:rsid w:val="00E36565"/>
    <w:rsid w:val="00E37205"/>
    <w:rsid w:val="00E4014D"/>
    <w:rsid w:val="00E40A3A"/>
    <w:rsid w:val="00E41D94"/>
    <w:rsid w:val="00E42D2D"/>
    <w:rsid w:val="00E456F4"/>
    <w:rsid w:val="00E47231"/>
    <w:rsid w:val="00E473ED"/>
    <w:rsid w:val="00E503C8"/>
    <w:rsid w:val="00E506AF"/>
    <w:rsid w:val="00E511A1"/>
    <w:rsid w:val="00E528EB"/>
    <w:rsid w:val="00E534B6"/>
    <w:rsid w:val="00E54F1E"/>
    <w:rsid w:val="00E5500F"/>
    <w:rsid w:val="00E55C9C"/>
    <w:rsid w:val="00E55E59"/>
    <w:rsid w:val="00E56CD9"/>
    <w:rsid w:val="00E60099"/>
    <w:rsid w:val="00E61448"/>
    <w:rsid w:val="00E629FF"/>
    <w:rsid w:val="00E64377"/>
    <w:rsid w:val="00E65256"/>
    <w:rsid w:val="00E66F99"/>
    <w:rsid w:val="00E67E7F"/>
    <w:rsid w:val="00E71B6A"/>
    <w:rsid w:val="00E727D1"/>
    <w:rsid w:val="00E73A09"/>
    <w:rsid w:val="00E76200"/>
    <w:rsid w:val="00E77296"/>
    <w:rsid w:val="00E80F42"/>
    <w:rsid w:val="00E82ABE"/>
    <w:rsid w:val="00E8395C"/>
    <w:rsid w:val="00E84AD3"/>
    <w:rsid w:val="00E90337"/>
    <w:rsid w:val="00E93BDF"/>
    <w:rsid w:val="00E94522"/>
    <w:rsid w:val="00E94CBE"/>
    <w:rsid w:val="00E94CDC"/>
    <w:rsid w:val="00E9611F"/>
    <w:rsid w:val="00E96EF3"/>
    <w:rsid w:val="00E971FC"/>
    <w:rsid w:val="00EA192D"/>
    <w:rsid w:val="00EA2796"/>
    <w:rsid w:val="00EA4468"/>
    <w:rsid w:val="00EA4792"/>
    <w:rsid w:val="00EB0892"/>
    <w:rsid w:val="00EB20EC"/>
    <w:rsid w:val="00EB74F2"/>
    <w:rsid w:val="00EC03AC"/>
    <w:rsid w:val="00EC184B"/>
    <w:rsid w:val="00EC1D0B"/>
    <w:rsid w:val="00EC4818"/>
    <w:rsid w:val="00EC6678"/>
    <w:rsid w:val="00ED1B18"/>
    <w:rsid w:val="00ED1E43"/>
    <w:rsid w:val="00ED4E48"/>
    <w:rsid w:val="00ED6425"/>
    <w:rsid w:val="00ED6648"/>
    <w:rsid w:val="00ED6808"/>
    <w:rsid w:val="00ED6A02"/>
    <w:rsid w:val="00EE0B83"/>
    <w:rsid w:val="00EE0BEA"/>
    <w:rsid w:val="00EE1957"/>
    <w:rsid w:val="00EE3532"/>
    <w:rsid w:val="00EE4369"/>
    <w:rsid w:val="00EE5973"/>
    <w:rsid w:val="00EF40D0"/>
    <w:rsid w:val="00F001E0"/>
    <w:rsid w:val="00F0330D"/>
    <w:rsid w:val="00F0366E"/>
    <w:rsid w:val="00F058C3"/>
    <w:rsid w:val="00F06D22"/>
    <w:rsid w:val="00F07DCE"/>
    <w:rsid w:val="00F102EE"/>
    <w:rsid w:val="00F11256"/>
    <w:rsid w:val="00F114C4"/>
    <w:rsid w:val="00F1413C"/>
    <w:rsid w:val="00F160CD"/>
    <w:rsid w:val="00F166A8"/>
    <w:rsid w:val="00F17819"/>
    <w:rsid w:val="00F2150F"/>
    <w:rsid w:val="00F24A51"/>
    <w:rsid w:val="00F24F0F"/>
    <w:rsid w:val="00F25868"/>
    <w:rsid w:val="00F25A72"/>
    <w:rsid w:val="00F25D9C"/>
    <w:rsid w:val="00F2672C"/>
    <w:rsid w:val="00F3047B"/>
    <w:rsid w:val="00F3294B"/>
    <w:rsid w:val="00F34251"/>
    <w:rsid w:val="00F40CC2"/>
    <w:rsid w:val="00F42D78"/>
    <w:rsid w:val="00F44076"/>
    <w:rsid w:val="00F4408D"/>
    <w:rsid w:val="00F4637B"/>
    <w:rsid w:val="00F46A24"/>
    <w:rsid w:val="00F46DD1"/>
    <w:rsid w:val="00F4707E"/>
    <w:rsid w:val="00F475D8"/>
    <w:rsid w:val="00F47CDF"/>
    <w:rsid w:val="00F51A28"/>
    <w:rsid w:val="00F53DF6"/>
    <w:rsid w:val="00F5650F"/>
    <w:rsid w:val="00F56B64"/>
    <w:rsid w:val="00F611C2"/>
    <w:rsid w:val="00F61C2D"/>
    <w:rsid w:val="00F67048"/>
    <w:rsid w:val="00F72034"/>
    <w:rsid w:val="00F753F8"/>
    <w:rsid w:val="00F75E1D"/>
    <w:rsid w:val="00F771F8"/>
    <w:rsid w:val="00F80610"/>
    <w:rsid w:val="00F8131C"/>
    <w:rsid w:val="00F818E9"/>
    <w:rsid w:val="00F81B85"/>
    <w:rsid w:val="00F85690"/>
    <w:rsid w:val="00F856CA"/>
    <w:rsid w:val="00F91BDB"/>
    <w:rsid w:val="00F92A65"/>
    <w:rsid w:val="00F92F17"/>
    <w:rsid w:val="00F93964"/>
    <w:rsid w:val="00F93A35"/>
    <w:rsid w:val="00F96478"/>
    <w:rsid w:val="00F97988"/>
    <w:rsid w:val="00F97F17"/>
    <w:rsid w:val="00FA7128"/>
    <w:rsid w:val="00FA7F39"/>
    <w:rsid w:val="00FB0078"/>
    <w:rsid w:val="00FB1C88"/>
    <w:rsid w:val="00FB2ACA"/>
    <w:rsid w:val="00FB402B"/>
    <w:rsid w:val="00FB55A5"/>
    <w:rsid w:val="00FB6AA1"/>
    <w:rsid w:val="00FB7966"/>
    <w:rsid w:val="00FC04A7"/>
    <w:rsid w:val="00FC1E6D"/>
    <w:rsid w:val="00FC234C"/>
    <w:rsid w:val="00FC2E23"/>
    <w:rsid w:val="00FC6E7B"/>
    <w:rsid w:val="00FC7DA0"/>
    <w:rsid w:val="00FD198D"/>
    <w:rsid w:val="00FD3A5C"/>
    <w:rsid w:val="00FD48AC"/>
    <w:rsid w:val="00FD688E"/>
    <w:rsid w:val="00FD7DE5"/>
    <w:rsid w:val="00FE519A"/>
    <w:rsid w:val="00FE5916"/>
    <w:rsid w:val="00FF08A7"/>
    <w:rsid w:val="00FF256E"/>
    <w:rsid w:val="00FF2B8D"/>
    <w:rsid w:val="00FF38EA"/>
    <w:rsid w:val="00FF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033ADC"/>
  <w14:defaultImageDpi w14:val="330"/>
  <w15:docId w15:val="{691BB6D9-51D7-4917-93FF-66C8F75D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13"/>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D062B0"/>
    <w:pPr>
      <w:tabs>
        <w:tab w:val="left" w:pos="1170"/>
        <w:tab w:val="right" w:leader="dot" w:pos="9350"/>
      </w:tabs>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12"/>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12"/>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paragraph" w:customStyle="1" w:styleId="paragraph">
    <w:name w:val="paragraph"/>
    <w:basedOn w:val="Normal"/>
    <w:rsid w:val="002D7E78"/>
    <w:pPr>
      <w:spacing w:before="100" w:beforeAutospacing="1" w:after="100" w:afterAutospacing="1" w:line="240" w:lineRule="auto"/>
      <w:ind w:firstLine="0"/>
      <w:jc w:val="left"/>
    </w:pPr>
  </w:style>
  <w:style w:type="character" w:customStyle="1" w:styleId="eop">
    <w:name w:val="eop"/>
    <w:basedOn w:val="DefaultParagraphFont"/>
    <w:rsid w:val="002D7E78"/>
  </w:style>
  <w:style w:type="character" w:customStyle="1" w:styleId="normaltextrun">
    <w:name w:val="normaltextrun"/>
    <w:basedOn w:val="DefaultParagraphFont"/>
    <w:rsid w:val="002D7E78"/>
  </w:style>
  <w:style w:type="character" w:customStyle="1" w:styleId="spellingerror">
    <w:name w:val="spellingerror"/>
    <w:basedOn w:val="DefaultParagraphFont"/>
    <w:rsid w:val="002D7E78"/>
  </w:style>
  <w:style w:type="character" w:customStyle="1" w:styleId="advancedproofingissue">
    <w:name w:val="advancedproofingissue"/>
    <w:basedOn w:val="DefaultParagraphFont"/>
    <w:rsid w:val="002D7E78"/>
  </w:style>
  <w:style w:type="character" w:customStyle="1" w:styleId="contextualspellingandgrammarerror">
    <w:name w:val="contextualspellingandgrammarerror"/>
    <w:basedOn w:val="DefaultParagraphFont"/>
    <w:rsid w:val="0051424D"/>
  </w:style>
  <w:style w:type="character" w:styleId="FollowedHyperlink">
    <w:name w:val="FollowedHyperlink"/>
    <w:basedOn w:val="DefaultParagraphFont"/>
    <w:rsid w:val="00352085"/>
    <w:rPr>
      <w:color w:val="954F72" w:themeColor="followedHyperlink"/>
      <w:u w:val="single"/>
    </w:rPr>
  </w:style>
  <w:style w:type="character" w:customStyle="1" w:styleId="UnresolvedMention1">
    <w:name w:val="Unresolved Mention1"/>
    <w:basedOn w:val="DefaultParagraphFont"/>
    <w:uiPriority w:val="99"/>
    <w:semiHidden/>
    <w:unhideWhenUsed/>
    <w:rsid w:val="005B57EA"/>
    <w:rPr>
      <w:color w:val="605E5C"/>
      <w:shd w:val="clear" w:color="auto" w:fill="E1DFDD"/>
    </w:rPr>
  </w:style>
  <w:style w:type="character" w:styleId="Emphasis">
    <w:name w:val="Emphasis"/>
    <w:basedOn w:val="DefaultParagraphFont"/>
    <w:uiPriority w:val="20"/>
    <w:qFormat/>
    <w:rsid w:val="00552B0C"/>
    <w:rPr>
      <w:i/>
      <w:iCs/>
    </w:rPr>
  </w:style>
  <w:style w:type="character" w:styleId="FootnoteReference">
    <w:name w:val="footnote reference"/>
    <w:basedOn w:val="DefaultParagraphFont"/>
    <w:rsid w:val="00E54F1E"/>
    <w:rPr>
      <w:vertAlign w:val="superscript"/>
    </w:rPr>
  </w:style>
  <w:style w:type="character" w:styleId="Strong">
    <w:name w:val="Strong"/>
    <w:basedOn w:val="DefaultParagraphFont"/>
    <w:uiPriority w:val="22"/>
    <w:qFormat/>
    <w:rsid w:val="00AF6557"/>
    <w:rPr>
      <w:b/>
      <w:bCs/>
    </w:rPr>
  </w:style>
  <w:style w:type="character" w:styleId="CommentReference">
    <w:name w:val="annotation reference"/>
    <w:basedOn w:val="DefaultParagraphFont"/>
    <w:rsid w:val="00412360"/>
    <w:rPr>
      <w:sz w:val="16"/>
      <w:szCs w:val="16"/>
    </w:rPr>
  </w:style>
  <w:style w:type="paragraph" w:styleId="Revision">
    <w:name w:val="Revision"/>
    <w:hidden/>
    <w:uiPriority w:val="99"/>
    <w:semiHidden/>
    <w:rsid w:val="00553DCC"/>
    <w:rPr>
      <w:sz w:val="24"/>
      <w:szCs w:val="24"/>
    </w:rPr>
  </w:style>
  <w:style w:type="character" w:styleId="UnresolvedMention">
    <w:name w:val="Unresolved Mention"/>
    <w:basedOn w:val="DefaultParagraphFont"/>
    <w:uiPriority w:val="99"/>
    <w:semiHidden/>
    <w:unhideWhenUsed/>
    <w:rsid w:val="00F16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41510100">
      <w:bodyDiv w:val="1"/>
      <w:marLeft w:val="0"/>
      <w:marRight w:val="0"/>
      <w:marTop w:val="0"/>
      <w:marBottom w:val="0"/>
      <w:divBdr>
        <w:top w:val="none" w:sz="0" w:space="0" w:color="auto"/>
        <w:left w:val="none" w:sz="0" w:space="0" w:color="auto"/>
        <w:bottom w:val="none" w:sz="0" w:space="0" w:color="auto"/>
        <w:right w:val="none" w:sz="0" w:space="0" w:color="auto"/>
      </w:divBdr>
      <w:divsChild>
        <w:div w:id="2012295138">
          <w:marLeft w:val="0"/>
          <w:marRight w:val="0"/>
          <w:marTop w:val="0"/>
          <w:marBottom w:val="0"/>
          <w:divBdr>
            <w:top w:val="none" w:sz="0" w:space="0" w:color="auto"/>
            <w:left w:val="none" w:sz="0" w:space="0" w:color="auto"/>
            <w:bottom w:val="none" w:sz="0" w:space="0" w:color="auto"/>
            <w:right w:val="none" w:sz="0" w:space="0" w:color="auto"/>
          </w:divBdr>
        </w:div>
      </w:divsChild>
    </w:div>
    <w:div w:id="234051924">
      <w:bodyDiv w:val="1"/>
      <w:marLeft w:val="0"/>
      <w:marRight w:val="0"/>
      <w:marTop w:val="0"/>
      <w:marBottom w:val="0"/>
      <w:divBdr>
        <w:top w:val="none" w:sz="0" w:space="0" w:color="auto"/>
        <w:left w:val="none" w:sz="0" w:space="0" w:color="auto"/>
        <w:bottom w:val="none" w:sz="0" w:space="0" w:color="auto"/>
        <w:right w:val="none" w:sz="0" w:space="0" w:color="auto"/>
      </w:divBdr>
    </w:div>
    <w:div w:id="236061923">
      <w:bodyDiv w:val="1"/>
      <w:marLeft w:val="0"/>
      <w:marRight w:val="0"/>
      <w:marTop w:val="0"/>
      <w:marBottom w:val="0"/>
      <w:divBdr>
        <w:top w:val="none" w:sz="0" w:space="0" w:color="auto"/>
        <w:left w:val="none" w:sz="0" w:space="0" w:color="auto"/>
        <w:bottom w:val="none" w:sz="0" w:space="0" w:color="auto"/>
        <w:right w:val="none" w:sz="0" w:space="0" w:color="auto"/>
      </w:divBdr>
    </w:div>
    <w:div w:id="461463094">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577590670">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6417221">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2991944">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gi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045"/>
    <w:rsid w:val="00092AC2"/>
    <w:rsid w:val="002E4451"/>
    <w:rsid w:val="003C4D84"/>
    <w:rsid w:val="003D09D3"/>
    <w:rsid w:val="004245CA"/>
    <w:rsid w:val="00476494"/>
    <w:rsid w:val="0058278B"/>
    <w:rsid w:val="008B04B3"/>
    <w:rsid w:val="008E165E"/>
    <w:rsid w:val="00AA7C58"/>
    <w:rsid w:val="00BA74A9"/>
    <w:rsid w:val="00BE7B9A"/>
    <w:rsid w:val="00C91C2D"/>
    <w:rsid w:val="00DA423B"/>
    <w:rsid w:val="00E56045"/>
    <w:rsid w:val="00ED5978"/>
    <w:rsid w:val="00F1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1924849E4E614F80FB3EA23183ECC8" ma:contentTypeVersion="12" ma:contentTypeDescription="Create a new document." ma:contentTypeScope="" ma:versionID="5040621b5340d4b4ea9519679fdab232">
  <xsd:schema xmlns:xsd="http://www.w3.org/2001/XMLSchema" xmlns:xs="http://www.w3.org/2001/XMLSchema" xmlns:p="http://schemas.microsoft.com/office/2006/metadata/properties" xmlns:ns3="a15509b9-f3e0-4f69-a09f-fdbdd460b39b" xmlns:ns4="b897bbea-c52b-4a6e-b1c9-1b11ce42df74" targetNamespace="http://schemas.microsoft.com/office/2006/metadata/properties" ma:root="true" ma:fieldsID="ecd27001e1514aaf695172118cd3d8f7" ns3:_="" ns4:_="">
    <xsd:import namespace="a15509b9-f3e0-4f69-a09f-fdbdd460b39b"/>
    <xsd:import namespace="b897bbea-c52b-4a6e-b1c9-1b11ce42df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509b9-f3e0-4f69-a09f-fdbdd460b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7bbea-c52b-4a6e-b1c9-1b11ce42df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5F58-7D3E-41AB-9F63-18A37D0B9237}">
  <ds:schemaRefs>
    <ds:schemaRef ds:uri="http://schemas.microsoft.com/sharepoint/v3/contenttype/forms"/>
  </ds:schemaRefs>
</ds:datastoreItem>
</file>

<file path=customXml/itemProps2.xml><?xml version="1.0" encoding="utf-8"?>
<ds:datastoreItem xmlns:ds="http://schemas.openxmlformats.org/officeDocument/2006/customXml" ds:itemID="{33B26112-74EB-4158-A64C-B2A7C2789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509b9-f3e0-4f69-a09f-fdbdd460b39b"/>
    <ds:schemaRef ds:uri="b897bbea-c52b-4a6e-b1c9-1b11ce42d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49C33-7661-4BB2-AA52-D6C161ED0183}">
  <ds:schemaRefs>
    <ds:schemaRef ds:uri="b897bbea-c52b-4a6e-b1c9-1b11ce42df74"/>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a15509b9-f3e0-4f69-a09f-fdbdd460b39b"/>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85389A5-2C59-43EB-8E6C-E7A13D48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7388</Words>
  <Characters>47761</Characters>
  <Application>Microsoft Office Word</Application>
  <DocSecurity>4</DocSecurity>
  <Lines>398</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55039</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2</cp:revision>
  <cp:lastPrinted>2020-08-25T15:46:00Z</cp:lastPrinted>
  <dcterms:created xsi:type="dcterms:W3CDTF">2020-08-25T15:51:00Z</dcterms:created>
  <dcterms:modified xsi:type="dcterms:W3CDTF">2020-08-25T15:51:00Z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ContentTypeId">
    <vt:lpwstr>0x010100DD1924849E4E614F80FB3EA23183ECC8</vt:lpwstr>
  </property>
</Properties>
</file>