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9AD52" w14:textId="77777777" w:rsidR="008E2E0D" w:rsidRDefault="008E2E0D" w:rsidP="00DD75C3">
      <w:pPr>
        <w:jc w:val="center"/>
        <w:rPr>
          <w:smallCaps/>
          <w:sz w:val="28"/>
          <w:szCs w:val="28"/>
        </w:rPr>
      </w:pPr>
      <w:r>
        <w:rPr>
          <w:smallCaps/>
          <w:sz w:val="28"/>
          <w:szCs w:val="28"/>
        </w:rPr>
        <w:t xml:space="preserve">Forthcoming in </w:t>
      </w:r>
    </w:p>
    <w:p w14:paraId="5B7254C6" w14:textId="77777777" w:rsidR="008E2E0D" w:rsidRDefault="008E2E0D" w:rsidP="00DD75C3">
      <w:pPr>
        <w:jc w:val="center"/>
        <w:rPr>
          <w:smallCaps/>
          <w:sz w:val="28"/>
          <w:szCs w:val="28"/>
        </w:rPr>
      </w:pPr>
      <w:r w:rsidRPr="008E2E0D">
        <w:rPr>
          <w:i/>
          <w:iCs/>
          <w:smallCaps/>
          <w:sz w:val="28"/>
          <w:szCs w:val="28"/>
        </w:rPr>
        <w:t>The Oxford Handbook of Feminism and Law in the United States</w:t>
      </w:r>
      <w:r w:rsidRPr="008E2E0D">
        <w:rPr>
          <w:smallCaps/>
          <w:sz w:val="28"/>
          <w:szCs w:val="28"/>
        </w:rPr>
        <w:t xml:space="preserve"> </w:t>
      </w:r>
    </w:p>
    <w:p w14:paraId="320F62F6" w14:textId="442FA343" w:rsidR="008E2E0D" w:rsidRDefault="008E2E0D" w:rsidP="00DD75C3">
      <w:pPr>
        <w:jc w:val="center"/>
        <w:rPr>
          <w:smallCaps/>
          <w:sz w:val="28"/>
          <w:szCs w:val="28"/>
        </w:rPr>
      </w:pPr>
      <w:r w:rsidRPr="008E2E0D">
        <w:rPr>
          <w:smallCaps/>
          <w:sz w:val="28"/>
          <w:szCs w:val="28"/>
        </w:rPr>
        <w:t xml:space="preserve">(Deborah L. Brake, Martha </w:t>
      </w:r>
      <w:proofErr w:type="spellStart"/>
      <w:r w:rsidRPr="008E2E0D">
        <w:rPr>
          <w:smallCaps/>
          <w:sz w:val="28"/>
          <w:szCs w:val="28"/>
        </w:rPr>
        <w:t>Chamallas</w:t>
      </w:r>
      <w:proofErr w:type="spellEnd"/>
      <w:r w:rsidRPr="008E2E0D">
        <w:rPr>
          <w:smallCaps/>
          <w:sz w:val="28"/>
          <w:szCs w:val="28"/>
        </w:rPr>
        <w:t xml:space="preserve"> &amp; Verna Williams eds.)</w:t>
      </w:r>
    </w:p>
    <w:p w14:paraId="25828701" w14:textId="77777777" w:rsidR="008E2E0D" w:rsidRDefault="008E2E0D" w:rsidP="00DD75C3">
      <w:pPr>
        <w:jc w:val="center"/>
        <w:rPr>
          <w:smallCaps/>
          <w:sz w:val="28"/>
          <w:szCs w:val="28"/>
        </w:rPr>
      </w:pPr>
    </w:p>
    <w:p w14:paraId="2C012EFA" w14:textId="13545661" w:rsidR="00C9243B" w:rsidRDefault="00C9243B" w:rsidP="00DD75C3">
      <w:pPr>
        <w:jc w:val="center"/>
        <w:rPr>
          <w:smallCaps/>
          <w:sz w:val="28"/>
          <w:szCs w:val="28"/>
        </w:rPr>
      </w:pPr>
      <w:r>
        <w:rPr>
          <w:smallCaps/>
          <w:sz w:val="28"/>
          <w:szCs w:val="28"/>
        </w:rPr>
        <w:t>Chapter 34</w:t>
      </w:r>
    </w:p>
    <w:p w14:paraId="2990E1EA" w14:textId="77777777" w:rsidR="00C9243B" w:rsidRDefault="00C9243B" w:rsidP="00DD75C3">
      <w:pPr>
        <w:jc w:val="center"/>
        <w:rPr>
          <w:smallCaps/>
          <w:sz w:val="28"/>
          <w:szCs w:val="28"/>
        </w:rPr>
      </w:pPr>
    </w:p>
    <w:p w14:paraId="6E7A9378" w14:textId="12323AA9" w:rsidR="00DD75C3" w:rsidRDefault="00DD75C3" w:rsidP="00DD75C3">
      <w:pPr>
        <w:jc w:val="center"/>
        <w:rPr>
          <w:smallCaps/>
          <w:sz w:val="28"/>
          <w:szCs w:val="28"/>
        </w:rPr>
      </w:pPr>
      <w:r>
        <w:rPr>
          <w:smallCaps/>
          <w:sz w:val="28"/>
          <w:szCs w:val="28"/>
        </w:rPr>
        <w:t>A Taxing Feminism</w:t>
      </w:r>
    </w:p>
    <w:p w14:paraId="2DF92122" w14:textId="77777777" w:rsidR="009B2516" w:rsidRDefault="009B2516" w:rsidP="00DD75C3">
      <w:pPr>
        <w:jc w:val="center"/>
        <w:rPr>
          <w:sz w:val="28"/>
          <w:szCs w:val="28"/>
        </w:rPr>
      </w:pPr>
    </w:p>
    <w:p w14:paraId="15571918" w14:textId="5C749C5E" w:rsidR="00DD75C3" w:rsidRDefault="00DD75C3" w:rsidP="001B5911">
      <w:pPr>
        <w:jc w:val="center"/>
        <w:rPr>
          <w:szCs w:val="26"/>
        </w:rPr>
      </w:pPr>
      <w:r w:rsidRPr="003728AC">
        <w:rPr>
          <w:szCs w:val="26"/>
        </w:rPr>
        <w:t>Anthony C. Infanti &amp; Bridget J. Crawford</w:t>
      </w:r>
    </w:p>
    <w:p w14:paraId="78BE90C0" w14:textId="217B1FCB" w:rsidR="00356FA6" w:rsidRDefault="00356FA6" w:rsidP="005D7DB8">
      <w:pPr>
        <w:spacing w:line="480" w:lineRule="auto"/>
        <w:rPr>
          <w:szCs w:val="26"/>
        </w:rPr>
      </w:pPr>
    </w:p>
    <w:p w14:paraId="00168F2E" w14:textId="4DD5ECFD" w:rsidR="00BB6F0D" w:rsidRDefault="00BF5073" w:rsidP="005D7DB8">
      <w:pPr>
        <w:spacing w:line="480" w:lineRule="auto"/>
        <w:ind w:firstLine="720"/>
      </w:pPr>
      <w:r>
        <w:rPr>
          <w:szCs w:val="26"/>
        </w:rPr>
        <w:t>Tax</w:t>
      </w:r>
      <w:r w:rsidR="001C0E74">
        <w:rPr>
          <w:szCs w:val="26"/>
        </w:rPr>
        <w:t xml:space="preserve">ation has always been a feminist issue. </w:t>
      </w:r>
      <w:r w:rsidR="00BB6F0D">
        <w:rPr>
          <w:szCs w:val="26"/>
        </w:rPr>
        <w:t>In 1848, w</w:t>
      </w:r>
      <w:r w:rsidR="001C0E74">
        <w:rPr>
          <w:szCs w:val="26"/>
        </w:rPr>
        <w:t xml:space="preserve">omen’s rights advocates gathered at Seneca Falls </w:t>
      </w:r>
      <w:r w:rsidR="00BB6F0D">
        <w:rPr>
          <w:szCs w:val="26"/>
        </w:rPr>
        <w:t>and issued a</w:t>
      </w:r>
      <w:r w:rsidR="001C0E74">
        <w:rPr>
          <w:szCs w:val="26"/>
        </w:rPr>
        <w:t xml:space="preserve"> Declaration of Sentiments against the laws and ideologies that contributed to women’s subordinate status.</w:t>
      </w:r>
      <w:r w:rsidR="001C0E74">
        <w:rPr>
          <w:rStyle w:val="FootnoteReference"/>
          <w:szCs w:val="26"/>
        </w:rPr>
        <w:footnoteReference w:id="1"/>
      </w:r>
      <w:r w:rsidR="001C0E74">
        <w:rPr>
          <w:szCs w:val="26"/>
        </w:rPr>
        <w:t xml:space="preserve"> </w:t>
      </w:r>
      <w:r w:rsidR="001C0E74" w:rsidRPr="00BF67B7">
        <w:t xml:space="preserve">“We hold these truths to be self-evident: that all men and women </w:t>
      </w:r>
      <w:r w:rsidR="009C21C8">
        <w:t>are</w:t>
      </w:r>
      <w:r w:rsidR="009C21C8" w:rsidRPr="00BF67B7">
        <w:t xml:space="preserve"> </w:t>
      </w:r>
      <w:r w:rsidR="001C0E74" w:rsidRPr="00BF67B7">
        <w:t>created equal</w:t>
      </w:r>
      <w:r w:rsidR="001C0E74">
        <w:t>,</w:t>
      </w:r>
      <w:r w:rsidR="001C0E74" w:rsidRPr="00BF67B7">
        <w:t xml:space="preserve">” </w:t>
      </w:r>
      <w:r w:rsidR="001C0E74">
        <w:t>t</w:t>
      </w:r>
      <w:r w:rsidR="001C0E74" w:rsidRPr="00BF67B7">
        <w:t xml:space="preserve">he Declaration </w:t>
      </w:r>
      <w:r w:rsidR="001C0E74">
        <w:t>began.</w:t>
      </w:r>
      <w:r w:rsidR="001C0E74" w:rsidRPr="00BF67B7">
        <w:rPr>
          <w:rStyle w:val="FootnoteReference"/>
        </w:rPr>
        <w:footnoteReference w:id="2"/>
      </w:r>
      <w:r w:rsidR="001C0E74">
        <w:t xml:space="preserve"> The Declaration </w:t>
      </w:r>
      <w:r w:rsidR="00BB6F0D">
        <w:t>proceeded to denounce</w:t>
      </w:r>
      <w:r w:rsidR="0036708D">
        <w:t xml:space="preserve"> laws that prohibited women from voting, owning property, or being treated as separate legal persons from their husbands.</w:t>
      </w:r>
      <w:r w:rsidR="0036708D">
        <w:rPr>
          <w:rStyle w:val="FootnoteReference"/>
        </w:rPr>
        <w:footnoteReference w:id="3"/>
      </w:r>
      <w:r w:rsidR="0036708D">
        <w:t xml:space="preserve"> To add further injury, </w:t>
      </w:r>
      <w:r w:rsidR="00BB6F0D">
        <w:t>the drafters wrote,</w:t>
      </w:r>
      <w:r w:rsidR="00893DA0">
        <w:t xml:space="preserve"> </w:t>
      </w:r>
      <w:r w:rsidR="0036708D">
        <w:t xml:space="preserve">“After depriving </w:t>
      </w:r>
      <w:r w:rsidR="0055373B">
        <w:t xml:space="preserve">her </w:t>
      </w:r>
      <w:r w:rsidR="0036708D">
        <w:t>of all rights as a married woman, if single, and the owner of property, he has taxed her to support a government which recognizes her only when her property can be made profitable to it.”</w:t>
      </w:r>
      <w:r w:rsidR="0036708D">
        <w:rPr>
          <w:rStyle w:val="FootnoteReference"/>
        </w:rPr>
        <w:footnoteReference w:id="4"/>
      </w:r>
      <w:r w:rsidR="00B7619C">
        <w:t xml:space="preserve"> </w:t>
      </w:r>
      <w:r w:rsidR="00BB6F0D">
        <w:t>With this tax</w:t>
      </w:r>
      <w:r w:rsidR="00E76C29">
        <w:t xml:space="preserve"> </w:t>
      </w:r>
      <w:r w:rsidR="00BB6F0D">
        <w:t>rhetoric, the e</w:t>
      </w:r>
      <w:r w:rsidR="0036708D">
        <w:t xml:space="preserve">arly women’s rights advocates </w:t>
      </w:r>
      <w:r w:rsidR="00BB6F0D">
        <w:t>borrowed from the colonial slogan</w:t>
      </w:r>
      <w:r w:rsidR="00E230D6">
        <w:t xml:space="preserve"> </w:t>
      </w:r>
      <w:r w:rsidR="0036708D">
        <w:t>“No taxation without representation</w:t>
      </w:r>
      <w:r w:rsidR="00E230D6">
        <w:t>” in an effort to highlight the injustices women faced.</w:t>
      </w:r>
      <w:r w:rsidR="0036708D">
        <w:rPr>
          <w:rStyle w:val="FootnoteReference"/>
        </w:rPr>
        <w:footnoteReference w:id="5"/>
      </w:r>
      <w:r w:rsidR="00B7619C">
        <w:t xml:space="preserve"> </w:t>
      </w:r>
    </w:p>
    <w:p w14:paraId="0AF2A7A6" w14:textId="6162CC47" w:rsidR="001C0E74" w:rsidRDefault="00BB6F0D" w:rsidP="005D7DB8">
      <w:pPr>
        <w:spacing w:line="480" w:lineRule="auto"/>
        <w:ind w:firstLine="720"/>
      </w:pPr>
      <w:r>
        <w:t xml:space="preserve">In the years after the gathering at Seneca Falls, </w:t>
      </w:r>
      <w:r w:rsidR="00525A97">
        <w:t>many prominent</w:t>
      </w:r>
      <w:r w:rsidR="00E230D6">
        <w:t xml:space="preserve"> woman suffragists refused to pay their taxes</w:t>
      </w:r>
      <w:r>
        <w:t xml:space="preserve"> to protest the ongoing denial of the franchise to women.</w:t>
      </w:r>
      <w:r w:rsidRPr="00BB6F0D">
        <w:rPr>
          <w:rStyle w:val="FootnoteReference"/>
        </w:rPr>
        <w:t xml:space="preserve"> </w:t>
      </w:r>
      <w:r>
        <w:rPr>
          <w:rStyle w:val="FootnoteReference"/>
        </w:rPr>
        <w:footnoteReference w:id="6"/>
      </w:r>
      <w:r>
        <w:t xml:space="preserve"> Some protestors </w:t>
      </w:r>
      <w:r w:rsidR="00525A97">
        <w:t>forfeit</w:t>
      </w:r>
      <w:r>
        <w:t>ed</w:t>
      </w:r>
      <w:r w:rsidR="00525A97">
        <w:t xml:space="preserve"> property</w:t>
      </w:r>
      <w:r>
        <w:t xml:space="preserve"> or went to jail for their failure to pay; they believed that tax laws </w:t>
      </w:r>
      <w:r>
        <w:lastRenderedPageBreak/>
        <w:t>were the powerful, tangible symbol of women’s political, social, and economic status in an unfair society.</w:t>
      </w:r>
      <w:r w:rsidR="00525A97">
        <w:rPr>
          <w:rStyle w:val="FootnoteReference"/>
        </w:rPr>
        <w:footnoteReference w:id="7"/>
      </w:r>
      <w:r>
        <w:t xml:space="preserve"> </w:t>
      </w:r>
    </w:p>
    <w:p w14:paraId="307034D6" w14:textId="613D4B79" w:rsidR="000925AC" w:rsidRPr="000925AC" w:rsidRDefault="000925AC" w:rsidP="005D7DB8">
      <w:pPr>
        <w:spacing w:line="480" w:lineRule="auto"/>
        <w:rPr>
          <w:b/>
          <w:bCs/>
          <w:szCs w:val="26"/>
        </w:rPr>
      </w:pPr>
      <w:r w:rsidRPr="000925AC">
        <w:rPr>
          <w:b/>
          <w:bCs/>
        </w:rPr>
        <w:t>Attacking Facially</w:t>
      </w:r>
      <w:r w:rsidR="00905D67">
        <w:rPr>
          <w:b/>
          <w:bCs/>
        </w:rPr>
        <w:t xml:space="preserve"> </w:t>
      </w:r>
      <w:r w:rsidRPr="000925AC">
        <w:rPr>
          <w:b/>
          <w:bCs/>
        </w:rPr>
        <w:t>Discriminatory Laws</w:t>
      </w:r>
    </w:p>
    <w:p w14:paraId="78F5A676" w14:textId="78DE23F7" w:rsidR="00174949" w:rsidRDefault="00BB6F0D" w:rsidP="005D7DB8">
      <w:pPr>
        <w:spacing w:line="480" w:lineRule="auto"/>
        <w:ind w:firstLine="720"/>
        <w:rPr>
          <w:szCs w:val="26"/>
        </w:rPr>
      </w:pPr>
      <w:r>
        <w:rPr>
          <w:szCs w:val="26"/>
        </w:rPr>
        <w:t>From the nineteenth century to the present, t</w:t>
      </w:r>
      <w:r w:rsidR="00525A97">
        <w:rPr>
          <w:szCs w:val="26"/>
        </w:rPr>
        <w:t>ax</w:t>
      </w:r>
      <w:r w:rsidR="00BF5073">
        <w:rPr>
          <w:szCs w:val="26"/>
        </w:rPr>
        <w:t xml:space="preserve"> cases </w:t>
      </w:r>
      <w:r w:rsidR="00710B7D">
        <w:rPr>
          <w:szCs w:val="26"/>
        </w:rPr>
        <w:t xml:space="preserve">have </w:t>
      </w:r>
      <w:r w:rsidR="006F3F5E">
        <w:rPr>
          <w:szCs w:val="26"/>
        </w:rPr>
        <w:t xml:space="preserve">had </w:t>
      </w:r>
      <w:r w:rsidR="00710B7D">
        <w:rPr>
          <w:szCs w:val="26"/>
        </w:rPr>
        <w:t>a special ability to illuminate</w:t>
      </w:r>
      <w:r w:rsidR="00BF5073">
        <w:rPr>
          <w:szCs w:val="26"/>
        </w:rPr>
        <w:t xml:space="preserve"> </w:t>
      </w:r>
      <w:r w:rsidR="00525A97">
        <w:rPr>
          <w:szCs w:val="26"/>
        </w:rPr>
        <w:t>injustice</w:t>
      </w:r>
      <w:r>
        <w:rPr>
          <w:szCs w:val="26"/>
        </w:rPr>
        <w:t xml:space="preserve">; </w:t>
      </w:r>
      <w:r w:rsidR="00525A97">
        <w:rPr>
          <w:szCs w:val="26"/>
        </w:rPr>
        <w:t>they</w:t>
      </w:r>
      <w:r>
        <w:rPr>
          <w:szCs w:val="26"/>
        </w:rPr>
        <w:t xml:space="preserve"> have a way of reducing inequality to </w:t>
      </w:r>
      <w:r w:rsidR="00525A97">
        <w:rPr>
          <w:szCs w:val="26"/>
        </w:rPr>
        <w:t xml:space="preserve">dollars and cents. </w:t>
      </w:r>
      <w:r>
        <w:rPr>
          <w:szCs w:val="26"/>
        </w:rPr>
        <w:t>Consider, for example, that a</w:t>
      </w:r>
      <w:r w:rsidR="00525A97">
        <w:rPr>
          <w:szCs w:val="26"/>
        </w:rPr>
        <w:t xml:space="preserve">lmost fifty years after women </w:t>
      </w:r>
      <w:r>
        <w:rPr>
          <w:szCs w:val="26"/>
        </w:rPr>
        <w:t>won</w:t>
      </w:r>
      <w:r w:rsidR="00525A97">
        <w:rPr>
          <w:szCs w:val="26"/>
        </w:rPr>
        <w:t xml:space="preserve"> the right to vote, the tax law again became a focal point </w:t>
      </w:r>
      <w:r w:rsidR="001B7B4F">
        <w:rPr>
          <w:szCs w:val="26"/>
        </w:rPr>
        <w:t>of advocates for women’s rights</w:t>
      </w:r>
      <w:r w:rsidR="00BF5073">
        <w:rPr>
          <w:szCs w:val="26"/>
        </w:rPr>
        <w:t>. In 19</w:t>
      </w:r>
      <w:r w:rsidR="00710B7D">
        <w:rPr>
          <w:szCs w:val="26"/>
        </w:rPr>
        <w:t>68</w:t>
      </w:r>
      <w:r w:rsidR="00BF5073">
        <w:rPr>
          <w:szCs w:val="26"/>
        </w:rPr>
        <w:t xml:space="preserve">, </w:t>
      </w:r>
      <w:r w:rsidR="00710B7D">
        <w:rPr>
          <w:szCs w:val="26"/>
        </w:rPr>
        <w:t>an unmarried Colorado man</w:t>
      </w:r>
      <w:r w:rsidR="001B7B4F">
        <w:rPr>
          <w:szCs w:val="26"/>
        </w:rPr>
        <w:t xml:space="preserve"> named Charles Moritz</w:t>
      </w:r>
      <w:r w:rsidR="00710B7D">
        <w:rPr>
          <w:szCs w:val="26"/>
        </w:rPr>
        <w:t xml:space="preserve"> took a </w:t>
      </w:r>
      <w:r w:rsidR="00763031">
        <w:rPr>
          <w:szCs w:val="26"/>
        </w:rPr>
        <w:t xml:space="preserve">$600 </w:t>
      </w:r>
      <w:r w:rsidR="00710B7D">
        <w:rPr>
          <w:szCs w:val="26"/>
        </w:rPr>
        <w:t>deduction on his federal income tax return for expenses paid in connection with the care of his elderly mother who lived with him.</w:t>
      </w:r>
      <w:r w:rsidR="00710B7D">
        <w:rPr>
          <w:rStyle w:val="FootnoteReference"/>
          <w:szCs w:val="26"/>
        </w:rPr>
        <w:footnoteReference w:id="8"/>
      </w:r>
      <w:r w:rsidR="00710B7D">
        <w:rPr>
          <w:szCs w:val="26"/>
        </w:rPr>
        <w:t xml:space="preserve"> At the time, </w:t>
      </w:r>
      <w:r w:rsidR="007F1115">
        <w:rPr>
          <w:szCs w:val="26"/>
        </w:rPr>
        <w:t xml:space="preserve">§ </w:t>
      </w:r>
      <w:r w:rsidR="00763031">
        <w:rPr>
          <w:szCs w:val="26"/>
        </w:rPr>
        <w:t xml:space="preserve">214 of the Internal Revenue Code permitted taxpayers </w:t>
      </w:r>
      <w:r w:rsidR="008468B8">
        <w:rPr>
          <w:szCs w:val="26"/>
        </w:rPr>
        <w:t xml:space="preserve">who were gainfully employed </w:t>
      </w:r>
      <w:r w:rsidR="00763031">
        <w:rPr>
          <w:szCs w:val="26"/>
        </w:rPr>
        <w:t xml:space="preserve">to deduct expenses associated with the care of certain dependents, but the deduction </w:t>
      </w:r>
      <w:r w:rsidR="001B7B4F">
        <w:rPr>
          <w:szCs w:val="26"/>
        </w:rPr>
        <w:t xml:space="preserve">was </w:t>
      </w:r>
      <w:r w:rsidR="00763031">
        <w:rPr>
          <w:szCs w:val="26"/>
        </w:rPr>
        <w:t>available only to “a taxpayer who is a woman or widower, or is a husband whose wife is incapacitated or is institutionalized, for the care of one or more dependents.”</w:t>
      </w:r>
      <w:r w:rsidR="00763031">
        <w:rPr>
          <w:rStyle w:val="FootnoteReference"/>
          <w:szCs w:val="26"/>
        </w:rPr>
        <w:footnoteReference w:id="9"/>
      </w:r>
      <w:r w:rsidR="00763031">
        <w:rPr>
          <w:szCs w:val="26"/>
        </w:rPr>
        <w:t xml:space="preserve"> The U</w:t>
      </w:r>
      <w:r w:rsidR="00E41D71">
        <w:rPr>
          <w:szCs w:val="26"/>
        </w:rPr>
        <w:t>.</w:t>
      </w:r>
      <w:r w:rsidR="00763031">
        <w:rPr>
          <w:szCs w:val="26"/>
        </w:rPr>
        <w:t>S</w:t>
      </w:r>
      <w:r w:rsidR="00E41D71">
        <w:rPr>
          <w:szCs w:val="26"/>
        </w:rPr>
        <w:t>.</w:t>
      </w:r>
      <w:r w:rsidR="00763031">
        <w:rPr>
          <w:szCs w:val="26"/>
        </w:rPr>
        <w:t xml:space="preserve"> Tax Court upheld the Internal Revenue Service’s denial of the deduction to Moritz on the ground that</w:t>
      </w:r>
      <w:r w:rsidR="001444D5">
        <w:rPr>
          <w:szCs w:val="26"/>
        </w:rPr>
        <w:t xml:space="preserve"> “deductions are solely matters of legislative grace” and</w:t>
      </w:r>
      <w:r w:rsidR="00763031">
        <w:rPr>
          <w:szCs w:val="26"/>
        </w:rPr>
        <w:t xml:space="preserve"> </w:t>
      </w:r>
      <w:r w:rsidR="009F0622">
        <w:rPr>
          <w:szCs w:val="26"/>
        </w:rPr>
        <w:t xml:space="preserve">the </w:t>
      </w:r>
      <w:r w:rsidR="00763031">
        <w:rPr>
          <w:szCs w:val="26"/>
        </w:rPr>
        <w:t>statute</w:t>
      </w:r>
      <w:r w:rsidR="00AB62B2">
        <w:rPr>
          <w:szCs w:val="26"/>
        </w:rPr>
        <w:t>, by its terms,</w:t>
      </w:r>
      <w:r w:rsidR="00763031">
        <w:rPr>
          <w:szCs w:val="26"/>
        </w:rPr>
        <w:t xml:space="preserve"> a</w:t>
      </w:r>
      <w:r w:rsidR="00AB62B2">
        <w:rPr>
          <w:szCs w:val="26"/>
        </w:rPr>
        <w:t>fforded relief</w:t>
      </w:r>
      <w:r w:rsidR="00763031">
        <w:rPr>
          <w:szCs w:val="26"/>
        </w:rPr>
        <w:t xml:space="preserve"> only to </w:t>
      </w:r>
      <w:r w:rsidR="00AB62B2">
        <w:rPr>
          <w:szCs w:val="26"/>
        </w:rPr>
        <w:t xml:space="preserve">single persons who were </w:t>
      </w:r>
      <w:r w:rsidR="00763031">
        <w:rPr>
          <w:szCs w:val="26"/>
        </w:rPr>
        <w:t xml:space="preserve">widowers </w:t>
      </w:r>
      <w:r w:rsidR="00AB62B2">
        <w:rPr>
          <w:szCs w:val="26"/>
        </w:rPr>
        <w:t>or</w:t>
      </w:r>
      <w:r w:rsidR="00763031">
        <w:rPr>
          <w:szCs w:val="26"/>
        </w:rPr>
        <w:t xml:space="preserve"> women, </w:t>
      </w:r>
      <w:r w:rsidR="001A2FA4">
        <w:rPr>
          <w:szCs w:val="26"/>
        </w:rPr>
        <w:t>but</w:t>
      </w:r>
      <w:r w:rsidR="00AB62B2">
        <w:rPr>
          <w:szCs w:val="26"/>
        </w:rPr>
        <w:t xml:space="preserve"> </w:t>
      </w:r>
      <w:r w:rsidR="00763031">
        <w:rPr>
          <w:szCs w:val="26"/>
        </w:rPr>
        <w:t xml:space="preserve">not </w:t>
      </w:r>
      <w:r w:rsidR="00AB62B2">
        <w:rPr>
          <w:szCs w:val="26"/>
        </w:rPr>
        <w:t>to</w:t>
      </w:r>
      <w:r w:rsidR="00763031">
        <w:rPr>
          <w:szCs w:val="26"/>
        </w:rPr>
        <w:t xml:space="preserve"> single</w:t>
      </w:r>
      <w:r w:rsidR="00AB62B2">
        <w:rPr>
          <w:szCs w:val="26"/>
        </w:rPr>
        <w:t>, never-married</w:t>
      </w:r>
      <w:r w:rsidR="00763031">
        <w:rPr>
          <w:szCs w:val="26"/>
        </w:rPr>
        <w:t xml:space="preserve"> m</w:t>
      </w:r>
      <w:r w:rsidR="00AB62B2">
        <w:rPr>
          <w:szCs w:val="26"/>
        </w:rPr>
        <w:t>en</w:t>
      </w:r>
      <w:r w:rsidR="00763031">
        <w:rPr>
          <w:szCs w:val="26"/>
        </w:rPr>
        <w:t xml:space="preserve"> like </w:t>
      </w:r>
      <w:r w:rsidR="001B7B4F">
        <w:rPr>
          <w:szCs w:val="26"/>
        </w:rPr>
        <w:t>him</w:t>
      </w:r>
      <w:r w:rsidR="00763031">
        <w:rPr>
          <w:szCs w:val="26"/>
        </w:rPr>
        <w:t>.</w:t>
      </w:r>
      <w:r w:rsidR="00763031">
        <w:rPr>
          <w:rStyle w:val="FootnoteReference"/>
          <w:szCs w:val="26"/>
        </w:rPr>
        <w:footnoteReference w:id="10"/>
      </w:r>
      <w:r w:rsidR="00763031">
        <w:rPr>
          <w:szCs w:val="26"/>
        </w:rPr>
        <w:t xml:space="preserve"> </w:t>
      </w:r>
      <w:r w:rsidR="00174949">
        <w:rPr>
          <w:szCs w:val="26"/>
        </w:rPr>
        <w:t>Th</w:t>
      </w:r>
      <w:r w:rsidR="001B7B4F">
        <w:rPr>
          <w:szCs w:val="26"/>
        </w:rPr>
        <w:t>u</w:t>
      </w:r>
      <w:r w:rsidR="00174949">
        <w:rPr>
          <w:szCs w:val="26"/>
        </w:rPr>
        <w:t>s, the Tax Court ruled</w:t>
      </w:r>
      <w:r w:rsidR="001444D5">
        <w:rPr>
          <w:szCs w:val="26"/>
        </w:rPr>
        <w:t xml:space="preserve"> that</w:t>
      </w:r>
      <w:r w:rsidR="00174949">
        <w:rPr>
          <w:szCs w:val="26"/>
        </w:rPr>
        <w:t xml:space="preserve"> Moritz owed an additional $296.70 </w:t>
      </w:r>
      <w:r w:rsidR="00DA59D9">
        <w:rPr>
          <w:szCs w:val="26"/>
        </w:rPr>
        <w:t xml:space="preserve">in tax </w:t>
      </w:r>
      <w:r w:rsidR="00174949">
        <w:rPr>
          <w:szCs w:val="26"/>
        </w:rPr>
        <w:t>that he would not have had to pay had he been female.</w:t>
      </w:r>
      <w:r w:rsidR="00174949">
        <w:rPr>
          <w:rStyle w:val="FootnoteReference"/>
          <w:szCs w:val="26"/>
        </w:rPr>
        <w:footnoteReference w:id="11"/>
      </w:r>
    </w:p>
    <w:p w14:paraId="68AB5377" w14:textId="2BF399CD" w:rsidR="00BF5073" w:rsidRDefault="00763031" w:rsidP="005D7DB8">
      <w:pPr>
        <w:spacing w:line="480" w:lineRule="auto"/>
        <w:ind w:firstLine="720"/>
        <w:rPr>
          <w:szCs w:val="26"/>
        </w:rPr>
      </w:pPr>
      <w:r>
        <w:rPr>
          <w:szCs w:val="26"/>
        </w:rPr>
        <w:t xml:space="preserve">Luckily for Moritz, tax attorney Martin Ginsburg happened to be reading the </w:t>
      </w:r>
      <w:r w:rsidR="000138C6">
        <w:rPr>
          <w:szCs w:val="26"/>
        </w:rPr>
        <w:t>Tax Court’s advance sheets and persuaded his wife</w:t>
      </w:r>
      <w:r w:rsidR="00581628">
        <w:rPr>
          <w:szCs w:val="26"/>
        </w:rPr>
        <w:t>—</w:t>
      </w:r>
      <w:r w:rsidR="000138C6">
        <w:rPr>
          <w:szCs w:val="26"/>
        </w:rPr>
        <w:t>also an attorney, but not typically a fan of tax cases</w:t>
      </w:r>
      <w:r w:rsidR="00B935E4">
        <w:rPr>
          <w:szCs w:val="26"/>
        </w:rPr>
        <w:t>—</w:t>
      </w:r>
      <w:r w:rsidR="000138C6">
        <w:rPr>
          <w:szCs w:val="26"/>
        </w:rPr>
        <w:t xml:space="preserve">to </w:t>
      </w:r>
      <w:r w:rsidR="000138C6">
        <w:rPr>
          <w:szCs w:val="26"/>
        </w:rPr>
        <w:lastRenderedPageBreak/>
        <w:t>read the decision.</w:t>
      </w:r>
      <w:bookmarkStart w:id="0" w:name="_Ref32084956"/>
      <w:r>
        <w:rPr>
          <w:rStyle w:val="FootnoteReference"/>
          <w:szCs w:val="26"/>
        </w:rPr>
        <w:footnoteReference w:id="12"/>
      </w:r>
      <w:bookmarkEnd w:id="0"/>
      <w:r w:rsidR="000138C6">
        <w:rPr>
          <w:szCs w:val="26"/>
        </w:rPr>
        <w:t xml:space="preserve"> Five minutes later, Ruth Bader Ginsburg and Martin Ginsburg had decided to represent Moritz on a pro bono basis </w:t>
      </w:r>
      <w:r w:rsidR="001B7B4F">
        <w:rPr>
          <w:szCs w:val="26"/>
        </w:rPr>
        <w:t>and</w:t>
      </w:r>
      <w:r w:rsidR="000138C6">
        <w:rPr>
          <w:szCs w:val="26"/>
        </w:rPr>
        <w:t xml:space="preserve"> appeal his case to the </w:t>
      </w:r>
      <w:r w:rsidR="00643A61">
        <w:rPr>
          <w:szCs w:val="26"/>
        </w:rPr>
        <w:t xml:space="preserve">U.S. </w:t>
      </w:r>
      <w:r w:rsidR="000138C6">
        <w:rPr>
          <w:szCs w:val="26"/>
        </w:rPr>
        <w:t>Court of Appeals for the Tenth Circuit.</w:t>
      </w:r>
      <w:r w:rsidR="000138C6">
        <w:rPr>
          <w:rStyle w:val="FootnoteReference"/>
          <w:szCs w:val="26"/>
        </w:rPr>
        <w:footnoteReference w:id="13"/>
      </w:r>
      <w:r w:rsidR="000138C6">
        <w:rPr>
          <w:szCs w:val="26"/>
        </w:rPr>
        <w:t xml:space="preserve"> </w:t>
      </w:r>
      <w:r w:rsidR="001B7B4F">
        <w:rPr>
          <w:szCs w:val="26"/>
        </w:rPr>
        <w:t>At least in part because of the impressive brief, which Martin Ginsburg later said was “90% Ruth’s,”</w:t>
      </w:r>
      <w:r w:rsidR="001B7B4F">
        <w:rPr>
          <w:rStyle w:val="FootnoteReference"/>
          <w:szCs w:val="26"/>
        </w:rPr>
        <w:footnoteReference w:id="14"/>
      </w:r>
      <w:r w:rsidR="001B7B4F">
        <w:rPr>
          <w:szCs w:val="26"/>
        </w:rPr>
        <w:t xml:space="preserve"> t</w:t>
      </w:r>
      <w:r w:rsidR="000138C6">
        <w:rPr>
          <w:szCs w:val="26"/>
        </w:rPr>
        <w:t xml:space="preserve">he Tenth Circuit reversed the Tax Court, finding that </w:t>
      </w:r>
      <w:r w:rsidR="00174949">
        <w:rPr>
          <w:szCs w:val="26"/>
        </w:rPr>
        <w:t>disallowing</w:t>
      </w:r>
      <w:r w:rsidR="000138C6">
        <w:rPr>
          <w:szCs w:val="26"/>
        </w:rPr>
        <w:t xml:space="preserve"> </w:t>
      </w:r>
      <w:r w:rsidR="00174949">
        <w:rPr>
          <w:szCs w:val="26"/>
        </w:rPr>
        <w:t>Moritz’s</w:t>
      </w:r>
      <w:r w:rsidR="000138C6">
        <w:rPr>
          <w:szCs w:val="26"/>
        </w:rPr>
        <w:t xml:space="preserve"> </w:t>
      </w:r>
      <w:r w:rsidR="00075318">
        <w:rPr>
          <w:szCs w:val="26"/>
        </w:rPr>
        <w:t>claimed deduction</w:t>
      </w:r>
      <w:r w:rsidR="004339F0">
        <w:rPr>
          <w:szCs w:val="26"/>
        </w:rPr>
        <w:t xml:space="preserve"> based on his sex</w:t>
      </w:r>
      <w:r w:rsidR="00075318">
        <w:rPr>
          <w:szCs w:val="26"/>
        </w:rPr>
        <w:t xml:space="preserve"> </w:t>
      </w:r>
      <w:r w:rsidR="000138C6">
        <w:rPr>
          <w:szCs w:val="26"/>
        </w:rPr>
        <w:t xml:space="preserve">was </w:t>
      </w:r>
      <w:r w:rsidR="004339F0">
        <w:rPr>
          <w:szCs w:val="26"/>
        </w:rPr>
        <w:t xml:space="preserve">“an invidious discrimination and invalid under </w:t>
      </w:r>
      <w:r w:rsidR="000138C6">
        <w:rPr>
          <w:szCs w:val="26"/>
        </w:rPr>
        <w:t>due process</w:t>
      </w:r>
      <w:r w:rsidR="004339F0">
        <w:rPr>
          <w:szCs w:val="26"/>
        </w:rPr>
        <w:t xml:space="preserve"> principles</w:t>
      </w:r>
      <w:r w:rsidR="000138C6">
        <w:rPr>
          <w:szCs w:val="26"/>
        </w:rPr>
        <w:t>.</w:t>
      </w:r>
      <w:r w:rsidR="004339F0">
        <w:rPr>
          <w:szCs w:val="26"/>
        </w:rPr>
        <w:t>”</w:t>
      </w:r>
      <w:r w:rsidR="000138C6">
        <w:rPr>
          <w:rStyle w:val="FootnoteReference"/>
          <w:szCs w:val="26"/>
        </w:rPr>
        <w:footnoteReference w:id="15"/>
      </w:r>
    </w:p>
    <w:p w14:paraId="1EB6315F" w14:textId="3DC03961" w:rsidR="00525A97" w:rsidRDefault="00F02CE0" w:rsidP="005D7DB8">
      <w:pPr>
        <w:spacing w:line="480" w:lineRule="auto"/>
        <w:ind w:firstLine="720"/>
        <w:rPr>
          <w:szCs w:val="26"/>
        </w:rPr>
      </w:pPr>
      <w:r>
        <w:rPr>
          <w:szCs w:val="26"/>
        </w:rPr>
        <w:t>T</w:t>
      </w:r>
      <w:r w:rsidR="00525A97">
        <w:rPr>
          <w:szCs w:val="26"/>
        </w:rPr>
        <w:t xml:space="preserve">he </w:t>
      </w:r>
      <w:proofErr w:type="spellStart"/>
      <w:r w:rsidR="00525A97">
        <w:rPr>
          <w:szCs w:val="26"/>
        </w:rPr>
        <w:t>Ginsburgs</w:t>
      </w:r>
      <w:proofErr w:type="spellEnd"/>
      <w:r w:rsidR="00525A97">
        <w:rPr>
          <w:szCs w:val="26"/>
        </w:rPr>
        <w:t xml:space="preserve">’ work </w:t>
      </w:r>
      <w:r>
        <w:rPr>
          <w:szCs w:val="26"/>
        </w:rPr>
        <w:t>o</w:t>
      </w:r>
      <w:r w:rsidR="00525A97">
        <w:rPr>
          <w:szCs w:val="26"/>
        </w:rPr>
        <w:t xml:space="preserve">n </w:t>
      </w:r>
      <w:r w:rsidR="00525A97" w:rsidRPr="00592804">
        <w:rPr>
          <w:i/>
          <w:iCs/>
          <w:szCs w:val="26"/>
        </w:rPr>
        <w:t>Moritz</w:t>
      </w:r>
      <w:r w:rsidR="00525A97">
        <w:rPr>
          <w:szCs w:val="26"/>
        </w:rPr>
        <w:t xml:space="preserve"> </w:t>
      </w:r>
      <w:r w:rsidR="001B7B4F">
        <w:rPr>
          <w:szCs w:val="26"/>
        </w:rPr>
        <w:t>led</w:t>
      </w:r>
      <w:r w:rsidR="00525A97">
        <w:rPr>
          <w:szCs w:val="26"/>
        </w:rPr>
        <w:t xml:space="preserve"> </w:t>
      </w:r>
      <w:r>
        <w:rPr>
          <w:szCs w:val="26"/>
        </w:rPr>
        <w:t xml:space="preserve">to </w:t>
      </w:r>
      <w:r w:rsidR="00525A97">
        <w:rPr>
          <w:szCs w:val="26"/>
        </w:rPr>
        <w:t>Ruth Bader Ginsburg</w:t>
      </w:r>
      <w:r>
        <w:rPr>
          <w:szCs w:val="26"/>
        </w:rPr>
        <w:t>’s work</w:t>
      </w:r>
      <w:r w:rsidR="00525A97">
        <w:rPr>
          <w:szCs w:val="26"/>
        </w:rPr>
        <w:t xml:space="preserve"> writ</w:t>
      </w:r>
      <w:r>
        <w:rPr>
          <w:szCs w:val="26"/>
        </w:rPr>
        <w:t>ing</w:t>
      </w:r>
      <w:r w:rsidR="00525A97">
        <w:rPr>
          <w:szCs w:val="26"/>
        </w:rPr>
        <w:t xml:space="preserve"> the brief in </w:t>
      </w:r>
      <w:r w:rsidR="00525A97" w:rsidRPr="00617E30">
        <w:rPr>
          <w:i/>
          <w:iCs/>
          <w:szCs w:val="26"/>
        </w:rPr>
        <w:t>Reed v. Reed</w:t>
      </w:r>
      <w:r w:rsidR="00525A97">
        <w:rPr>
          <w:szCs w:val="26"/>
        </w:rPr>
        <w:t xml:space="preserve">, the first </w:t>
      </w:r>
      <w:r w:rsidR="003A5430">
        <w:rPr>
          <w:szCs w:val="26"/>
        </w:rPr>
        <w:t xml:space="preserve">successful </w:t>
      </w:r>
      <w:r w:rsidR="00525A97">
        <w:rPr>
          <w:szCs w:val="26"/>
        </w:rPr>
        <w:t xml:space="preserve">sex discrimination </w:t>
      </w:r>
      <w:r w:rsidR="003A5430">
        <w:rPr>
          <w:szCs w:val="26"/>
        </w:rPr>
        <w:t xml:space="preserve">challenge decided </w:t>
      </w:r>
      <w:r w:rsidR="00525A97">
        <w:rPr>
          <w:szCs w:val="26"/>
        </w:rPr>
        <w:t>by the U</w:t>
      </w:r>
      <w:r w:rsidR="00CE0F5E">
        <w:rPr>
          <w:szCs w:val="26"/>
        </w:rPr>
        <w:t>.</w:t>
      </w:r>
      <w:r w:rsidR="00525A97">
        <w:rPr>
          <w:szCs w:val="26"/>
        </w:rPr>
        <w:t>S</w:t>
      </w:r>
      <w:r w:rsidR="00CE0F5E">
        <w:rPr>
          <w:szCs w:val="26"/>
        </w:rPr>
        <w:t>.</w:t>
      </w:r>
      <w:r w:rsidR="00525A97">
        <w:rPr>
          <w:szCs w:val="26"/>
        </w:rPr>
        <w:t xml:space="preserve"> Supreme Court</w:t>
      </w:r>
      <w:r w:rsidR="00BB4527">
        <w:rPr>
          <w:szCs w:val="26"/>
        </w:rPr>
        <w:t xml:space="preserve"> on equal protection grounds</w:t>
      </w:r>
      <w:r w:rsidR="00525A97">
        <w:rPr>
          <w:szCs w:val="26"/>
        </w:rPr>
        <w:t>.</w:t>
      </w:r>
      <w:bookmarkStart w:id="1" w:name="_Ref32162453"/>
      <w:r w:rsidR="00525A97">
        <w:rPr>
          <w:rStyle w:val="FootnoteReference"/>
          <w:szCs w:val="26"/>
        </w:rPr>
        <w:footnoteReference w:id="16"/>
      </w:r>
      <w:bookmarkEnd w:id="1"/>
      <w:r w:rsidR="00525A97">
        <w:rPr>
          <w:szCs w:val="26"/>
        </w:rPr>
        <w:t xml:space="preserve"> </w:t>
      </w:r>
      <w:r>
        <w:rPr>
          <w:szCs w:val="26"/>
        </w:rPr>
        <w:t>(</w:t>
      </w:r>
      <w:r w:rsidRPr="00F02CE0">
        <w:rPr>
          <w:i/>
          <w:iCs/>
          <w:szCs w:val="26"/>
        </w:rPr>
        <w:t>Reed</w:t>
      </w:r>
      <w:r>
        <w:rPr>
          <w:szCs w:val="26"/>
        </w:rPr>
        <w:t xml:space="preserve"> was </w:t>
      </w:r>
      <w:r w:rsidR="00530BCC">
        <w:rPr>
          <w:szCs w:val="26"/>
        </w:rPr>
        <w:t xml:space="preserve">briefed after, but </w:t>
      </w:r>
      <w:r>
        <w:rPr>
          <w:szCs w:val="26"/>
        </w:rPr>
        <w:t>actually</w:t>
      </w:r>
      <w:r w:rsidR="00530BCC">
        <w:rPr>
          <w:szCs w:val="26"/>
        </w:rPr>
        <w:t xml:space="preserve"> argued and</w:t>
      </w:r>
      <w:r>
        <w:rPr>
          <w:szCs w:val="26"/>
        </w:rPr>
        <w:t xml:space="preserve"> decided before </w:t>
      </w:r>
      <w:r w:rsidRPr="00F02CE0">
        <w:rPr>
          <w:i/>
          <w:iCs/>
          <w:szCs w:val="26"/>
        </w:rPr>
        <w:t>Moritz</w:t>
      </w:r>
      <w:r>
        <w:rPr>
          <w:szCs w:val="26"/>
        </w:rPr>
        <w:t>,</w:t>
      </w:r>
      <w:r w:rsidR="00530BCC">
        <w:rPr>
          <w:szCs w:val="26"/>
        </w:rPr>
        <w:t xml:space="preserve"> which languished for more than a year in the Tenth Circuit after argument.</w:t>
      </w:r>
      <w:r w:rsidR="00530BCC">
        <w:rPr>
          <w:rStyle w:val="FootnoteReference"/>
          <w:szCs w:val="26"/>
        </w:rPr>
        <w:footnoteReference w:id="17"/>
      </w:r>
      <w:r w:rsidR="0045600A">
        <w:rPr>
          <w:szCs w:val="26"/>
        </w:rPr>
        <w:t>)</w:t>
      </w:r>
      <w:r w:rsidR="00530BCC">
        <w:rPr>
          <w:szCs w:val="26"/>
        </w:rPr>
        <w:t xml:space="preserve"> In fact,</w:t>
      </w:r>
      <w:r>
        <w:rPr>
          <w:szCs w:val="26"/>
        </w:rPr>
        <w:t xml:space="preserve"> the Tenth Circuit in </w:t>
      </w:r>
      <w:r w:rsidRPr="00494B2C">
        <w:rPr>
          <w:i/>
          <w:iCs/>
          <w:szCs w:val="26"/>
        </w:rPr>
        <w:t>Moritz</w:t>
      </w:r>
      <w:r>
        <w:rPr>
          <w:szCs w:val="26"/>
        </w:rPr>
        <w:t xml:space="preserve"> rel</w:t>
      </w:r>
      <w:r w:rsidR="00530BCC">
        <w:rPr>
          <w:szCs w:val="26"/>
        </w:rPr>
        <w:t>ied</w:t>
      </w:r>
      <w:r>
        <w:rPr>
          <w:szCs w:val="26"/>
        </w:rPr>
        <w:t xml:space="preserve"> upon the decision in </w:t>
      </w:r>
      <w:r w:rsidRPr="00494B2C">
        <w:rPr>
          <w:i/>
          <w:iCs/>
          <w:szCs w:val="26"/>
        </w:rPr>
        <w:t>Reed</w:t>
      </w:r>
      <w:r w:rsidR="002E1ED9">
        <w:rPr>
          <w:szCs w:val="26"/>
        </w:rPr>
        <w:t xml:space="preserve"> when deciding in Moritz’s favor</w:t>
      </w:r>
      <w:r>
        <w:rPr>
          <w:szCs w:val="26"/>
        </w:rPr>
        <w:t>.</w:t>
      </w:r>
      <w:r w:rsidR="00DC2AB1">
        <w:rPr>
          <w:rStyle w:val="FootnoteReference"/>
          <w:szCs w:val="26"/>
        </w:rPr>
        <w:footnoteReference w:id="18"/>
      </w:r>
      <w:r>
        <w:rPr>
          <w:szCs w:val="26"/>
        </w:rPr>
        <w:t xml:space="preserve"> The Supreme Court’s decision in </w:t>
      </w:r>
      <w:r w:rsidRPr="00494B2C">
        <w:rPr>
          <w:i/>
          <w:iCs/>
          <w:szCs w:val="26"/>
        </w:rPr>
        <w:t>Reed</w:t>
      </w:r>
      <w:r w:rsidR="00525A97">
        <w:rPr>
          <w:szCs w:val="26"/>
        </w:rPr>
        <w:t xml:space="preserve"> </w:t>
      </w:r>
      <w:r w:rsidR="001B7B4F">
        <w:rPr>
          <w:szCs w:val="26"/>
        </w:rPr>
        <w:t xml:space="preserve">was the first to </w:t>
      </w:r>
      <w:r w:rsidR="00525A97">
        <w:rPr>
          <w:szCs w:val="26"/>
        </w:rPr>
        <w:t xml:space="preserve">articulate a heightened level of scrutiny </w:t>
      </w:r>
      <w:r w:rsidR="001B7B4F">
        <w:rPr>
          <w:szCs w:val="26"/>
        </w:rPr>
        <w:t xml:space="preserve">(however unspecified) </w:t>
      </w:r>
      <w:r w:rsidR="00525A97">
        <w:rPr>
          <w:szCs w:val="26"/>
        </w:rPr>
        <w:t>for sex-based classifications</w:t>
      </w:r>
      <w:r w:rsidR="001B7B4F">
        <w:rPr>
          <w:szCs w:val="26"/>
        </w:rPr>
        <w:t xml:space="preserve"> in the law</w:t>
      </w:r>
      <w:r w:rsidR="00525A97">
        <w:rPr>
          <w:szCs w:val="26"/>
        </w:rPr>
        <w:t>.</w:t>
      </w:r>
      <w:r w:rsidR="00525A97">
        <w:rPr>
          <w:rStyle w:val="FootnoteReference"/>
          <w:szCs w:val="26"/>
        </w:rPr>
        <w:footnoteReference w:id="19"/>
      </w:r>
      <w:r w:rsidR="00525A97">
        <w:rPr>
          <w:szCs w:val="26"/>
        </w:rPr>
        <w:t xml:space="preserve"> </w:t>
      </w:r>
      <w:r w:rsidR="001B7B4F">
        <w:rPr>
          <w:szCs w:val="26"/>
        </w:rPr>
        <w:t xml:space="preserve">In her capacity as director of the ACLU Women’s Rights Project, </w:t>
      </w:r>
      <w:r w:rsidR="00525A97">
        <w:rPr>
          <w:szCs w:val="26"/>
        </w:rPr>
        <w:t>Ruth Bader Ginsburg</w:t>
      </w:r>
      <w:r w:rsidR="001B7B4F">
        <w:rPr>
          <w:szCs w:val="26"/>
        </w:rPr>
        <w:t xml:space="preserve"> went</w:t>
      </w:r>
      <w:r w:rsidR="00525A97">
        <w:rPr>
          <w:szCs w:val="26"/>
        </w:rPr>
        <w:t xml:space="preserve"> on to represent </w:t>
      </w:r>
      <w:r w:rsidR="00525A97">
        <w:rPr>
          <w:szCs w:val="26"/>
        </w:rPr>
        <w:lastRenderedPageBreak/>
        <w:t xml:space="preserve">plaintiffs in </w:t>
      </w:r>
      <w:r w:rsidR="00B96B21">
        <w:rPr>
          <w:szCs w:val="26"/>
        </w:rPr>
        <w:t>six</w:t>
      </w:r>
      <w:r w:rsidR="00525A97">
        <w:rPr>
          <w:szCs w:val="26"/>
        </w:rPr>
        <w:t xml:space="preserve"> sex discrimination cases before the Supreme Court.</w:t>
      </w:r>
      <w:r w:rsidR="00525A97">
        <w:rPr>
          <w:rStyle w:val="FootnoteReference"/>
          <w:szCs w:val="26"/>
        </w:rPr>
        <w:footnoteReference w:id="20"/>
      </w:r>
      <w:r w:rsidR="00525A97">
        <w:rPr>
          <w:szCs w:val="26"/>
        </w:rPr>
        <w:t xml:space="preserve"> </w:t>
      </w:r>
      <w:r w:rsidR="00BB4527">
        <w:rPr>
          <w:szCs w:val="26"/>
        </w:rPr>
        <w:t xml:space="preserve">Both </w:t>
      </w:r>
      <w:r w:rsidR="00BB4527" w:rsidRPr="0078654C">
        <w:rPr>
          <w:i/>
          <w:iCs/>
          <w:szCs w:val="26"/>
        </w:rPr>
        <w:t>Moritz</w:t>
      </w:r>
      <w:r w:rsidR="00BB4527">
        <w:rPr>
          <w:szCs w:val="26"/>
        </w:rPr>
        <w:t xml:space="preserve"> and </w:t>
      </w:r>
      <w:r w:rsidR="00BB4527" w:rsidRPr="0078654C">
        <w:rPr>
          <w:i/>
          <w:iCs/>
          <w:szCs w:val="26"/>
        </w:rPr>
        <w:t>Reed</w:t>
      </w:r>
      <w:r w:rsidR="00BB4527">
        <w:rPr>
          <w:szCs w:val="26"/>
        </w:rPr>
        <w:t xml:space="preserve"> are representative of </w:t>
      </w:r>
      <w:r w:rsidR="007C3131">
        <w:rPr>
          <w:szCs w:val="26"/>
        </w:rPr>
        <w:t>Ginsburg’s</w:t>
      </w:r>
      <w:r w:rsidR="00BB4527">
        <w:rPr>
          <w:szCs w:val="26"/>
        </w:rPr>
        <w:t xml:space="preserve"> liberal feminist approach that propelled these early cases: challenge laws that treat women and men differently by exposing the way that the law rel</w:t>
      </w:r>
      <w:r w:rsidR="00380FB6">
        <w:rPr>
          <w:szCs w:val="26"/>
        </w:rPr>
        <w:t>ies</w:t>
      </w:r>
      <w:r w:rsidR="00BB4527">
        <w:rPr>
          <w:szCs w:val="26"/>
        </w:rPr>
        <w:t xml:space="preserve"> on gender stereotypes. </w:t>
      </w:r>
      <w:r w:rsidR="00BB4527" w:rsidRPr="008913D2">
        <w:rPr>
          <w:i/>
          <w:iCs/>
          <w:szCs w:val="26"/>
        </w:rPr>
        <w:t>Moritz</w:t>
      </w:r>
      <w:r w:rsidR="00BB4527">
        <w:rPr>
          <w:szCs w:val="26"/>
        </w:rPr>
        <w:t xml:space="preserve">, </w:t>
      </w:r>
      <w:r w:rsidR="00BB4527" w:rsidRPr="008913D2">
        <w:rPr>
          <w:i/>
          <w:iCs/>
          <w:szCs w:val="26"/>
        </w:rPr>
        <w:t>Reed</w:t>
      </w:r>
      <w:r w:rsidR="00380FB6">
        <w:rPr>
          <w:szCs w:val="26"/>
        </w:rPr>
        <w:t>,</w:t>
      </w:r>
      <w:r w:rsidR="00BB4527">
        <w:rPr>
          <w:szCs w:val="26"/>
        </w:rPr>
        <w:t xml:space="preserve"> and other </w:t>
      </w:r>
      <w:r w:rsidR="00525A97">
        <w:rPr>
          <w:szCs w:val="26"/>
        </w:rPr>
        <w:t>cases ultimately led to the establishment of an intermediate scrutiny standard for cases involving discrimination on the basis of sex.</w:t>
      </w:r>
      <w:r w:rsidR="00525A97">
        <w:rPr>
          <w:rStyle w:val="FootnoteReference"/>
          <w:szCs w:val="26"/>
        </w:rPr>
        <w:footnoteReference w:id="21"/>
      </w:r>
      <w:r w:rsidR="001B7B4F">
        <w:rPr>
          <w:szCs w:val="26"/>
        </w:rPr>
        <w:t xml:space="preserve"> The road to greater gender equality thus was paved with a tax case. In 1993, Ruth Bader Ginsburg was appointed as an Associate Justice of the Supreme Court.</w:t>
      </w:r>
      <w:r w:rsidR="00E9070B">
        <w:rPr>
          <w:rStyle w:val="FootnoteReference"/>
          <w:szCs w:val="26"/>
        </w:rPr>
        <w:footnoteReference w:id="22"/>
      </w:r>
      <w:r w:rsidR="001B7B4F">
        <w:rPr>
          <w:szCs w:val="26"/>
        </w:rPr>
        <w:t xml:space="preserve"> </w:t>
      </w:r>
    </w:p>
    <w:p w14:paraId="5207D64D" w14:textId="36E21AD2" w:rsidR="000925AC" w:rsidRPr="000925AC" w:rsidRDefault="000925AC" w:rsidP="005D7DB8">
      <w:pPr>
        <w:spacing w:line="480" w:lineRule="auto"/>
        <w:rPr>
          <w:b/>
          <w:bCs/>
          <w:szCs w:val="26"/>
        </w:rPr>
      </w:pPr>
      <w:r>
        <w:rPr>
          <w:b/>
          <w:bCs/>
          <w:szCs w:val="26"/>
        </w:rPr>
        <w:t>Examining Disparate Impact of</w:t>
      </w:r>
      <w:r w:rsidRPr="000925AC">
        <w:rPr>
          <w:b/>
          <w:bCs/>
          <w:szCs w:val="26"/>
        </w:rPr>
        <w:t xml:space="preserve"> Tax Laws</w:t>
      </w:r>
    </w:p>
    <w:p w14:paraId="3E02355B" w14:textId="70ABB5C8" w:rsidR="00B6218E" w:rsidRDefault="00592804" w:rsidP="005D7DB8">
      <w:pPr>
        <w:spacing w:line="480" w:lineRule="auto"/>
        <w:ind w:firstLine="720"/>
        <w:rPr>
          <w:szCs w:val="26"/>
        </w:rPr>
      </w:pPr>
      <w:r>
        <w:rPr>
          <w:szCs w:val="26"/>
        </w:rPr>
        <w:t xml:space="preserve">At the same time that the </w:t>
      </w:r>
      <w:r w:rsidRPr="00592804">
        <w:rPr>
          <w:i/>
          <w:iCs/>
          <w:szCs w:val="26"/>
        </w:rPr>
        <w:t>Moritz</w:t>
      </w:r>
      <w:r>
        <w:rPr>
          <w:szCs w:val="26"/>
        </w:rPr>
        <w:t xml:space="preserve"> case was working its way through the appeals process, </w:t>
      </w:r>
      <w:r w:rsidR="00F33BAA">
        <w:rPr>
          <w:szCs w:val="26"/>
        </w:rPr>
        <w:t>Grace Blumberg</w:t>
      </w:r>
      <w:r w:rsidR="006C4A66">
        <w:rPr>
          <w:szCs w:val="26"/>
        </w:rPr>
        <w:t>, then a recent law school graduate,</w:t>
      </w:r>
      <w:r w:rsidR="00F33BAA">
        <w:rPr>
          <w:szCs w:val="26"/>
        </w:rPr>
        <w:t xml:space="preserve"> published a law review </w:t>
      </w:r>
      <w:r w:rsidR="00542C62">
        <w:rPr>
          <w:szCs w:val="26"/>
        </w:rPr>
        <w:t>article</w:t>
      </w:r>
      <w:r w:rsidR="00F60DB4">
        <w:rPr>
          <w:szCs w:val="26"/>
        </w:rPr>
        <w:t xml:space="preserve"> </w:t>
      </w:r>
      <w:r w:rsidR="001B7B4F">
        <w:rPr>
          <w:szCs w:val="26"/>
        </w:rPr>
        <w:t xml:space="preserve">critiquing </w:t>
      </w:r>
      <w:r w:rsidR="00F33BAA">
        <w:rPr>
          <w:szCs w:val="26"/>
        </w:rPr>
        <w:t xml:space="preserve">the Internal Revenue Code’s </w:t>
      </w:r>
      <w:r w:rsidR="001B7B4F">
        <w:rPr>
          <w:szCs w:val="26"/>
        </w:rPr>
        <w:t xml:space="preserve">bias </w:t>
      </w:r>
      <w:r w:rsidR="00F33BAA">
        <w:rPr>
          <w:szCs w:val="26"/>
        </w:rPr>
        <w:t>against working women.</w:t>
      </w:r>
      <w:r w:rsidR="00F33BAA">
        <w:rPr>
          <w:rStyle w:val="FootnoteReference"/>
          <w:szCs w:val="26"/>
        </w:rPr>
        <w:footnoteReference w:id="23"/>
      </w:r>
      <w:r w:rsidR="00F33BAA">
        <w:rPr>
          <w:szCs w:val="26"/>
        </w:rPr>
        <w:t xml:space="preserve"> </w:t>
      </w:r>
      <w:r w:rsidR="00373ACE">
        <w:rPr>
          <w:szCs w:val="26"/>
        </w:rPr>
        <w:t xml:space="preserve">In the context of a comparative study of the income taxation of working wives and mothers, </w:t>
      </w:r>
      <w:r w:rsidR="00F33BAA">
        <w:rPr>
          <w:szCs w:val="26"/>
        </w:rPr>
        <w:t xml:space="preserve">Blumberg </w:t>
      </w:r>
      <w:r w:rsidR="00373ACE">
        <w:rPr>
          <w:szCs w:val="26"/>
        </w:rPr>
        <w:t>showed how</w:t>
      </w:r>
      <w:r w:rsidR="00E84AF3">
        <w:rPr>
          <w:szCs w:val="26"/>
        </w:rPr>
        <w:t xml:space="preserve"> the joint </w:t>
      </w:r>
      <w:r w:rsidR="003643F0">
        <w:rPr>
          <w:szCs w:val="26"/>
        </w:rPr>
        <w:t xml:space="preserve">federal </w:t>
      </w:r>
      <w:r w:rsidR="00E84AF3">
        <w:rPr>
          <w:szCs w:val="26"/>
        </w:rPr>
        <w:t xml:space="preserve">income tax return created a disincentive for </w:t>
      </w:r>
      <w:r w:rsidR="001B7B4F">
        <w:rPr>
          <w:szCs w:val="26"/>
        </w:rPr>
        <w:t>wives</w:t>
      </w:r>
      <w:r w:rsidR="00717841">
        <w:rPr>
          <w:szCs w:val="26"/>
        </w:rPr>
        <w:t>—</w:t>
      </w:r>
      <w:r w:rsidR="00E84AF3">
        <w:rPr>
          <w:szCs w:val="26"/>
        </w:rPr>
        <w:t>who</w:t>
      </w:r>
      <w:r w:rsidR="00B62A86">
        <w:rPr>
          <w:szCs w:val="26"/>
        </w:rPr>
        <w:t>, as a matter of “contemporary social reality</w:t>
      </w:r>
      <w:r w:rsidR="00470577">
        <w:rPr>
          <w:szCs w:val="26"/>
        </w:rPr>
        <w:t>,</w:t>
      </w:r>
      <w:r w:rsidR="00B62A86">
        <w:rPr>
          <w:szCs w:val="26"/>
        </w:rPr>
        <w:t>” were considered</w:t>
      </w:r>
      <w:r w:rsidR="00E84AF3">
        <w:rPr>
          <w:szCs w:val="26"/>
        </w:rPr>
        <w:t xml:space="preserve"> </w:t>
      </w:r>
      <w:r w:rsidR="001B7B4F">
        <w:rPr>
          <w:szCs w:val="26"/>
        </w:rPr>
        <w:t xml:space="preserve">the </w:t>
      </w:r>
      <w:r w:rsidR="00E84AF3">
        <w:rPr>
          <w:szCs w:val="26"/>
        </w:rPr>
        <w:t>secondary earner</w:t>
      </w:r>
      <w:r w:rsidR="001B7B4F">
        <w:rPr>
          <w:szCs w:val="26"/>
        </w:rPr>
        <w:t xml:space="preserve"> in a married couple</w:t>
      </w:r>
      <w:r w:rsidR="00717841">
        <w:rPr>
          <w:szCs w:val="26"/>
        </w:rPr>
        <w:t>—</w:t>
      </w:r>
      <w:r w:rsidR="00373ACE">
        <w:rPr>
          <w:szCs w:val="26"/>
        </w:rPr>
        <w:t>from working</w:t>
      </w:r>
      <w:r w:rsidR="009920F6">
        <w:rPr>
          <w:szCs w:val="26"/>
        </w:rPr>
        <w:t>,</w:t>
      </w:r>
      <w:r w:rsidR="00373ACE">
        <w:rPr>
          <w:szCs w:val="26"/>
        </w:rPr>
        <w:t xml:space="preserve"> by effectively</w:t>
      </w:r>
      <w:r w:rsidR="00E84AF3">
        <w:rPr>
          <w:szCs w:val="26"/>
        </w:rPr>
        <w:t xml:space="preserve"> “stacking” </w:t>
      </w:r>
      <w:r w:rsidR="00470577">
        <w:rPr>
          <w:szCs w:val="26"/>
        </w:rPr>
        <w:t>the</w:t>
      </w:r>
      <w:r w:rsidR="00373ACE">
        <w:rPr>
          <w:szCs w:val="26"/>
        </w:rPr>
        <w:t xml:space="preserve"> wife’s income on top of her husband’s</w:t>
      </w:r>
      <w:r w:rsidR="00034FBA">
        <w:rPr>
          <w:szCs w:val="26"/>
        </w:rPr>
        <w:t xml:space="preserve"> and</w:t>
      </w:r>
      <w:r w:rsidR="00373ACE">
        <w:rPr>
          <w:szCs w:val="26"/>
        </w:rPr>
        <w:t xml:space="preserve"> thus </w:t>
      </w:r>
      <w:r w:rsidR="00E84AF3">
        <w:rPr>
          <w:szCs w:val="26"/>
        </w:rPr>
        <w:t>tax</w:t>
      </w:r>
      <w:r w:rsidR="00373ACE">
        <w:rPr>
          <w:szCs w:val="26"/>
        </w:rPr>
        <w:t>ing her</w:t>
      </w:r>
      <w:r w:rsidR="00E84AF3">
        <w:rPr>
          <w:szCs w:val="26"/>
        </w:rPr>
        <w:t xml:space="preserve"> </w:t>
      </w:r>
      <w:r w:rsidR="00722276">
        <w:rPr>
          <w:szCs w:val="26"/>
        </w:rPr>
        <w:t xml:space="preserve">income </w:t>
      </w:r>
      <w:r w:rsidR="008346FF">
        <w:rPr>
          <w:szCs w:val="26"/>
        </w:rPr>
        <w:t xml:space="preserve">beginning </w:t>
      </w:r>
      <w:r w:rsidR="006A0906">
        <w:rPr>
          <w:szCs w:val="26"/>
        </w:rPr>
        <w:t>with</w:t>
      </w:r>
      <w:r w:rsidR="008346FF">
        <w:rPr>
          <w:szCs w:val="26"/>
        </w:rPr>
        <w:t xml:space="preserve"> her husband’s</w:t>
      </w:r>
      <w:r w:rsidR="00E84AF3">
        <w:rPr>
          <w:szCs w:val="26"/>
        </w:rPr>
        <w:t xml:space="preserve"> </w:t>
      </w:r>
      <w:r w:rsidR="00435461">
        <w:rPr>
          <w:szCs w:val="26"/>
        </w:rPr>
        <w:t xml:space="preserve">marginal (i.e., </w:t>
      </w:r>
      <w:r w:rsidR="00E84AF3">
        <w:rPr>
          <w:szCs w:val="26"/>
        </w:rPr>
        <w:t>highe</w:t>
      </w:r>
      <w:r w:rsidR="008346FF">
        <w:rPr>
          <w:szCs w:val="26"/>
        </w:rPr>
        <w:t>st</w:t>
      </w:r>
      <w:r w:rsidR="00435461">
        <w:rPr>
          <w:szCs w:val="26"/>
        </w:rPr>
        <w:t>)</w:t>
      </w:r>
      <w:r w:rsidR="00E84AF3">
        <w:rPr>
          <w:szCs w:val="26"/>
        </w:rPr>
        <w:t xml:space="preserve"> rate</w:t>
      </w:r>
      <w:r w:rsidR="008346FF">
        <w:rPr>
          <w:szCs w:val="26"/>
        </w:rPr>
        <w:t xml:space="preserve"> of tax</w:t>
      </w:r>
      <w:r w:rsidR="00E84AF3">
        <w:rPr>
          <w:szCs w:val="26"/>
        </w:rPr>
        <w:t>.</w:t>
      </w:r>
      <w:r w:rsidR="00E84AF3">
        <w:rPr>
          <w:rStyle w:val="FootnoteReference"/>
          <w:szCs w:val="26"/>
        </w:rPr>
        <w:footnoteReference w:id="24"/>
      </w:r>
      <w:r w:rsidR="00D77813">
        <w:rPr>
          <w:szCs w:val="26"/>
        </w:rPr>
        <w:t xml:space="preserve"> Blumberg also drew attention </w:t>
      </w:r>
      <w:r w:rsidR="00D77813">
        <w:rPr>
          <w:szCs w:val="26"/>
        </w:rPr>
        <w:lastRenderedPageBreak/>
        <w:t xml:space="preserve">to how the joint return, by aggregating </w:t>
      </w:r>
      <w:r w:rsidR="00B6218E">
        <w:rPr>
          <w:szCs w:val="26"/>
        </w:rPr>
        <w:t>a married</w:t>
      </w:r>
      <w:r w:rsidR="00D77813">
        <w:rPr>
          <w:szCs w:val="26"/>
        </w:rPr>
        <w:t xml:space="preserve"> </w:t>
      </w:r>
      <w:r w:rsidR="00B6218E">
        <w:rPr>
          <w:szCs w:val="26"/>
        </w:rPr>
        <w:t xml:space="preserve">couple’s </w:t>
      </w:r>
      <w:r w:rsidR="00D77813">
        <w:rPr>
          <w:szCs w:val="26"/>
        </w:rPr>
        <w:t>income and effectively splitting it between them</w:t>
      </w:r>
      <w:r w:rsidR="00B6218E">
        <w:rPr>
          <w:szCs w:val="26"/>
        </w:rPr>
        <w:t xml:space="preserve"> for tax purposes</w:t>
      </w:r>
      <w:r w:rsidR="00D77813">
        <w:rPr>
          <w:szCs w:val="26"/>
        </w:rPr>
        <w:t>, rewarded one-earner couples</w:t>
      </w:r>
      <w:r w:rsidR="00B6218E">
        <w:rPr>
          <w:szCs w:val="26"/>
        </w:rPr>
        <w:t xml:space="preserve"> with a lighter tax burden</w:t>
      </w:r>
      <w:r w:rsidR="00D77813">
        <w:rPr>
          <w:szCs w:val="26"/>
        </w:rPr>
        <w:t xml:space="preserve"> and increasingly penalized two-earner couples (with the maximum </w:t>
      </w:r>
      <w:r w:rsidR="00B6218E">
        <w:rPr>
          <w:szCs w:val="26"/>
        </w:rPr>
        <w:t xml:space="preserve">tax </w:t>
      </w:r>
      <w:r w:rsidR="00D77813">
        <w:rPr>
          <w:szCs w:val="26"/>
        </w:rPr>
        <w:t>penalty being visited on couples where the husband and wife had equal earnings).</w:t>
      </w:r>
      <w:r w:rsidR="00D77813">
        <w:rPr>
          <w:rStyle w:val="FootnoteReference"/>
          <w:szCs w:val="26"/>
        </w:rPr>
        <w:footnoteReference w:id="25"/>
      </w:r>
      <w:r w:rsidR="00B7619C">
        <w:rPr>
          <w:szCs w:val="26"/>
        </w:rPr>
        <w:t xml:space="preserve"> </w:t>
      </w:r>
      <w:r w:rsidR="00C42254">
        <w:rPr>
          <w:szCs w:val="26"/>
        </w:rPr>
        <w:t xml:space="preserve">Blumberg </w:t>
      </w:r>
      <w:r w:rsidR="00FE6A14">
        <w:rPr>
          <w:szCs w:val="26"/>
        </w:rPr>
        <w:t>further</w:t>
      </w:r>
      <w:r w:rsidR="00282F12">
        <w:rPr>
          <w:szCs w:val="26"/>
        </w:rPr>
        <w:t xml:space="preserve"> </w:t>
      </w:r>
      <w:r w:rsidR="006C4A66">
        <w:rPr>
          <w:szCs w:val="26"/>
        </w:rPr>
        <w:t xml:space="preserve">critiqued the lack of </w:t>
      </w:r>
      <w:r w:rsidR="008B750E">
        <w:rPr>
          <w:szCs w:val="26"/>
        </w:rPr>
        <w:t xml:space="preserve">adequate </w:t>
      </w:r>
      <w:r w:rsidR="006C4A66">
        <w:rPr>
          <w:szCs w:val="26"/>
        </w:rPr>
        <w:t xml:space="preserve">deductions for childcare and housework as disincentives for </w:t>
      </w:r>
      <w:r w:rsidR="001B7B4F">
        <w:rPr>
          <w:szCs w:val="26"/>
        </w:rPr>
        <w:t>women’s paid labor</w:t>
      </w:r>
      <w:r w:rsidR="00B6218E">
        <w:rPr>
          <w:szCs w:val="26"/>
        </w:rPr>
        <w:t>.</w:t>
      </w:r>
      <w:r w:rsidR="006C4A66">
        <w:rPr>
          <w:rStyle w:val="FootnoteReference"/>
          <w:szCs w:val="26"/>
        </w:rPr>
        <w:footnoteReference w:id="26"/>
      </w:r>
      <w:r w:rsidR="006C4A66">
        <w:rPr>
          <w:szCs w:val="26"/>
        </w:rPr>
        <w:t xml:space="preserve"> </w:t>
      </w:r>
    </w:p>
    <w:p w14:paraId="3F112298" w14:textId="75824014" w:rsidR="00592804" w:rsidRDefault="00B6218E" w:rsidP="005D7DB8">
      <w:pPr>
        <w:spacing w:line="480" w:lineRule="auto"/>
        <w:ind w:firstLine="720"/>
        <w:rPr>
          <w:szCs w:val="26"/>
        </w:rPr>
      </w:pPr>
      <w:r>
        <w:rPr>
          <w:szCs w:val="26"/>
        </w:rPr>
        <w:t xml:space="preserve">“If the right to work is understood as a fundamental </w:t>
      </w:r>
      <w:r w:rsidR="009C2670">
        <w:rPr>
          <w:szCs w:val="26"/>
        </w:rPr>
        <w:t xml:space="preserve">individual </w:t>
      </w:r>
      <w:r>
        <w:rPr>
          <w:szCs w:val="26"/>
        </w:rPr>
        <w:t>right, every individual should be afforded a neutral context in which to make a decision about work.”</w:t>
      </w:r>
      <w:r w:rsidR="0050530C">
        <w:rPr>
          <w:rStyle w:val="FootnoteReference"/>
          <w:szCs w:val="26"/>
        </w:rPr>
        <w:footnoteReference w:id="27"/>
      </w:r>
      <w:r w:rsidR="00DD7070">
        <w:rPr>
          <w:szCs w:val="26"/>
        </w:rPr>
        <w:t xml:space="preserve"> </w:t>
      </w:r>
      <w:r w:rsidR="006C4A66">
        <w:rPr>
          <w:szCs w:val="26"/>
        </w:rPr>
        <w:t xml:space="preserve">The problem with the tax law, </w:t>
      </w:r>
      <w:r w:rsidR="0003794D">
        <w:rPr>
          <w:szCs w:val="26"/>
        </w:rPr>
        <w:t>Blumberg pointed out,</w:t>
      </w:r>
      <w:r w:rsidR="00A86DAB">
        <w:rPr>
          <w:szCs w:val="26"/>
        </w:rPr>
        <w:t xml:space="preserve"> was</w:t>
      </w:r>
      <w:r w:rsidR="0003794D">
        <w:rPr>
          <w:szCs w:val="26"/>
        </w:rPr>
        <w:t xml:space="preserve"> </w:t>
      </w:r>
      <w:r w:rsidR="006C4A66">
        <w:rPr>
          <w:szCs w:val="26"/>
        </w:rPr>
        <w:t>that it was not gender</w:t>
      </w:r>
      <w:r w:rsidR="00D03761">
        <w:rPr>
          <w:szCs w:val="26"/>
        </w:rPr>
        <w:t xml:space="preserve"> </w:t>
      </w:r>
      <w:r w:rsidR="006C4A66">
        <w:rPr>
          <w:szCs w:val="26"/>
        </w:rPr>
        <w:t>neutral</w:t>
      </w:r>
      <w:r w:rsidR="0003794D">
        <w:rPr>
          <w:szCs w:val="26"/>
        </w:rPr>
        <w:t xml:space="preserve"> in </w:t>
      </w:r>
      <w:r w:rsidR="001F01F0">
        <w:rPr>
          <w:szCs w:val="26"/>
        </w:rPr>
        <w:t>operation</w:t>
      </w:r>
      <w:r w:rsidR="006C4A66">
        <w:rPr>
          <w:szCs w:val="26"/>
        </w:rPr>
        <w:t>.</w:t>
      </w:r>
      <w:r w:rsidR="003D473A">
        <w:rPr>
          <w:szCs w:val="26"/>
        </w:rPr>
        <w:t xml:space="preserve"> </w:t>
      </w:r>
      <w:r w:rsidR="00191320">
        <w:rPr>
          <w:szCs w:val="26"/>
        </w:rPr>
        <w:t>To the contrary</w:t>
      </w:r>
      <w:r w:rsidR="003D473A">
        <w:rPr>
          <w:szCs w:val="26"/>
        </w:rPr>
        <w:t xml:space="preserve">, the tax laws </w:t>
      </w:r>
      <w:r w:rsidR="00E01CA7">
        <w:rPr>
          <w:szCs w:val="26"/>
        </w:rPr>
        <w:t xml:space="preserve">“inequitably and insensitively treated working wives” and </w:t>
      </w:r>
      <w:r w:rsidR="003D473A">
        <w:rPr>
          <w:szCs w:val="26"/>
        </w:rPr>
        <w:t>g</w:t>
      </w:r>
      <w:r w:rsidR="00D042E8">
        <w:rPr>
          <w:szCs w:val="26"/>
        </w:rPr>
        <w:t>a</w:t>
      </w:r>
      <w:r w:rsidR="003D473A">
        <w:rPr>
          <w:szCs w:val="26"/>
        </w:rPr>
        <w:t>v</w:t>
      </w:r>
      <w:r w:rsidR="00D042E8">
        <w:rPr>
          <w:szCs w:val="26"/>
        </w:rPr>
        <w:t>e</w:t>
      </w:r>
      <w:r w:rsidR="003D473A">
        <w:rPr>
          <w:szCs w:val="26"/>
        </w:rPr>
        <w:t xml:space="preserve"> voice to a social policy that “a married woman ought to stay at home unless her family is virtually destitute, that is, in danger of becoming or presently a public charge. The apparent basis for this policy is the belief that the family is better off, that is, more stable or cohesive, and, perhaps, that the wife also benefits from enforced domesticity.”</w:t>
      </w:r>
      <w:r w:rsidR="003D473A">
        <w:rPr>
          <w:rStyle w:val="FootnoteReference"/>
          <w:szCs w:val="26"/>
        </w:rPr>
        <w:footnoteReference w:id="28"/>
      </w:r>
      <w:r w:rsidR="0003794D">
        <w:rPr>
          <w:szCs w:val="26"/>
        </w:rPr>
        <w:t xml:space="preserve"> </w:t>
      </w:r>
      <w:r w:rsidR="001B7B4F">
        <w:rPr>
          <w:szCs w:val="26"/>
        </w:rPr>
        <w:t>Married women were making tax-</w:t>
      </w:r>
      <w:r w:rsidR="00245C05">
        <w:rPr>
          <w:szCs w:val="26"/>
        </w:rPr>
        <w:t xml:space="preserve">influenced </w:t>
      </w:r>
      <w:r w:rsidR="001B7B4F">
        <w:rPr>
          <w:szCs w:val="26"/>
        </w:rPr>
        <w:t>decisions about whether to work outside the home, and thus their behavior was being distorted by the tax law. Blumberg’s arguments were designed to appeal to traditional tax scholars who believe that tax laws should not distort labor choices.</w:t>
      </w:r>
      <w:r w:rsidR="001B7B4F">
        <w:rPr>
          <w:rStyle w:val="FootnoteReference"/>
          <w:szCs w:val="26"/>
        </w:rPr>
        <w:footnoteReference w:id="29"/>
      </w:r>
    </w:p>
    <w:p w14:paraId="1E55137C" w14:textId="0F74E428" w:rsidR="005263B2" w:rsidRPr="005263B2" w:rsidRDefault="00BB6F0D" w:rsidP="005D7DB8">
      <w:pPr>
        <w:spacing w:line="480" w:lineRule="auto"/>
        <w:rPr>
          <w:b/>
          <w:bCs/>
          <w:szCs w:val="26"/>
        </w:rPr>
      </w:pPr>
      <w:r>
        <w:rPr>
          <w:b/>
          <w:bCs/>
          <w:szCs w:val="26"/>
        </w:rPr>
        <w:t xml:space="preserve">The Development of </w:t>
      </w:r>
      <w:r w:rsidR="005263B2" w:rsidRPr="005263B2">
        <w:rPr>
          <w:b/>
          <w:bCs/>
          <w:szCs w:val="26"/>
        </w:rPr>
        <w:t>Feminist Tax Scholarship</w:t>
      </w:r>
    </w:p>
    <w:p w14:paraId="3A11BFBA" w14:textId="2165CE4C" w:rsidR="00F53F11" w:rsidRDefault="00525A97" w:rsidP="005D7DB8">
      <w:pPr>
        <w:spacing w:line="480" w:lineRule="auto"/>
        <w:ind w:firstLine="720"/>
        <w:rPr>
          <w:szCs w:val="26"/>
        </w:rPr>
      </w:pPr>
      <w:r>
        <w:rPr>
          <w:szCs w:val="26"/>
        </w:rPr>
        <w:t xml:space="preserve">Although tax matters remained in the muted background of </w:t>
      </w:r>
      <w:r w:rsidR="0027361C">
        <w:rPr>
          <w:szCs w:val="26"/>
        </w:rPr>
        <w:t xml:space="preserve">the </w:t>
      </w:r>
      <w:r>
        <w:rPr>
          <w:szCs w:val="26"/>
        </w:rPr>
        <w:t>feminist agenda throughout the 1970s and 1980s,</w:t>
      </w:r>
      <w:bookmarkStart w:id="2" w:name="_Ref32487938"/>
      <w:r>
        <w:rPr>
          <w:rStyle w:val="FootnoteReference"/>
          <w:szCs w:val="26"/>
        </w:rPr>
        <w:footnoteReference w:id="30"/>
      </w:r>
      <w:bookmarkEnd w:id="2"/>
      <w:r>
        <w:rPr>
          <w:szCs w:val="26"/>
        </w:rPr>
        <w:t xml:space="preserve"> </w:t>
      </w:r>
      <w:r w:rsidR="00F53F11">
        <w:rPr>
          <w:szCs w:val="26"/>
        </w:rPr>
        <w:t xml:space="preserve">a critical mass of </w:t>
      </w:r>
      <w:r w:rsidR="00E225A9">
        <w:rPr>
          <w:szCs w:val="26"/>
        </w:rPr>
        <w:t>feminist scholarship in taxation</w:t>
      </w:r>
      <w:r>
        <w:rPr>
          <w:szCs w:val="26"/>
        </w:rPr>
        <w:t xml:space="preserve"> </w:t>
      </w:r>
      <w:r w:rsidR="005263B2">
        <w:rPr>
          <w:szCs w:val="26"/>
        </w:rPr>
        <w:t>began to</w:t>
      </w:r>
      <w:r w:rsidR="00F53F11">
        <w:rPr>
          <w:szCs w:val="26"/>
        </w:rPr>
        <w:t xml:space="preserve"> </w:t>
      </w:r>
      <w:r w:rsidR="00F53F11">
        <w:rPr>
          <w:szCs w:val="26"/>
        </w:rPr>
        <w:lastRenderedPageBreak/>
        <w:t xml:space="preserve">emerge </w:t>
      </w:r>
      <w:r w:rsidR="005263B2">
        <w:rPr>
          <w:szCs w:val="26"/>
        </w:rPr>
        <w:t>in</w:t>
      </w:r>
      <w:r w:rsidR="00F53F11">
        <w:rPr>
          <w:szCs w:val="26"/>
        </w:rPr>
        <w:t xml:space="preserve"> the 1990s. </w:t>
      </w:r>
      <w:r w:rsidR="005263B2">
        <w:rPr>
          <w:szCs w:val="26"/>
        </w:rPr>
        <w:t>The concerns</w:t>
      </w:r>
      <w:r w:rsidR="00045392">
        <w:rPr>
          <w:szCs w:val="26"/>
        </w:rPr>
        <w:t xml:space="preserve"> raised in this scholarship</w:t>
      </w:r>
      <w:r w:rsidR="005263B2">
        <w:rPr>
          <w:szCs w:val="26"/>
        </w:rPr>
        <w:t xml:space="preserve"> tended to cluster into one of several areas: (1) the tax law’s structural incentives against women’s participation in the paid labor force; (2) specific provisions of the tax law that appear neutral on their face but have a disproportiona</w:t>
      </w:r>
      <w:r w:rsidR="00FE4933">
        <w:rPr>
          <w:szCs w:val="26"/>
        </w:rPr>
        <w:t>te</w:t>
      </w:r>
      <w:r w:rsidR="005263B2">
        <w:rPr>
          <w:szCs w:val="26"/>
        </w:rPr>
        <w:t xml:space="preserve">ly negative impact on women; and (3) tax policies </w:t>
      </w:r>
      <w:r w:rsidR="00E225A9">
        <w:rPr>
          <w:szCs w:val="26"/>
        </w:rPr>
        <w:t>that are</w:t>
      </w:r>
      <w:r w:rsidR="005263B2">
        <w:rPr>
          <w:szCs w:val="26"/>
        </w:rPr>
        <w:t xml:space="preserve"> consistent with or challeng</w:t>
      </w:r>
      <w:r w:rsidR="00E225A9">
        <w:rPr>
          <w:szCs w:val="26"/>
        </w:rPr>
        <w:t>e</w:t>
      </w:r>
      <w:r w:rsidR="005263B2">
        <w:rPr>
          <w:szCs w:val="26"/>
        </w:rPr>
        <w:t xml:space="preserve"> feminist theories of justice. </w:t>
      </w:r>
      <w:r w:rsidR="003E4BA9">
        <w:rPr>
          <w:szCs w:val="26"/>
        </w:rPr>
        <w:t xml:space="preserve">It is not possible to name all of the legal scholars who contributed to the growing body of feminist tax scholarship, and so this </w:t>
      </w:r>
      <w:r w:rsidR="00F75009">
        <w:rPr>
          <w:szCs w:val="26"/>
        </w:rPr>
        <w:t xml:space="preserve">chapter </w:t>
      </w:r>
      <w:r w:rsidR="00E225A9">
        <w:rPr>
          <w:szCs w:val="26"/>
        </w:rPr>
        <w:t>necessarily is limited to citing only</w:t>
      </w:r>
      <w:r w:rsidR="003E4BA9">
        <w:rPr>
          <w:szCs w:val="26"/>
        </w:rPr>
        <w:t xml:space="preserve"> representative samples of the work from this period.</w:t>
      </w:r>
      <w:r w:rsidR="009E1009">
        <w:rPr>
          <w:rStyle w:val="FootnoteReference"/>
          <w:szCs w:val="26"/>
        </w:rPr>
        <w:footnoteReference w:id="31"/>
      </w:r>
    </w:p>
    <w:p w14:paraId="12494E42" w14:textId="1B2BBA3D" w:rsidR="005263B2" w:rsidRDefault="005263B2" w:rsidP="005D7DB8">
      <w:pPr>
        <w:spacing w:line="480" w:lineRule="auto"/>
        <w:ind w:firstLine="720"/>
        <w:rPr>
          <w:i/>
          <w:iCs/>
          <w:szCs w:val="26"/>
        </w:rPr>
      </w:pPr>
      <w:r w:rsidRPr="005263B2">
        <w:rPr>
          <w:i/>
          <w:iCs/>
          <w:szCs w:val="26"/>
        </w:rPr>
        <w:t>The Emergence of a Critical Voice</w:t>
      </w:r>
    </w:p>
    <w:p w14:paraId="07646061" w14:textId="1951F2D1" w:rsidR="00E225A9" w:rsidRDefault="000925AC" w:rsidP="005D7DB8">
      <w:pPr>
        <w:spacing w:line="480" w:lineRule="auto"/>
        <w:ind w:firstLine="720"/>
        <w:rPr>
          <w:szCs w:val="26"/>
        </w:rPr>
      </w:pPr>
      <w:r>
        <w:rPr>
          <w:szCs w:val="26"/>
        </w:rPr>
        <w:t xml:space="preserve">Two books published in the late 1990s helped to shape the next decade of feminist tax scholarship. Mary Louise Fellows and Karen Brown’s </w:t>
      </w:r>
      <w:r w:rsidRPr="000925AC">
        <w:rPr>
          <w:i/>
          <w:iCs/>
          <w:szCs w:val="26"/>
        </w:rPr>
        <w:t>Taxing America</w:t>
      </w:r>
      <w:r>
        <w:rPr>
          <w:szCs w:val="26"/>
        </w:rPr>
        <w:t xml:space="preserve"> assembled a group of authors to examine race and gender dimensions of the income tax law.</w:t>
      </w:r>
      <w:bookmarkStart w:id="3" w:name="_Ref32071437"/>
      <w:r>
        <w:rPr>
          <w:rStyle w:val="FootnoteReference"/>
          <w:szCs w:val="26"/>
        </w:rPr>
        <w:footnoteReference w:id="32"/>
      </w:r>
      <w:bookmarkEnd w:id="3"/>
      <w:r>
        <w:rPr>
          <w:szCs w:val="26"/>
        </w:rPr>
        <w:t xml:space="preserve"> Notable contributions to this book include Lily </w:t>
      </w:r>
      <w:proofErr w:type="spellStart"/>
      <w:r>
        <w:rPr>
          <w:szCs w:val="26"/>
        </w:rPr>
        <w:t>Kahng’s</w:t>
      </w:r>
      <w:proofErr w:type="spellEnd"/>
      <w:r>
        <w:rPr>
          <w:szCs w:val="26"/>
        </w:rPr>
        <w:t xml:space="preserve"> chapter, </w:t>
      </w:r>
      <w:r w:rsidRPr="000925AC">
        <w:rPr>
          <w:i/>
          <w:iCs/>
          <w:szCs w:val="26"/>
        </w:rPr>
        <w:t>Fiction in Tax</w:t>
      </w:r>
      <w:r>
        <w:rPr>
          <w:szCs w:val="26"/>
        </w:rPr>
        <w:t>, which explores the history of the joint income tax return and the legal “fiction” on which it relies</w:t>
      </w:r>
      <w:r w:rsidR="002332C2">
        <w:rPr>
          <w:szCs w:val="26"/>
        </w:rPr>
        <w:t xml:space="preserve">; </w:t>
      </w:r>
      <w:r w:rsidR="00CA5E97">
        <w:rPr>
          <w:szCs w:val="26"/>
        </w:rPr>
        <w:t>namely</w:t>
      </w:r>
      <w:r>
        <w:rPr>
          <w:szCs w:val="26"/>
        </w:rPr>
        <w:t>, the notion that husbands and wives are one for tax purposes.</w:t>
      </w:r>
      <w:r>
        <w:rPr>
          <w:rStyle w:val="FootnoteReference"/>
          <w:szCs w:val="26"/>
        </w:rPr>
        <w:footnoteReference w:id="33"/>
      </w:r>
      <w:r>
        <w:rPr>
          <w:szCs w:val="26"/>
        </w:rPr>
        <w:t xml:space="preserve"> Dorothy Brown’s </w:t>
      </w:r>
      <w:r w:rsidRPr="0044773A">
        <w:rPr>
          <w:i/>
          <w:iCs/>
          <w:szCs w:val="26"/>
        </w:rPr>
        <w:t>The Marriage Bonus/Penalty in Black and White</w:t>
      </w:r>
      <w:r w:rsidR="0044773A">
        <w:rPr>
          <w:szCs w:val="26"/>
        </w:rPr>
        <w:t xml:space="preserve"> exposed how black </w:t>
      </w:r>
      <w:r w:rsidR="0014374A">
        <w:rPr>
          <w:szCs w:val="26"/>
        </w:rPr>
        <w:t xml:space="preserve">couples </w:t>
      </w:r>
      <w:r w:rsidR="0044773A">
        <w:rPr>
          <w:szCs w:val="26"/>
        </w:rPr>
        <w:t>and white couples experience the tax implications of marriage</w:t>
      </w:r>
      <w:r w:rsidR="00870AF5">
        <w:rPr>
          <w:szCs w:val="26"/>
        </w:rPr>
        <w:t xml:space="preserve"> differently</w:t>
      </w:r>
      <w:r w:rsidR="0044773A">
        <w:rPr>
          <w:szCs w:val="26"/>
        </w:rPr>
        <w:t>, finding th</w:t>
      </w:r>
      <w:r w:rsidR="00313153">
        <w:rPr>
          <w:szCs w:val="26"/>
        </w:rPr>
        <w:t>at</w:t>
      </w:r>
      <w:r w:rsidR="0044773A">
        <w:rPr>
          <w:szCs w:val="26"/>
        </w:rPr>
        <w:t xml:space="preserve"> black </w:t>
      </w:r>
      <w:r w:rsidR="00313153">
        <w:rPr>
          <w:szCs w:val="26"/>
        </w:rPr>
        <w:t>couple</w:t>
      </w:r>
      <w:r w:rsidR="0044773A">
        <w:rPr>
          <w:szCs w:val="26"/>
        </w:rPr>
        <w:t xml:space="preserve">s </w:t>
      </w:r>
      <w:r w:rsidR="00870AF5">
        <w:rPr>
          <w:szCs w:val="26"/>
        </w:rPr>
        <w:t xml:space="preserve">were likely to </w:t>
      </w:r>
      <w:r w:rsidR="0044773A">
        <w:rPr>
          <w:szCs w:val="26"/>
        </w:rPr>
        <w:t xml:space="preserve">experience the marriage penalty more frequently than white </w:t>
      </w:r>
      <w:r w:rsidR="00313153">
        <w:rPr>
          <w:szCs w:val="26"/>
        </w:rPr>
        <w:t>couples</w:t>
      </w:r>
      <w:r w:rsidR="00E225A9">
        <w:rPr>
          <w:szCs w:val="26"/>
        </w:rPr>
        <w:t>.</w:t>
      </w:r>
      <w:r w:rsidR="00E225A9">
        <w:rPr>
          <w:rStyle w:val="FootnoteReference"/>
          <w:szCs w:val="26"/>
        </w:rPr>
        <w:footnoteReference w:id="34"/>
      </w:r>
      <w:r w:rsidR="00E225A9">
        <w:rPr>
          <w:szCs w:val="26"/>
        </w:rPr>
        <w:t xml:space="preserve"> </w:t>
      </w:r>
      <w:r w:rsidR="003D7ED2">
        <w:rPr>
          <w:szCs w:val="26"/>
        </w:rPr>
        <w:t>Brown found t</w:t>
      </w:r>
      <w:r w:rsidR="00E225A9">
        <w:rPr>
          <w:szCs w:val="26"/>
        </w:rPr>
        <w:t xml:space="preserve">his </w:t>
      </w:r>
      <w:r w:rsidR="00870AF5">
        <w:rPr>
          <w:szCs w:val="26"/>
        </w:rPr>
        <w:t xml:space="preserve">to be </w:t>
      </w:r>
      <w:r w:rsidR="00E225A9">
        <w:rPr>
          <w:szCs w:val="26"/>
        </w:rPr>
        <w:t>due</w:t>
      </w:r>
      <w:r w:rsidR="0044773A">
        <w:rPr>
          <w:szCs w:val="26"/>
        </w:rPr>
        <w:t xml:space="preserve"> </w:t>
      </w:r>
      <w:r w:rsidR="00E225A9">
        <w:rPr>
          <w:szCs w:val="26"/>
        </w:rPr>
        <w:t>to</w:t>
      </w:r>
      <w:r w:rsidR="00A94C49">
        <w:rPr>
          <w:szCs w:val="26"/>
        </w:rPr>
        <w:t xml:space="preserve"> a combination of (1) employment discrimination that brought the earnings of black men and black women closer to parity than the </w:t>
      </w:r>
      <w:r w:rsidR="00A94C49">
        <w:rPr>
          <w:szCs w:val="26"/>
        </w:rPr>
        <w:lastRenderedPageBreak/>
        <w:t>earnings of white men and white women</w:t>
      </w:r>
      <w:r w:rsidR="00E225A9">
        <w:rPr>
          <w:szCs w:val="26"/>
        </w:rPr>
        <w:t xml:space="preserve"> </w:t>
      </w:r>
      <w:r w:rsidR="00A94C49">
        <w:rPr>
          <w:szCs w:val="26"/>
        </w:rPr>
        <w:t xml:space="preserve">and (2) differences </w:t>
      </w:r>
      <w:r w:rsidR="00A73414">
        <w:rPr>
          <w:szCs w:val="26"/>
        </w:rPr>
        <w:t>in</w:t>
      </w:r>
      <w:r w:rsidR="00A94C49">
        <w:rPr>
          <w:szCs w:val="26"/>
        </w:rPr>
        <w:t xml:space="preserve"> wage labor participation that resulted in </w:t>
      </w:r>
      <w:r w:rsidR="00E225A9">
        <w:rPr>
          <w:szCs w:val="26"/>
        </w:rPr>
        <w:t xml:space="preserve">the </w:t>
      </w:r>
      <w:r w:rsidR="00B44A34">
        <w:rPr>
          <w:szCs w:val="26"/>
        </w:rPr>
        <w:t xml:space="preserve">wife’s wages constituting a greater percentage of the </w:t>
      </w:r>
      <w:r w:rsidR="00E225A9">
        <w:rPr>
          <w:szCs w:val="26"/>
        </w:rPr>
        <w:t xml:space="preserve">average </w:t>
      </w:r>
      <w:r w:rsidR="0044773A">
        <w:rPr>
          <w:szCs w:val="26"/>
        </w:rPr>
        <w:t xml:space="preserve">black </w:t>
      </w:r>
      <w:r w:rsidR="00D41D4E">
        <w:rPr>
          <w:szCs w:val="26"/>
        </w:rPr>
        <w:t xml:space="preserve">couple’s </w:t>
      </w:r>
      <w:r w:rsidR="00E225A9">
        <w:rPr>
          <w:szCs w:val="26"/>
        </w:rPr>
        <w:t xml:space="preserve">income than </w:t>
      </w:r>
      <w:r w:rsidR="00B44A34">
        <w:rPr>
          <w:szCs w:val="26"/>
        </w:rPr>
        <w:t>the average</w:t>
      </w:r>
      <w:r w:rsidR="00E225A9">
        <w:rPr>
          <w:szCs w:val="26"/>
        </w:rPr>
        <w:t xml:space="preserve"> white </w:t>
      </w:r>
      <w:r w:rsidR="00D41D4E">
        <w:rPr>
          <w:szCs w:val="26"/>
        </w:rPr>
        <w:t xml:space="preserve">couple’s </w:t>
      </w:r>
      <w:r w:rsidR="00E225A9">
        <w:rPr>
          <w:szCs w:val="26"/>
        </w:rPr>
        <w:t>income</w:t>
      </w:r>
      <w:r w:rsidR="0044773A">
        <w:rPr>
          <w:szCs w:val="26"/>
        </w:rPr>
        <w:t>.</w:t>
      </w:r>
      <w:r w:rsidR="0044773A">
        <w:rPr>
          <w:rStyle w:val="FootnoteReference"/>
          <w:szCs w:val="26"/>
        </w:rPr>
        <w:footnoteReference w:id="35"/>
      </w:r>
      <w:r w:rsidR="0044773A">
        <w:rPr>
          <w:szCs w:val="26"/>
        </w:rPr>
        <w:t xml:space="preserve"> </w:t>
      </w:r>
    </w:p>
    <w:p w14:paraId="5628EC15" w14:textId="0801AB45" w:rsidR="00E67347" w:rsidRDefault="001961BD" w:rsidP="00E43DC1">
      <w:pPr>
        <w:spacing w:line="480" w:lineRule="auto"/>
        <w:ind w:firstLine="720"/>
        <w:rPr>
          <w:szCs w:val="26"/>
        </w:rPr>
      </w:pPr>
      <w:r>
        <w:rPr>
          <w:szCs w:val="26"/>
        </w:rPr>
        <w:t xml:space="preserve">The next year, </w:t>
      </w:r>
      <w:r w:rsidR="0044773A">
        <w:rPr>
          <w:szCs w:val="26"/>
        </w:rPr>
        <w:t xml:space="preserve">Edward McCaffery’s </w:t>
      </w:r>
      <w:r w:rsidR="0044773A" w:rsidRPr="00F53F11">
        <w:rPr>
          <w:i/>
          <w:iCs/>
          <w:szCs w:val="26"/>
        </w:rPr>
        <w:t>Taxing Women</w:t>
      </w:r>
      <w:r w:rsidR="0044773A">
        <w:rPr>
          <w:szCs w:val="26"/>
        </w:rPr>
        <w:t xml:space="preserve"> explored how federal tax policy decisions </w:t>
      </w:r>
      <w:r w:rsidR="00824B7A">
        <w:rPr>
          <w:szCs w:val="26"/>
        </w:rPr>
        <w:t>from</w:t>
      </w:r>
      <w:r w:rsidR="0044773A">
        <w:rPr>
          <w:szCs w:val="26"/>
        </w:rPr>
        <w:t xml:space="preserve"> the 1930s and 1940s </w:t>
      </w:r>
      <w:r w:rsidR="009E3FCB">
        <w:rPr>
          <w:szCs w:val="26"/>
        </w:rPr>
        <w:t xml:space="preserve">that </w:t>
      </w:r>
      <w:r w:rsidR="0044773A">
        <w:rPr>
          <w:szCs w:val="26"/>
        </w:rPr>
        <w:t xml:space="preserve">favored </w:t>
      </w:r>
      <w:r w:rsidR="00DD1DD4">
        <w:rPr>
          <w:szCs w:val="26"/>
        </w:rPr>
        <w:t>“</w:t>
      </w:r>
      <w:r w:rsidR="0044773A">
        <w:rPr>
          <w:szCs w:val="26"/>
        </w:rPr>
        <w:t>traditional</w:t>
      </w:r>
      <w:r w:rsidR="00DD1DD4">
        <w:rPr>
          <w:szCs w:val="26"/>
        </w:rPr>
        <w:t>”</w:t>
      </w:r>
      <w:r w:rsidR="0044773A">
        <w:rPr>
          <w:szCs w:val="26"/>
        </w:rPr>
        <w:t xml:space="preserve"> family structures</w:t>
      </w:r>
      <w:r w:rsidR="008B4A5D">
        <w:rPr>
          <w:szCs w:val="26"/>
        </w:rPr>
        <w:t>—</w:t>
      </w:r>
      <w:r w:rsidR="0044773A">
        <w:rPr>
          <w:szCs w:val="26"/>
        </w:rPr>
        <w:t>a working</w:t>
      </w:r>
      <w:r w:rsidR="00637041">
        <w:rPr>
          <w:szCs w:val="26"/>
        </w:rPr>
        <w:t xml:space="preserve"> husband</w:t>
      </w:r>
      <w:r w:rsidR="0044773A">
        <w:rPr>
          <w:szCs w:val="26"/>
        </w:rPr>
        <w:t xml:space="preserve"> with a stay-at-home wife</w:t>
      </w:r>
      <w:r w:rsidR="009E3FCB">
        <w:rPr>
          <w:szCs w:val="26"/>
        </w:rPr>
        <w:t>—have persisted even as society has changed</w:t>
      </w:r>
      <w:r w:rsidR="0044773A">
        <w:rPr>
          <w:szCs w:val="26"/>
        </w:rPr>
        <w:t>.</w:t>
      </w:r>
      <w:bookmarkStart w:id="4" w:name="_Ref32325859"/>
      <w:r w:rsidR="0044773A">
        <w:rPr>
          <w:rStyle w:val="FootnoteReference"/>
          <w:szCs w:val="26"/>
        </w:rPr>
        <w:footnoteReference w:id="36"/>
      </w:r>
      <w:bookmarkEnd w:id="4"/>
      <w:r w:rsidR="0044773A">
        <w:rPr>
          <w:szCs w:val="26"/>
        </w:rPr>
        <w:t xml:space="preserve"> McCaffery</w:t>
      </w:r>
      <w:r w:rsidR="00E43DC1">
        <w:rPr>
          <w:szCs w:val="26"/>
        </w:rPr>
        <w:t xml:space="preserve"> </w:t>
      </w:r>
      <w:r w:rsidR="0044773A">
        <w:rPr>
          <w:szCs w:val="26"/>
        </w:rPr>
        <w:t xml:space="preserve">built on his prior work </w:t>
      </w:r>
      <w:r w:rsidR="00540239">
        <w:rPr>
          <w:szCs w:val="26"/>
        </w:rPr>
        <w:t>exploring how</w:t>
      </w:r>
      <w:r w:rsidR="00E43DC1">
        <w:rPr>
          <w:szCs w:val="26"/>
        </w:rPr>
        <w:t xml:space="preserve"> </w:t>
      </w:r>
      <w:r w:rsidR="0044773A">
        <w:rPr>
          <w:szCs w:val="26"/>
        </w:rPr>
        <w:t>gender bias in the tax code manifest</w:t>
      </w:r>
      <w:r w:rsidR="00ED4466">
        <w:rPr>
          <w:szCs w:val="26"/>
        </w:rPr>
        <w:t>s</w:t>
      </w:r>
      <w:r w:rsidR="0044773A">
        <w:rPr>
          <w:szCs w:val="26"/>
        </w:rPr>
        <w:t xml:space="preserve"> not only in the joint return but also </w:t>
      </w:r>
      <w:r w:rsidR="00E43DC1">
        <w:rPr>
          <w:szCs w:val="26"/>
        </w:rPr>
        <w:t>in the</w:t>
      </w:r>
      <w:r w:rsidR="0044773A">
        <w:rPr>
          <w:szCs w:val="26"/>
        </w:rPr>
        <w:t xml:space="preserve"> earned income tax credit, the disaggregation of spousal income for </w:t>
      </w:r>
      <w:r w:rsidR="00ED4466">
        <w:rPr>
          <w:szCs w:val="26"/>
        </w:rPr>
        <w:t>S</w:t>
      </w:r>
      <w:r w:rsidR="0044773A">
        <w:rPr>
          <w:szCs w:val="26"/>
        </w:rPr>
        <w:t xml:space="preserve">ocial </w:t>
      </w:r>
      <w:r w:rsidR="00ED4466">
        <w:rPr>
          <w:szCs w:val="26"/>
        </w:rPr>
        <w:t>S</w:t>
      </w:r>
      <w:r w:rsidR="0044773A">
        <w:rPr>
          <w:szCs w:val="26"/>
        </w:rPr>
        <w:t>ecurity purposes, the tax treatment of childcare, and fringe benefit rules that favor full-time employees.</w:t>
      </w:r>
      <w:r w:rsidR="0044773A">
        <w:rPr>
          <w:rStyle w:val="FootnoteReference"/>
          <w:szCs w:val="26"/>
        </w:rPr>
        <w:footnoteReference w:id="37"/>
      </w:r>
      <w:r w:rsidR="0044773A">
        <w:rPr>
          <w:szCs w:val="26"/>
        </w:rPr>
        <w:t xml:space="preserve"> </w:t>
      </w:r>
      <w:r w:rsidR="00E67347">
        <w:rPr>
          <w:szCs w:val="26"/>
        </w:rPr>
        <w:t xml:space="preserve">As McCaffery put it in the introduction to </w:t>
      </w:r>
      <w:r w:rsidR="00FC42B0">
        <w:rPr>
          <w:i/>
          <w:iCs/>
          <w:szCs w:val="26"/>
        </w:rPr>
        <w:t>Taxing Women</w:t>
      </w:r>
      <w:r w:rsidR="00E67347">
        <w:rPr>
          <w:szCs w:val="26"/>
        </w:rPr>
        <w:t>:</w:t>
      </w:r>
    </w:p>
    <w:p w14:paraId="5D815161" w14:textId="77777777" w:rsidR="003427E8" w:rsidRDefault="00E67347" w:rsidP="00274A60">
      <w:pPr>
        <w:ind w:left="720" w:right="720"/>
        <w:rPr>
          <w:szCs w:val="26"/>
        </w:rPr>
      </w:pPr>
      <w:r>
        <w:rPr>
          <w:szCs w:val="26"/>
        </w:rPr>
        <w:t>Tax law changes were put in place t</w:t>
      </w:r>
      <w:r w:rsidR="000E44D6">
        <w:rPr>
          <w:szCs w:val="26"/>
        </w:rPr>
        <w:t>o</w:t>
      </w:r>
      <w:r>
        <w:rPr>
          <w:szCs w:val="26"/>
        </w:rPr>
        <w:t xml:space="preserve"> foster and reward this single-earner household. These changes were left in place, all but unexamined, as the system kept growing. The tax system’s strong bias in favor of single-earner families now sits uneasily under modern conditions. It pushes against stable families at the lower-income levels, against working wives at the upper-income ones, and, by limiting satisfactory options, against the many families in between. … </w:t>
      </w:r>
    </w:p>
    <w:p w14:paraId="268459BF" w14:textId="0DD36DCA" w:rsidR="00E43DC1" w:rsidRDefault="00E67347" w:rsidP="00274A60">
      <w:pPr>
        <w:ind w:left="720" w:right="720" w:firstLine="720"/>
        <w:rPr>
          <w:szCs w:val="26"/>
        </w:rPr>
      </w:pPr>
      <w:r>
        <w:rPr>
          <w:szCs w:val="26"/>
        </w:rPr>
        <w:t xml:space="preserve">Meanwhile, … [t]he </w:t>
      </w:r>
      <w:proofErr w:type="gramStart"/>
      <w:r>
        <w:rPr>
          <w:szCs w:val="26"/>
        </w:rPr>
        <w:t>mainstream</w:t>
      </w:r>
      <w:proofErr w:type="gramEnd"/>
      <w:r>
        <w:rPr>
          <w:szCs w:val="26"/>
        </w:rPr>
        <w:t xml:space="preserve"> tax policy academy legitimated the structure of tax with a rhetoric of fairness, neutrality, and common sense. An emergent feminist voice was barely heard, even when its cries were consistent with basic economic principles.</w:t>
      </w:r>
      <w:r>
        <w:rPr>
          <w:rStyle w:val="FootnoteReference"/>
          <w:szCs w:val="26"/>
        </w:rPr>
        <w:footnoteReference w:id="38"/>
      </w:r>
    </w:p>
    <w:p w14:paraId="03279037" w14:textId="77777777" w:rsidR="00274A60" w:rsidRDefault="00274A60" w:rsidP="00274A60">
      <w:pPr>
        <w:ind w:left="720" w:right="720" w:firstLine="720"/>
        <w:rPr>
          <w:szCs w:val="26"/>
        </w:rPr>
      </w:pPr>
    </w:p>
    <w:p w14:paraId="098EC7E9" w14:textId="6D2959A8" w:rsidR="00494A6C" w:rsidRDefault="00845B91" w:rsidP="00E43DC1">
      <w:pPr>
        <w:spacing w:line="480" w:lineRule="auto"/>
        <w:ind w:firstLine="720"/>
        <w:rPr>
          <w:szCs w:val="26"/>
        </w:rPr>
      </w:pPr>
      <w:r>
        <w:rPr>
          <w:szCs w:val="26"/>
        </w:rPr>
        <w:t xml:space="preserve">Nancy Staudt’s article, </w:t>
      </w:r>
      <w:r w:rsidRPr="00045519">
        <w:rPr>
          <w:i/>
          <w:iCs/>
          <w:szCs w:val="26"/>
        </w:rPr>
        <w:t>Taxing Housework</w:t>
      </w:r>
      <w:r>
        <w:rPr>
          <w:szCs w:val="26"/>
        </w:rPr>
        <w:t xml:space="preserve">, published just before McCaffery’s book, </w:t>
      </w:r>
      <w:r w:rsidR="00E43DC1">
        <w:rPr>
          <w:szCs w:val="26"/>
        </w:rPr>
        <w:t>analyzed</w:t>
      </w:r>
      <w:r>
        <w:rPr>
          <w:szCs w:val="26"/>
        </w:rPr>
        <w:t xml:space="preserve"> the tax policy decision to exempt household labor from the </w:t>
      </w:r>
      <w:r w:rsidR="00E43DC1">
        <w:rPr>
          <w:szCs w:val="26"/>
        </w:rPr>
        <w:t xml:space="preserve">income </w:t>
      </w:r>
      <w:r>
        <w:rPr>
          <w:szCs w:val="26"/>
        </w:rPr>
        <w:t>tax base.</w:t>
      </w:r>
      <w:r>
        <w:rPr>
          <w:rStyle w:val="FootnoteReference"/>
          <w:szCs w:val="26"/>
        </w:rPr>
        <w:footnoteReference w:id="39"/>
      </w:r>
      <w:r>
        <w:rPr>
          <w:szCs w:val="26"/>
        </w:rPr>
        <w:t xml:space="preserve"> Staudt proposed including the value of that labor in income </w:t>
      </w:r>
      <w:r w:rsidR="00E02F9A">
        <w:rPr>
          <w:szCs w:val="26"/>
        </w:rPr>
        <w:t xml:space="preserve">both to affirm the value of labor provided in </w:t>
      </w:r>
      <w:r w:rsidR="00E02F9A">
        <w:rPr>
          <w:szCs w:val="26"/>
        </w:rPr>
        <w:lastRenderedPageBreak/>
        <w:t xml:space="preserve">the home and to provide women who work in the home with </w:t>
      </w:r>
      <w:r w:rsidR="000F1EC5">
        <w:rPr>
          <w:szCs w:val="26"/>
        </w:rPr>
        <w:t>economic</w:t>
      </w:r>
      <w:r w:rsidR="00E02F9A">
        <w:rPr>
          <w:szCs w:val="26"/>
        </w:rPr>
        <w:t xml:space="preserve"> security in retirement</w:t>
      </w:r>
      <w:r>
        <w:rPr>
          <w:szCs w:val="26"/>
        </w:rPr>
        <w:t xml:space="preserve">, </w:t>
      </w:r>
      <w:r w:rsidR="001C7ABB">
        <w:rPr>
          <w:szCs w:val="26"/>
        </w:rPr>
        <w:t>while tempering the impact of her proposal by suggesting the creation of</w:t>
      </w:r>
      <w:r w:rsidR="00E43DC1">
        <w:rPr>
          <w:szCs w:val="26"/>
        </w:rPr>
        <w:t xml:space="preserve"> </w:t>
      </w:r>
      <w:r>
        <w:rPr>
          <w:szCs w:val="26"/>
        </w:rPr>
        <w:t xml:space="preserve">a household income tax credit </w:t>
      </w:r>
      <w:r w:rsidR="00E43DC1">
        <w:rPr>
          <w:szCs w:val="26"/>
        </w:rPr>
        <w:t>to</w:t>
      </w:r>
      <w:r>
        <w:rPr>
          <w:szCs w:val="26"/>
        </w:rPr>
        <w:t xml:space="preserve"> offset </w:t>
      </w:r>
      <w:r w:rsidR="00B14916">
        <w:rPr>
          <w:szCs w:val="26"/>
        </w:rPr>
        <w:t xml:space="preserve">the resulting </w:t>
      </w:r>
      <w:r>
        <w:rPr>
          <w:szCs w:val="26"/>
        </w:rPr>
        <w:t xml:space="preserve">tax </w:t>
      </w:r>
      <w:r w:rsidR="00C0798A">
        <w:rPr>
          <w:szCs w:val="26"/>
        </w:rPr>
        <w:t>burden on</w:t>
      </w:r>
      <w:r>
        <w:rPr>
          <w:szCs w:val="26"/>
        </w:rPr>
        <w:t xml:space="preserve"> low-income households.</w:t>
      </w:r>
      <w:r>
        <w:rPr>
          <w:rStyle w:val="FootnoteReference"/>
          <w:szCs w:val="26"/>
        </w:rPr>
        <w:footnoteReference w:id="40"/>
      </w:r>
      <w:r>
        <w:rPr>
          <w:szCs w:val="26"/>
        </w:rPr>
        <w:t xml:space="preserve"> </w:t>
      </w:r>
      <w:r w:rsidR="001B4E96">
        <w:rPr>
          <w:szCs w:val="26"/>
        </w:rPr>
        <w:t xml:space="preserve">Echoing </w:t>
      </w:r>
      <w:r w:rsidR="00BB4527">
        <w:rPr>
          <w:szCs w:val="26"/>
        </w:rPr>
        <w:t>cultural feminists’ emphasis on the value of women’s caretaking work</w:t>
      </w:r>
      <w:r w:rsidR="001B4E96">
        <w:rPr>
          <w:szCs w:val="26"/>
        </w:rPr>
        <w:t>,</w:t>
      </w:r>
      <w:r w:rsidR="00BB4527">
        <w:rPr>
          <w:rStyle w:val="FootnoteReference"/>
          <w:szCs w:val="26"/>
        </w:rPr>
        <w:footnoteReference w:id="41"/>
      </w:r>
      <w:r w:rsidR="00BB4527">
        <w:rPr>
          <w:szCs w:val="26"/>
        </w:rPr>
        <w:t xml:space="preserve"> </w:t>
      </w:r>
      <w:r>
        <w:rPr>
          <w:szCs w:val="26"/>
        </w:rPr>
        <w:t>S</w:t>
      </w:r>
      <w:r w:rsidR="001B4E96">
        <w:rPr>
          <w:szCs w:val="26"/>
        </w:rPr>
        <w:t>taudt</w:t>
      </w:r>
      <w:r>
        <w:rPr>
          <w:szCs w:val="26"/>
        </w:rPr>
        <w:t xml:space="preserve"> offered a sophisticated and practically</w:t>
      </w:r>
      <w:r w:rsidR="000E44D6">
        <w:rPr>
          <w:szCs w:val="26"/>
        </w:rPr>
        <w:t xml:space="preserve"> </w:t>
      </w:r>
      <w:r>
        <w:rPr>
          <w:szCs w:val="26"/>
        </w:rPr>
        <w:t xml:space="preserve">oriented proposal </w:t>
      </w:r>
      <w:r w:rsidR="00494A6C">
        <w:rPr>
          <w:szCs w:val="26"/>
        </w:rPr>
        <w:t>to</w:t>
      </w:r>
      <w:r>
        <w:rPr>
          <w:szCs w:val="26"/>
        </w:rPr>
        <w:t xml:space="preserve"> offset the bias she identified, while taking into account class-based differences among taxpayers. </w:t>
      </w:r>
    </w:p>
    <w:p w14:paraId="15C5B70D" w14:textId="3138447F" w:rsidR="00845B91" w:rsidRPr="00E43DC1" w:rsidRDefault="00845B91" w:rsidP="00E43DC1">
      <w:pPr>
        <w:spacing w:line="480" w:lineRule="auto"/>
        <w:ind w:firstLine="720"/>
        <w:rPr>
          <w:szCs w:val="26"/>
        </w:rPr>
      </w:pPr>
      <w:r>
        <w:rPr>
          <w:szCs w:val="26"/>
        </w:rPr>
        <w:t xml:space="preserve">Extending the </w:t>
      </w:r>
      <w:r w:rsidR="0045600A">
        <w:rPr>
          <w:szCs w:val="26"/>
        </w:rPr>
        <w:t>investigation</w:t>
      </w:r>
      <w:r>
        <w:rPr>
          <w:szCs w:val="26"/>
        </w:rPr>
        <w:t xml:space="preserve"> of structural tax policy choices </w:t>
      </w:r>
      <w:r w:rsidR="00494A6C">
        <w:rPr>
          <w:szCs w:val="26"/>
        </w:rPr>
        <w:t>on</w:t>
      </w:r>
      <w:r>
        <w:rPr>
          <w:szCs w:val="26"/>
        </w:rPr>
        <w:t xml:space="preserve"> women’s market participation, Mary Louise Fellows </w:t>
      </w:r>
      <w:r w:rsidR="0045600A">
        <w:rPr>
          <w:szCs w:val="26"/>
        </w:rPr>
        <w:t xml:space="preserve">examined </w:t>
      </w:r>
      <w:r>
        <w:rPr>
          <w:szCs w:val="26"/>
        </w:rPr>
        <w:t xml:space="preserve">the tax law’s treatment of childcare expenses </w:t>
      </w:r>
      <w:r w:rsidR="003C56A7">
        <w:rPr>
          <w:szCs w:val="26"/>
        </w:rPr>
        <w:t xml:space="preserve">in </w:t>
      </w:r>
      <w:r w:rsidR="003C56A7">
        <w:rPr>
          <w:i/>
          <w:iCs/>
          <w:szCs w:val="26"/>
        </w:rPr>
        <w:t>Rocking the Tax Code</w:t>
      </w:r>
      <w:r w:rsidR="003C56A7" w:rsidRPr="00494B2C">
        <w:rPr>
          <w:szCs w:val="26"/>
        </w:rPr>
        <w:t>,</w:t>
      </w:r>
      <w:r w:rsidR="003C56A7">
        <w:rPr>
          <w:i/>
          <w:iCs/>
          <w:szCs w:val="26"/>
        </w:rPr>
        <w:t xml:space="preserve"> </w:t>
      </w:r>
      <w:r w:rsidR="003C56A7">
        <w:rPr>
          <w:szCs w:val="26"/>
        </w:rPr>
        <w:t>demonstrating</w:t>
      </w:r>
      <w:r w:rsidR="00083857">
        <w:rPr>
          <w:szCs w:val="26"/>
        </w:rPr>
        <w:t xml:space="preserve"> how</w:t>
      </w:r>
      <w:r>
        <w:rPr>
          <w:szCs w:val="26"/>
        </w:rPr>
        <w:t xml:space="preserve"> the </w:t>
      </w:r>
      <w:r w:rsidR="00083857">
        <w:rPr>
          <w:szCs w:val="26"/>
        </w:rPr>
        <w:t>“</w:t>
      </w:r>
      <w:r>
        <w:rPr>
          <w:szCs w:val="26"/>
        </w:rPr>
        <w:t>tax law facilitate</w:t>
      </w:r>
      <w:r w:rsidR="00083857">
        <w:rPr>
          <w:szCs w:val="26"/>
        </w:rPr>
        <w:t>s</w:t>
      </w:r>
      <w:r>
        <w:rPr>
          <w:szCs w:val="26"/>
        </w:rPr>
        <w:t xml:space="preserve"> class, gender, and race subordination</w:t>
      </w:r>
      <w:r w:rsidR="00083857">
        <w:rPr>
          <w:szCs w:val="26"/>
        </w:rPr>
        <w:t xml:space="preserve"> and how it could be designed to disrupt it</w:t>
      </w:r>
      <w:r>
        <w:rPr>
          <w:szCs w:val="26"/>
        </w:rPr>
        <w:t>.”</w:t>
      </w:r>
      <w:r>
        <w:rPr>
          <w:rStyle w:val="FootnoteReference"/>
          <w:szCs w:val="26"/>
        </w:rPr>
        <w:footnoteReference w:id="42"/>
      </w:r>
      <w:r>
        <w:rPr>
          <w:szCs w:val="26"/>
        </w:rPr>
        <w:t xml:space="preserve"> Fellows </w:t>
      </w:r>
      <w:r w:rsidR="00C93088">
        <w:rPr>
          <w:szCs w:val="26"/>
        </w:rPr>
        <w:t xml:space="preserve">expanded the focus beyond </w:t>
      </w:r>
      <w:r>
        <w:rPr>
          <w:szCs w:val="26"/>
        </w:rPr>
        <w:t xml:space="preserve">traditional tax </w:t>
      </w:r>
      <w:r w:rsidR="00C93088">
        <w:rPr>
          <w:szCs w:val="26"/>
        </w:rPr>
        <w:t xml:space="preserve">policy </w:t>
      </w:r>
      <w:r>
        <w:rPr>
          <w:szCs w:val="26"/>
        </w:rPr>
        <w:t xml:space="preserve">goals </w:t>
      </w:r>
      <w:r w:rsidR="00E13FD2">
        <w:rPr>
          <w:szCs w:val="26"/>
        </w:rPr>
        <w:t>and concepts</w:t>
      </w:r>
      <w:r>
        <w:rPr>
          <w:szCs w:val="26"/>
        </w:rPr>
        <w:t xml:space="preserve"> </w:t>
      </w:r>
      <w:r w:rsidR="00C93088">
        <w:rPr>
          <w:szCs w:val="26"/>
        </w:rPr>
        <w:t xml:space="preserve">and, more importantly, beyond the purchaser of childcare (who is usually the focus in debates over the tax treatment of childcare) to the wages and working conditions of those who supply </w:t>
      </w:r>
      <w:r w:rsidR="001E064D">
        <w:rPr>
          <w:szCs w:val="26"/>
        </w:rPr>
        <w:t xml:space="preserve">childcare </w:t>
      </w:r>
      <w:r w:rsidR="00C93088">
        <w:rPr>
          <w:szCs w:val="26"/>
        </w:rPr>
        <w:t>services</w:t>
      </w:r>
      <w:r w:rsidR="001F4A02">
        <w:rPr>
          <w:szCs w:val="26"/>
        </w:rPr>
        <w:t xml:space="preserve"> (who normally remain invisible in these debates)</w:t>
      </w:r>
      <w:r>
        <w:rPr>
          <w:szCs w:val="26"/>
        </w:rPr>
        <w:t>.</w:t>
      </w:r>
      <w:r>
        <w:rPr>
          <w:rStyle w:val="FootnoteReference"/>
          <w:szCs w:val="26"/>
        </w:rPr>
        <w:footnoteReference w:id="43"/>
      </w:r>
      <w:r>
        <w:rPr>
          <w:szCs w:val="26"/>
        </w:rPr>
        <w:t xml:space="preserve"> </w:t>
      </w:r>
      <w:r w:rsidR="004F2E7A">
        <w:rPr>
          <w:szCs w:val="26"/>
        </w:rPr>
        <w:t>Fellows put forward policy options that</w:t>
      </w:r>
      <w:r w:rsidR="00E61484">
        <w:rPr>
          <w:szCs w:val="26"/>
        </w:rPr>
        <w:t xml:space="preserve"> aimed to</w:t>
      </w:r>
      <w:r w:rsidR="004F2E7A">
        <w:rPr>
          <w:szCs w:val="26"/>
        </w:rPr>
        <w:t xml:space="preserve"> </w:t>
      </w:r>
      <w:r w:rsidR="000C27A9">
        <w:rPr>
          <w:szCs w:val="26"/>
        </w:rPr>
        <w:t>simultaneously erase</w:t>
      </w:r>
      <w:r w:rsidR="004F2E7A">
        <w:rPr>
          <w:szCs w:val="26"/>
        </w:rPr>
        <w:t xml:space="preserve"> the public-private divide in tax law </w:t>
      </w:r>
      <w:r w:rsidR="000C27A9">
        <w:rPr>
          <w:szCs w:val="26"/>
        </w:rPr>
        <w:t xml:space="preserve">and </w:t>
      </w:r>
      <w:r w:rsidR="004F2E7A">
        <w:rPr>
          <w:szCs w:val="26"/>
        </w:rPr>
        <w:t>disrupt</w:t>
      </w:r>
      <w:r w:rsidR="000C27A9">
        <w:rPr>
          <w:szCs w:val="26"/>
        </w:rPr>
        <w:t xml:space="preserve"> both the economic exploitation and the </w:t>
      </w:r>
      <w:r w:rsidR="004F2E7A">
        <w:rPr>
          <w:szCs w:val="26"/>
        </w:rPr>
        <w:t>class, gender, and race hierarchies in the market for childcare services</w:t>
      </w:r>
      <w:r w:rsidR="005D7DB8">
        <w:t>.</w:t>
      </w:r>
      <w:r w:rsidR="005D7DB8">
        <w:rPr>
          <w:rStyle w:val="FootnoteReference"/>
        </w:rPr>
        <w:footnoteReference w:id="44"/>
      </w:r>
    </w:p>
    <w:p w14:paraId="4A365166" w14:textId="3EB8BFCE" w:rsidR="005D7DB8" w:rsidRPr="005D7DB8" w:rsidRDefault="005D7DB8" w:rsidP="00BC4ABF">
      <w:pPr>
        <w:spacing w:line="480" w:lineRule="auto"/>
        <w:ind w:firstLine="720"/>
        <w:rPr>
          <w:szCs w:val="26"/>
        </w:rPr>
      </w:pPr>
      <w:r>
        <w:rPr>
          <w:szCs w:val="26"/>
        </w:rPr>
        <w:t xml:space="preserve">Unique among tax scholars writing at the time, Wendy </w:t>
      </w:r>
      <w:proofErr w:type="spellStart"/>
      <w:r>
        <w:rPr>
          <w:szCs w:val="26"/>
        </w:rPr>
        <w:t>Gerzog</w:t>
      </w:r>
      <w:proofErr w:type="spellEnd"/>
      <w:r>
        <w:rPr>
          <w:szCs w:val="26"/>
        </w:rPr>
        <w:t xml:space="preserve"> used feminist legal theory to illuminate the otherwise-hidden gendered aspects of the estate and gift tax marital deduction.</w:t>
      </w:r>
      <w:r>
        <w:rPr>
          <w:rStyle w:val="FootnoteReference"/>
          <w:szCs w:val="26"/>
        </w:rPr>
        <w:footnoteReference w:id="45"/>
      </w:r>
      <w:r w:rsidR="00B7619C">
        <w:rPr>
          <w:szCs w:val="26"/>
        </w:rPr>
        <w:t xml:space="preserve"> </w:t>
      </w:r>
      <w:r>
        <w:rPr>
          <w:szCs w:val="26"/>
        </w:rPr>
        <w:t>In</w:t>
      </w:r>
      <w:r w:rsidR="00534B6A">
        <w:rPr>
          <w:szCs w:val="26"/>
        </w:rPr>
        <w:t xml:space="preserve"> </w:t>
      </w:r>
      <w:r w:rsidR="00534B6A" w:rsidRPr="006D2A75">
        <w:rPr>
          <w:i/>
          <w:iCs/>
          <w:szCs w:val="26"/>
        </w:rPr>
        <w:t>The Marital Deduction QTIP Provisions: Illogical and Degrading to Women</w:t>
      </w:r>
      <w:r w:rsidR="00534B6A">
        <w:rPr>
          <w:szCs w:val="26"/>
        </w:rPr>
        <w:t xml:space="preserve">, </w:t>
      </w:r>
      <w:proofErr w:type="spellStart"/>
      <w:r>
        <w:rPr>
          <w:szCs w:val="26"/>
        </w:rPr>
        <w:t>Gerzog</w:t>
      </w:r>
      <w:proofErr w:type="spellEnd"/>
      <w:r>
        <w:rPr>
          <w:szCs w:val="26"/>
        </w:rPr>
        <w:t xml:space="preserve"> </w:t>
      </w:r>
      <w:r>
        <w:rPr>
          <w:szCs w:val="26"/>
        </w:rPr>
        <w:lastRenderedPageBreak/>
        <w:t>criticized the wealth transfer tax laws</w:t>
      </w:r>
      <w:r w:rsidR="00F93BCF">
        <w:rPr>
          <w:szCs w:val="26"/>
        </w:rPr>
        <w:t>’</w:t>
      </w:r>
      <w:r>
        <w:rPr>
          <w:szCs w:val="26"/>
        </w:rPr>
        <w:t xml:space="preserve"> reliance on the concept </w:t>
      </w:r>
      <w:r w:rsidR="00BD7994">
        <w:rPr>
          <w:szCs w:val="26"/>
        </w:rPr>
        <w:t xml:space="preserve">of </w:t>
      </w:r>
      <w:r>
        <w:rPr>
          <w:szCs w:val="26"/>
        </w:rPr>
        <w:t>“qualified terminable interest property,” which allowed the wealthier spouse (typically the man) to receive a full marital deduction (and thus tax-free treatment) for transfers to the less</w:t>
      </w:r>
      <w:r w:rsidR="005D1096">
        <w:rPr>
          <w:szCs w:val="26"/>
        </w:rPr>
        <w:t xml:space="preserve"> </w:t>
      </w:r>
      <w:r>
        <w:rPr>
          <w:szCs w:val="26"/>
        </w:rPr>
        <w:t>wealthy spouse (typically the woman), even for transfers that remained fully under the</w:t>
      </w:r>
      <w:r w:rsidR="001249DC">
        <w:rPr>
          <w:szCs w:val="26"/>
        </w:rPr>
        <w:t xml:space="preserve"> husband’s</w:t>
      </w:r>
      <w:r>
        <w:rPr>
          <w:szCs w:val="26"/>
        </w:rPr>
        <w:t xml:space="preserve"> control.</w:t>
      </w:r>
      <w:r>
        <w:rPr>
          <w:rStyle w:val="FootnoteReference"/>
          <w:szCs w:val="26"/>
        </w:rPr>
        <w:footnoteReference w:id="46"/>
      </w:r>
      <w:r w:rsidRPr="005D7DB8">
        <w:rPr>
          <w:szCs w:val="26"/>
        </w:rPr>
        <w:t xml:space="preserve"> </w:t>
      </w:r>
      <w:r w:rsidR="001E5C97">
        <w:rPr>
          <w:szCs w:val="26"/>
        </w:rPr>
        <w:t>In other words, the law favored male interests by allowing a full marital deduction—usually available only for outright transfers to a spouse—for transfers in trust that the husband continued to control</w:t>
      </w:r>
      <w:r w:rsidR="00C44DC0">
        <w:rPr>
          <w:szCs w:val="26"/>
        </w:rPr>
        <w:t>,</w:t>
      </w:r>
      <w:r w:rsidR="00607B63">
        <w:rPr>
          <w:szCs w:val="26"/>
        </w:rPr>
        <w:t xml:space="preserve"> “based on the fallacy that decisions by the husband are decisions of the marital unit</w:t>
      </w:r>
      <w:r w:rsidR="001E5C97">
        <w:rPr>
          <w:szCs w:val="26"/>
        </w:rPr>
        <w:t>.</w:t>
      </w:r>
      <w:r w:rsidR="00607B63">
        <w:rPr>
          <w:szCs w:val="26"/>
        </w:rPr>
        <w:t>”</w:t>
      </w:r>
      <w:r w:rsidR="00607B63">
        <w:rPr>
          <w:rStyle w:val="FootnoteReference"/>
          <w:szCs w:val="26"/>
        </w:rPr>
        <w:footnoteReference w:id="47"/>
      </w:r>
      <w:r w:rsidR="00B7619C">
        <w:rPr>
          <w:szCs w:val="26"/>
        </w:rPr>
        <w:t xml:space="preserve"> </w:t>
      </w:r>
      <w:proofErr w:type="spellStart"/>
      <w:r w:rsidR="00BC4ABF">
        <w:rPr>
          <w:szCs w:val="26"/>
        </w:rPr>
        <w:t>Gerzog</w:t>
      </w:r>
      <w:proofErr w:type="spellEnd"/>
      <w:r w:rsidR="00BC4ABF">
        <w:rPr>
          <w:szCs w:val="26"/>
        </w:rPr>
        <w:t xml:space="preserve"> observed that the statute was gender neutral on its face, but the law itself “</w:t>
      </w:r>
      <w:r w:rsidR="00BC4ABF" w:rsidRPr="005D7DB8">
        <w:rPr>
          <w:szCs w:val="26"/>
        </w:rPr>
        <w:t>can only be explained as a gender-biased, paternalistic, and degrading treatment of women.</w:t>
      </w:r>
      <w:r w:rsidR="00BC4ABF">
        <w:rPr>
          <w:szCs w:val="26"/>
        </w:rPr>
        <w:t>”</w:t>
      </w:r>
      <w:r w:rsidR="00BC4ABF">
        <w:rPr>
          <w:rStyle w:val="FootnoteReference"/>
          <w:szCs w:val="26"/>
        </w:rPr>
        <w:footnoteReference w:id="48"/>
      </w:r>
    </w:p>
    <w:p w14:paraId="1410CFAC" w14:textId="1C2012D2" w:rsidR="009642C8" w:rsidRDefault="00810699" w:rsidP="004F6020">
      <w:pPr>
        <w:spacing w:line="480" w:lineRule="auto"/>
        <w:ind w:firstLine="720"/>
      </w:pPr>
      <w:r>
        <w:rPr>
          <w:szCs w:val="26"/>
        </w:rPr>
        <w:t>Building on her earlier work</w:t>
      </w:r>
      <w:r w:rsidR="009642C8">
        <w:rPr>
          <w:szCs w:val="26"/>
        </w:rPr>
        <w:t xml:space="preserve"> on the language of tax policy</w:t>
      </w:r>
      <w:r>
        <w:rPr>
          <w:szCs w:val="26"/>
        </w:rPr>
        <w:t xml:space="preserve">, </w:t>
      </w:r>
      <w:r w:rsidR="009642C8">
        <w:rPr>
          <w:szCs w:val="26"/>
        </w:rPr>
        <w:t xml:space="preserve">in 1997 </w:t>
      </w:r>
      <w:r>
        <w:rPr>
          <w:szCs w:val="26"/>
        </w:rPr>
        <w:t xml:space="preserve">Marjorie </w:t>
      </w:r>
      <w:proofErr w:type="spellStart"/>
      <w:r>
        <w:rPr>
          <w:szCs w:val="26"/>
        </w:rPr>
        <w:t>Kornhauser</w:t>
      </w:r>
      <w:proofErr w:type="spellEnd"/>
      <w:r>
        <w:rPr>
          <w:szCs w:val="26"/>
        </w:rPr>
        <w:t xml:space="preserve"> </w:t>
      </w:r>
      <w:r w:rsidR="009642C8">
        <w:rPr>
          <w:szCs w:val="26"/>
        </w:rPr>
        <w:t xml:space="preserve">continued her </w:t>
      </w:r>
      <w:r w:rsidR="00DE2D83">
        <w:rPr>
          <w:szCs w:val="26"/>
        </w:rPr>
        <w:t>work on</w:t>
      </w:r>
      <w:r w:rsidR="009642C8">
        <w:rPr>
          <w:szCs w:val="26"/>
        </w:rPr>
        <w:t xml:space="preserve"> </w:t>
      </w:r>
      <w:r w:rsidR="008E1ED6">
        <w:rPr>
          <w:szCs w:val="26"/>
        </w:rPr>
        <w:t>anti</w:t>
      </w:r>
      <w:r w:rsidR="002C3B9B">
        <w:rPr>
          <w:szCs w:val="26"/>
        </w:rPr>
        <w:t>–</w:t>
      </w:r>
      <w:r w:rsidR="008E1ED6">
        <w:rPr>
          <w:szCs w:val="26"/>
        </w:rPr>
        <w:t>progressive tax rhetoric.</w:t>
      </w:r>
      <w:bookmarkStart w:id="5" w:name="_Ref32074446"/>
      <w:r w:rsidR="008E1ED6">
        <w:rPr>
          <w:rStyle w:val="FootnoteReference"/>
          <w:szCs w:val="26"/>
        </w:rPr>
        <w:footnoteReference w:id="49"/>
      </w:r>
      <w:bookmarkEnd w:id="5"/>
      <w:r w:rsidR="008E1ED6">
        <w:rPr>
          <w:szCs w:val="26"/>
        </w:rPr>
        <w:t xml:space="preserve"> </w:t>
      </w:r>
      <w:r w:rsidR="00794C31">
        <w:rPr>
          <w:szCs w:val="26"/>
        </w:rPr>
        <w:t>A</w:t>
      </w:r>
      <w:r w:rsidR="005F215B">
        <w:rPr>
          <w:szCs w:val="26"/>
        </w:rPr>
        <w:t xml:space="preserve"> year earlier, a</w:t>
      </w:r>
      <w:r w:rsidR="00794C31">
        <w:rPr>
          <w:szCs w:val="26"/>
        </w:rPr>
        <w:t xml:space="preserve"> group of</w:t>
      </w:r>
      <w:r w:rsidR="00F91431">
        <w:rPr>
          <w:szCs w:val="26"/>
        </w:rPr>
        <w:t xml:space="preserve"> scholars had argued that </w:t>
      </w:r>
      <w:r w:rsidR="000F089F">
        <w:rPr>
          <w:szCs w:val="26"/>
        </w:rPr>
        <w:t>the views of theorists</w:t>
      </w:r>
      <w:r w:rsidR="001A0B92">
        <w:rPr>
          <w:szCs w:val="26"/>
        </w:rPr>
        <w:t xml:space="preserve"> </w:t>
      </w:r>
      <w:r w:rsidR="000F089F">
        <w:rPr>
          <w:szCs w:val="26"/>
        </w:rPr>
        <w:t>purporting to speak for marginalized communities should be empirically tested</w:t>
      </w:r>
      <w:r w:rsidR="001318ED">
        <w:rPr>
          <w:szCs w:val="26"/>
        </w:rPr>
        <w:t xml:space="preserve"> to determine whether they were truly representative of community views</w:t>
      </w:r>
      <w:r w:rsidR="000F089F">
        <w:rPr>
          <w:szCs w:val="26"/>
        </w:rPr>
        <w:t xml:space="preserve">, </w:t>
      </w:r>
      <w:r w:rsidR="00206753">
        <w:rPr>
          <w:szCs w:val="26"/>
        </w:rPr>
        <w:t xml:space="preserve">in part </w:t>
      </w:r>
      <w:r w:rsidR="00F91431">
        <w:rPr>
          <w:szCs w:val="26"/>
        </w:rPr>
        <w:t xml:space="preserve">because </w:t>
      </w:r>
      <w:r w:rsidR="000F089F">
        <w:rPr>
          <w:szCs w:val="26"/>
        </w:rPr>
        <w:t>a</w:t>
      </w:r>
      <w:r w:rsidR="00F91431">
        <w:rPr>
          <w:szCs w:val="26"/>
        </w:rPr>
        <w:t xml:space="preserve"> survey</w:t>
      </w:r>
      <w:r w:rsidR="000F089F">
        <w:rPr>
          <w:szCs w:val="26"/>
        </w:rPr>
        <w:t xml:space="preserve"> that th</w:t>
      </w:r>
      <w:r w:rsidR="00B857EE">
        <w:rPr>
          <w:szCs w:val="26"/>
        </w:rPr>
        <w:t>ose scholars had</w:t>
      </w:r>
      <w:r w:rsidR="000F089F">
        <w:rPr>
          <w:szCs w:val="26"/>
        </w:rPr>
        <w:t xml:space="preserve"> created</w:t>
      </w:r>
      <w:r w:rsidR="00F91431">
        <w:rPr>
          <w:szCs w:val="26"/>
        </w:rPr>
        <w:t xml:space="preserve"> showed that women did not support progressive taxation at rates significantly higher than men</w:t>
      </w:r>
      <w:r w:rsidR="00C4721B">
        <w:rPr>
          <w:szCs w:val="26"/>
        </w:rPr>
        <w:t>, which</w:t>
      </w:r>
      <w:r w:rsidR="00441086">
        <w:rPr>
          <w:szCs w:val="26"/>
        </w:rPr>
        <w:t>, in their eyes, undermined</w:t>
      </w:r>
      <w:r w:rsidR="00683A5A">
        <w:rPr>
          <w:szCs w:val="26"/>
        </w:rPr>
        <w:t xml:space="preserve"> </w:t>
      </w:r>
      <w:proofErr w:type="spellStart"/>
      <w:r w:rsidR="00683A5A">
        <w:rPr>
          <w:szCs w:val="26"/>
        </w:rPr>
        <w:t>Kornhauser’s</w:t>
      </w:r>
      <w:proofErr w:type="spellEnd"/>
      <w:r w:rsidR="00683A5A">
        <w:rPr>
          <w:szCs w:val="26"/>
        </w:rPr>
        <w:t xml:space="preserve"> </w:t>
      </w:r>
      <w:r w:rsidR="00794C31">
        <w:rPr>
          <w:szCs w:val="26"/>
        </w:rPr>
        <w:t xml:space="preserve">earlier </w:t>
      </w:r>
      <w:r w:rsidR="00683A5A">
        <w:rPr>
          <w:szCs w:val="26"/>
        </w:rPr>
        <w:t>reliance upon “a feminist ‘ethos of care’” in arguing in support of progressivity</w:t>
      </w:r>
      <w:r w:rsidR="00A565AD">
        <w:rPr>
          <w:szCs w:val="26"/>
        </w:rPr>
        <w:t>.</w:t>
      </w:r>
      <w:r w:rsidR="00103272">
        <w:rPr>
          <w:rStyle w:val="FootnoteReference"/>
          <w:szCs w:val="26"/>
        </w:rPr>
        <w:footnoteReference w:id="50"/>
      </w:r>
      <w:r w:rsidR="009642C8">
        <w:rPr>
          <w:szCs w:val="26"/>
        </w:rPr>
        <w:t xml:space="preserve"> </w:t>
      </w:r>
      <w:r w:rsidR="00C4721B">
        <w:rPr>
          <w:szCs w:val="26"/>
        </w:rPr>
        <w:t xml:space="preserve">In responding to this empirical study, </w:t>
      </w:r>
      <w:proofErr w:type="spellStart"/>
      <w:r w:rsidR="00794C31">
        <w:rPr>
          <w:szCs w:val="26"/>
        </w:rPr>
        <w:t>Kornhauser</w:t>
      </w:r>
      <w:proofErr w:type="spellEnd"/>
      <w:r w:rsidR="00794C31">
        <w:rPr>
          <w:szCs w:val="26"/>
        </w:rPr>
        <w:t xml:space="preserve"> emphasized that feminist theories are valuable tools for critiquing the tax laws.</w:t>
      </w:r>
      <w:r w:rsidR="00794C31">
        <w:rPr>
          <w:rStyle w:val="FootnoteReference"/>
          <w:szCs w:val="26"/>
        </w:rPr>
        <w:footnoteReference w:id="51"/>
      </w:r>
      <w:r w:rsidR="00794C31">
        <w:rPr>
          <w:szCs w:val="26"/>
        </w:rPr>
        <w:t xml:space="preserve"> </w:t>
      </w:r>
      <w:proofErr w:type="spellStart"/>
      <w:r w:rsidR="009642C8">
        <w:rPr>
          <w:szCs w:val="26"/>
        </w:rPr>
        <w:t>Kornhauser</w:t>
      </w:r>
      <w:proofErr w:type="spellEnd"/>
      <w:r w:rsidR="009642C8">
        <w:rPr>
          <w:szCs w:val="26"/>
        </w:rPr>
        <w:t xml:space="preserve"> warned against overreliance on empirical work</w:t>
      </w:r>
      <w:r w:rsidR="00DE2D83">
        <w:rPr>
          <w:szCs w:val="26"/>
        </w:rPr>
        <w:t>,</w:t>
      </w:r>
      <w:r w:rsidR="009642C8">
        <w:rPr>
          <w:szCs w:val="26"/>
        </w:rPr>
        <w:t xml:space="preserve"> emphasizing that quantification has a veneer of neutrality but has its own </w:t>
      </w:r>
      <w:r w:rsidR="009642C8">
        <w:rPr>
          <w:szCs w:val="26"/>
        </w:rPr>
        <w:lastRenderedPageBreak/>
        <w:t>inherent methodological flaws, particularly when studying taxpayers’ self-reported views of concepts like progressivity in the tax laws.</w:t>
      </w:r>
      <w:r w:rsidR="009642C8">
        <w:rPr>
          <w:rStyle w:val="FootnoteReference"/>
          <w:szCs w:val="26"/>
        </w:rPr>
        <w:footnoteReference w:id="52"/>
      </w:r>
      <w:r w:rsidR="009642C8">
        <w:rPr>
          <w:szCs w:val="26"/>
        </w:rPr>
        <w:t xml:space="preserve"> “Science,” she wrote, “</w:t>
      </w:r>
      <w:r w:rsidR="009642C8">
        <w:t>is not the only truth, nor even an absolute truth; rather, like all areas of human knowledge, it is tentative and evolving.”</w:t>
      </w:r>
      <w:r w:rsidR="009642C8">
        <w:rPr>
          <w:rStyle w:val="FootnoteReference"/>
        </w:rPr>
        <w:footnoteReference w:id="53"/>
      </w:r>
      <w:r w:rsidR="009642C8">
        <w:t xml:space="preserve"> For that reason, feminist theory </w:t>
      </w:r>
      <w:r w:rsidR="00F15412">
        <w:t>is a touchstone for tax analysis as equally illuminating as history, economics</w:t>
      </w:r>
      <w:r w:rsidR="00AD4B07">
        <w:t>,</w:t>
      </w:r>
      <w:r w:rsidR="00F15412">
        <w:t xml:space="preserve"> or empirical work, according to </w:t>
      </w:r>
      <w:proofErr w:type="spellStart"/>
      <w:r w:rsidR="00F15412">
        <w:t>Kornhauser</w:t>
      </w:r>
      <w:proofErr w:type="spellEnd"/>
      <w:r w:rsidR="00F15412">
        <w:t>.</w:t>
      </w:r>
      <w:r w:rsidR="00F15412">
        <w:rPr>
          <w:rStyle w:val="FootnoteReference"/>
        </w:rPr>
        <w:footnoteReference w:id="54"/>
      </w:r>
    </w:p>
    <w:p w14:paraId="0E14962E" w14:textId="57BB797D" w:rsidR="005D7DB8" w:rsidRDefault="003E4BA9" w:rsidP="005D7DB8">
      <w:pPr>
        <w:spacing w:line="480" w:lineRule="auto"/>
        <w:ind w:firstLine="720"/>
        <w:rPr>
          <w:szCs w:val="26"/>
        </w:rPr>
      </w:pPr>
      <w:r>
        <w:rPr>
          <w:szCs w:val="26"/>
        </w:rPr>
        <w:t xml:space="preserve">While other feminist scholars </w:t>
      </w:r>
      <w:r w:rsidR="00494A6C">
        <w:rPr>
          <w:szCs w:val="26"/>
        </w:rPr>
        <w:t xml:space="preserve">pursued questions about </w:t>
      </w:r>
      <w:r>
        <w:rPr>
          <w:szCs w:val="26"/>
        </w:rPr>
        <w:t>the structure, bias</w:t>
      </w:r>
      <w:r w:rsidR="00DD4EA4">
        <w:rPr>
          <w:szCs w:val="26"/>
        </w:rPr>
        <w:t>,</w:t>
      </w:r>
      <w:r>
        <w:rPr>
          <w:szCs w:val="26"/>
        </w:rPr>
        <w:t xml:space="preserve"> and rhetoric of the tax laws as applied to women, tax scholar Patricia Cain </w:t>
      </w:r>
      <w:r w:rsidR="00E91315">
        <w:rPr>
          <w:szCs w:val="26"/>
        </w:rPr>
        <w:t>began</w:t>
      </w:r>
      <w:r w:rsidR="0044773A">
        <w:rPr>
          <w:szCs w:val="26"/>
        </w:rPr>
        <w:t xml:space="preserve"> drawing attention to the tax discrimination faced by</w:t>
      </w:r>
      <w:r w:rsidR="00C33EED">
        <w:rPr>
          <w:szCs w:val="26"/>
        </w:rPr>
        <w:t xml:space="preserve"> same-sex</w:t>
      </w:r>
      <w:r w:rsidR="0044773A">
        <w:rPr>
          <w:szCs w:val="26"/>
        </w:rPr>
        <w:t xml:space="preserve"> couples</w:t>
      </w:r>
      <w:r>
        <w:rPr>
          <w:szCs w:val="26"/>
        </w:rPr>
        <w:t xml:space="preserve">. In the 1990s, same-sex couples were </w:t>
      </w:r>
      <w:r w:rsidR="0044773A">
        <w:rPr>
          <w:szCs w:val="26"/>
        </w:rPr>
        <w:t xml:space="preserve">not permitted to marry in any state, and even </w:t>
      </w:r>
      <w:r w:rsidR="00F92A1B">
        <w:rPr>
          <w:szCs w:val="26"/>
        </w:rPr>
        <w:t>had</w:t>
      </w:r>
      <w:r w:rsidR="0044773A">
        <w:rPr>
          <w:szCs w:val="26"/>
        </w:rPr>
        <w:t xml:space="preserve"> they been, they would not have been recognized as married for federal income tax purposes.</w:t>
      </w:r>
      <w:r w:rsidR="001D1299">
        <w:rPr>
          <w:rStyle w:val="FootnoteReference"/>
          <w:szCs w:val="26"/>
        </w:rPr>
        <w:footnoteReference w:id="55"/>
      </w:r>
      <w:r>
        <w:rPr>
          <w:szCs w:val="26"/>
        </w:rPr>
        <w:t xml:space="preserve"> Cain, already the author </w:t>
      </w:r>
      <w:r w:rsidR="00A531F2">
        <w:rPr>
          <w:szCs w:val="26"/>
        </w:rPr>
        <w:t xml:space="preserve">of </w:t>
      </w:r>
      <w:r>
        <w:rPr>
          <w:szCs w:val="26"/>
        </w:rPr>
        <w:t xml:space="preserve">a robust body of feminist scholarship, brought that expertise to </w:t>
      </w:r>
      <w:r w:rsidR="00494A6C">
        <w:rPr>
          <w:szCs w:val="26"/>
        </w:rPr>
        <w:t>her analysis of the</w:t>
      </w:r>
      <w:r>
        <w:rPr>
          <w:szCs w:val="26"/>
        </w:rPr>
        <w:t xml:space="preserve"> tax treatment of same-sex couples as a form of gender discrimination.</w:t>
      </w:r>
      <w:r>
        <w:rPr>
          <w:rStyle w:val="FootnoteReference"/>
          <w:szCs w:val="26"/>
        </w:rPr>
        <w:footnoteReference w:id="56"/>
      </w:r>
      <w:r>
        <w:rPr>
          <w:szCs w:val="26"/>
        </w:rPr>
        <w:t xml:space="preserve"> This </w:t>
      </w:r>
      <w:r w:rsidR="00494A6C">
        <w:rPr>
          <w:szCs w:val="26"/>
        </w:rPr>
        <w:t xml:space="preserve">topic is one </w:t>
      </w:r>
      <w:r w:rsidR="00DD4EA4">
        <w:rPr>
          <w:szCs w:val="26"/>
        </w:rPr>
        <w:t xml:space="preserve">to which </w:t>
      </w:r>
      <w:r w:rsidR="00494A6C">
        <w:rPr>
          <w:szCs w:val="26"/>
        </w:rPr>
        <w:t>Cain and</w:t>
      </w:r>
      <w:r>
        <w:rPr>
          <w:szCs w:val="26"/>
        </w:rPr>
        <w:t xml:space="preserve"> other scholars would devote significant attention in the next decade</w:t>
      </w:r>
      <w:r w:rsidR="004E4904">
        <w:rPr>
          <w:szCs w:val="26"/>
        </w:rPr>
        <w:t xml:space="preserve"> as the battle for marriage equality heated up</w:t>
      </w:r>
      <w:r>
        <w:rPr>
          <w:szCs w:val="26"/>
        </w:rPr>
        <w:t>.</w:t>
      </w:r>
    </w:p>
    <w:p w14:paraId="14803E15" w14:textId="3923AEB7" w:rsidR="005263B2" w:rsidRPr="00783780" w:rsidRDefault="005263B2" w:rsidP="005D7DB8">
      <w:pPr>
        <w:spacing w:line="480" w:lineRule="auto"/>
        <w:ind w:firstLine="720"/>
        <w:rPr>
          <w:i/>
          <w:iCs/>
          <w:szCs w:val="26"/>
        </w:rPr>
      </w:pPr>
      <w:r w:rsidRPr="00783780">
        <w:rPr>
          <w:i/>
          <w:iCs/>
          <w:szCs w:val="26"/>
        </w:rPr>
        <w:t>Expanding What Counts as “Feminist” Issues</w:t>
      </w:r>
    </w:p>
    <w:p w14:paraId="5A90C639" w14:textId="2D7C533E" w:rsidR="003E4BA9" w:rsidRDefault="003E4BA9" w:rsidP="005D7DB8">
      <w:pPr>
        <w:spacing w:line="480" w:lineRule="auto"/>
        <w:ind w:firstLine="720"/>
        <w:rPr>
          <w:szCs w:val="26"/>
        </w:rPr>
      </w:pPr>
      <w:r>
        <w:rPr>
          <w:szCs w:val="26"/>
        </w:rPr>
        <w:t xml:space="preserve">In </w:t>
      </w:r>
      <w:r w:rsidR="00501D86">
        <w:rPr>
          <w:szCs w:val="26"/>
        </w:rPr>
        <w:t>the 1990s</w:t>
      </w:r>
      <w:r>
        <w:rPr>
          <w:szCs w:val="26"/>
        </w:rPr>
        <w:t xml:space="preserve">, the contours of the campaign for the right of same sex-couples to marry began to take shape—albeit haltingly—in several states. </w:t>
      </w:r>
      <w:r w:rsidR="00E91315">
        <w:rPr>
          <w:szCs w:val="26"/>
        </w:rPr>
        <w:t xml:space="preserve">Challenges met with varying success, until </w:t>
      </w:r>
      <w:r w:rsidR="007D3540">
        <w:rPr>
          <w:szCs w:val="26"/>
        </w:rPr>
        <w:t>Massachusetts became the first state to recognize same-sex marriage</w:t>
      </w:r>
      <w:r w:rsidR="00E91315">
        <w:rPr>
          <w:szCs w:val="26"/>
        </w:rPr>
        <w:t xml:space="preserve"> </w:t>
      </w:r>
      <w:r w:rsidR="005440A1">
        <w:rPr>
          <w:szCs w:val="26"/>
        </w:rPr>
        <w:t xml:space="preserve">following </w:t>
      </w:r>
      <w:r w:rsidR="00E91315">
        <w:rPr>
          <w:szCs w:val="26"/>
        </w:rPr>
        <w:t xml:space="preserve">the </w:t>
      </w:r>
      <w:r w:rsidR="006937D1">
        <w:rPr>
          <w:szCs w:val="26"/>
        </w:rPr>
        <w:t xml:space="preserve">2003 </w:t>
      </w:r>
      <w:r w:rsidR="00E91315">
        <w:rPr>
          <w:szCs w:val="26"/>
        </w:rPr>
        <w:t xml:space="preserve">decision in </w:t>
      </w:r>
      <w:r w:rsidR="00E91315" w:rsidRPr="00E91315">
        <w:rPr>
          <w:i/>
          <w:iCs/>
          <w:szCs w:val="26"/>
        </w:rPr>
        <w:t xml:space="preserve">Goodridge v. Department of </w:t>
      </w:r>
      <w:r w:rsidR="00D34194">
        <w:rPr>
          <w:i/>
          <w:iCs/>
          <w:szCs w:val="26"/>
        </w:rPr>
        <w:t xml:space="preserve">Public </w:t>
      </w:r>
      <w:r w:rsidR="00E91315" w:rsidRPr="00E91315">
        <w:rPr>
          <w:i/>
          <w:iCs/>
          <w:szCs w:val="26"/>
        </w:rPr>
        <w:t>Health</w:t>
      </w:r>
      <w:r w:rsidR="00E91315">
        <w:rPr>
          <w:szCs w:val="26"/>
        </w:rPr>
        <w:t>.</w:t>
      </w:r>
      <w:r w:rsidR="00E91315">
        <w:rPr>
          <w:rStyle w:val="FootnoteReference"/>
          <w:szCs w:val="26"/>
        </w:rPr>
        <w:footnoteReference w:id="57"/>
      </w:r>
      <w:r w:rsidR="00E91315">
        <w:rPr>
          <w:szCs w:val="26"/>
        </w:rPr>
        <w:t xml:space="preserve"> When at least one mainstream tax </w:t>
      </w:r>
      <w:r w:rsidR="00E91315">
        <w:rPr>
          <w:szCs w:val="26"/>
        </w:rPr>
        <w:lastRenderedPageBreak/>
        <w:t>scholar expressed doubt that the failure to recognize same-sex couples harmed them for federal income tax purposes,</w:t>
      </w:r>
      <w:r w:rsidR="00E91315">
        <w:rPr>
          <w:rStyle w:val="FootnoteReference"/>
          <w:szCs w:val="26"/>
        </w:rPr>
        <w:footnoteReference w:id="58"/>
      </w:r>
      <w:r w:rsidR="00E91315">
        <w:rPr>
          <w:szCs w:val="26"/>
        </w:rPr>
        <w:t xml:space="preserve"> scholars like Anthony Infanti </w:t>
      </w:r>
      <w:r w:rsidR="00CB6091">
        <w:rPr>
          <w:szCs w:val="26"/>
        </w:rPr>
        <w:t xml:space="preserve">responded with a robust critique of the Internal Revenue Code’s “unequal and discriminatory treatment” of same-sex couples and </w:t>
      </w:r>
      <w:r w:rsidR="008E668B">
        <w:rPr>
          <w:szCs w:val="26"/>
        </w:rPr>
        <w:t xml:space="preserve">its </w:t>
      </w:r>
      <w:r w:rsidR="00CB6091">
        <w:rPr>
          <w:szCs w:val="26"/>
        </w:rPr>
        <w:t xml:space="preserve">adoption of society’s “revulsion” </w:t>
      </w:r>
      <w:r w:rsidR="00C36CA2">
        <w:rPr>
          <w:szCs w:val="26"/>
        </w:rPr>
        <w:t>toward</w:t>
      </w:r>
      <w:r w:rsidR="00CB6091">
        <w:rPr>
          <w:szCs w:val="26"/>
        </w:rPr>
        <w:t xml:space="preserve"> lesbian and gay people.</w:t>
      </w:r>
      <w:r w:rsidR="00CB6091">
        <w:rPr>
          <w:rStyle w:val="FootnoteReference"/>
          <w:szCs w:val="26"/>
        </w:rPr>
        <w:footnoteReference w:id="59"/>
      </w:r>
      <w:r w:rsidR="00CB6091">
        <w:rPr>
          <w:szCs w:val="26"/>
        </w:rPr>
        <w:t xml:space="preserve"> </w:t>
      </w:r>
      <w:r w:rsidR="00995D79">
        <w:rPr>
          <w:szCs w:val="26"/>
        </w:rPr>
        <w:t>Cain, Infanti, and Nancy Knauer all worked</w:t>
      </w:r>
      <w:r w:rsidR="004B613A">
        <w:rPr>
          <w:szCs w:val="26"/>
        </w:rPr>
        <w:t xml:space="preserve"> (and</w:t>
      </w:r>
      <w:r w:rsidR="00FF6E50">
        <w:rPr>
          <w:szCs w:val="26"/>
        </w:rPr>
        <w:t>, even after the advent of marriage equality throughout the United States</w:t>
      </w:r>
      <w:r w:rsidR="00C16061">
        <w:rPr>
          <w:szCs w:val="26"/>
        </w:rPr>
        <w:t>,</w:t>
      </w:r>
      <w:r w:rsidR="004B613A">
        <w:rPr>
          <w:szCs w:val="26"/>
        </w:rPr>
        <w:t xml:space="preserve"> continue to work)</w:t>
      </w:r>
      <w:r w:rsidR="00995D79">
        <w:rPr>
          <w:szCs w:val="26"/>
        </w:rPr>
        <w:t xml:space="preserve"> </w:t>
      </w:r>
      <w:r w:rsidR="00CB6091">
        <w:rPr>
          <w:szCs w:val="26"/>
        </w:rPr>
        <w:t>to expose the heteronormative underpinnings of the tax laws.</w:t>
      </w:r>
      <w:r w:rsidR="00CB6091">
        <w:rPr>
          <w:rStyle w:val="FootnoteReference"/>
          <w:szCs w:val="26"/>
        </w:rPr>
        <w:footnoteReference w:id="60"/>
      </w:r>
      <w:r w:rsidR="00CB6091">
        <w:rPr>
          <w:szCs w:val="26"/>
        </w:rPr>
        <w:t xml:space="preserve"> </w:t>
      </w:r>
      <w:r w:rsidR="00995D79">
        <w:rPr>
          <w:szCs w:val="26"/>
        </w:rPr>
        <w:t xml:space="preserve">All of their </w:t>
      </w:r>
      <w:r w:rsidR="00CB6091">
        <w:rPr>
          <w:szCs w:val="26"/>
        </w:rPr>
        <w:t xml:space="preserve">work </w:t>
      </w:r>
      <w:r w:rsidR="004F6EA7">
        <w:rPr>
          <w:szCs w:val="26"/>
        </w:rPr>
        <w:t xml:space="preserve">is </w:t>
      </w:r>
      <w:r w:rsidR="00494A6C">
        <w:rPr>
          <w:szCs w:val="26"/>
        </w:rPr>
        <w:t>undergirded</w:t>
      </w:r>
      <w:r w:rsidR="004F6EA7">
        <w:rPr>
          <w:szCs w:val="26"/>
        </w:rPr>
        <w:t xml:space="preserve"> by the belief that “the most effective and inclusive feminism takes into account the way that many intersecting identities can make the quest for justice more complex and elusive, given the structure of both the law itself as well as the meaning of equal protection as interpreted by twenty-first</w:t>
      </w:r>
      <w:r w:rsidR="001320AA">
        <w:rPr>
          <w:szCs w:val="26"/>
        </w:rPr>
        <w:t>-</w:t>
      </w:r>
      <w:r w:rsidR="004F6EA7">
        <w:rPr>
          <w:szCs w:val="26"/>
        </w:rPr>
        <w:t>century courts.”</w:t>
      </w:r>
      <w:bookmarkStart w:id="8" w:name="_Ref32333814"/>
      <w:r w:rsidR="004F6EA7">
        <w:rPr>
          <w:rStyle w:val="FootnoteReference"/>
          <w:szCs w:val="26"/>
        </w:rPr>
        <w:footnoteReference w:id="61"/>
      </w:r>
      <w:bookmarkEnd w:id="8"/>
      <w:r w:rsidR="00CB6091">
        <w:rPr>
          <w:szCs w:val="26"/>
        </w:rPr>
        <w:t xml:space="preserve"> </w:t>
      </w:r>
      <w:r w:rsidR="00494A6C">
        <w:rPr>
          <w:szCs w:val="26"/>
        </w:rPr>
        <w:t>In other words, feminist tax scholarship is not just about women, but about justice for all people.</w:t>
      </w:r>
    </w:p>
    <w:p w14:paraId="676BD637" w14:textId="575A2322" w:rsidR="005263B2" w:rsidRDefault="00494A6C" w:rsidP="005D7DB8">
      <w:pPr>
        <w:spacing w:line="480" w:lineRule="auto"/>
        <w:ind w:firstLine="720"/>
        <w:rPr>
          <w:szCs w:val="26"/>
        </w:rPr>
      </w:pPr>
      <w:r>
        <w:rPr>
          <w:szCs w:val="26"/>
        </w:rPr>
        <w:t>In the second decade of the twenty-first century, t</w:t>
      </w:r>
      <w:r w:rsidR="004F6EA7">
        <w:rPr>
          <w:szCs w:val="26"/>
        </w:rPr>
        <w:t xml:space="preserve">ax scholars who self-identify as feminists have </w:t>
      </w:r>
      <w:r w:rsidR="00C51739">
        <w:rPr>
          <w:szCs w:val="26"/>
        </w:rPr>
        <w:t>broadened the</w:t>
      </w:r>
      <w:r w:rsidR="00287B93">
        <w:rPr>
          <w:szCs w:val="26"/>
        </w:rPr>
        <w:t>ir inquiry beyond the areas of traditional interest to feminist tax scholars.</w:t>
      </w:r>
      <w:r w:rsidR="00B7619C">
        <w:rPr>
          <w:szCs w:val="26"/>
        </w:rPr>
        <w:t xml:space="preserve"> </w:t>
      </w:r>
      <w:r w:rsidR="00287B93">
        <w:rPr>
          <w:szCs w:val="26"/>
        </w:rPr>
        <w:t xml:space="preserve">There is a vibrant body of feminist tax scholarship on wide-ranging subjects such as </w:t>
      </w:r>
      <w:r w:rsidR="004F6EA7">
        <w:rPr>
          <w:szCs w:val="26"/>
        </w:rPr>
        <w:lastRenderedPageBreak/>
        <w:t>reproductive technology,</w:t>
      </w:r>
      <w:r w:rsidR="004F6EA7">
        <w:rPr>
          <w:rStyle w:val="FootnoteReference"/>
          <w:szCs w:val="26"/>
        </w:rPr>
        <w:footnoteReference w:id="62"/>
      </w:r>
      <w:r w:rsidR="004F6EA7">
        <w:rPr>
          <w:szCs w:val="26"/>
        </w:rPr>
        <w:t xml:space="preserve"> </w:t>
      </w:r>
      <w:r w:rsidR="00287B93">
        <w:rPr>
          <w:szCs w:val="26"/>
        </w:rPr>
        <w:t>gender identity,</w:t>
      </w:r>
      <w:r w:rsidR="00287B93">
        <w:rPr>
          <w:rStyle w:val="FootnoteReference"/>
          <w:szCs w:val="26"/>
        </w:rPr>
        <w:footnoteReference w:id="63"/>
      </w:r>
      <w:r w:rsidR="00287B93">
        <w:rPr>
          <w:szCs w:val="26"/>
        </w:rPr>
        <w:t xml:space="preserve"> student loan indebtedness,</w:t>
      </w:r>
      <w:r w:rsidR="00287B93">
        <w:rPr>
          <w:rStyle w:val="FootnoteReference"/>
          <w:szCs w:val="26"/>
        </w:rPr>
        <w:footnoteReference w:id="64"/>
      </w:r>
      <w:r w:rsidR="00287B93">
        <w:rPr>
          <w:szCs w:val="26"/>
        </w:rPr>
        <w:t xml:space="preserve"> health care,</w:t>
      </w:r>
      <w:r w:rsidR="00287B93">
        <w:rPr>
          <w:rStyle w:val="FootnoteReference"/>
          <w:szCs w:val="26"/>
        </w:rPr>
        <w:footnoteReference w:id="65"/>
      </w:r>
      <w:r w:rsidR="001D24E8">
        <w:rPr>
          <w:szCs w:val="26"/>
        </w:rPr>
        <w:t xml:space="preserve"> </w:t>
      </w:r>
      <w:r w:rsidR="00494B2C">
        <w:rPr>
          <w:szCs w:val="26"/>
        </w:rPr>
        <w:t>human rights,</w:t>
      </w:r>
      <w:r w:rsidR="00494B2C">
        <w:rPr>
          <w:rStyle w:val="FootnoteReference"/>
          <w:szCs w:val="26"/>
        </w:rPr>
        <w:footnoteReference w:id="66"/>
      </w:r>
      <w:r w:rsidR="00494B2C">
        <w:rPr>
          <w:szCs w:val="26"/>
        </w:rPr>
        <w:t xml:space="preserve"> </w:t>
      </w:r>
      <w:r w:rsidR="001D24E8">
        <w:rPr>
          <w:szCs w:val="26"/>
        </w:rPr>
        <w:t>and even tax-exempt organizations.</w:t>
      </w:r>
      <w:r w:rsidR="001D24E8">
        <w:rPr>
          <w:rStyle w:val="FootnoteReference"/>
          <w:szCs w:val="26"/>
        </w:rPr>
        <w:footnoteReference w:id="67"/>
      </w:r>
      <w:r>
        <w:rPr>
          <w:szCs w:val="26"/>
        </w:rPr>
        <w:t xml:space="preserve"> Again, the trend in feminist tax scholarship is to recognize the interconnectedness of gender equality with other social justice movements.</w:t>
      </w:r>
      <w:r w:rsidR="00F91431">
        <w:rPr>
          <w:rStyle w:val="FootnoteReference"/>
          <w:szCs w:val="26"/>
        </w:rPr>
        <w:footnoteReference w:id="68"/>
      </w:r>
    </w:p>
    <w:p w14:paraId="11393890" w14:textId="3E811DBC" w:rsidR="003744D3" w:rsidRPr="003744D3" w:rsidRDefault="00525A97" w:rsidP="00003E64">
      <w:pPr>
        <w:spacing w:line="480" w:lineRule="auto"/>
        <w:rPr>
          <w:b/>
          <w:bCs/>
          <w:szCs w:val="26"/>
        </w:rPr>
      </w:pPr>
      <w:r>
        <w:rPr>
          <w:b/>
          <w:bCs/>
          <w:szCs w:val="26"/>
        </w:rPr>
        <w:t xml:space="preserve"> </w:t>
      </w:r>
      <w:r w:rsidR="003744D3">
        <w:rPr>
          <w:b/>
          <w:bCs/>
          <w:szCs w:val="26"/>
        </w:rPr>
        <w:t>“A Critique from the Margin”</w:t>
      </w:r>
      <w:r w:rsidR="007D5CB3" w:rsidRPr="00494B2C">
        <w:rPr>
          <w:rStyle w:val="FootnoteReference"/>
          <w:szCs w:val="26"/>
        </w:rPr>
        <w:footnoteReference w:id="69"/>
      </w:r>
    </w:p>
    <w:p w14:paraId="11410FD7" w14:textId="04FFCD0F" w:rsidR="000C1A0B" w:rsidRDefault="00076072" w:rsidP="005D7DB8">
      <w:pPr>
        <w:spacing w:line="480" w:lineRule="auto"/>
        <w:ind w:firstLine="720"/>
        <w:rPr>
          <w:szCs w:val="26"/>
        </w:rPr>
      </w:pPr>
      <w:r>
        <w:rPr>
          <w:szCs w:val="26"/>
        </w:rPr>
        <w:t xml:space="preserve">As the </w:t>
      </w:r>
      <w:r w:rsidR="0068033C">
        <w:rPr>
          <w:szCs w:val="26"/>
        </w:rPr>
        <w:t>discussion thus far</w:t>
      </w:r>
      <w:r>
        <w:rPr>
          <w:szCs w:val="26"/>
        </w:rPr>
        <w:t xml:space="preserve"> demonstrates, feminist analys</w:t>
      </w:r>
      <w:r w:rsidR="00456756">
        <w:rPr>
          <w:szCs w:val="26"/>
        </w:rPr>
        <w:t>i</w:t>
      </w:r>
      <w:r>
        <w:rPr>
          <w:szCs w:val="26"/>
        </w:rPr>
        <w:t xml:space="preserve">s </w:t>
      </w:r>
      <w:r w:rsidR="00456756">
        <w:rPr>
          <w:szCs w:val="26"/>
        </w:rPr>
        <w:t xml:space="preserve">is </w:t>
      </w:r>
      <w:r w:rsidR="00771715">
        <w:rPr>
          <w:szCs w:val="26"/>
        </w:rPr>
        <w:t>far from</w:t>
      </w:r>
      <w:r w:rsidR="00456756">
        <w:rPr>
          <w:szCs w:val="26"/>
        </w:rPr>
        <w:t xml:space="preserve"> new to </w:t>
      </w:r>
      <w:r>
        <w:rPr>
          <w:szCs w:val="26"/>
        </w:rPr>
        <w:t>tax law</w:t>
      </w:r>
      <w:r w:rsidR="000C00E9">
        <w:rPr>
          <w:szCs w:val="26"/>
        </w:rPr>
        <w:t xml:space="preserve">. </w:t>
      </w:r>
      <w:r w:rsidR="00F7223F">
        <w:rPr>
          <w:szCs w:val="26"/>
        </w:rPr>
        <w:t>T</w:t>
      </w:r>
      <w:r w:rsidR="000C00E9">
        <w:rPr>
          <w:szCs w:val="26"/>
        </w:rPr>
        <w:t>h</w:t>
      </w:r>
      <w:r w:rsidR="00E8007E">
        <w:rPr>
          <w:szCs w:val="26"/>
        </w:rPr>
        <w:t>e</w:t>
      </w:r>
      <w:r w:rsidR="000C00E9">
        <w:rPr>
          <w:szCs w:val="26"/>
        </w:rPr>
        <w:t xml:space="preserve"> rich history of feminist contributions to the tax literature</w:t>
      </w:r>
      <w:r w:rsidR="005C673C">
        <w:rPr>
          <w:szCs w:val="26"/>
        </w:rPr>
        <w:t xml:space="preserve"> </w:t>
      </w:r>
      <w:r w:rsidR="00FD5A51">
        <w:rPr>
          <w:szCs w:val="26"/>
        </w:rPr>
        <w:t>might</w:t>
      </w:r>
      <w:r w:rsidR="00F7223F">
        <w:rPr>
          <w:szCs w:val="26"/>
        </w:rPr>
        <w:t xml:space="preserve"> </w:t>
      </w:r>
      <w:r w:rsidR="00D52E4F">
        <w:rPr>
          <w:szCs w:val="26"/>
        </w:rPr>
        <w:t>seem</w:t>
      </w:r>
      <w:r w:rsidR="00F83291">
        <w:rPr>
          <w:szCs w:val="26"/>
        </w:rPr>
        <w:t xml:space="preserve"> to</w:t>
      </w:r>
      <w:r w:rsidR="00D52E4F">
        <w:rPr>
          <w:szCs w:val="26"/>
        </w:rPr>
        <w:t xml:space="preserve"> </w:t>
      </w:r>
      <w:r w:rsidR="009A6948">
        <w:rPr>
          <w:szCs w:val="26"/>
        </w:rPr>
        <w:t>call into question</w:t>
      </w:r>
      <w:r w:rsidR="00D52E4F">
        <w:rPr>
          <w:szCs w:val="26"/>
        </w:rPr>
        <w:t xml:space="preserve"> </w:t>
      </w:r>
      <w:r w:rsidR="00E73267">
        <w:rPr>
          <w:szCs w:val="26"/>
        </w:rPr>
        <w:t xml:space="preserve">tax law’s </w:t>
      </w:r>
      <w:r w:rsidR="00D52E4F">
        <w:rPr>
          <w:szCs w:val="26"/>
        </w:rPr>
        <w:t xml:space="preserve">placement among </w:t>
      </w:r>
      <w:r w:rsidR="00D25698">
        <w:rPr>
          <w:szCs w:val="26"/>
        </w:rPr>
        <w:t xml:space="preserve">the </w:t>
      </w:r>
      <w:r w:rsidR="00D52E4F">
        <w:rPr>
          <w:szCs w:val="26"/>
        </w:rPr>
        <w:t>“emerging areas” of feminist engagement</w:t>
      </w:r>
      <w:r w:rsidR="00D25698">
        <w:rPr>
          <w:szCs w:val="26"/>
        </w:rPr>
        <w:t xml:space="preserve"> identified by th</w:t>
      </w:r>
      <w:r w:rsidR="00D23DA2">
        <w:rPr>
          <w:szCs w:val="26"/>
        </w:rPr>
        <w:t>is</w:t>
      </w:r>
      <w:r w:rsidR="00D862C1">
        <w:rPr>
          <w:szCs w:val="26"/>
        </w:rPr>
        <w:t xml:space="preserve"> </w:t>
      </w:r>
      <w:r w:rsidR="00D862C1">
        <w:rPr>
          <w:i/>
          <w:iCs/>
          <w:szCs w:val="26"/>
        </w:rPr>
        <w:t>Handbook</w:t>
      </w:r>
      <w:r w:rsidR="00037D2D">
        <w:rPr>
          <w:szCs w:val="26"/>
        </w:rPr>
        <w:t>’s</w:t>
      </w:r>
      <w:r w:rsidR="00D25698">
        <w:rPr>
          <w:szCs w:val="26"/>
        </w:rPr>
        <w:t xml:space="preserve"> editors</w:t>
      </w:r>
      <w:r w:rsidR="00456756">
        <w:rPr>
          <w:szCs w:val="26"/>
        </w:rPr>
        <w:t xml:space="preserve">. </w:t>
      </w:r>
      <w:r w:rsidR="007533D8">
        <w:rPr>
          <w:szCs w:val="26"/>
        </w:rPr>
        <w:t>Ye</w:t>
      </w:r>
      <w:r w:rsidR="00456756">
        <w:rPr>
          <w:szCs w:val="26"/>
        </w:rPr>
        <w:t>t</w:t>
      </w:r>
      <w:r w:rsidR="007533D8">
        <w:rPr>
          <w:szCs w:val="26"/>
        </w:rPr>
        <w:t>,</w:t>
      </w:r>
      <w:r w:rsidR="00456756">
        <w:rPr>
          <w:szCs w:val="26"/>
        </w:rPr>
        <w:t xml:space="preserve"> a long history of feminist contributions to the tax literature should not be confused with wide acceptance or embrace of th</w:t>
      </w:r>
      <w:r w:rsidR="00364A61">
        <w:rPr>
          <w:szCs w:val="26"/>
        </w:rPr>
        <w:t>o</w:t>
      </w:r>
      <w:r w:rsidR="00456756">
        <w:rPr>
          <w:szCs w:val="26"/>
        </w:rPr>
        <w:t>se contributions</w:t>
      </w:r>
      <w:r w:rsidR="001974BD">
        <w:rPr>
          <w:szCs w:val="26"/>
        </w:rPr>
        <w:t xml:space="preserve"> </w:t>
      </w:r>
      <w:r w:rsidR="00541C7F">
        <w:rPr>
          <w:szCs w:val="26"/>
        </w:rPr>
        <w:t>either</w:t>
      </w:r>
      <w:r w:rsidR="0093207D">
        <w:rPr>
          <w:szCs w:val="26"/>
        </w:rPr>
        <w:t xml:space="preserve"> in</w:t>
      </w:r>
      <w:r w:rsidR="00541C7F">
        <w:rPr>
          <w:szCs w:val="26"/>
        </w:rPr>
        <w:t xml:space="preserve"> academic discourse or </w:t>
      </w:r>
      <w:r w:rsidR="0093207D">
        <w:rPr>
          <w:szCs w:val="26"/>
        </w:rPr>
        <w:t xml:space="preserve">in </w:t>
      </w:r>
      <w:r w:rsidR="00CD6076">
        <w:rPr>
          <w:szCs w:val="26"/>
        </w:rPr>
        <w:t xml:space="preserve">the </w:t>
      </w:r>
      <w:r w:rsidR="001E2BCE">
        <w:rPr>
          <w:szCs w:val="26"/>
        </w:rPr>
        <w:t>everyday</w:t>
      </w:r>
      <w:r w:rsidR="00541C7F">
        <w:rPr>
          <w:szCs w:val="26"/>
        </w:rPr>
        <w:t xml:space="preserve"> drafting of tax legislation and regulations</w:t>
      </w:r>
      <w:r>
        <w:rPr>
          <w:szCs w:val="26"/>
        </w:rPr>
        <w:t>.</w:t>
      </w:r>
      <w:r w:rsidR="000C1A0B">
        <w:rPr>
          <w:szCs w:val="26"/>
        </w:rPr>
        <w:t xml:space="preserve"> It is in this</w:t>
      </w:r>
      <w:r w:rsidR="00B601F6">
        <w:rPr>
          <w:szCs w:val="26"/>
        </w:rPr>
        <w:t xml:space="preserve"> </w:t>
      </w:r>
      <w:r w:rsidR="000C1A0B">
        <w:rPr>
          <w:szCs w:val="26"/>
        </w:rPr>
        <w:t>sense that tax law might be considered an “emerging area” of feminist influence on the law</w:t>
      </w:r>
      <w:r w:rsidR="00547BD3">
        <w:rPr>
          <w:szCs w:val="26"/>
        </w:rPr>
        <w:t xml:space="preserve"> and warrant this chapter’s </w:t>
      </w:r>
      <w:r w:rsidR="00727D96">
        <w:rPr>
          <w:szCs w:val="26"/>
        </w:rPr>
        <w:t>placement</w:t>
      </w:r>
      <w:r w:rsidR="00547BD3">
        <w:rPr>
          <w:szCs w:val="26"/>
        </w:rPr>
        <w:t xml:space="preserve"> </w:t>
      </w:r>
      <w:r w:rsidR="00266307">
        <w:rPr>
          <w:szCs w:val="26"/>
        </w:rPr>
        <w:t>with</w:t>
      </w:r>
      <w:r w:rsidR="00547BD3">
        <w:rPr>
          <w:szCs w:val="26"/>
        </w:rPr>
        <w:t xml:space="preserve">in this </w:t>
      </w:r>
      <w:r w:rsidR="001C2347">
        <w:rPr>
          <w:i/>
          <w:iCs/>
          <w:szCs w:val="26"/>
        </w:rPr>
        <w:t>Handbook</w:t>
      </w:r>
      <w:r w:rsidR="00EB3BB5">
        <w:rPr>
          <w:i/>
          <w:iCs/>
          <w:szCs w:val="26"/>
        </w:rPr>
        <w:t xml:space="preserve"> of Feminism and Law in the United States</w:t>
      </w:r>
      <w:r w:rsidR="000C1A0B">
        <w:rPr>
          <w:szCs w:val="26"/>
        </w:rPr>
        <w:t xml:space="preserve">. </w:t>
      </w:r>
    </w:p>
    <w:p w14:paraId="70DB69C6" w14:textId="069AF83F" w:rsidR="00E53720" w:rsidRPr="00E53720" w:rsidRDefault="00D37912" w:rsidP="0042282A">
      <w:pPr>
        <w:keepNext/>
        <w:keepLines/>
        <w:spacing w:line="480" w:lineRule="auto"/>
        <w:ind w:firstLine="720"/>
        <w:rPr>
          <w:i/>
          <w:iCs/>
          <w:szCs w:val="26"/>
        </w:rPr>
      </w:pPr>
      <w:r>
        <w:rPr>
          <w:i/>
          <w:iCs/>
          <w:szCs w:val="26"/>
        </w:rPr>
        <w:lastRenderedPageBreak/>
        <w:t>A</w:t>
      </w:r>
      <w:r w:rsidR="00334A7D">
        <w:rPr>
          <w:i/>
          <w:iCs/>
          <w:szCs w:val="26"/>
        </w:rPr>
        <w:t xml:space="preserve"> Blinkered</w:t>
      </w:r>
      <w:r w:rsidR="00E53720">
        <w:rPr>
          <w:i/>
          <w:iCs/>
          <w:szCs w:val="26"/>
        </w:rPr>
        <w:t xml:space="preserve"> Worldview</w:t>
      </w:r>
    </w:p>
    <w:p w14:paraId="48C85401" w14:textId="2E740712" w:rsidR="00E1116B" w:rsidRDefault="006250AF" w:rsidP="0042282A">
      <w:pPr>
        <w:keepNext/>
        <w:keepLines/>
        <w:spacing w:line="480" w:lineRule="auto"/>
        <w:ind w:firstLine="720"/>
        <w:rPr>
          <w:szCs w:val="26"/>
        </w:rPr>
      </w:pPr>
      <w:r>
        <w:rPr>
          <w:szCs w:val="26"/>
        </w:rPr>
        <w:t xml:space="preserve">Conventional (also referred to as </w:t>
      </w:r>
      <w:r w:rsidR="006D3B8C">
        <w:rPr>
          <w:szCs w:val="26"/>
        </w:rPr>
        <w:t xml:space="preserve">“traditional” or </w:t>
      </w:r>
      <w:r>
        <w:rPr>
          <w:szCs w:val="26"/>
        </w:rPr>
        <w:t>“mainstream”) tax scholarship adopts a predominantly economic perspective on tax law and polic</w:t>
      </w:r>
      <w:r w:rsidR="00F739A1">
        <w:rPr>
          <w:szCs w:val="26"/>
        </w:rPr>
        <w:t>y that</w:t>
      </w:r>
      <w:r w:rsidR="007B6710">
        <w:rPr>
          <w:szCs w:val="26"/>
        </w:rPr>
        <w:t xml:space="preserve"> </w:t>
      </w:r>
      <w:r w:rsidR="00201418">
        <w:rPr>
          <w:szCs w:val="26"/>
        </w:rPr>
        <w:t xml:space="preserve">imbues </w:t>
      </w:r>
      <w:r w:rsidR="007B6710">
        <w:rPr>
          <w:szCs w:val="26"/>
        </w:rPr>
        <w:t>the work</w:t>
      </w:r>
      <w:r w:rsidR="00F739A1">
        <w:rPr>
          <w:szCs w:val="26"/>
        </w:rPr>
        <w:t xml:space="preserve"> of tax scholars</w:t>
      </w:r>
      <w:r w:rsidR="007B6710">
        <w:rPr>
          <w:szCs w:val="26"/>
        </w:rPr>
        <w:t xml:space="preserve"> with “the hard, ‘scientific’ character of economic analysis</w:t>
      </w:r>
      <w:r>
        <w:rPr>
          <w:szCs w:val="26"/>
        </w:rPr>
        <w:t>.</w:t>
      </w:r>
      <w:r w:rsidR="007B6710">
        <w:rPr>
          <w:szCs w:val="26"/>
        </w:rPr>
        <w:t>”</w:t>
      </w:r>
      <w:bookmarkStart w:id="9" w:name="_Ref27733874"/>
      <w:r>
        <w:rPr>
          <w:rStyle w:val="FootnoteReference"/>
          <w:szCs w:val="26"/>
        </w:rPr>
        <w:footnoteReference w:id="70"/>
      </w:r>
      <w:bookmarkEnd w:id="9"/>
      <w:r>
        <w:rPr>
          <w:szCs w:val="26"/>
        </w:rPr>
        <w:t xml:space="preserve"> </w:t>
      </w:r>
      <w:r w:rsidR="008934BB">
        <w:rPr>
          <w:szCs w:val="26"/>
        </w:rPr>
        <w:t xml:space="preserve">In </w:t>
      </w:r>
      <w:r w:rsidR="008934BB">
        <w:rPr>
          <w:i/>
          <w:iCs/>
          <w:szCs w:val="26"/>
        </w:rPr>
        <w:t>Who Cooked Adam Smith’s Dinner?</w:t>
      </w:r>
      <w:r w:rsidR="008934BB">
        <w:rPr>
          <w:szCs w:val="26"/>
        </w:rPr>
        <w:t xml:space="preserve">, </w:t>
      </w:r>
      <w:r w:rsidR="00410773">
        <w:rPr>
          <w:szCs w:val="26"/>
        </w:rPr>
        <w:t xml:space="preserve">Katrine </w:t>
      </w:r>
      <w:proofErr w:type="spellStart"/>
      <w:r w:rsidR="00410773">
        <w:rPr>
          <w:szCs w:val="26"/>
        </w:rPr>
        <w:t>Marçal</w:t>
      </w:r>
      <w:proofErr w:type="spellEnd"/>
      <w:r w:rsidR="008934BB">
        <w:rPr>
          <w:szCs w:val="26"/>
        </w:rPr>
        <w:t xml:space="preserve"> accurately </w:t>
      </w:r>
      <w:r w:rsidR="0002748D">
        <w:rPr>
          <w:szCs w:val="26"/>
        </w:rPr>
        <w:t>(</w:t>
      </w:r>
      <w:r w:rsidR="00C52613">
        <w:rPr>
          <w:szCs w:val="26"/>
        </w:rPr>
        <w:t>if unintentionally</w:t>
      </w:r>
      <w:r w:rsidR="0002748D">
        <w:rPr>
          <w:szCs w:val="26"/>
        </w:rPr>
        <w:t xml:space="preserve">) </w:t>
      </w:r>
      <w:r w:rsidR="006756C7">
        <w:rPr>
          <w:szCs w:val="26"/>
        </w:rPr>
        <w:t>summed up</w:t>
      </w:r>
      <w:r w:rsidR="008934BB">
        <w:rPr>
          <w:szCs w:val="26"/>
        </w:rPr>
        <w:t xml:space="preserve"> the general attitude of </w:t>
      </w:r>
      <w:r w:rsidR="00DB2F14">
        <w:rPr>
          <w:szCs w:val="26"/>
        </w:rPr>
        <w:t xml:space="preserve">mainstream </w:t>
      </w:r>
      <w:r w:rsidR="001D4852">
        <w:rPr>
          <w:szCs w:val="26"/>
        </w:rPr>
        <w:t>U.S.</w:t>
      </w:r>
      <w:r w:rsidR="00BC56B8">
        <w:rPr>
          <w:szCs w:val="26"/>
        </w:rPr>
        <w:t xml:space="preserve"> </w:t>
      </w:r>
      <w:r w:rsidR="008934BB">
        <w:rPr>
          <w:szCs w:val="26"/>
        </w:rPr>
        <w:t xml:space="preserve">tax academics when </w:t>
      </w:r>
      <w:r w:rsidR="00453CFF">
        <w:rPr>
          <w:szCs w:val="26"/>
        </w:rPr>
        <w:t>she described</w:t>
      </w:r>
      <w:r w:rsidR="008934BB">
        <w:rPr>
          <w:szCs w:val="26"/>
        </w:rPr>
        <w:t xml:space="preserve"> </w:t>
      </w:r>
      <w:r w:rsidR="00453CFF">
        <w:rPr>
          <w:szCs w:val="26"/>
        </w:rPr>
        <w:t>the “crux of economics”</w:t>
      </w:r>
      <w:r w:rsidR="00410773">
        <w:rPr>
          <w:szCs w:val="26"/>
        </w:rPr>
        <w:t>: “When we participate in the market, we’re all assumed to be anonymous. That’s why the market can set us free. It doesn’t matter who you are. Personal traits and emotional ties don’t have a place here. The only thing that matters is your ability to pay.”</w:t>
      </w:r>
      <w:bookmarkStart w:id="10" w:name="_Ref28936826"/>
      <w:r w:rsidR="00410773">
        <w:rPr>
          <w:rStyle w:val="FootnoteReference"/>
          <w:szCs w:val="26"/>
        </w:rPr>
        <w:footnoteReference w:id="71"/>
      </w:r>
      <w:bookmarkEnd w:id="10"/>
      <w:r w:rsidR="006D3B8C">
        <w:rPr>
          <w:szCs w:val="26"/>
        </w:rPr>
        <w:t xml:space="preserve"> </w:t>
      </w:r>
      <w:r w:rsidR="004D784A">
        <w:rPr>
          <w:szCs w:val="26"/>
        </w:rPr>
        <w:t xml:space="preserve">With </w:t>
      </w:r>
      <w:r w:rsidR="00360711">
        <w:rPr>
          <w:szCs w:val="26"/>
        </w:rPr>
        <w:t xml:space="preserve">such </w:t>
      </w:r>
      <w:r w:rsidR="004D784A">
        <w:rPr>
          <w:szCs w:val="26"/>
        </w:rPr>
        <w:t>a narrow focus on the economic dimension of individuals,</w:t>
      </w:r>
      <w:bookmarkStart w:id="11" w:name="_Ref28329325"/>
      <w:r w:rsidR="004D784A">
        <w:rPr>
          <w:rStyle w:val="FootnoteReference"/>
          <w:szCs w:val="26"/>
        </w:rPr>
        <w:footnoteReference w:id="72"/>
      </w:r>
      <w:bookmarkEnd w:id="11"/>
      <w:r w:rsidR="004D784A">
        <w:rPr>
          <w:szCs w:val="26"/>
        </w:rPr>
        <w:t xml:space="preserve"> there is little </w:t>
      </w:r>
      <w:r w:rsidR="00C52613">
        <w:rPr>
          <w:szCs w:val="26"/>
        </w:rPr>
        <w:t xml:space="preserve">room </w:t>
      </w:r>
      <w:r w:rsidR="004D784A">
        <w:rPr>
          <w:szCs w:val="26"/>
        </w:rPr>
        <w:t>in conventional tax scholarship for feminist or other critical perspectives that explore the impact of tax law on individuals marginalized b</w:t>
      </w:r>
      <w:r w:rsidR="00680B01">
        <w:rPr>
          <w:szCs w:val="26"/>
        </w:rPr>
        <w:t>ased on</w:t>
      </w:r>
      <w:r w:rsidR="000C2DC3">
        <w:rPr>
          <w:szCs w:val="26"/>
        </w:rPr>
        <w:t>, for example,</w:t>
      </w:r>
      <w:r w:rsidR="004D784A">
        <w:rPr>
          <w:szCs w:val="26"/>
        </w:rPr>
        <w:t xml:space="preserve"> gender or gender identity, race or ethnicity, sexual orientation, class, disability, or immigration status.</w:t>
      </w:r>
    </w:p>
    <w:p w14:paraId="75A870B6" w14:textId="4FFB5BEB" w:rsidR="00D443A3" w:rsidRDefault="00DB2F14" w:rsidP="005D7DB8">
      <w:pPr>
        <w:spacing w:line="480" w:lineRule="auto"/>
        <w:ind w:firstLine="720"/>
        <w:rPr>
          <w:szCs w:val="26"/>
        </w:rPr>
      </w:pPr>
      <w:r>
        <w:rPr>
          <w:szCs w:val="26"/>
        </w:rPr>
        <w:t>Like economists who “isolate a single variable within an economic model that encompasses several variables</w:t>
      </w:r>
      <w:r w:rsidR="001E1F3E">
        <w:rPr>
          <w:szCs w:val="26"/>
        </w:rPr>
        <w:t xml:space="preserve"> ... to simplify the world to be able to predict it</w:t>
      </w:r>
      <w:r>
        <w:rPr>
          <w:szCs w:val="26"/>
        </w:rPr>
        <w:t>,”</w:t>
      </w:r>
      <w:r w:rsidR="0012037F">
        <w:rPr>
          <w:rStyle w:val="FootnoteReference"/>
          <w:szCs w:val="26"/>
        </w:rPr>
        <w:footnoteReference w:id="73"/>
      </w:r>
      <w:r>
        <w:rPr>
          <w:szCs w:val="26"/>
        </w:rPr>
        <w:t xml:space="preserve"> mainstream tax academics reduce complicated human beings and their interactions with each other to a single economic variable—income in income tax analys</w:t>
      </w:r>
      <w:r w:rsidR="00CF2BB0">
        <w:rPr>
          <w:szCs w:val="26"/>
        </w:rPr>
        <w:t>e</w:t>
      </w:r>
      <w:r>
        <w:rPr>
          <w:szCs w:val="26"/>
        </w:rPr>
        <w:t>s or wealth in transfer tax analys</w:t>
      </w:r>
      <w:r w:rsidR="00CF2BB0">
        <w:rPr>
          <w:szCs w:val="26"/>
        </w:rPr>
        <w:t>e</w:t>
      </w:r>
      <w:r>
        <w:rPr>
          <w:szCs w:val="26"/>
        </w:rPr>
        <w:t>s</w:t>
      </w:r>
      <w:r w:rsidR="00984F49">
        <w:rPr>
          <w:szCs w:val="26"/>
        </w:rPr>
        <w:t xml:space="preserve">. As Nancy Knauer explains with </w:t>
      </w:r>
      <w:r w:rsidR="005D31A1">
        <w:rPr>
          <w:szCs w:val="26"/>
        </w:rPr>
        <w:t xml:space="preserve">implicit </w:t>
      </w:r>
      <w:r w:rsidR="00984F49">
        <w:rPr>
          <w:szCs w:val="26"/>
        </w:rPr>
        <w:t>reference to the income tax</w:t>
      </w:r>
      <w:r w:rsidR="00CE0931">
        <w:rPr>
          <w:szCs w:val="26"/>
        </w:rPr>
        <w:t>:</w:t>
      </w:r>
    </w:p>
    <w:p w14:paraId="6C78609E" w14:textId="3BB88798" w:rsidR="00A51F6E" w:rsidRDefault="00A51F6E" w:rsidP="00274A60">
      <w:pPr>
        <w:ind w:left="720" w:right="720"/>
        <w:rPr>
          <w:szCs w:val="26"/>
        </w:rPr>
      </w:pPr>
      <w:r w:rsidRPr="00A51F6E">
        <w:rPr>
          <w:szCs w:val="26"/>
        </w:rPr>
        <w:t>The three classic pillars of tax policy</w:t>
      </w:r>
      <w:r w:rsidR="00D47B22">
        <w:rPr>
          <w:szCs w:val="26"/>
        </w:rPr>
        <w:t>—</w:t>
      </w:r>
      <w:r w:rsidRPr="00A51F6E">
        <w:rPr>
          <w:szCs w:val="26"/>
        </w:rPr>
        <w:t>equity, efficiency, and ease of administration</w:t>
      </w:r>
      <w:r w:rsidR="00D47B22">
        <w:rPr>
          <w:szCs w:val="26"/>
        </w:rPr>
        <w:t>—</w:t>
      </w:r>
      <w:r w:rsidRPr="00A51F6E">
        <w:rPr>
          <w:szCs w:val="26"/>
        </w:rPr>
        <w:t xml:space="preserve">aim to design a system of taxation that fairly apportions the </w:t>
      </w:r>
      <w:r w:rsidRPr="00A51F6E">
        <w:rPr>
          <w:szCs w:val="26"/>
        </w:rPr>
        <w:lastRenderedPageBreak/>
        <w:t>burdens of citizenship, minimizes tax distortions in economic behavior, and simplifies the task of compliance and administration. These organizing principles reflect widely-held equality and autonomy norms but proceed from a very strong presumption of taxpayer neutrality where the only salient distinction among taxpayers is that of income level. In other words, U.S. tax policy does not take into account demographic differences among taxpayers, such as race, ethnicity, gender, sexual orientation, or gender identity, nor does it attempt to evaluate the potentially disparate impact of taxation on the members of these groups.</w:t>
      </w:r>
      <w:r>
        <w:rPr>
          <w:rStyle w:val="FootnoteReference"/>
          <w:szCs w:val="26"/>
        </w:rPr>
        <w:footnoteReference w:id="74"/>
      </w:r>
    </w:p>
    <w:p w14:paraId="31369415" w14:textId="77777777" w:rsidR="00274A60" w:rsidRDefault="00274A60" w:rsidP="00274A60">
      <w:pPr>
        <w:ind w:left="720" w:right="720"/>
        <w:rPr>
          <w:szCs w:val="26"/>
        </w:rPr>
      </w:pPr>
    </w:p>
    <w:p w14:paraId="1E3E027B" w14:textId="3920C66C" w:rsidR="001F17DB" w:rsidRDefault="00CE0931" w:rsidP="005D7DB8">
      <w:pPr>
        <w:spacing w:line="480" w:lineRule="auto"/>
        <w:ind w:firstLine="720"/>
        <w:rPr>
          <w:szCs w:val="26"/>
        </w:rPr>
      </w:pPr>
      <w:r>
        <w:rPr>
          <w:szCs w:val="26"/>
        </w:rPr>
        <w:t>Th</w:t>
      </w:r>
      <w:r w:rsidR="00B21EA9">
        <w:rPr>
          <w:szCs w:val="26"/>
        </w:rPr>
        <w:t>e conventional</w:t>
      </w:r>
      <w:r>
        <w:rPr>
          <w:szCs w:val="26"/>
        </w:rPr>
        <w:t xml:space="preserve"> approach</w:t>
      </w:r>
      <w:r w:rsidR="00B21EA9">
        <w:rPr>
          <w:szCs w:val="26"/>
        </w:rPr>
        <w:t xml:space="preserve"> to tax scholarship</w:t>
      </w:r>
      <w:r>
        <w:rPr>
          <w:szCs w:val="26"/>
        </w:rPr>
        <w:t xml:space="preserve"> </w:t>
      </w:r>
      <w:r w:rsidR="00FF00A6">
        <w:rPr>
          <w:szCs w:val="26"/>
        </w:rPr>
        <w:t xml:space="preserve">thus </w:t>
      </w:r>
      <w:r>
        <w:rPr>
          <w:szCs w:val="26"/>
        </w:rPr>
        <w:t xml:space="preserve">simplifies the world in order that its tax rules might be reformed, replaced, or abandoned </w:t>
      </w:r>
      <w:r w:rsidR="00D9639C">
        <w:rPr>
          <w:szCs w:val="26"/>
        </w:rPr>
        <w:t>through</w:t>
      </w:r>
      <w:r>
        <w:rPr>
          <w:szCs w:val="26"/>
        </w:rPr>
        <w:t xml:space="preserve"> tidy academic analyses</w:t>
      </w:r>
      <w:r w:rsidR="004361E9">
        <w:rPr>
          <w:szCs w:val="26"/>
        </w:rPr>
        <w:t>—analyses</w:t>
      </w:r>
      <w:r>
        <w:rPr>
          <w:szCs w:val="26"/>
        </w:rPr>
        <w:t xml:space="preserve"> that</w:t>
      </w:r>
      <w:r w:rsidR="004361E9">
        <w:rPr>
          <w:szCs w:val="26"/>
        </w:rPr>
        <w:t xml:space="preserve"> </w:t>
      </w:r>
      <w:r>
        <w:rPr>
          <w:szCs w:val="26"/>
        </w:rPr>
        <w:t xml:space="preserve">lack any real consideration of how existing or proposed tax rules </w:t>
      </w:r>
      <w:r w:rsidR="00540C11">
        <w:rPr>
          <w:szCs w:val="26"/>
        </w:rPr>
        <w:t xml:space="preserve">might </w:t>
      </w:r>
      <w:r w:rsidR="00FB6C37">
        <w:rPr>
          <w:szCs w:val="26"/>
        </w:rPr>
        <w:t>affe</w:t>
      </w:r>
      <w:r>
        <w:rPr>
          <w:szCs w:val="26"/>
        </w:rPr>
        <w:t>ct the multidimensional, flesh-and-blood people on wh</w:t>
      </w:r>
      <w:r w:rsidR="001320AA">
        <w:rPr>
          <w:szCs w:val="26"/>
        </w:rPr>
        <w:t>om</w:t>
      </w:r>
      <w:r>
        <w:rPr>
          <w:szCs w:val="26"/>
        </w:rPr>
        <w:t xml:space="preserve"> th</w:t>
      </w:r>
      <w:r w:rsidR="00602EAC">
        <w:rPr>
          <w:szCs w:val="26"/>
        </w:rPr>
        <w:t>ose rules</w:t>
      </w:r>
      <w:r>
        <w:rPr>
          <w:szCs w:val="26"/>
        </w:rPr>
        <w:t xml:space="preserve"> </w:t>
      </w:r>
      <w:r w:rsidR="0007406C">
        <w:rPr>
          <w:szCs w:val="26"/>
        </w:rPr>
        <w:t xml:space="preserve">are intended to </w:t>
      </w:r>
      <w:r>
        <w:rPr>
          <w:szCs w:val="26"/>
        </w:rPr>
        <w:t>operate</w:t>
      </w:r>
      <w:r w:rsidR="00540C11">
        <w:rPr>
          <w:szCs w:val="26"/>
        </w:rPr>
        <w:t>. Conveniently</w:t>
      </w:r>
      <w:r w:rsidR="00222999">
        <w:rPr>
          <w:szCs w:val="26"/>
        </w:rPr>
        <w:t xml:space="preserve"> (for those with power and privilege)</w:t>
      </w:r>
      <w:r w:rsidR="00540C11">
        <w:rPr>
          <w:szCs w:val="26"/>
        </w:rPr>
        <w:t xml:space="preserve">, </w:t>
      </w:r>
      <w:r w:rsidR="00DC36EF">
        <w:rPr>
          <w:szCs w:val="26"/>
        </w:rPr>
        <w:t>this singular focus on the economic dimension of individuals</w:t>
      </w:r>
      <w:r>
        <w:rPr>
          <w:szCs w:val="26"/>
        </w:rPr>
        <w:t xml:space="preserve"> </w:t>
      </w:r>
      <w:r w:rsidR="00DC36EF">
        <w:rPr>
          <w:szCs w:val="26"/>
        </w:rPr>
        <w:t xml:space="preserve">has a sanitizing effect, as it </w:t>
      </w:r>
      <w:r w:rsidR="00A520F5">
        <w:rPr>
          <w:szCs w:val="26"/>
        </w:rPr>
        <w:t xml:space="preserve">not only </w:t>
      </w:r>
      <w:r w:rsidR="00DC36EF">
        <w:rPr>
          <w:szCs w:val="26"/>
        </w:rPr>
        <w:t>expurgates</w:t>
      </w:r>
      <w:r w:rsidR="008E23D6">
        <w:rPr>
          <w:szCs w:val="26"/>
        </w:rPr>
        <w:t xml:space="preserve"> </w:t>
      </w:r>
      <w:r w:rsidR="004361E9">
        <w:rPr>
          <w:szCs w:val="26"/>
        </w:rPr>
        <w:t>“</w:t>
      </w:r>
      <w:r w:rsidRPr="00CE0931">
        <w:rPr>
          <w:szCs w:val="26"/>
        </w:rPr>
        <w:t>uncomfortable discussions of racism, sexism, heterosexism, and disability discrimination</w:t>
      </w:r>
      <w:r>
        <w:rPr>
          <w:szCs w:val="26"/>
        </w:rPr>
        <w:t>”</w:t>
      </w:r>
      <w:r w:rsidR="00A520F5">
        <w:rPr>
          <w:rStyle w:val="FootnoteReference"/>
          <w:szCs w:val="26"/>
        </w:rPr>
        <w:footnoteReference w:id="75"/>
      </w:r>
      <w:r w:rsidR="00DC36EF">
        <w:rPr>
          <w:szCs w:val="26"/>
        </w:rPr>
        <w:t xml:space="preserve"> from </w:t>
      </w:r>
      <w:r w:rsidR="00B90C8A">
        <w:rPr>
          <w:szCs w:val="26"/>
        </w:rPr>
        <w:t>mainstream</w:t>
      </w:r>
      <w:r w:rsidR="009C7DF8">
        <w:rPr>
          <w:szCs w:val="26"/>
        </w:rPr>
        <w:t xml:space="preserve"> academic</w:t>
      </w:r>
      <w:r w:rsidR="00B90C8A">
        <w:rPr>
          <w:szCs w:val="26"/>
        </w:rPr>
        <w:t xml:space="preserve"> </w:t>
      </w:r>
      <w:r w:rsidR="00DC36EF">
        <w:rPr>
          <w:szCs w:val="26"/>
        </w:rPr>
        <w:t>tax analys</w:t>
      </w:r>
      <w:r w:rsidR="009C7DF8">
        <w:rPr>
          <w:szCs w:val="26"/>
        </w:rPr>
        <w:t>i</w:t>
      </w:r>
      <w:r w:rsidR="00DC36EF">
        <w:rPr>
          <w:szCs w:val="26"/>
        </w:rPr>
        <w:t>s</w:t>
      </w:r>
      <w:r w:rsidR="00A520F5">
        <w:rPr>
          <w:szCs w:val="26"/>
        </w:rPr>
        <w:t xml:space="preserve"> but </w:t>
      </w:r>
      <w:r w:rsidR="00F32A77">
        <w:rPr>
          <w:szCs w:val="26"/>
        </w:rPr>
        <w:t xml:space="preserve">also </w:t>
      </w:r>
      <w:r w:rsidR="001C5AA5">
        <w:rPr>
          <w:szCs w:val="26"/>
        </w:rPr>
        <w:t xml:space="preserve">more </w:t>
      </w:r>
      <w:r w:rsidR="00F32A77">
        <w:rPr>
          <w:szCs w:val="26"/>
        </w:rPr>
        <w:t xml:space="preserve">insidiously operates to </w:t>
      </w:r>
      <w:r w:rsidR="001320AA">
        <w:rPr>
          <w:szCs w:val="26"/>
        </w:rPr>
        <w:t>“</w:t>
      </w:r>
      <w:r w:rsidR="00A520F5">
        <w:rPr>
          <w:szCs w:val="26"/>
        </w:rPr>
        <w:t>render</w:t>
      </w:r>
      <w:r w:rsidR="001320AA">
        <w:rPr>
          <w:szCs w:val="26"/>
        </w:rPr>
        <w:t>[]</w:t>
      </w:r>
      <w:r w:rsidR="00A520F5">
        <w:rPr>
          <w:szCs w:val="26"/>
        </w:rPr>
        <w:t xml:space="preserve"> </w:t>
      </w:r>
      <w:r w:rsidR="00A448E6">
        <w:rPr>
          <w:szCs w:val="26"/>
        </w:rPr>
        <w:t>any mention of these subject</w:t>
      </w:r>
      <w:r w:rsidR="00A520F5">
        <w:rPr>
          <w:szCs w:val="26"/>
        </w:rPr>
        <w:t xml:space="preserve">s </w:t>
      </w:r>
      <w:r w:rsidR="005B1EC8">
        <w:rPr>
          <w:szCs w:val="26"/>
        </w:rPr>
        <w:t xml:space="preserve">in a tax context </w:t>
      </w:r>
      <w:r w:rsidR="00A520F5">
        <w:rPr>
          <w:szCs w:val="26"/>
        </w:rPr>
        <w:t>immediately suspect</w:t>
      </w:r>
      <w:r w:rsidR="00DC36EF">
        <w:rPr>
          <w:szCs w:val="26"/>
        </w:rPr>
        <w:t>.</w:t>
      </w:r>
      <w:r w:rsidR="001320AA">
        <w:rPr>
          <w:szCs w:val="26"/>
        </w:rPr>
        <w:t>”</w:t>
      </w:r>
      <w:r w:rsidR="00A520F5">
        <w:rPr>
          <w:rStyle w:val="FootnoteReference"/>
          <w:szCs w:val="26"/>
        </w:rPr>
        <w:footnoteReference w:id="76"/>
      </w:r>
      <w:r w:rsidR="00743273">
        <w:rPr>
          <w:szCs w:val="26"/>
        </w:rPr>
        <w:t xml:space="preserve"> </w:t>
      </w:r>
    </w:p>
    <w:p w14:paraId="487B12A6" w14:textId="7F2AEEBD" w:rsidR="00743273" w:rsidRDefault="00743273" w:rsidP="005D7DB8">
      <w:pPr>
        <w:spacing w:line="480" w:lineRule="auto"/>
        <w:ind w:firstLine="720"/>
        <w:rPr>
          <w:szCs w:val="26"/>
        </w:rPr>
      </w:pPr>
      <w:r>
        <w:rPr>
          <w:szCs w:val="26"/>
        </w:rPr>
        <w:t xml:space="preserve">In this way, </w:t>
      </w:r>
      <w:r w:rsidR="00260A7C">
        <w:rPr>
          <w:szCs w:val="26"/>
        </w:rPr>
        <w:t xml:space="preserve">the work of </w:t>
      </w:r>
      <w:r>
        <w:rPr>
          <w:szCs w:val="26"/>
        </w:rPr>
        <w:t>mainstream tax academics normalize</w:t>
      </w:r>
      <w:r w:rsidR="00260A7C">
        <w:rPr>
          <w:szCs w:val="26"/>
        </w:rPr>
        <w:t>s</w:t>
      </w:r>
      <w:r>
        <w:rPr>
          <w:szCs w:val="26"/>
        </w:rPr>
        <w:t xml:space="preserve"> the discrimination</w:t>
      </w:r>
      <w:r w:rsidR="00F8338B">
        <w:rPr>
          <w:szCs w:val="26"/>
        </w:rPr>
        <w:t xml:space="preserve"> that is </w:t>
      </w:r>
      <w:r>
        <w:rPr>
          <w:szCs w:val="26"/>
        </w:rPr>
        <w:t>embedded in tax law and render</w:t>
      </w:r>
      <w:r w:rsidR="00260A7C">
        <w:rPr>
          <w:szCs w:val="26"/>
        </w:rPr>
        <w:t>s</w:t>
      </w:r>
      <w:r>
        <w:rPr>
          <w:szCs w:val="26"/>
        </w:rPr>
        <w:t xml:space="preserve"> it “more generally and widely acceptable by making it seem as if the tax laws are unconnected with social concerns and merely dictated by the play of impersonal market and economic forces that are beyond our control.”</w:t>
      </w:r>
      <w:bookmarkStart w:id="12" w:name="_Ref43131662"/>
      <w:r>
        <w:rPr>
          <w:rStyle w:val="FootnoteReference"/>
          <w:szCs w:val="26"/>
        </w:rPr>
        <w:footnoteReference w:id="77"/>
      </w:r>
      <w:bookmarkEnd w:id="12"/>
      <w:r>
        <w:rPr>
          <w:szCs w:val="26"/>
        </w:rPr>
        <w:t xml:space="preserve"> </w:t>
      </w:r>
      <w:r w:rsidR="006A5565">
        <w:rPr>
          <w:szCs w:val="26"/>
        </w:rPr>
        <w:t>In turn, p</w:t>
      </w:r>
      <w:r w:rsidR="00C27BAE">
        <w:rPr>
          <w:szCs w:val="26"/>
        </w:rPr>
        <w:t>oliticians</w:t>
      </w:r>
      <w:r w:rsidR="006A5565">
        <w:rPr>
          <w:szCs w:val="26"/>
        </w:rPr>
        <w:t xml:space="preserve"> of all stripes</w:t>
      </w:r>
      <w:r>
        <w:rPr>
          <w:szCs w:val="26"/>
        </w:rPr>
        <w:t xml:space="preserve"> “pick up on this rhetorical thread and weave it into the tapestry of popular political discourse when they focus tax reform discussions on encouraging economic growth.”</w:t>
      </w:r>
      <w:r>
        <w:rPr>
          <w:rStyle w:val="FootnoteReference"/>
          <w:szCs w:val="26"/>
        </w:rPr>
        <w:footnoteReference w:id="78"/>
      </w:r>
      <w:r w:rsidR="00260A7C">
        <w:rPr>
          <w:szCs w:val="26"/>
        </w:rPr>
        <w:t xml:space="preserve"> </w:t>
      </w:r>
      <w:r w:rsidR="00F8338B">
        <w:rPr>
          <w:szCs w:val="26"/>
        </w:rPr>
        <w:t xml:space="preserve">Taken </w:t>
      </w:r>
      <w:r w:rsidR="00F8338B">
        <w:rPr>
          <w:szCs w:val="26"/>
        </w:rPr>
        <w:lastRenderedPageBreak/>
        <w:t xml:space="preserve">together, </w:t>
      </w:r>
      <w:r w:rsidR="00C23375">
        <w:rPr>
          <w:szCs w:val="26"/>
        </w:rPr>
        <w:t xml:space="preserve">this </w:t>
      </w:r>
      <w:r w:rsidR="00260A7C">
        <w:rPr>
          <w:szCs w:val="26"/>
        </w:rPr>
        <w:t>academic and po</w:t>
      </w:r>
      <w:r w:rsidR="00F8338B">
        <w:rPr>
          <w:szCs w:val="26"/>
        </w:rPr>
        <w:t>litical fixation with</w:t>
      </w:r>
      <w:r w:rsidR="00260A7C">
        <w:rPr>
          <w:szCs w:val="26"/>
        </w:rPr>
        <w:t xml:space="preserve"> economics</w:t>
      </w:r>
      <w:r w:rsidR="00F8338B">
        <w:rPr>
          <w:szCs w:val="26"/>
        </w:rPr>
        <w:t xml:space="preserve"> </w:t>
      </w:r>
      <w:r w:rsidR="00426BE5">
        <w:rPr>
          <w:szCs w:val="26"/>
        </w:rPr>
        <w:t>serves to “</w:t>
      </w:r>
      <w:r w:rsidR="00F8338B">
        <w:rPr>
          <w:szCs w:val="26"/>
        </w:rPr>
        <w:t>reinforce</w:t>
      </w:r>
      <w:r w:rsidR="00426BE5">
        <w:rPr>
          <w:szCs w:val="26"/>
        </w:rPr>
        <w:t>[]</w:t>
      </w:r>
      <w:r w:rsidR="00F8338B">
        <w:rPr>
          <w:szCs w:val="26"/>
        </w:rPr>
        <w:t xml:space="preserve"> the tax laws’ privileging of the already privileged</w:t>
      </w:r>
      <w:r w:rsidR="00426BE5">
        <w:rPr>
          <w:szCs w:val="26"/>
        </w:rPr>
        <w:t>”</w:t>
      </w:r>
      <w:r w:rsidR="00426BE5">
        <w:rPr>
          <w:rStyle w:val="FootnoteReference"/>
          <w:szCs w:val="26"/>
        </w:rPr>
        <w:footnoteReference w:id="79"/>
      </w:r>
      <w:r w:rsidR="00F8338B">
        <w:rPr>
          <w:szCs w:val="26"/>
        </w:rPr>
        <w:t xml:space="preserve"> and</w:t>
      </w:r>
      <w:r w:rsidR="00260A7C">
        <w:rPr>
          <w:szCs w:val="26"/>
        </w:rPr>
        <w:t xml:space="preserve"> </w:t>
      </w:r>
      <w:r w:rsidR="00342B56">
        <w:rPr>
          <w:szCs w:val="26"/>
        </w:rPr>
        <w:t xml:space="preserve">has </w:t>
      </w:r>
      <w:r w:rsidR="00260A7C">
        <w:rPr>
          <w:szCs w:val="26"/>
        </w:rPr>
        <w:t>le</w:t>
      </w:r>
      <w:r w:rsidR="00342B56">
        <w:rPr>
          <w:szCs w:val="26"/>
        </w:rPr>
        <w:t>ft</w:t>
      </w:r>
      <w:r w:rsidR="00260A7C">
        <w:rPr>
          <w:szCs w:val="26"/>
        </w:rPr>
        <w:t xml:space="preserve"> little space for feminist or other critical contributions to take hold and effect positive change in the law.</w:t>
      </w:r>
    </w:p>
    <w:p w14:paraId="52515046" w14:textId="73A7CD81" w:rsidR="00CE0931" w:rsidRPr="001F17DB" w:rsidRDefault="001F17DB" w:rsidP="005D7DB8">
      <w:pPr>
        <w:spacing w:line="480" w:lineRule="auto"/>
        <w:ind w:firstLine="720"/>
        <w:rPr>
          <w:i/>
          <w:iCs/>
          <w:szCs w:val="26"/>
        </w:rPr>
      </w:pPr>
      <w:r w:rsidRPr="001F17DB">
        <w:rPr>
          <w:i/>
          <w:iCs/>
          <w:szCs w:val="26"/>
        </w:rPr>
        <w:t>A Marginalized Scholarship</w:t>
      </w:r>
    </w:p>
    <w:p w14:paraId="5E25B3BC" w14:textId="4488E64D" w:rsidR="00D04E18" w:rsidRDefault="00C46349" w:rsidP="005D7DB8">
      <w:pPr>
        <w:spacing w:line="480" w:lineRule="auto"/>
        <w:ind w:firstLine="720"/>
        <w:rPr>
          <w:szCs w:val="26"/>
        </w:rPr>
      </w:pPr>
      <w:r>
        <w:rPr>
          <w:szCs w:val="26"/>
        </w:rPr>
        <w:t xml:space="preserve">Given the narrow worldview </w:t>
      </w:r>
      <w:r w:rsidR="006009DF">
        <w:rPr>
          <w:szCs w:val="26"/>
        </w:rPr>
        <w:t xml:space="preserve">that shapes and influences </w:t>
      </w:r>
      <w:r w:rsidR="00845851">
        <w:rPr>
          <w:szCs w:val="26"/>
        </w:rPr>
        <w:t xml:space="preserve">conventional </w:t>
      </w:r>
      <w:r>
        <w:rPr>
          <w:szCs w:val="26"/>
        </w:rPr>
        <w:t xml:space="preserve">tax </w:t>
      </w:r>
      <w:r w:rsidR="007E0922">
        <w:rPr>
          <w:szCs w:val="26"/>
        </w:rPr>
        <w:t>discourse</w:t>
      </w:r>
      <w:r w:rsidR="006D3B8C">
        <w:rPr>
          <w:szCs w:val="26"/>
        </w:rPr>
        <w:t>,</w:t>
      </w:r>
      <w:r>
        <w:rPr>
          <w:szCs w:val="26"/>
        </w:rPr>
        <w:t xml:space="preserve"> it should come as no surprise that</w:t>
      </w:r>
      <w:r w:rsidR="00D351B4">
        <w:rPr>
          <w:szCs w:val="26"/>
        </w:rPr>
        <w:t xml:space="preserve"> </w:t>
      </w:r>
      <w:r w:rsidR="004F6658">
        <w:rPr>
          <w:szCs w:val="26"/>
        </w:rPr>
        <w:t>mainstream tax academics’</w:t>
      </w:r>
      <w:r w:rsidR="00D351B4">
        <w:rPr>
          <w:szCs w:val="26"/>
        </w:rPr>
        <w:t xml:space="preserve"> reception of </w:t>
      </w:r>
      <w:r w:rsidR="00602EAC">
        <w:rPr>
          <w:szCs w:val="26"/>
        </w:rPr>
        <w:t xml:space="preserve">feminist and other </w:t>
      </w:r>
      <w:r w:rsidR="00D351B4">
        <w:rPr>
          <w:szCs w:val="26"/>
        </w:rPr>
        <w:t>critical</w:t>
      </w:r>
      <w:r w:rsidR="00784DC9">
        <w:rPr>
          <w:szCs w:val="26"/>
        </w:rPr>
        <w:t xml:space="preserve"> </w:t>
      </w:r>
      <w:r w:rsidR="00D351B4">
        <w:rPr>
          <w:szCs w:val="26"/>
        </w:rPr>
        <w:t>tax scholarship</w:t>
      </w:r>
      <w:r w:rsidR="007202CB">
        <w:rPr>
          <w:szCs w:val="26"/>
        </w:rPr>
        <w:t xml:space="preserve"> </w:t>
      </w:r>
      <w:r w:rsidR="00D351B4">
        <w:rPr>
          <w:szCs w:val="26"/>
        </w:rPr>
        <w:t>has been described</w:t>
      </w:r>
      <w:r w:rsidR="000C6FE1">
        <w:rPr>
          <w:szCs w:val="26"/>
        </w:rPr>
        <w:t xml:space="preserve"> </w:t>
      </w:r>
      <w:r w:rsidR="00DD1615">
        <w:rPr>
          <w:szCs w:val="26"/>
        </w:rPr>
        <w:t>as</w:t>
      </w:r>
      <w:r w:rsidR="005E579F">
        <w:rPr>
          <w:szCs w:val="26"/>
        </w:rPr>
        <w:t xml:space="preserve"> “contentious</w:t>
      </w:r>
      <w:r w:rsidR="00AE7FE3">
        <w:rPr>
          <w:szCs w:val="26"/>
        </w:rPr>
        <w:t>,</w:t>
      </w:r>
      <w:r w:rsidR="005E579F">
        <w:rPr>
          <w:szCs w:val="26"/>
        </w:rPr>
        <w:t>”</w:t>
      </w:r>
      <w:r w:rsidR="005E579F">
        <w:rPr>
          <w:rStyle w:val="FootnoteReference"/>
          <w:szCs w:val="26"/>
        </w:rPr>
        <w:footnoteReference w:id="80"/>
      </w:r>
      <w:r w:rsidR="00DD1615">
        <w:rPr>
          <w:szCs w:val="26"/>
        </w:rPr>
        <w:t xml:space="preserve"> </w:t>
      </w:r>
      <w:r w:rsidR="000F541E">
        <w:rPr>
          <w:szCs w:val="26"/>
        </w:rPr>
        <w:t xml:space="preserve">being characterized by a </w:t>
      </w:r>
      <w:r w:rsidR="008026EF">
        <w:rPr>
          <w:szCs w:val="26"/>
        </w:rPr>
        <w:t>“stiff and sustained resistance”</w:t>
      </w:r>
      <w:bookmarkStart w:id="13" w:name="_Ref27808033"/>
      <w:r w:rsidR="008026EF">
        <w:rPr>
          <w:rStyle w:val="FootnoteReference"/>
          <w:szCs w:val="26"/>
        </w:rPr>
        <w:footnoteReference w:id="81"/>
      </w:r>
      <w:bookmarkEnd w:id="13"/>
      <w:r w:rsidR="000F541E">
        <w:rPr>
          <w:szCs w:val="26"/>
        </w:rPr>
        <w:t xml:space="preserve"> or even</w:t>
      </w:r>
      <w:r w:rsidR="001A6271">
        <w:rPr>
          <w:szCs w:val="26"/>
        </w:rPr>
        <w:t xml:space="preserve"> “</w:t>
      </w:r>
      <w:r w:rsidR="001A6271" w:rsidRPr="001A6271">
        <w:rPr>
          <w:szCs w:val="26"/>
        </w:rPr>
        <w:t>a visceral reaction that in some cases blocks intellectual engagement</w:t>
      </w:r>
      <w:r w:rsidR="004E2B43">
        <w:rPr>
          <w:szCs w:val="26"/>
        </w:rPr>
        <w:t>.</w:t>
      </w:r>
      <w:r w:rsidR="001A6271">
        <w:rPr>
          <w:szCs w:val="26"/>
        </w:rPr>
        <w:t>”</w:t>
      </w:r>
      <w:bookmarkStart w:id="14" w:name="_Ref27808032"/>
      <w:r w:rsidR="005F2F84">
        <w:rPr>
          <w:rStyle w:val="FootnoteReference"/>
          <w:szCs w:val="26"/>
        </w:rPr>
        <w:footnoteReference w:id="82"/>
      </w:r>
      <w:bookmarkEnd w:id="14"/>
      <w:r w:rsidR="008026EF">
        <w:rPr>
          <w:szCs w:val="26"/>
        </w:rPr>
        <w:t xml:space="preserve"> </w:t>
      </w:r>
      <w:r w:rsidR="00986163">
        <w:rPr>
          <w:szCs w:val="26"/>
        </w:rPr>
        <w:t>Some mainstream tax scholars seem to have taken critical tax scholarship as “a radical affront,”</w:t>
      </w:r>
      <w:r w:rsidR="00986163">
        <w:rPr>
          <w:rStyle w:val="FootnoteReference"/>
          <w:szCs w:val="26"/>
        </w:rPr>
        <w:footnoteReference w:id="83"/>
      </w:r>
      <w:r w:rsidR="00986163">
        <w:rPr>
          <w:szCs w:val="26"/>
        </w:rPr>
        <w:t xml:space="preserve"> with the body of critical tax scholarship having been “</w:t>
      </w:r>
      <w:r w:rsidR="00986163" w:rsidRPr="005561B6">
        <w:rPr>
          <w:szCs w:val="26"/>
        </w:rPr>
        <w:t xml:space="preserve">derided </w:t>
      </w:r>
      <w:r w:rsidR="00986163">
        <w:rPr>
          <w:szCs w:val="26"/>
        </w:rPr>
        <w:t xml:space="preserve">by </w:t>
      </w:r>
      <w:r w:rsidR="000B1784">
        <w:rPr>
          <w:szCs w:val="26"/>
        </w:rPr>
        <w:t>mainstream tax scholars</w:t>
      </w:r>
      <w:r w:rsidR="00986163">
        <w:rPr>
          <w:szCs w:val="26"/>
        </w:rPr>
        <w:t xml:space="preserve"> </w:t>
      </w:r>
      <w:r w:rsidR="00986163" w:rsidRPr="005561B6">
        <w:rPr>
          <w:szCs w:val="26"/>
        </w:rPr>
        <w:t>for being trendy, divisive, and less than rigorous</w:t>
      </w:r>
      <w:r w:rsidR="00986163">
        <w:rPr>
          <w:szCs w:val="26"/>
        </w:rPr>
        <w:t>.”</w:t>
      </w:r>
      <w:r w:rsidR="00986163">
        <w:rPr>
          <w:rStyle w:val="FootnoteReference"/>
          <w:szCs w:val="26"/>
        </w:rPr>
        <w:footnoteReference w:id="84"/>
      </w:r>
      <w:r w:rsidR="00986163">
        <w:rPr>
          <w:szCs w:val="26"/>
        </w:rPr>
        <w:t xml:space="preserve"> Even so, </w:t>
      </w:r>
      <w:r w:rsidR="00277224">
        <w:rPr>
          <w:szCs w:val="26"/>
        </w:rPr>
        <w:t>“</w:t>
      </w:r>
      <w:r w:rsidR="00277224" w:rsidRPr="00277224">
        <w:rPr>
          <w:szCs w:val="26"/>
        </w:rPr>
        <w:t xml:space="preserve">the largest numbers </w:t>
      </w:r>
      <w:r w:rsidR="0017074C">
        <w:rPr>
          <w:szCs w:val="26"/>
        </w:rPr>
        <w:t>[of tax academics</w:t>
      </w:r>
      <w:r w:rsidR="00D80962">
        <w:rPr>
          <w:szCs w:val="26"/>
        </w:rPr>
        <w:t>—</w:t>
      </w:r>
      <w:r w:rsidR="00317C93">
        <w:rPr>
          <w:szCs w:val="26"/>
        </w:rPr>
        <w:t>not to mention those outside the academy</w:t>
      </w:r>
      <w:r w:rsidR="0017074C">
        <w:rPr>
          <w:szCs w:val="26"/>
        </w:rPr>
        <w:t xml:space="preserve">] </w:t>
      </w:r>
      <w:r w:rsidR="00277224" w:rsidRPr="00277224">
        <w:rPr>
          <w:szCs w:val="26"/>
        </w:rPr>
        <w:t>have simply ignored the critical tax endeavor, leaving women</w:t>
      </w:r>
      <w:r w:rsidR="00B00801">
        <w:rPr>
          <w:szCs w:val="26"/>
        </w:rPr>
        <w:t>’</w:t>
      </w:r>
      <w:r w:rsidR="00277224" w:rsidRPr="00277224">
        <w:rPr>
          <w:szCs w:val="26"/>
        </w:rPr>
        <w:t>s and minorities</w:t>
      </w:r>
      <w:r w:rsidR="00B00801">
        <w:rPr>
          <w:szCs w:val="26"/>
        </w:rPr>
        <w:t>’</w:t>
      </w:r>
      <w:r w:rsidR="00277224" w:rsidRPr="00277224">
        <w:rPr>
          <w:szCs w:val="26"/>
        </w:rPr>
        <w:t xml:space="preserve"> concerns somewhat peripheral to the broader tax subject.</w:t>
      </w:r>
      <w:r w:rsidR="00277224">
        <w:rPr>
          <w:szCs w:val="26"/>
        </w:rPr>
        <w:t>”</w:t>
      </w:r>
      <w:bookmarkStart w:id="15" w:name="_Ref27808269"/>
      <w:r w:rsidR="00EB6835">
        <w:rPr>
          <w:rStyle w:val="FootnoteReference"/>
          <w:szCs w:val="26"/>
        </w:rPr>
        <w:footnoteReference w:id="85"/>
      </w:r>
      <w:bookmarkEnd w:id="15"/>
      <w:r w:rsidR="00B76B75">
        <w:rPr>
          <w:szCs w:val="26"/>
        </w:rPr>
        <w:t xml:space="preserve"> </w:t>
      </w:r>
      <w:r w:rsidR="000F19CC">
        <w:rPr>
          <w:szCs w:val="26"/>
        </w:rPr>
        <w:t>In th</w:t>
      </w:r>
      <w:r w:rsidR="00D670DA">
        <w:rPr>
          <w:szCs w:val="26"/>
        </w:rPr>
        <w:t>e</w:t>
      </w:r>
      <w:r w:rsidR="000F19CC">
        <w:rPr>
          <w:szCs w:val="26"/>
        </w:rPr>
        <w:t>s</w:t>
      </w:r>
      <w:r w:rsidR="00D670DA">
        <w:rPr>
          <w:szCs w:val="26"/>
        </w:rPr>
        <w:t>e</w:t>
      </w:r>
      <w:r w:rsidR="000F19CC">
        <w:rPr>
          <w:szCs w:val="26"/>
        </w:rPr>
        <w:t xml:space="preserve"> way</w:t>
      </w:r>
      <w:r w:rsidR="00D670DA">
        <w:rPr>
          <w:szCs w:val="26"/>
        </w:rPr>
        <w:t>s</w:t>
      </w:r>
      <w:r w:rsidR="000F19CC">
        <w:rPr>
          <w:szCs w:val="26"/>
        </w:rPr>
        <w:t>, c</w:t>
      </w:r>
      <w:r w:rsidR="00B14C5D">
        <w:rPr>
          <w:szCs w:val="26"/>
        </w:rPr>
        <w:t>ritical tax scholarship has</w:t>
      </w:r>
      <w:r w:rsidR="00C1796C">
        <w:rPr>
          <w:szCs w:val="26"/>
        </w:rPr>
        <w:t xml:space="preserve"> </w:t>
      </w:r>
      <w:r w:rsidR="00B14C5D">
        <w:rPr>
          <w:szCs w:val="26"/>
        </w:rPr>
        <w:t>been</w:t>
      </w:r>
      <w:r w:rsidR="00FB658B">
        <w:rPr>
          <w:szCs w:val="26"/>
        </w:rPr>
        <w:t xml:space="preserve"> </w:t>
      </w:r>
      <w:r w:rsidR="00E44435">
        <w:rPr>
          <w:szCs w:val="26"/>
        </w:rPr>
        <w:t xml:space="preserve">both </w:t>
      </w:r>
      <w:r w:rsidR="00FB658B">
        <w:rPr>
          <w:szCs w:val="26"/>
        </w:rPr>
        <w:t>“dismissed as ‘mere critique’”</w:t>
      </w:r>
      <w:r w:rsidR="00FB658B">
        <w:rPr>
          <w:rStyle w:val="FootnoteReference"/>
          <w:szCs w:val="26"/>
        </w:rPr>
        <w:footnoteReference w:id="86"/>
      </w:r>
      <w:r w:rsidR="005B5EFA">
        <w:rPr>
          <w:szCs w:val="26"/>
        </w:rPr>
        <w:t xml:space="preserve"> </w:t>
      </w:r>
      <w:r w:rsidR="006E6E4A">
        <w:rPr>
          <w:szCs w:val="26"/>
        </w:rPr>
        <w:t>and</w:t>
      </w:r>
      <w:r w:rsidR="00C1796C">
        <w:rPr>
          <w:szCs w:val="26"/>
        </w:rPr>
        <w:t xml:space="preserve"> </w:t>
      </w:r>
      <w:r w:rsidR="005B5EFA">
        <w:rPr>
          <w:szCs w:val="26"/>
        </w:rPr>
        <w:t>itself subjected to “scathing critiques.”</w:t>
      </w:r>
      <w:r w:rsidR="005B5EFA">
        <w:rPr>
          <w:rStyle w:val="FootnoteReference"/>
          <w:szCs w:val="26"/>
        </w:rPr>
        <w:footnoteReference w:id="87"/>
      </w:r>
      <w:r w:rsidR="007B5201">
        <w:rPr>
          <w:szCs w:val="26"/>
        </w:rPr>
        <w:t xml:space="preserve"> </w:t>
      </w:r>
    </w:p>
    <w:p w14:paraId="1D5155F3" w14:textId="3137757B" w:rsidR="00203FAA" w:rsidRDefault="00717F68" w:rsidP="00717F68">
      <w:pPr>
        <w:spacing w:line="480" w:lineRule="auto"/>
        <w:ind w:firstLine="720"/>
        <w:rPr>
          <w:szCs w:val="26"/>
        </w:rPr>
      </w:pPr>
      <w:r>
        <w:rPr>
          <w:szCs w:val="26"/>
        </w:rPr>
        <w:lastRenderedPageBreak/>
        <w:t xml:space="preserve">Around the same time that the </w:t>
      </w:r>
      <w:r w:rsidRPr="000A7B6C">
        <w:rPr>
          <w:i/>
          <w:iCs/>
          <w:szCs w:val="26"/>
        </w:rPr>
        <w:t>North Carolina Law Review</w:t>
      </w:r>
      <w:r>
        <w:rPr>
          <w:szCs w:val="26"/>
        </w:rPr>
        <w:t xml:space="preserve"> devoted an entire issue to </w:t>
      </w:r>
      <w:r w:rsidR="00BA2D9D">
        <w:rPr>
          <w:szCs w:val="26"/>
        </w:rPr>
        <w:t>(</w:t>
      </w:r>
      <w:r w:rsidR="001D6FD3">
        <w:rPr>
          <w:szCs w:val="26"/>
        </w:rPr>
        <w:t>at times, openly</w:t>
      </w:r>
      <w:r w:rsidR="00BA2D9D">
        <w:rPr>
          <w:szCs w:val="26"/>
        </w:rPr>
        <w:t xml:space="preserve"> hostile) </w:t>
      </w:r>
      <w:r>
        <w:rPr>
          <w:szCs w:val="26"/>
        </w:rPr>
        <w:t>critiques of critical tax theory,</w:t>
      </w:r>
      <w:r>
        <w:rPr>
          <w:rStyle w:val="FootnoteReference"/>
          <w:szCs w:val="26"/>
        </w:rPr>
        <w:footnoteReference w:id="88"/>
      </w:r>
      <w:r>
        <w:rPr>
          <w:szCs w:val="26"/>
        </w:rPr>
        <w:t xml:space="preserve"> like-minded tax scholars began to hold </w:t>
      </w:r>
      <w:r w:rsidR="00FB5E81">
        <w:rPr>
          <w:szCs w:val="26"/>
        </w:rPr>
        <w:t>a</w:t>
      </w:r>
      <w:r w:rsidR="00890E53">
        <w:rPr>
          <w:szCs w:val="26"/>
        </w:rPr>
        <w:t xml:space="preserve"> </w:t>
      </w:r>
      <w:r w:rsidR="0095183B">
        <w:rPr>
          <w:szCs w:val="26"/>
        </w:rPr>
        <w:t>“</w:t>
      </w:r>
      <w:r w:rsidR="00294258">
        <w:rPr>
          <w:szCs w:val="26"/>
        </w:rPr>
        <w:t>C</w:t>
      </w:r>
      <w:r w:rsidR="00890E53">
        <w:rPr>
          <w:szCs w:val="26"/>
        </w:rPr>
        <w:t xml:space="preserve">ritical </w:t>
      </w:r>
      <w:r w:rsidR="00294258">
        <w:rPr>
          <w:szCs w:val="26"/>
        </w:rPr>
        <w:t>T</w:t>
      </w:r>
      <w:r w:rsidR="00890E53">
        <w:rPr>
          <w:szCs w:val="26"/>
        </w:rPr>
        <w:t xml:space="preserve">ax </w:t>
      </w:r>
      <w:r w:rsidR="00294258">
        <w:rPr>
          <w:szCs w:val="26"/>
        </w:rPr>
        <w:t>C</w:t>
      </w:r>
      <w:r w:rsidR="00890E53">
        <w:rPr>
          <w:szCs w:val="26"/>
        </w:rPr>
        <w:t>onference</w:t>
      </w:r>
      <w:r>
        <w:rPr>
          <w:szCs w:val="26"/>
        </w:rPr>
        <w:t>,</w:t>
      </w:r>
      <w:r w:rsidR="0095183B">
        <w:rPr>
          <w:szCs w:val="26"/>
        </w:rPr>
        <w:t>”</w:t>
      </w:r>
      <w:r w:rsidR="00890E53">
        <w:rPr>
          <w:szCs w:val="26"/>
        </w:rPr>
        <w:t xml:space="preserve"> at first sporadically and then annually </w:t>
      </w:r>
      <w:r w:rsidR="0018174B">
        <w:rPr>
          <w:szCs w:val="26"/>
        </w:rPr>
        <w:t>starting in</w:t>
      </w:r>
      <w:r w:rsidR="00890E53">
        <w:rPr>
          <w:szCs w:val="26"/>
        </w:rPr>
        <w:t xml:space="preserve"> 2000.</w:t>
      </w:r>
      <w:r w:rsidR="00890E53">
        <w:rPr>
          <w:rStyle w:val="FootnoteReference"/>
          <w:szCs w:val="26"/>
        </w:rPr>
        <w:footnoteReference w:id="89"/>
      </w:r>
      <w:r w:rsidR="005640DA">
        <w:rPr>
          <w:szCs w:val="26"/>
        </w:rPr>
        <w:t xml:space="preserve"> </w:t>
      </w:r>
      <w:r w:rsidR="00F64A4A">
        <w:rPr>
          <w:szCs w:val="26"/>
        </w:rPr>
        <w:t>Despite its name, t</w:t>
      </w:r>
      <w:r w:rsidR="005640DA">
        <w:rPr>
          <w:szCs w:val="26"/>
        </w:rPr>
        <w:t>his conference “</w:t>
      </w:r>
      <w:r w:rsidR="005640DA" w:rsidRPr="005640DA">
        <w:rPr>
          <w:szCs w:val="26"/>
        </w:rPr>
        <w:t>intentionally encouraged a focus beyond the anti-subordination principle that initially drove critical tax theory. Its organizers have encouraged attendance of all tax scholars who are interested in cross-disciplinary work and in the identification of a broad range of hidden biases, influences, and unintended effects of the law or proposed reforms to it.</w:t>
      </w:r>
      <w:r w:rsidR="005640DA">
        <w:rPr>
          <w:szCs w:val="26"/>
        </w:rPr>
        <w:t>”</w:t>
      </w:r>
      <w:r w:rsidR="005640DA">
        <w:rPr>
          <w:rStyle w:val="FootnoteReference"/>
          <w:szCs w:val="26"/>
        </w:rPr>
        <w:footnoteReference w:id="90"/>
      </w:r>
      <w:r w:rsidR="00EF1349">
        <w:rPr>
          <w:szCs w:val="26"/>
        </w:rPr>
        <w:t xml:space="preserve"> This </w:t>
      </w:r>
      <w:r w:rsidR="00777CBE">
        <w:rPr>
          <w:szCs w:val="26"/>
        </w:rPr>
        <w:t xml:space="preserve">capacious view of the contributions that should be welcomed at the conference </w:t>
      </w:r>
      <w:r w:rsidR="00EF1349">
        <w:rPr>
          <w:szCs w:val="26"/>
        </w:rPr>
        <w:t>provided a</w:t>
      </w:r>
      <w:r w:rsidR="00777CBE">
        <w:rPr>
          <w:szCs w:val="26"/>
        </w:rPr>
        <w:t>n ostensibly salutary</w:t>
      </w:r>
      <w:r w:rsidR="00EF1349">
        <w:rPr>
          <w:szCs w:val="26"/>
        </w:rPr>
        <w:t xml:space="preserve"> opportunity for conversation between critical and mainstream tax scholars</w:t>
      </w:r>
      <w:r w:rsidR="00777CBE">
        <w:rPr>
          <w:szCs w:val="26"/>
        </w:rPr>
        <w:t>. Nonetheless,</w:t>
      </w:r>
      <w:r w:rsidR="00EF1349">
        <w:rPr>
          <w:szCs w:val="26"/>
        </w:rPr>
        <w:t xml:space="preserve"> </w:t>
      </w:r>
      <w:r w:rsidR="00777CBE">
        <w:rPr>
          <w:szCs w:val="26"/>
        </w:rPr>
        <w:t xml:space="preserve">over the years, </w:t>
      </w:r>
      <w:r w:rsidR="00EF1349">
        <w:rPr>
          <w:szCs w:val="26"/>
        </w:rPr>
        <w:t>the conference increasingly became just another opportunity for mainstream</w:t>
      </w:r>
      <w:r w:rsidR="00144186">
        <w:rPr>
          <w:szCs w:val="26"/>
        </w:rPr>
        <w:t xml:space="preserve"> tax</w:t>
      </w:r>
      <w:r w:rsidR="00EF1349">
        <w:rPr>
          <w:szCs w:val="26"/>
        </w:rPr>
        <w:t xml:space="preserve"> scholars to present their work, and the occasional critical tax presentation</w:t>
      </w:r>
      <w:r w:rsidR="004B3293">
        <w:rPr>
          <w:szCs w:val="26"/>
        </w:rPr>
        <w:t xml:space="preserve"> made at the conference too</w:t>
      </w:r>
      <w:r w:rsidR="00EF1349">
        <w:rPr>
          <w:szCs w:val="26"/>
        </w:rPr>
        <w:t xml:space="preserve"> often generated </w:t>
      </w:r>
      <w:r>
        <w:rPr>
          <w:szCs w:val="26"/>
        </w:rPr>
        <w:t xml:space="preserve">negative </w:t>
      </w:r>
      <w:r w:rsidR="00EF1349">
        <w:rPr>
          <w:szCs w:val="26"/>
        </w:rPr>
        <w:t>response</w:t>
      </w:r>
      <w:r w:rsidR="006D725F">
        <w:rPr>
          <w:szCs w:val="26"/>
        </w:rPr>
        <w:t>s</w:t>
      </w:r>
      <w:r w:rsidR="00EF1349">
        <w:rPr>
          <w:szCs w:val="26"/>
        </w:rPr>
        <w:t>.</w:t>
      </w:r>
      <w:r w:rsidR="002A4464">
        <w:rPr>
          <w:rStyle w:val="FootnoteReference"/>
          <w:szCs w:val="26"/>
        </w:rPr>
        <w:footnoteReference w:id="91"/>
      </w:r>
    </w:p>
    <w:p w14:paraId="445D5BF8" w14:textId="7D2C579A" w:rsidR="00E341F4" w:rsidRDefault="00717F68" w:rsidP="00B36B81">
      <w:pPr>
        <w:spacing w:line="480" w:lineRule="auto"/>
        <w:ind w:firstLine="720"/>
        <w:rPr>
          <w:szCs w:val="26"/>
        </w:rPr>
      </w:pPr>
      <w:r>
        <w:rPr>
          <w:szCs w:val="26"/>
        </w:rPr>
        <w:t>In the face of hostility to critical tax scholarship,</w:t>
      </w:r>
      <w:r w:rsidR="00645ECF">
        <w:rPr>
          <w:szCs w:val="26"/>
        </w:rPr>
        <w:t xml:space="preserve"> </w:t>
      </w:r>
      <w:r w:rsidR="00203FAA">
        <w:rPr>
          <w:szCs w:val="26"/>
        </w:rPr>
        <w:t xml:space="preserve">Marjorie </w:t>
      </w:r>
      <w:proofErr w:type="spellStart"/>
      <w:r w:rsidR="00203FAA">
        <w:rPr>
          <w:szCs w:val="26"/>
        </w:rPr>
        <w:t>Kornhauser</w:t>
      </w:r>
      <w:proofErr w:type="spellEnd"/>
      <w:r w:rsidR="00222341">
        <w:rPr>
          <w:szCs w:val="26"/>
        </w:rPr>
        <w:t xml:space="preserve"> was given some</w:t>
      </w:r>
      <w:r w:rsidR="00203FAA">
        <w:rPr>
          <w:szCs w:val="26"/>
        </w:rPr>
        <w:t xml:space="preserve"> pause</w:t>
      </w:r>
      <w:r w:rsidR="00222341">
        <w:rPr>
          <w:szCs w:val="26"/>
        </w:rPr>
        <w:t xml:space="preserve"> </w:t>
      </w:r>
      <w:r w:rsidR="000A7B6C">
        <w:rPr>
          <w:szCs w:val="26"/>
        </w:rPr>
        <w:t>when she was</w:t>
      </w:r>
      <w:r w:rsidR="00222341">
        <w:rPr>
          <w:szCs w:val="26"/>
        </w:rPr>
        <w:t xml:space="preserve"> labeled a “feminist tax scholar”</w:t>
      </w:r>
      <w:r w:rsidR="00A03305">
        <w:rPr>
          <w:szCs w:val="26"/>
        </w:rPr>
        <w:t>—</w:t>
      </w:r>
      <w:r w:rsidR="00203FAA">
        <w:rPr>
          <w:szCs w:val="26"/>
        </w:rPr>
        <w:t>despite her self-identification as both a tax scholar and a feminist.</w:t>
      </w:r>
      <w:bookmarkStart w:id="16" w:name="_Ref27977606"/>
      <w:r w:rsidR="00A4169E">
        <w:rPr>
          <w:rStyle w:val="FootnoteReference"/>
          <w:szCs w:val="26"/>
        </w:rPr>
        <w:footnoteReference w:id="92"/>
      </w:r>
      <w:bookmarkEnd w:id="16"/>
      <w:r w:rsidR="00387B8F">
        <w:rPr>
          <w:szCs w:val="26"/>
        </w:rPr>
        <w:t xml:space="preserve"> This pause spurred</w:t>
      </w:r>
      <w:r w:rsidR="00A5153B">
        <w:rPr>
          <w:szCs w:val="26"/>
        </w:rPr>
        <w:t xml:space="preserve"> self-</w:t>
      </w:r>
      <w:r w:rsidR="00387B8F">
        <w:rPr>
          <w:szCs w:val="26"/>
        </w:rPr>
        <w:t xml:space="preserve">reflection on </w:t>
      </w:r>
      <w:proofErr w:type="spellStart"/>
      <w:r w:rsidR="00A03305">
        <w:rPr>
          <w:szCs w:val="26"/>
        </w:rPr>
        <w:t>Kornhauser’s</w:t>
      </w:r>
      <w:proofErr w:type="spellEnd"/>
      <w:r w:rsidR="00387B8F">
        <w:rPr>
          <w:szCs w:val="26"/>
        </w:rPr>
        <w:t xml:space="preserve"> part </w:t>
      </w:r>
      <w:r w:rsidR="0004380B">
        <w:rPr>
          <w:szCs w:val="26"/>
        </w:rPr>
        <w:t xml:space="preserve">that led to </w:t>
      </w:r>
      <w:r w:rsidR="00387B8F">
        <w:rPr>
          <w:szCs w:val="26"/>
        </w:rPr>
        <w:t>an examination</w:t>
      </w:r>
      <w:r w:rsidR="007A255A">
        <w:rPr>
          <w:szCs w:val="26"/>
        </w:rPr>
        <w:t xml:space="preserve"> </w:t>
      </w:r>
      <w:r w:rsidR="00387B8F">
        <w:rPr>
          <w:szCs w:val="26"/>
        </w:rPr>
        <w:t xml:space="preserve">of </w:t>
      </w:r>
      <w:r w:rsidR="007A61B2">
        <w:rPr>
          <w:szCs w:val="26"/>
        </w:rPr>
        <w:t xml:space="preserve">the </w:t>
      </w:r>
      <w:r w:rsidR="00387B8F">
        <w:rPr>
          <w:szCs w:val="26"/>
        </w:rPr>
        <w:t>citation pattern</w:t>
      </w:r>
      <w:r w:rsidR="00B53301">
        <w:rPr>
          <w:szCs w:val="26"/>
        </w:rPr>
        <w:t xml:space="preserve"> of a critical tax article that she had written. </w:t>
      </w:r>
      <w:proofErr w:type="spellStart"/>
      <w:r w:rsidR="00B53301">
        <w:rPr>
          <w:szCs w:val="26"/>
        </w:rPr>
        <w:t>Kornhauser</w:t>
      </w:r>
      <w:proofErr w:type="spellEnd"/>
      <w:r w:rsidR="00B53301">
        <w:rPr>
          <w:szCs w:val="26"/>
        </w:rPr>
        <w:t xml:space="preserve"> compared the citation pattern of</w:t>
      </w:r>
      <w:r w:rsidR="00FC533B">
        <w:rPr>
          <w:szCs w:val="26"/>
        </w:rPr>
        <w:t xml:space="preserve"> </w:t>
      </w:r>
      <w:r w:rsidR="00672B36">
        <w:rPr>
          <w:szCs w:val="26"/>
        </w:rPr>
        <w:t>that</w:t>
      </w:r>
      <w:r w:rsidR="00FC533B">
        <w:rPr>
          <w:szCs w:val="26"/>
        </w:rPr>
        <w:t xml:space="preserve"> article</w:t>
      </w:r>
      <w:r w:rsidR="00672B36">
        <w:rPr>
          <w:szCs w:val="26"/>
        </w:rPr>
        <w:t xml:space="preserve">, which </w:t>
      </w:r>
      <w:r w:rsidR="00FC533B">
        <w:rPr>
          <w:szCs w:val="26"/>
        </w:rPr>
        <w:t>“</w:t>
      </w:r>
      <w:r w:rsidR="00FC533B" w:rsidRPr="00FC533B">
        <w:rPr>
          <w:szCs w:val="26"/>
        </w:rPr>
        <w:t xml:space="preserve">explicitly </w:t>
      </w:r>
      <w:proofErr w:type="spellStart"/>
      <w:r w:rsidR="00FC533B" w:rsidRPr="00FC533B">
        <w:rPr>
          <w:szCs w:val="26"/>
        </w:rPr>
        <w:t>applie</w:t>
      </w:r>
      <w:proofErr w:type="spellEnd"/>
      <w:r w:rsidR="00672B36">
        <w:rPr>
          <w:szCs w:val="26"/>
        </w:rPr>
        <w:t>[d]</w:t>
      </w:r>
      <w:r w:rsidR="00FC533B" w:rsidRPr="00FC533B">
        <w:rPr>
          <w:szCs w:val="26"/>
        </w:rPr>
        <w:t xml:space="preserve"> feminist theory to the issue of progressive income tax</w:t>
      </w:r>
      <w:r w:rsidR="00672B36">
        <w:rPr>
          <w:szCs w:val="26"/>
        </w:rPr>
        <w:t>,</w:t>
      </w:r>
      <w:r w:rsidR="00FC533B">
        <w:rPr>
          <w:szCs w:val="26"/>
        </w:rPr>
        <w:t>”</w:t>
      </w:r>
      <w:r w:rsidR="00FC533B">
        <w:rPr>
          <w:rStyle w:val="FootnoteReference"/>
          <w:szCs w:val="26"/>
        </w:rPr>
        <w:footnoteReference w:id="93"/>
      </w:r>
      <w:r w:rsidR="00A5153B">
        <w:rPr>
          <w:szCs w:val="26"/>
        </w:rPr>
        <w:t xml:space="preserve"> </w:t>
      </w:r>
      <w:r w:rsidR="0016488F">
        <w:rPr>
          <w:szCs w:val="26"/>
        </w:rPr>
        <w:t>with</w:t>
      </w:r>
      <w:r w:rsidR="00B53301">
        <w:rPr>
          <w:szCs w:val="26"/>
        </w:rPr>
        <w:t xml:space="preserve"> the citation pattern of</w:t>
      </w:r>
      <w:r w:rsidR="00A5153B">
        <w:rPr>
          <w:szCs w:val="26"/>
        </w:rPr>
        <w:t xml:space="preserve"> a more traditional law review article </w:t>
      </w:r>
      <w:r w:rsidR="00443DB2">
        <w:rPr>
          <w:szCs w:val="26"/>
        </w:rPr>
        <w:t xml:space="preserve">that was </w:t>
      </w:r>
      <w:r w:rsidR="00A5153B">
        <w:rPr>
          <w:szCs w:val="26"/>
        </w:rPr>
        <w:t>published in the same year</w:t>
      </w:r>
      <w:r w:rsidR="00443DB2">
        <w:rPr>
          <w:szCs w:val="26"/>
        </w:rPr>
        <w:t>,</w:t>
      </w:r>
      <w:r w:rsidR="00A5153B">
        <w:rPr>
          <w:szCs w:val="26"/>
        </w:rPr>
        <w:t xml:space="preserve"> on the </w:t>
      </w:r>
      <w:r w:rsidR="00443DB2">
        <w:rPr>
          <w:szCs w:val="26"/>
        </w:rPr>
        <w:t xml:space="preserve">same general </w:t>
      </w:r>
      <w:r w:rsidR="0016488F">
        <w:rPr>
          <w:szCs w:val="26"/>
        </w:rPr>
        <w:t>topic</w:t>
      </w:r>
      <w:r w:rsidR="00443DB2">
        <w:rPr>
          <w:szCs w:val="26"/>
        </w:rPr>
        <w:t xml:space="preserve"> (i.e., </w:t>
      </w:r>
      <w:r w:rsidR="00006DDF">
        <w:rPr>
          <w:szCs w:val="26"/>
        </w:rPr>
        <w:t xml:space="preserve">progressivity of the </w:t>
      </w:r>
      <w:r w:rsidR="00006DDF">
        <w:rPr>
          <w:szCs w:val="26"/>
        </w:rPr>
        <w:lastRenderedPageBreak/>
        <w:t>income tax</w:t>
      </w:r>
      <w:r w:rsidR="00443DB2">
        <w:rPr>
          <w:szCs w:val="26"/>
        </w:rPr>
        <w:t>),</w:t>
      </w:r>
      <w:r w:rsidR="00A5153B">
        <w:rPr>
          <w:szCs w:val="26"/>
        </w:rPr>
        <w:t xml:space="preserve"> by similarly well-established tax scholars</w:t>
      </w:r>
      <w:r w:rsidR="00443DB2">
        <w:rPr>
          <w:szCs w:val="26"/>
        </w:rPr>
        <w:t>, and</w:t>
      </w:r>
      <w:r w:rsidR="00A5153B">
        <w:rPr>
          <w:szCs w:val="26"/>
        </w:rPr>
        <w:t xml:space="preserve"> in a similarly ranked journal.</w:t>
      </w:r>
      <w:r w:rsidR="00983FFD">
        <w:rPr>
          <w:rStyle w:val="FootnoteReference"/>
          <w:szCs w:val="26"/>
        </w:rPr>
        <w:footnoteReference w:id="94"/>
      </w:r>
      <w:r w:rsidR="00A81638">
        <w:rPr>
          <w:szCs w:val="26"/>
        </w:rPr>
        <w:t xml:space="preserve"> </w:t>
      </w:r>
      <w:r w:rsidR="00A20131">
        <w:rPr>
          <w:szCs w:val="26"/>
        </w:rPr>
        <w:t xml:space="preserve">Interestingly, </w:t>
      </w:r>
      <w:proofErr w:type="spellStart"/>
      <w:r w:rsidR="00A20131">
        <w:rPr>
          <w:szCs w:val="26"/>
        </w:rPr>
        <w:t>Kornhauser</w:t>
      </w:r>
      <w:proofErr w:type="spellEnd"/>
      <w:r w:rsidR="00A20131">
        <w:rPr>
          <w:szCs w:val="26"/>
        </w:rPr>
        <w:t xml:space="preserve"> found that while both articles had a similar number of citations, the pattern of citations differed markedly: “</w:t>
      </w:r>
      <w:r w:rsidR="00A20131" w:rsidRPr="00A20131">
        <w:rPr>
          <w:szCs w:val="26"/>
        </w:rPr>
        <w:t xml:space="preserve">On the positive side, the perceived feminist aspect of </w:t>
      </w:r>
      <w:r w:rsidR="00AD69C2">
        <w:rPr>
          <w:szCs w:val="26"/>
        </w:rPr>
        <w:t>[</w:t>
      </w:r>
      <w:proofErr w:type="spellStart"/>
      <w:r w:rsidR="00AD69C2">
        <w:rPr>
          <w:szCs w:val="26"/>
        </w:rPr>
        <w:t>Kornhauser’s</w:t>
      </w:r>
      <w:proofErr w:type="spellEnd"/>
      <w:r w:rsidR="00AD69C2">
        <w:rPr>
          <w:szCs w:val="26"/>
        </w:rPr>
        <w:t>]</w:t>
      </w:r>
      <w:r w:rsidR="00A20131" w:rsidRPr="00A20131">
        <w:rPr>
          <w:szCs w:val="26"/>
        </w:rPr>
        <w:t xml:space="preserve"> article made it a much more widely cited article outside the tax area. On the other hand, </w:t>
      </w:r>
      <w:r w:rsidR="00645D94">
        <w:rPr>
          <w:szCs w:val="26"/>
        </w:rPr>
        <w:t>[</w:t>
      </w:r>
      <w:proofErr w:type="spellStart"/>
      <w:r w:rsidR="00645D94">
        <w:rPr>
          <w:szCs w:val="26"/>
        </w:rPr>
        <w:t>Kornhauser</w:t>
      </w:r>
      <w:proofErr w:type="spellEnd"/>
      <w:r w:rsidR="00645D94">
        <w:rPr>
          <w:szCs w:val="26"/>
        </w:rPr>
        <w:t>]</w:t>
      </w:r>
      <w:r w:rsidR="00A20131" w:rsidRPr="00A20131">
        <w:rPr>
          <w:szCs w:val="26"/>
        </w:rPr>
        <w:t xml:space="preserve"> believe</w:t>
      </w:r>
      <w:r w:rsidR="001B4338">
        <w:rPr>
          <w:szCs w:val="26"/>
        </w:rPr>
        <w:t>[d]</w:t>
      </w:r>
      <w:r w:rsidR="00A20131" w:rsidRPr="00A20131">
        <w:rPr>
          <w:szCs w:val="26"/>
        </w:rPr>
        <w:t xml:space="preserve"> that this very aspect is the reason it was less likely to be cited within the tax field, and when it was cited it was sometimes cited more for these feminist aspects than for its traditional tax aspects.</w:t>
      </w:r>
      <w:r w:rsidR="00A20131">
        <w:rPr>
          <w:szCs w:val="26"/>
        </w:rPr>
        <w:t>”</w:t>
      </w:r>
      <w:r w:rsidR="00A20131">
        <w:rPr>
          <w:rStyle w:val="FootnoteReference"/>
          <w:szCs w:val="26"/>
        </w:rPr>
        <w:footnoteReference w:id="95"/>
      </w:r>
      <w:r w:rsidR="006B6AB2">
        <w:rPr>
          <w:szCs w:val="26"/>
        </w:rPr>
        <w:t xml:space="preserve"> </w:t>
      </w:r>
      <w:r w:rsidR="00015A7F">
        <w:rPr>
          <w:szCs w:val="26"/>
        </w:rPr>
        <w:t xml:space="preserve">This led </w:t>
      </w:r>
      <w:proofErr w:type="spellStart"/>
      <w:r w:rsidR="00015A7F">
        <w:rPr>
          <w:szCs w:val="26"/>
        </w:rPr>
        <w:t>Kornhauser</w:t>
      </w:r>
      <w:proofErr w:type="spellEnd"/>
      <w:r w:rsidR="00015A7F">
        <w:rPr>
          <w:szCs w:val="26"/>
        </w:rPr>
        <w:t xml:space="preserve"> to conclude that “[t]</w:t>
      </w:r>
      <w:r w:rsidR="00015A7F" w:rsidRPr="00015A7F">
        <w:rPr>
          <w:szCs w:val="26"/>
        </w:rPr>
        <w:t>he term feminist tax scholarship is a double-edged sword</w:t>
      </w:r>
      <w:r w:rsidR="00221AE7">
        <w:rPr>
          <w:szCs w:val="26"/>
        </w:rPr>
        <w:t xml:space="preserve"> … </w:t>
      </w:r>
      <w:r w:rsidR="00015A7F" w:rsidRPr="00015A7F">
        <w:rPr>
          <w:szCs w:val="26"/>
        </w:rPr>
        <w:t>. Its power to enric</w:t>
      </w:r>
      <w:r w:rsidR="00015A7F">
        <w:rPr>
          <w:szCs w:val="26"/>
        </w:rPr>
        <w:t>h</w:t>
      </w:r>
      <w:r w:rsidR="00015A7F" w:rsidRPr="00015A7F">
        <w:rPr>
          <w:szCs w:val="26"/>
        </w:rPr>
        <w:t xml:space="preserve"> both tax and other disciplines is limited by a potential for marginalization</w:t>
      </w:r>
      <w:r w:rsidR="00015A7F">
        <w:rPr>
          <w:szCs w:val="26"/>
        </w:rPr>
        <w:t>—</w:t>
      </w:r>
      <w:r w:rsidR="00015A7F" w:rsidRPr="00015A7F">
        <w:rPr>
          <w:szCs w:val="26"/>
        </w:rPr>
        <w:t>of being read only for its feminist angle, or worse, being dismissed because of its feminist angle.</w:t>
      </w:r>
      <w:r w:rsidR="00015A7F">
        <w:rPr>
          <w:szCs w:val="26"/>
        </w:rPr>
        <w:t>”</w:t>
      </w:r>
      <w:r w:rsidR="00015A7F">
        <w:rPr>
          <w:rStyle w:val="FootnoteReference"/>
          <w:szCs w:val="26"/>
        </w:rPr>
        <w:footnoteReference w:id="96"/>
      </w:r>
      <w:r w:rsidR="00221AE7">
        <w:rPr>
          <w:szCs w:val="26"/>
        </w:rPr>
        <w:t xml:space="preserve"> </w:t>
      </w:r>
      <w:r w:rsidR="00645D94">
        <w:rPr>
          <w:szCs w:val="26"/>
        </w:rPr>
        <w:t xml:space="preserve">Despite being </w:t>
      </w:r>
      <w:r w:rsidR="00180C5B">
        <w:rPr>
          <w:szCs w:val="26"/>
        </w:rPr>
        <w:t xml:space="preserve">based on an </w:t>
      </w:r>
      <w:r w:rsidR="00221AE7">
        <w:rPr>
          <w:szCs w:val="26"/>
        </w:rPr>
        <w:t xml:space="preserve">unscientific analysis of citation patterns </w:t>
      </w:r>
      <w:r w:rsidR="000769A2">
        <w:rPr>
          <w:szCs w:val="26"/>
        </w:rPr>
        <w:t>in an extremely limited data set</w:t>
      </w:r>
      <w:r w:rsidR="00645D94">
        <w:rPr>
          <w:szCs w:val="26"/>
        </w:rPr>
        <w:t xml:space="preserve">, </w:t>
      </w:r>
      <w:proofErr w:type="spellStart"/>
      <w:r w:rsidR="00645D94">
        <w:rPr>
          <w:szCs w:val="26"/>
        </w:rPr>
        <w:t>Kornhauser’s</w:t>
      </w:r>
      <w:proofErr w:type="spellEnd"/>
      <w:r w:rsidR="00645D94">
        <w:rPr>
          <w:szCs w:val="26"/>
        </w:rPr>
        <w:t xml:space="preserve"> </w:t>
      </w:r>
      <w:r w:rsidR="00215F43">
        <w:rPr>
          <w:szCs w:val="26"/>
        </w:rPr>
        <w:t>speculation is</w:t>
      </w:r>
      <w:r w:rsidR="00645D94">
        <w:rPr>
          <w:szCs w:val="26"/>
        </w:rPr>
        <w:t xml:space="preserve"> fully</w:t>
      </w:r>
      <w:r w:rsidR="000769A2">
        <w:rPr>
          <w:szCs w:val="26"/>
        </w:rPr>
        <w:t xml:space="preserve"> in keeping with the general</w:t>
      </w:r>
      <w:r w:rsidR="00D34A31">
        <w:rPr>
          <w:szCs w:val="26"/>
        </w:rPr>
        <w:t xml:space="preserve"> marginalization</w:t>
      </w:r>
      <w:r w:rsidR="00645D94">
        <w:rPr>
          <w:szCs w:val="26"/>
        </w:rPr>
        <w:t xml:space="preserve"> of critical tax scholarship</w:t>
      </w:r>
      <w:r w:rsidR="00D34A31">
        <w:rPr>
          <w:szCs w:val="26"/>
        </w:rPr>
        <w:t xml:space="preserve"> </w:t>
      </w:r>
      <w:r w:rsidR="00822613">
        <w:rPr>
          <w:szCs w:val="26"/>
        </w:rPr>
        <w:t>that continues</w:t>
      </w:r>
      <w:r w:rsidR="00E4005F">
        <w:rPr>
          <w:szCs w:val="26"/>
        </w:rPr>
        <w:t xml:space="preserve"> to this day</w:t>
      </w:r>
      <w:r w:rsidR="000769A2">
        <w:rPr>
          <w:szCs w:val="26"/>
        </w:rPr>
        <w:t>.</w:t>
      </w:r>
      <w:r w:rsidR="00822613">
        <w:rPr>
          <w:rStyle w:val="FootnoteReference"/>
          <w:szCs w:val="26"/>
        </w:rPr>
        <w:footnoteReference w:id="97"/>
      </w:r>
    </w:p>
    <w:p w14:paraId="119B9107" w14:textId="16C1AAF6" w:rsidR="00462733" w:rsidRPr="00B9549E" w:rsidRDefault="00661D44" w:rsidP="005D7DB8">
      <w:pPr>
        <w:spacing w:line="480" w:lineRule="auto"/>
        <w:rPr>
          <w:b/>
          <w:bCs/>
          <w:szCs w:val="26"/>
        </w:rPr>
      </w:pPr>
      <w:r>
        <w:rPr>
          <w:b/>
          <w:bCs/>
          <w:szCs w:val="26"/>
        </w:rPr>
        <w:t>Emerging from the Academic Shadows</w:t>
      </w:r>
    </w:p>
    <w:p w14:paraId="4A0762B9" w14:textId="02B755BD" w:rsidR="00CD777A" w:rsidRDefault="003C4010" w:rsidP="005D7DB8">
      <w:pPr>
        <w:spacing w:line="480" w:lineRule="auto"/>
        <w:ind w:firstLine="720"/>
        <w:rPr>
          <w:szCs w:val="26"/>
        </w:rPr>
      </w:pPr>
      <w:r>
        <w:rPr>
          <w:szCs w:val="26"/>
        </w:rPr>
        <w:t>R</w:t>
      </w:r>
      <w:r w:rsidR="00627783">
        <w:rPr>
          <w:szCs w:val="26"/>
        </w:rPr>
        <w:t xml:space="preserve">eflecting </w:t>
      </w:r>
      <w:r>
        <w:rPr>
          <w:szCs w:val="26"/>
        </w:rPr>
        <w:t>at the turn of the</w:t>
      </w:r>
      <w:r w:rsidR="00627783">
        <w:rPr>
          <w:szCs w:val="26"/>
        </w:rPr>
        <w:t xml:space="preserve"> twenty-first century on the role that tax law and scholarship might play in addressing the feminization of poverty</w:t>
      </w:r>
      <w:r w:rsidR="00282951">
        <w:rPr>
          <w:szCs w:val="26"/>
        </w:rPr>
        <w:t xml:space="preserve"> at a conference </w:t>
      </w:r>
      <w:r w:rsidR="00215F43">
        <w:rPr>
          <w:szCs w:val="26"/>
        </w:rPr>
        <w:t>organized</w:t>
      </w:r>
      <w:r w:rsidR="00282951">
        <w:rPr>
          <w:szCs w:val="26"/>
        </w:rPr>
        <w:t xml:space="preserve"> by the University of Iowa College of Law’s </w:t>
      </w:r>
      <w:r w:rsidR="00282951">
        <w:rPr>
          <w:i/>
          <w:iCs/>
          <w:szCs w:val="26"/>
        </w:rPr>
        <w:t>Journal of Gender, Race &amp; Justice</w:t>
      </w:r>
      <w:r w:rsidR="00627783">
        <w:rPr>
          <w:szCs w:val="26"/>
        </w:rPr>
        <w:t xml:space="preserve">, </w:t>
      </w:r>
      <w:r>
        <w:rPr>
          <w:szCs w:val="26"/>
        </w:rPr>
        <w:t xml:space="preserve">Michael Livingston </w:t>
      </w:r>
      <w:r w:rsidR="005E1F15">
        <w:rPr>
          <w:szCs w:val="26"/>
        </w:rPr>
        <w:t>noted</w:t>
      </w:r>
      <w:r>
        <w:rPr>
          <w:szCs w:val="26"/>
        </w:rPr>
        <w:t xml:space="preserve">: </w:t>
      </w:r>
      <w:r w:rsidR="00627783">
        <w:rPr>
          <w:szCs w:val="26"/>
        </w:rPr>
        <w:t>“</w:t>
      </w:r>
      <w:r w:rsidR="00832013">
        <w:rPr>
          <w:szCs w:val="26"/>
        </w:rPr>
        <w:t>I</w:t>
      </w:r>
      <w:r w:rsidR="00627783" w:rsidRPr="00D40E52">
        <w:rPr>
          <w:szCs w:val="26"/>
        </w:rPr>
        <w:t>t is also important to remember that many of today</w:t>
      </w:r>
      <w:r w:rsidR="00627783">
        <w:rPr>
          <w:szCs w:val="26"/>
        </w:rPr>
        <w:t>’</w:t>
      </w:r>
      <w:r w:rsidR="00627783" w:rsidRPr="00D40E52">
        <w:rPr>
          <w:szCs w:val="26"/>
        </w:rPr>
        <w:t>s conservative policies originated in academic discussions and that future choices will likewise be circumscribed by today</w:t>
      </w:r>
      <w:r w:rsidR="00627783">
        <w:rPr>
          <w:szCs w:val="26"/>
        </w:rPr>
        <w:t>’</w:t>
      </w:r>
      <w:r w:rsidR="00627783" w:rsidRPr="00D40E52">
        <w:rPr>
          <w:szCs w:val="26"/>
        </w:rPr>
        <w:t>s theoretical debates. These factors suggest that there is at least something to be gained from an academic reconsideration of women</w:t>
      </w:r>
      <w:r w:rsidR="00627783">
        <w:rPr>
          <w:szCs w:val="26"/>
        </w:rPr>
        <w:t>’</w:t>
      </w:r>
      <w:r w:rsidR="00627783" w:rsidRPr="00D40E52">
        <w:rPr>
          <w:szCs w:val="26"/>
        </w:rPr>
        <w:t xml:space="preserve">s and poverty issues in the tax arena. Progress in the intellectual area might have real impact on the policy process, if not immediately then several years or decades </w:t>
      </w:r>
      <w:r w:rsidR="00627783" w:rsidRPr="00D40E52">
        <w:rPr>
          <w:szCs w:val="26"/>
        </w:rPr>
        <w:lastRenderedPageBreak/>
        <w:t>down the road.</w:t>
      </w:r>
      <w:r w:rsidR="00627783">
        <w:rPr>
          <w:szCs w:val="26"/>
        </w:rPr>
        <w:t>”</w:t>
      </w:r>
      <w:r w:rsidR="00627783">
        <w:rPr>
          <w:rStyle w:val="FootnoteReference"/>
          <w:szCs w:val="26"/>
        </w:rPr>
        <w:footnoteReference w:id="98"/>
      </w:r>
      <w:r w:rsidR="00627783">
        <w:rPr>
          <w:szCs w:val="26"/>
        </w:rPr>
        <w:t xml:space="preserve"> </w:t>
      </w:r>
      <w:r w:rsidR="001353DE">
        <w:rPr>
          <w:szCs w:val="26"/>
        </w:rPr>
        <w:t xml:space="preserve">This message encouraging patience and perseverance </w:t>
      </w:r>
      <w:r w:rsidR="00686E33">
        <w:rPr>
          <w:szCs w:val="26"/>
        </w:rPr>
        <w:t xml:space="preserve">among </w:t>
      </w:r>
      <w:r w:rsidR="00B26704">
        <w:rPr>
          <w:szCs w:val="26"/>
        </w:rPr>
        <w:t xml:space="preserve">those in </w:t>
      </w:r>
      <w:r w:rsidR="00686E33">
        <w:rPr>
          <w:szCs w:val="26"/>
        </w:rPr>
        <w:t xml:space="preserve">the </w:t>
      </w:r>
      <w:r w:rsidR="00B26704">
        <w:rPr>
          <w:szCs w:val="26"/>
        </w:rPr>
        <w:t xml:space="preserve">tax </w:t>
      </w:r>
      <w:r w:rsidR="00686E33">
        <w:rPr>
          <w:szCs w:val="26"/>
        </w:rPr>
        <w:t xml:space="preserve">scholarly community </w:t>
      </w:r>
      <w:r w:rsidR="00B26704">
        <w:rPr>
          <w:szCs w:val="26"/>
        </w:rPr>
        <w:t xml:space="preserve">who are focused on issues of social justice </w:t>
      </w:r>
      <w:r w:rsidR="001353DE">
        <w:rPr>
          <w:szCs w:val="26"/>
        </w:rPr>
        <w:t>reminds us that change</w:t>
      </w:r>
      <w:r w:rsidR="00254ED8">
        <w:rPr>
          <w:szCs w:val="26"/>
        </w:rPr>
        <w:t>—</w:t>
      </w:r>
      <w:r w:rsidR="001353DE">
        <w:rPr>
          <w:szCs w:val="26"/>
        </w:rPr>
        <w:t>even when it seems to come quickly</w:t>
      </w:r>
      <w:r w:rsidR="00254ED8">
        <w:rPr>
          <w:szCs w:val="26"/>
        </w:rPr>
        <w:t>—</w:t>
      </w:r>
      <w:r w:rsidR="001353DE">
        <w:rPr>
          <w:szCs w:val="26"/>
        </w:rPr>
        <w:t>typically is preceded by much time and toil laying the groundwork for that change to occur.</w:t>
      </w:r>
      <w:r w:rsidR="00D70B19">
        <w:rPr>
          <w:szCs w:val="26"/>
        </w:rPr>
        <w:t xml:space="preserve"> It </w:t>
      </w:r>
      <w:r w:rsidR="009408B1">
        <w:rPr>
          <w:szCs w:val="26"/>
        </w:rPr>
        <w:t>appears</w:t>
      </w:r>
      <w:r w:rsidR="00D70B19">
        <w:rPr>
          <w:szCs w:val="26"/>
        </w:rPr>
        <w:t xml:space="preserve"> that we </w:t>
      </w:r>
      <w:r w:rsidR="00327B23">
        <w:rPr>
          <w:szCs w:val="26"/>
        </w:rPr>
        <w:t>are</w:t>
      </w:r>
      <w:r w:rsidR="00D70B19">
        <w:rPr>
          <w:szCs w:val="26"/>
        </w:rPr>
        <w:t xml:space="preserve"> now </w:t>
      </w:r>
      <w:r w:rsidR="00327B23">
        <w:rPr>
          <w:szCs w:val="26"/>
        </w:rPr>
        <w:t>beginning</w:t>
      </w:r>
      <w:r w:rsidR="00D70B19">
        <w:rPr>
          <w:szCs w:val="26"/>
        </w:rPr>
        <w:t xml:space="preserve"> to see the fruits of </w:t>
      </w:r>
      <w:r w:rsidR="005E1F15">
        <w:rPr>
          <w:szCs w:val="26"/>
        </w:rPr>
        <w:t xml:space="preserve">the </w:t>
      </w:r>
      <w:r w:rsidR="00D70B19">
        <w:rPr>
          <w:szCs w:val="26"/>
        </w:rPr>
        <w:t>labor</w:t>
      </w:r>
      <w:r w:rsidR="005E1F15">
        <w:rPr>
          <w:szCs w:val="26"/>
        </w:rPr>
        <w:t>,</w:t>
      </w:r>
      <w:r w:rsidR="00D70B19">
        <w:rPr>
          <w:szCs w:val="26"/>
        </w:rPr>
        <w:t xml:space="preserve"> patience</w:t>
      </w:r>
      <w:r w:rsidR="005E1F15">
        <w:rPr>
          <w:szCs w:val="26"/>
        </w:rPr>
        <w:t>,</w:t>
      </w:r>
      <w:r w:rsidR="00D70B19">
        <w:rPr>
          <w:szCs w:val="26"/>
        </w:rPr>
        <w:t xml:space="preserve"> and perseverance</w:t>
      </w:r>
      <w:r w:rsidR="005E1F15">
        <w:rPr>
          <w:szCs w:val="26"/>
        </w:rPr>
        <w:t xml:space="preserve"> of </w:t>
      </w:r>
      <w:r w:rsidR="00481CD5">
        <w:rPr>
          <w:szCs w:val="26"/>
        </w:rPr>
        <w:t xml:space="preserve">the </w:t>
      </w:r>
      <w:r w:rsidR="005E1F15">
        <w:rPr>
          <w:szCs w:val="26"/>
        </w:rPr>
        <w:t>critical tax scholars</w:t>
      </w:r>
      <w:r w:rsidR="00B26704">
        <w:rPr>
          <w:szCs w:val="26"/>
        </w:rPr>
        <w:t xml:space="preserve"> </w:t>
      </w:r>
      <w:r w:rsidR="00327B23">
        <w:rPr>
          <w:szCs w:val="26"/>
        </w:rPr>
        <w:t xml:space="preserve">who </w:t>
      </w:r>
      <w:r w:rsidR="00A4161C">
        <w:rPr>
          <w:szCs w:val="26"/>
        </w:rPr>
        <w:t xml:space="preserve">have </w:t>
      </w:r>
      <w:r w:rsidR="00AC104D">
        <w:rPr>
          <w:szCs w:val="26"/>
        </w:rPr>
        <w:t>spent the past several decades laying</w:t>
      </w:r>
      <w:r w:rsidR="00B26704">
        <w:rPr>
          <w:szCs w:val="26"/>
        </w:rPr>
        <w:t xml:space="preserve"> th</w:t>
      </w:r>
      <w:r w:rsidR="00327B23">
        <w:rPr>
          <w:szCs w:val="26"/>
        </w:rPr>
        <w:t>e</w:t>
      </w:r>
      <w:r w:rsidR="00B26704">
        <w:rPr>
          <w:szCs w:val="26"/>
        </w:rPr>
        <w:t xml:space="preserve"> groundwork</w:t>
      </w:r>
      <w:r w:rsidR="00327B23">
        <w:rPr>
          <w:szCs w:val="26"/>
        </w:rPr>
        <w:t xml:space="preserve"> for creating a more just tax system</w:t>
      </w:r>
      <w:r w:rsidR="003E6D54">
        <w:rPr>
          <w:szCs w:val="26"/>
        </w:rPr>
        <w:t xml:space="preserve"> that </w:t>
      </w:r>
      <w:r w:rsidR="00C3779C">
        <w:rPr>
          <w:szCs w:val="26"/>
        </w:rPr>
        <w:t xml:space="preserve">furthers the shared enterprise of </w:t>
      </w:r>
      <w:r w:rsidR="00CC2325">
        <w:rPr>
          <w:szCs w:val="26"/>
        </w:rPr>
        <w:t>permitt</w:t>
      </w:r>
      <w:r w:rsidR="005665E3">
        <w:rPr>
          <w:szCs w:val="26"/>
        </w:rPr>
        <w:t>ing</w:t>
      </w:r>
      <w:r w:rsidR="00D46BD1">
        <w:rPr>
          <w:szCs w:val="26"/>
        </w:rPr>
        <w:t xml:space="preserve"> </w:t>
      </w:r>
      <w:r w:rsidR="00CC2325">
        <w:rPr>
          <w:szCs w:val="26"/>
        </w:rPr>
        <w:t xml:space="preserve">all </w:t>
      </w:r>
      <w:r w:rsidR="00FC05E1">
        <w:rPr>
          <w:szCs w:val="26"/>
        </w:rPr>
        <w:t>members of our society</w:t>
      </w:r>
      <w:r w:rsidR="003E6D54">
        <w:rPr>
          <w:szCs w:val="26"/>
        </w:rPr>
        <w:t xml:space="preserve"> to lead full and rewarding lives</w:t>
      </w:r>
      <w:r w:rsidR="00D70B19">
        <w:rPr>
          <w:szCs w:val="26"/>
        </w:rPr>
        <w:t>.</w:t>
      </w:r>
    </w:p>
    <w:p w14:paraId="17548417" w14:textId="3BF5C064" w:rsidR="00D70B19" w:rsidRDefault="00570577" w:rsidP="005D7DB8">
      <w:pPr>
        <w:spacing w:line="480" w:lineRule="auto"/>
        <w:ind w:firstLine="720"/>
        <w:rPr>
          <w:szCs w:val="26"/>
        </w:rPr>
      </w:pPr>
      <w:r>
        <w:rPr>
          <w:szCs w:val="26"/>
        </w:rPr>
        <w:t>Encouragingly, c</w:t>
      </w:r>
      <w:r w:rsidR="00A94C27">
        <w:rPr>
          <w:szCs w:val="26"/>
        </w:rPr>
        <w:t>ritical</w:t>
      </w:r>
      <w:r w:rsidR="00702E96">
        <w:rPr>
          <w:szCs w:val="26"/>
        </w:rPr>
        <w:t xml:space="preserve"> tax</w:t>
      </w:r>
      <w:r w:rsidR="00A94C27">
        <w:rPr>
          <w:szCs w:val="26"/>
        </w:rPr>
        <w:t xml:space="preserve"> perspectives have </w:t>
      </w:r>
      <w:r w:rsidR="00025A64">
        <w:rPr>
          <w:szCs w:val="26"/>
        </w:rPr>
        <w:t xml:space="preserve">begun to </w:t>
      </w:r>
      <w:r w:rsidR="0025092C">
        <w:rPr>
          <w:szCs w:val="26"/>
        </w:rPr>
        <w:t>find</w:t>
      </w:r>
      <w:r w:rsidR="00A94C27">
        <w:rPr>
          <w:szCs w:val="26"/>
        </w:rPr>
        <w:t xml:space="preserve"> </w:t>
      </w:r>
      <w:r w:rsidR="007721E3">
        <w:rPr>
          <w:szCs w:val="26"/>
        </w:rPr>
        <w:t>resonance</w:t>
      </w:r>
      <w:r w:rsidR="008A6017">
        <w:rPr>
          <w:szCs w:val="26"/>
        </w:rPr>
        <w:t xml:space="preserve"> outside of </w:t>
      </w:r>
      <w:r w:rsidR="00120A27">
        <w:rPr>
          <w:szCs w:val="26"/>
        </w:rPr>
        <w:t>tax</w:t>
      </w:r>
      <w:r w:rsidR="008A6017">
        <w:rPr>
          <w:szCs w:val="26"/>
        </w:rPr>
        <w:t xml:space="preserve"> academia</w:t>
      </w:r>
      <w:r w:rsidR="00A94C27">
        <w:rPr>
          <w:szCs w:val="26"/>
        </w:rPr>
        <w:t xml:space="preserve">. </w:t>
      </w:r>
      <w:r w:rsidR="00D70B19">
        <w:rPr>
          <w:szCs w:val="26"/>
        </w:rPr>
        <w:t xml:space="preserve">As </w:t>
      </w:r>
      <w:r w:rsidR="00A94C27">
        <w:rPr>
          <w:szCs w:val="26"/>
        </w:rPr>
        <w:t>N</w:t>
      </w:r>
      <w:r w:rsidR="00D70B19">
        <w:rPr>
          <w:szCs w:val="26"/>
        </w:rPr>
        <w:t xml:space="preserve">ancy Knauer has </w:t>
      </w:r>
      <w:r w:rsidR="005E1F15">
        <w:rPr>
          <w:szCs w:val="26"/>
        </w:rPr>
        <w:t>observed:</w:t>
      </w:r>
    </w:p>
    <w:p w14:paraId="03E10426" w14:textId="251C5D1E" w:rsidR="00D70B19" w:rsidRDefault="00D70B19" w:rsidP="00274A60">
      <w:pPr>
        <w:ind w:left="720" w:right="720"/>
        <w:rPr>
          <w:szCs w:val="26"/>
        </w:rPr>
      </w:pPr>
      <w:r w:rsidRPr="00391D8C">
        <w:rPr>
          <w:szCs w:val="26"/>
        </w:rPr>
        <w:t xml:space="preserve">Despite </w:t>
      </w:r>
      <w:r w:rsidR="009A5DB9">
        <w:rPr>
          <w:szCs w:val="26"/>
        </w:rPr>
        <w:t>[its]</w:t>
      </w:r>
      <w:r w:rsidR="009A5DB9" w:rsidRPr="00391D8C">
        <w:rPr>
          <w:szCs w:val="26"/>
        </w:rPr>
        <w:t xml:space="preserve"> </w:t>
      </w:r>
      <w:r w:rsidRPr="00391D8C">
        <w:rPr>
          <w:szCs w:val="26"/>
        </w:rPr>
        <w:t xml:space="preserve">inauspicious reception, many of the insights of critical tax theory now find support in international practices such as gender mainstreaming and gender-sensitive budgeting. Moreover, the prime assertion of critical tax theorists that tax is political has received widespread national attention in connection with </w:t>
      </w:r>
      <w:r w:rsidRPr="00391D8C">
        <w:rPr>
          <w:i/>
          <w:iCs/>
          <w:szCs w:val="26"/>
        </w:rPr>
        <w:t>United States v. Windsor</w:t>
      </w:r>
      <w:r w:rsidRPr="00391D8C">
        <w:rPr>
          <w:szCs w:val="26"/>
        </w:rPr>
        <w:t>, the groundbreaking U.S. Supreme Court case that challenged the constitutionality of the Defense of Marriage Act (DOMA). As it turns out, one of the most important civil rights cases of this generation was a tax case involving the exclusion of same-sex married couples from the marital deduction provisions under the federal estate tax.</w:t>
      </w:r>
      <w:r>
        <w:rPr>
          <w:rStyle w:val="FootnoteReference"/>
          <w:szCs w:val="26"/>
        </w:rPr>
        <w:footnoteReference w:id="99"/>
      </w:r>
    </w:p>
    <w:p w14:paraId="47BCB3D4" w14:textId="77777777" w:rsidR="00274A60" w:rsidRDefault="00274A60" w:rsidP="00274A60">
      <w:pPr>
        <w:ind w:left="720" w:right="720"/>
        <w:rPr>
          <w:szCs w:val="26"/>
        </w:rPr>
      </w:pPr>
    </w:p>
    <w:p w14:paraId="3205BD0A" w14:textId="3E444629" w:rsidR="00CD777A" w:rsidRDefault="00D906B9" w:rsidP="005D7DB8">
      <w:pPr>
        <w:spacing w:line="480" w:lineRule="auto"/>
        <w:ind w:firstLine="720"/>
        <w:rPr>
          <w:szCs w:val="26"/>
        </w:rPr>
      </w:pPr>
      <w:r>
        <w:rPr>
          <w:szCs w:val="26"/>
        </w:rPr>
        <w:t>C</w:t>
      </w:r>
      <w:r w:rsidR="007A277E">
        <w:rPr>
          <w:szCs w:val="26"/>
        </w:rPr>
        <w:t xml:space="preserve">ritical tax perspectives have </w:t>
      </w:r>
      <w:r>
        <w:rPr>
          <w:szCs w:val="26"/>
        </w:rPr>
        <w:t xml:space="preserve">also </w:t>
      </w:r>
      <w:r w:rsidR="007A277E">
        <w:rPr>
          <w:szCs w:val="26"/>
        </w:rPr>
        <w:t>be</w:t>
      </w:r>
      <w:r>
        <w:rPr>
          <w:szCs w:val="26"/>
        </w:rPr>
        <w:t>gu</w:t>
      </w:r>
      <w:r w:rsidR="007A277E">
        <w:rPr>
          <w:szCs w:val="26"/>
        </w:rPr>
        <w:t>n</w:t>
      </w:r>
      <w:r w:rsidR="003449C0">
        <w:rPr>
          <w:szCs w:val="26"/>
        </w:rPr>
        <w:t>, albeit slowly,</w:t>
      </w:r>
      <w:r>
        <w:rPr>
          <w:szCs w:val="26"/>
        </w:rPr>
        <w:t xml:space="preserve"> to</w:t>
      </w:r>
      <w:r w:rsidR="007A277E">
        <w:rPr>
          <w:szCs w:val="26"/>
        </w:rPr>
        <w:t xml:space="preserve"> seep into </w:t>
      </w:r>
      <w:r w:rsidR="00AD1060">
        <w:rPr>
          <w:szCs w:val="26"/>
        </w:rPr>
        <w:t>the</w:t>
      </w:r>
      <w:r w:rsidR="007A277E">
        <w:rPr>
          <w:szCs w:val="26"/>
        </w:rPr>
        <w:t xml:space="preserve"> general tax policy d</w:t>
      </w:r>
      <w:r w:rsidR="00AD1060">
        <w:rPr>
          <w:szCs w:val="26"/>
        </w:rPr>
        <w:t>iscourse</w:t>
      </w:r>
      <w:r w:rsidR="00A94C27">
        <w:rPr>
          <w:szCs w:val="26"/>
        </w:rPr>
        <w:t xml:space="preserve"> in the United States</w:t>
      </w:r>
      <w:r w:rsidR="007A277E">
        <w:rPr>
          <w:szCs w:val="26"/>
        </w:rPr>
        <w:t>.</w:t>
      </w:r>
      <w:r w:rsidR="00C67FAF">
        <w:rPr>
          <w:szCs w:val="26"/>
        </w:rPr>
        <w:t xml:space="preserve"> </w:t>
      </w:r>
      <w:r w:rsidR="005B56E4">
        <w:rPr>
          <w:szCs w:val="26"/>
        </w:rPr>
        <w:t>For instance, under the leadership of its managing director Caroline Bruckner, the Tax Policy Center at American University’s Kogod School of Business produced an important report in 2017 regarding the impact of tax law on women</w:t>
      </w:r>
      <w:r w:rsidR="000F0272">
        <w:rPr>
          <w:szCs w:val="26"/>
        </w:rPr>
        <w:t>-o</w:t>
      </w:r>
      <w:r w:rsidR="00695BF9">
        <w:rPr>
          <w:szCs w:val="26"/>
        </w:rPr>
        <w:t>wne</w:t>
      </w:r>
      <w:r w:rsidR="000F0272">
        <w:rPr>
          <w:szCs w:val="26"/>
        </w:rPr>
        <w:t>d businesse</w:t>
      </w:r>
      <w:r w:rsidR="005B56E4">
        <w:rPr>
          <w:szCs w:val="26"/>
        </w:rPr>
        <w:t>s.</w:t>
      </w:r>
      <w:r w:rsidR="001956C2">
        <w:rPr>
          <w:rStyle w:val="FootnoteReference"/>
          <w:szCs w:val="26"/>
        </w:rPr>
        <w:footnoteReference w:id="100"/>
      </w:r>
      <w:r w:rsidR="005B56E4">
        <w:rPr>
          <w:szCs w:val="26"/>
        </w:rPr>
        <w:t xml:space="preserve"> The report, </w:t>
      </w:r>
      <w:r w:rsidR="005B56E4">
        <w:rPr>
          <w:i/>
          <w:iCs/>
          <w:szCs w:val="26"/>
        </w:rPr>
        <w:t xml:space="preserve">Billion Dollar Blind Spot: How the U.S. Tax Code’s Small Business </w:t>
      </w:r>
      <w:r w:rsidR="005B56E4">
        <w:rPr>
          <w:i/>
          <w:iCs/>
          <w:szCs w:val="26"/>
        </w:rPr>
        <w:lastRenderedPageBreak/>
        <w:t>Expenditures Impact Women Business Owners</w:t>
      </w:r>
      <w:r w:rsidR="005B56E4">
        <w:rPr>
          <w:szCs w:val="26"/>
        </w:rPr>
        <w:t>,</w:t>
      </w:r>
      <w:r w:rsidR="00933473">
        <w:rPr>
          <w:szCs w:val="26"/>
        </w:rPr>
        <w:t xml:space="preserve"> demonstrated the misalignment between several</w:t>
      </w:r>
      <w:r w:rsidR="00353DA6">
        <w:rPr>
          <w:szCs w:val="26"/>
        </w:rPr>
        <w:t xml:space="preserve"> </w:t>
      </w:r>
      <w:r w:rsidR="00933473">
        <w:rPr>
          <w:szCs w:val="26"/>
        </w:rPr>
        <w:t xml:space="preserve">small-business </w:t>
      </w:r>
      <w:r w:rsidR="00353DA6">
        <w:rPr>
          <w:szCs w:val="26"/>
        </w:rPr>
        <w:t xml:space="preserve">tax expenditures </w:t>
      </w:r>
      <w:r w:rsidR="00933473">
        <w:rPr>
          <w:szCs w:val="26"/>
        </w:rPr>
        <w:t xml:space="preserve">and the types of businesses </w:t>
      </w:r>
      <w:r w:rsidR="00B71B99">
        <w:rPr>
          <w:szCs w:val="26"/>
        </w:rPr>
        <w:t>that</w:t>
      </w:r>
      <w:r w:rsidR="00933473">
        <w:rPr>
          <w:szCs w:val="26"/>
        </w:rPr>
        <w:t xml:space="preserve"> women business owners</w:t>
      </w:r>
      <w:r w:rsidR="00B71B99">
        <w:rPr>
          <w:szCs w:val="26"/>
        </w:rPr>
        <w:t xml:space="preserve"> operate</w:t>
      </w:r>
      <w:r w:rsidR="00933473">
        <w:rPr>
          <w:szCs w:val="26"/>
        </w:rPr>
        <w:t>.</w:t>
      </w:r>
      <w:bookmarkStart w:id="17" w:name="_Ref43029306"/>
      <w:r w:rsidR="00933473">
        <w:rPr>
          <w:rStyle w:val="FootnoteReference"/>
          <w:szCs w:val="26"/>
        </w:rPr>
        <w:footnoteReference w:id="101"/>
      </w:r>
      <w:bookmarkEnd w:id="17"/>
      <w:r w:rsidR="00933473">
        <w:rPr>
          <w:szCs w:val="26"/>
        </w:rPr>
        <w:t xml:space="preserve"> </w:t>
      </w:r>
      <w:r w:rsidR="00976950">
        <w:rPr>
          <w:szCs w:val="26"/>
        </w:rPr>
        <w:t>T</w:t>
      </w:r>
      <w:r w:rsidR="00933473">
        <w:rPr>
          <w:szCs w:val="26"/>
        </w:rPr>
        <w:t>he report found that “</w:t>
      </w:r>
      <w:r w:rsidR="00933473" w:rsidRPr="00933473">
        <w:rPr>
          <w:szCs w:val="26"/>
        </w:rPr>
        <w:t>Congress and stakeholders have a</w:t>
      </w:r>
      <w:r w:rsidR="00A40816">
        <w:rPr>
          <w:szCs w:val="26"/>
        </w:rPr>
        <w:t xml:space="preserve"> </w:t>
      </w:r>
      <w:r w:rsidR="00933473" w:rsidRPr="00933473">
        <w:rPr>
          <w:szCs w:val="26"/>
        </w:rPr>
        <w:t>billion dollar blind spot when it comes to understanding how effective</w:t>
      </w:r>
      <w:r w:rsidR="00A40816">
        <w:rPr>
          <w:szCs w:val="26"/>
        </w:rPr>
        <w:t xml:space="preserve"> </w:t>
      </w:r>
      <w:r w:rsidR="00933473" w:rsidRPr="00933473">
        <w:rPr>
          <w:szCs w:val="26"/>
        </w:rPr>
        <w:t>small business tax expenditures are with respect to women-owned firms.</w:t>
      </w:r>
      <w:r w:rsidR="00A40816">
        <w:rPr>
          <w:szCs w:val="26"/>
        </w:rPr>
        <w:t xml:space="preserve"> </w:t>
      </w:r>
      <w:r w:rsidR="00933473" w:rsidRPr="00933473">
        <w:rPr>
          <w:szCs w:val="26"/>
        </w:rPr>
        <w:t>This blind spot is primarily attributable to an absence of existing tax</w:t>
      </w:r>
      <w:r w:rsidR="00A40816">
        <w:rPr>
          <w:szCs w:val="26"/>
        </w:rPr>
        <w:t xml:space="preserve"> </w:t>
      </w:r>
      <w:r w:rsidR="00933473" w:rsidRPr="00933473">
        <w:rPr>
          <w:szCs w:val="26"/>
        </w:rPr>
        <w:t>research on women-owned firms and indicates Congress doesn’t have</w:t>
      </w:r>
      <w:r w:rsidR="00A40816">
        <w:rPr>
          <w:szCs w:val="26"/>
        </w:rPr>
        <w:t xml:space="preserve"> </w:t>
      </w:r>
      <w:r w:rsidR="00933473" w:rsidRPr="00933473">
        <w:rPr>
          <w:szCs w:val="26"/>
        </w:rPr>
        <w:t>the information necessary to make evidence-based tax policy decisions</w:t>
      </w:r>
      <w:r w:rsidR="00A40816">
        <w:rPr>
          <w:szCs w:val="26"/>
        </w:rPr>
        <w:t xml:space="preserve"> </w:t>
      </w:r>
      <w:r w:rsidR="00933473" w:rsidRPr="00933473">
        <w:rPr>
          <w:szCs w:val="26"/>
        </w:rPr>
        <w:t>with respect to women-owned firms.</w:t>
      </w:r>
      <w:r w:rsidR="00A40816">
        <w:rPr>
          <w:szCs w:val="26"/>
        </w:rPr>
        <w:t>”</w:t>
      </w:r>
      <w:r w:rsidR="00A40816">
        <w:rPr>
          <w:rStyle w:val="FootnoteReference"/>
          <w:szCs w:val="26"/>
        </w:rPr>
        <w:footnoteReference w:id="102"/>
      </w:r>
    </w:p>
    <w:p w14:paraId="4D52DA96" w14:textId="51E1DED3" w:rsidR="001956C2" w:rsidRDefault="00976950" w:rsidP="005D7DB8">
      <w:pPr>
        <w:spacing w:line="480" w:lineRule="auto"/>
        <w:ind w:firstLine="720"/>
        <w:rPr>
          <w:szCs w:val="26"/>
        </w:rPr>
      </w:pPr>
      <w:r>
        <w:rPr>
          <w:szCs w:val="26"/>
        </w:rPr>
        <w:t xml:space="preserve">Importantly, </w:t>
      </w:r>
      <w:r w:rsidR="00E556FA">
        <w:rPr>
          <w:szCs w:val="26"/>
        </w:rPr>
        <w:t>the results of this research reach</w:t>
      </w:r>
      <w:r w:rsidR="0040397B">
        <w:rPr>
          <w:szCs w:val="26"/>
        </w:rPr>
        <w:t>ed</w:t>
      </w:r>
      <w:r w:rsidR="00E556FA">
        <w:rPr>
          <w:szCs w:val="26"/>
        </w:rPr>
        <w:t xml:space="preserve"> the halls of Congress.</w:t>
      </w:r>
      <w:r w:rsidR="0057100C">
        <w:rPr>
          <w:szCs w:val="26"/>
        </w:rPr>
        <w:t xml:space="preserve"> </w:t>
      </w:r>
      <w:r w:rsidR="00010685">
        <w:rPr>
          <w:szCs w:val="26"/>
        </w:rPr>
        <w:t xml:space="preserve">Bruckner testified regarding the report’s findings before the House Committee on Small Business in 2017 and again </w:t>
      </w:r>
      <w:r w:rsidR="0057100C">
        <w:rPr>
          <w:szCs w:val="26"/>
        </w:rPr>
        <w:t xml:space="preserve">before the Senate Committee on Small Business and Entrepreneurship </w:t>
      </w:r>
      <w:r w:rsidR="00010685">
        <w:rPr>
          <w:szCs w:val="26"/>
        </w:rPr>
        <w:t>in 2018</w:t>
      </w:r>
      <w:r w:rsidR="00CD093B">
        <w:rPr>
          <w:szCs w:val="26"/>
        </w:rPr>
        <w:t>.</w:t>
      </w:r>
      <w:r w:rsidR="00CD093B">
        <w:rPr>
          <w:rStyle w:val="FootnoteReference"/>
          <w:szCs w:val="26"/>
        </w:rPr>
        <w:footnoteReference w:id="103"/>
      </w:r>
      <w:r w:rsidR="00E556FA">
        <w:rPr>
          <w:szCs w:val="26"/>
        </w:rPr>
        <w:t xml:space="preserve"> </w:t>
      </w:r>
      <w:r w:rsidR="003F5D40">
        <w:rPr>
          <w:szCs w:val="26"/>
        </w:rPr>
        <w:t>Then, i</w:t>
      </w:r>
      <w:r w:rsidR="00E556FA">
        <w:rPr>
          <w:szCs w:val="26"/>
        </w:rPr>
        <w:t>n 2019, Bruckner testified before the House Budget Committee on the report’s findings</w:t>
      </w:r>
      <w:r w:rsidR="00405FC6">
        <w:rPr>
          <w:szCs w:val="26"/>
        </w:rPr>
        <w:t xml:space="preserve"> as part of </w:t>
      </w:r>
      <w:r w:rsidR="00D5179E">
        <w:rPr>
          <w:szCs w:val="26"/>
        </w:rPr>
        <w:t>that committee’s</w:t>
      </w:r>
      <w:r w:rsidR="00405FC6">
        <w:rPr>
          <w:szCs w:val="26"/>
        </w:rPr>
        <w:t xml:space="preserve"> review of the impact of the 2017 Tax Cuts and Jobs Act</w:t>
      </w:r>
      <w:r w:rsidR="00E556FA">
        <w:rPr>
          <w:szCs w:val="26"/>
        </w:rPr>
        <w:t>.</w:t>
      </w:r>
      <w:r w:rsidR="002F46D0">
        <w:rPr>
          <w:rStyle w:val="FootnoteReference"/>
          <w:szCs w:val="26"/>
        </w:rPr>
        <w:footnoteReference w:id="104"/>
      </w:r>
      <w:r w:rsidR="008347D7">
        <w:rPr>
          <w:szCs w:val="26"/>
        </w:rPr>
        <w:t xml:space="preserve"> </w:t>
      </w:r>
      <w:r w:rsidR="00F009EC">
        <w:rPr>
          <w:szCs w:val="26"/>
        </w:rPr>
        <w:t>The staff of the House Budget Committee then included a summary of Bruckner’s testimony in its report on the hearing that was posted on the committee’s website</w:t>
      </w:r>
      <w:r w:rsidR="009E31E0">
        <w:rPr>
          <w:szCs w:val="26"/>
        </w:rPr>
        <w:t xml:space="preserve"> for wider dissemination</w:t>
      </w:r>
      <w:r w:rsidR="00F009EC">
        <w:rPr>
          <w:szCs w:val="26"/>
        </w:rPr>
        <w:t>.</w:t>
      </w:r>
      <w:r w:rsidR="00F009EC">
        <w:rPr>
          <w:rStyle w:val="FootnoteReference"/>
          <w:szCs w:val="26"/>
        </w:rPr>
        <w:footnoteReference w:id="105"/>
      </w:r>
      <w:r w:rsidR="003649B5">
        <w:rPr>
          <w:szCs w:val="26"/>
        </w:rPr>
        <w:t xml:space="preserve"> </w:t>
      </w:r>
      <w:r w:rsidR="003449C0">
        <w:rPr>
          <w:szCs w:val="26"/>
        </w:rPr>
        <w:t>Although this may seem like a very small step, the fact t</w:t>
      </w:r>
      <w:r w:rsidR="004467CD">
        <w:rPr>
          <w:szCs w:val="26"/>
        </w:rPr>
        <w:t>hat</w:t>
      </w:r>
      <w:r w:rsidR="003649B5">
        <w:rPr>
          <w:szCs w:val="26"/>
        </w:rPr>
        <w:t xml:space="preserve"> </w:t>
      </w:r>
      <w:r w:rsidR="0073471A">
        <w:rPr>
          <w:szCs w:val="26"/>
        </w:rPr>
        <w:t xml:space="preserve">legislators did not simply ignore or dismiss out of hand </w:t>
      </w:r>
      <w:r w:rsidR="003649B5">
        <w:rPr>
          <w:szCs w:val="26"/>
        </w:rPr>
        <w:t>research illuminat</w:t>
      </w:r>
      <w:r w:rsidR="004467CD">
        <w:rPr>
          <w:szCs w:val="26"/>
        </w:rPr>
        <w:t>ing</w:t>
      </w:r>
      <w:r w:rsidR="003649B5">
        <w:rPr>
          <w:szCs w:val="26"/>
        </w:rPr>
        <w:t xml:space="preserve"> </w:t>
      </w:r>
      <w:r w:rsidR="00C31651">
        <w:rPr>
          <w:szCs w:val="26"/>
        </w:rPr>
        <w:t>the</w:t>
      </w:r>
      <w:r w:rsidR="003649B5">
        <w:rPr>
          <w:szCs w:val="26"/>
        </w:rPr>
        <w:t xml:space="preserve"> gendered dimensions of business-related tax </w:t>
      </w:r>
      <w:r w:rsidR="00C31651">
        <w:rPr>
          <w:szCs w:val="26"/>
        </w:rPr>
        <w:t>reforms</w:t>
      </w:r>
      <w:r w:rsidR="004467CD">
        <w:rPr>
          <w:szCs w:val="26"/>
        </w:rPr>
        <w:t xml:space="preserve"> </w:t>
      </w:r>
      <w:r w:rsidR="0073471A">
        <w:rPr>
          <w:szCs w:val="26"/>
        </w:rPr>
        <w:t>i</w:t>
      </w:r>
      <w:r w:rsidR="004467CD">
        <w:rPr>
          <w:szCs w:val="26"/>
        </w:rPr>
        <w:t>s</w:t>
      </w:r>
      <w:r w:rsidR="00C31651">
        <w:rPr>
          <w:szCs w:val="26"/>
        </w:rPr>
        <w:t xml:space="preserve"> an important </w:t>
      </w:r>
      <w:r w:rsidR="00C31651">
        <w:rPr>
          <w:szCs w:val="26"/>
        </w:rPr>
        <w:lastRenderedPageBreak/>
        <w:t>indication that lawmakers are</w:t>
      </w:r>
      <w:r w:rsidR="0073471A">
        <w:rPr>
          <w:szCs w:val="26"/>
        </w:rPr>
        <w:t xml:space="preserve"> </w:t>
      </w:r>
      <w:r w:rsidR="00A41FAC">
        <w:rPr>
          <w:szCs w:val="26"/>
        </w:rPr>
        <w:t xml:space="preserve">finally </w:t>
      </w:r>
      <w:r w:rsidR="006016EC">
        <w:rPr>
          <w:szCs w:val="26"/>
        </w:rPr>
        <w:t>beginning to</w:t>
      </w:r>
      <w:r w:rsidR="00C31651">
        <w:rPr>
          <w:szCs w:val="26"/>
        </w:rPr>
        <w:t xml:space="preserve"> open</w:t>
      </w:r>
      <w:r w:rsidR="0073471A">
        <w:rPr>
          <w:szCs w:val="26"/>
        </w:rPr>
        <w:t xml:space="preserve"> their minds</w:t>
      </w:r>
      <w:r w:rsidR="00C31651">
        <w:rPr>
          <w:szCs w:val="26"/>
        </w:rPr>
        <w:t xml:space="preserve"> to the gendered dimensions of tax law.</w:t>
      </w:r>
      <w:r w:rsidR="00B7619C">
        <w:rPr>
          <w:szCs w:val="26"/>
        </w:rPr>
        <w:t xml:space="preserve"> </w:t>
      </w:r>
    </w:p>
    <w:p w14:paraId="109D3A99" w14:textId="68282E4D" w:rsidR="00941520" w:rsidRDefault="00E06EC6" w:rsidP="005D7DB8">
      <w:pPr>
        <w:spacing w:line="480" w:lineRule="auto"/>
        <w:ind w:firstLine="720"/>
        <w:rPr>
          <w:szCs w:val="26"/>
        </w:rPr>
      </w:pPr>
      <w:r>
        <w:rPr>
          <w:szCs w:val="26"/>
        </w:rPr>
        <w:t>Nongovernmental organizations</w:t>
      </w:r>
      <w:r w:rsidR="00F26AC1">
        <w:rPr>
          <w:szCs w:val="26"/>
        </w:rPr>
        <w:t xml:space="preserve"> in the United States</w:t>
      </w:r>
      <w:r>
        <w:rPr>
          <w:szCs w:val="26"/>
        </w:rPr>
        <w:t xml:space="preserve"> also seem to be waking up to the importance of tax</w:t>
      </w:r>
      <w:r w:rsidR="00F26AC1">
        <w:rPr>
          <w:szCs w:val="26"/>
        </w:rPr>
        <w:t xml:space="preserve"> law in</w:t>
      </w:r>
      <w:r>
        <w:rPr>
          <w:szCs w:val="26"/>
        </w:rPr>
        <w:t xml:space="preserve"> discussions of </w:t>
      </w:r>
      <w:r w:rsidR="00F26AC1">
        <w:rPr>
          <w:szCs w:val="26"/>
        </w:rPr>
        <w:t xml:space="preserve">gender </w:t>
      </w:r>
      <w:r>
        <w:rPr>
          <w:szCs w:val="26"/>
        </w:rPr>
        <w:t>inequalit</w:t>
      </w:r>
      <w:r w:rsidR="00F26AC1">
        <w:rPr>
          <w:szCs w:val="26"/>
        </w:rPr>
        <w:t>y</w:t>
      </w:r>
      <w:r>
        <w:rPr>
          <w:szCs w:val="26"/>
        </w:rPr>
        <w:t>. I</w:t>
      </w:r>
      <w:r w:rsidR="007D54CC">
        <w:rPr>
          <w:szCs w:val="26"/>
        </w:rPr>
        <w:t>n November 2019,</w:t>
      </w:r>
      <w:r w:rsidR="005109BB">
        <w:rPr>
          <w:szCs w:val="26"/>
        </w:rPr>
        <w:t xml:space="preserve"> </w:t>
      </w:r>
      <w:r w:rsidR="00F52D25">
        <w:rPr>
          <w:szCs w:val="26"/>
        </w:rPr>
        <w:t xml:space="preserve">the National Women’s Law Center </w:t>
      </w:r>
      <w:r w:rsidR="00D74136">
        <w:rPr>
          <w:szCs w:val="26"/>
        </w:rPr>
        <w:t xml:space="preserve">(NWLC) </w:t>
      </w:r>
      <w:r w:rsidR="00F52D25">
        <w:rPr>
          <w:szCs w:val="26"/>
        </w:rPr>
        <w:t>produced a series of reports on the theme of “Tax Justice Is Gender Justice”</w:t>
      </w:r>
      <w:r w:rsidR="00325A74">
        <w:rPr>
          <w:szCs w:val="26"/>
        </w:rPr>
        <w:t xml:space="preserve"> (but with the far catchier tagline “</w:t>
      </w:r>
      <w:r w:rsidR="00FD18DF">
        <w:rPr>
          <w:szCs w:val="26"/>
        </w:rPr>
        <w:t>T</w:t>
      </w:r>
      <w:r w:rsidR="00325A74">
        <w:rPr>
          <w:szCs w:val="26"/>
        </w:rPr>
        <w:t xml:space="preserve">ax the </w:t>
      </w:r>
      <w:r w:rsidR="00FD18DF">
        <w:rPr>
          <w:szCs w:val="26"/>
        </w:rPr>
        <w:t>P</w:t>
      </w:r>
      <w:r w:rsidR="00325A74">
        <w:rPr>
          <w:szCs w:val="26"/>
        </w:rPr>
        <w:t>atriarchy”).</w:t>
      </w:r>
      <w:r w:rsidR="001448DB">
        <w:rPr>
          <w:rStyle w:val="FootnoteReference"/>
          <w:szCs w:val="26"/>
        </w:rPr>
        <w:footnoteReference w:id="106"/>
      </w:r>
      <w:r w:rsidR="00F9096E">
        <w:rPr>
          <w:szCs w:val="26"/>
        </w:rPr>
        <w:t xml:space="preserve"> </w:t>
      </w:r>
      <w:r w:rsidR="00D74136">
        <w:rPr>
          <w:szCs w:val="26"/>
        </w:rPr>
        <w:t>The three reports—</w:t>
      </w:r>
      <w:r w:rsidR="00D74136">
        <w:rPr>
          <w:i/>
          <w:iCs/>
          <w:szCs w:val="26"/>
        </w:rPr>
        <w:t>The Faulty Foundations of the Code</w:t>
      </w:r>
      <w:r w:rsidR="00D74136">
        <w:rPr>
          <w:szCs w:val="26"/>
        </w:rPr>
        <w:t>,</w:t>
      </w:r>
      <w:r w:rsidR="00D74136">
        <w:rPr>
          <w:rStyle w:val="FootnoteReference"/>
          <w:szCs w:val="26"/>
        </w:rPr>
        <w:footnoteReference w:id="107"/>
      </w:r>
      <w:r w:rsidR="00D74136">
        <w:rPr>
          <w:szCs w:val="26"/>
        </w:rPr>
        <w:t xml:space="preserve"> </w:t>
      </w:r>
      <w:r w:rsidR="00D74136">
        <w:rPr>
          <w:i/>
          <w:iCs/>
          <w:szCs w:val="26"/>
        </w:rPr>
        <w:t>Reckoning with the Hidden Rules of Gender in the Tax Code</w:t>
      </w:r>
      <w:r w:rsidR="00D74136">
        <w:rPr>
          <w:szCs w:val="26"/>
        </w:rPr>
        <w:t>,</w:t>
      </w:r>
      <w:r w:rsidR="000F543F">
        <w:rPr>
          <w:rStyle w:val="FootnoteReference"/>
          <w:szCs w:val="26"/>
        </w:rPr>
        <w:footnoteReference w:id="108"/>
      </w:r>
      <w:r w:rsidR="00D74136">
        <w:rPr>
          <w:szCs w:val="26"/>
        </w:rPr>
        <w:t xml:space="preserve"> and </w:t>
      </w:r>
      <w:r w:rsidR="00D74136">
        <w:rPr>
          <w:i/>
          <w:iCs/>
          <w:szCs w:val="26"/>
        </w:rPr>
        <w:t>A Tax Code for the Rest of Us</w:t>
      </w:r>
      <w:r w:rsidR="00752857">
        <w:rPr>
          <w:rStyle w:val="FootnoteReference"/>
          <w:i/>
          <w:iCs/>
          <w:szCs w:val="26"/>
        </w:rPr>
        <w:footnoteReference w:id="109"/>
      </w:r>
      <w:r w:rsidR="00D74136">
        <w:rPr>
          <w:szCs w:val="26"/>
        </w:rPr>
        <w:t xml:space="preserve">—were the product of a truly collaborative effort. </w:t>
      </w:r>
      <w:r w:rsidR="00680208">
        <w:rPr>
          <w:szCs w:val="26"/>
        </w:rPr>
        <w:t xml:space="preserve">In the early stages of </w:t>
      </w:r>
      <w:r w:rsidR="00B149EB">
        <w:rPr>
          <w:szCs w:val="26"/>
        </w:rPr>
        <w:t>planning</w:t>
      </w:r>
      <w:r w:rsidR="00680208">
        <w:rPr>
          <w:szCs w:val="26"/>
        </w:rPr>
        <w:t xml:space="preserve"> this project, NWLC contacted critical tax </w:t>
      </w:r>
      <w:r w:rsidR="00A66A4B">
        <w:rPr>
          <w:szCs w:val="26"/>
        </w:rPr>
        <w:t>scholars</w:t>
      </w:r>
      <w:r w:rsidR="00680208">
        <w:rPr>
          <w:szCs w:val="26"/>
        </w:rPr>
        <w:t xml:space="preserve"> (including both of the authors of this chapter) to gauge their receptivity to the project and to obtain their advice and expertise</w:t>
      </w:r>
      <w:r w:rsidR="009749D3">
        <w:rPr>
          <w:szCs w:val="26"/>
        </w:rPr>
        <w:t xml:space="preserve"> as the contours of the project were brought into focus</w:t>
      </w:r>
      <w:r w:rsidR="00680208">
        <w:rPr>
          <w:szCs w:val="26"/>
        </w:rPr>
        <w:t xml:space="preserve">. Then, </w:t>
      </w:r>
      <w:r w:rsidR="000A6729">
        <w:rPr>
          <w:szCs w:val="26"/>
        </w:rPr>
        <w:t>draft</w:t>
      </w:r>
      <w:r w:rsidR="00D74136">
        <w:rPr>
          <w:szCs w:val="26"/>
        </w:rPr>
        <w:t xml:space="preserve"> reports were </w:t>
      </w:r>
      <w:r w:rsidR="000A6729">
        <w:rPr>
          <w:szCs w:val="26"/>
        </w:rPr>
        <w:t>written</w:t>
      </w:r>
      <w:r w:rsidR="00D74136">
        <w:rPr>
          <w:szCs w:val="26"/>
        </w:rPr>
        <w:t xml:space="preserve"> by teams </w:t>
      </w:r>
      <w:r w:rsidR="000A6729">
        <w:rPr>
          <w:szCs w:val="26"/>
        </w:rPr>
        <w:t xml:space="preserve">of authors </w:t>
      </w:r>
      <w:r w:rsidR="00D74136">
        <w:rPr>
          <w:szCs w:val="26"/>
        </w:rPr>
        <w:t>that included NWLC staff</w:t>
      </w:r>
      <w:r w:rsidR="00084AA4">
        <w:rPr>
          <w:szCs w:val="26"/>
        </w:rPr>
        <w:t>,</w:t>
      </w:r>
      <w:r w:rsidR="00D74136">
        <w:rPr>
          <w:szCs w:val="26"/>
        </w:rPr>
        <w:t xml:space="preserve"> representatives </w:t>
      </w:r>
      <w:r w:rsidR="00286FD6">
        <w:rPr>
          <w:szCs w:val="26"/>
        </w:rPr>
        <w:t>from</w:t>
      </w:r>
      <w:r w:rsidR="00D74136">
        <w:rPr>
          <w:szCs w:val="26"/>
        </w:rPr>
        <w:t xml:space="preserve"> other </w:t>
      </w:r>
      <w:r w:rsidR="005C241E">
        <w:rPr>
          <w:szCs w:val="26"/>
        </w:rPr>
        <w:t>policy organizations</w:t>
      </w:r>
      <w:r w:rsidR="00084AA4">
        <w:rPr>
          <w:szCs w:val="26"/>
        </w:rPr>
        <w:t>,</w:t>
      </w:r>
      <w:r w:rsidR="00D74136">
        <w:rPr>
          <w:szCs w:val="26"/>
        </w:rPr>
        <w:t xml:space="preserve"> and academics. </w:t>
      </w:r>
      <w:r w:rsidR="00680208">
        <w:rPr>
          <w:szCs w:val="26"/>
        </w:rPr>
        <w:t xml:space="preserve">Before finalizing the reports, NWLC </w:t>
      </w:r>
      <w:r w:rsidR="00D74136">
        <w:rPr>
          <w:szCs w:val="26"/>
        </w:rPr>
        <w:t xml:space="preserve">brought </w:t>
      </w:r>
      <w:r w:rsidR="00680208">
        <w:rPr>
          <w:szCs w:val="26"/>
        </w:rPr>
        <w:t xml:space="preserve">together </w:t>
      </w:r>
      <w:r w:rsidR="00245225">
        <w:rPr>
          <w:szCs w:val="26"/>
        </w:rPr>
        <w:t xml:space="preserve">the authors of the reports along with </w:t>
      </w:r>
      <w:r w:rsidR="00D74136">
        <w:rPr>
          <w:szCs w:val="26"/>
        </w:rPr>
        <w:t xml:space="preserve">a broader group of </w:t>
      </w:r>
      <w:r w:rsidR="00680208">
        <w:rPr>
          <w:szCs w:val="26"/>
        </w:rPr>
        <w:t>policy researchers and critical tax scholars for a day-long meeting to provide feedback on the drafts and to help to shape the final reports.</w:t>
      </w:r>
      <w:r w:rsidR="001A3DE2">
        <w:rPr>
          <w:szCs w:val="26"/>
        </w:rPr>
        <w:t xml:space="preserve"> </w:t>
      </w:r>
      <w:r w:rsidR="00BB72B6">
        <w:rPr>
          <w:szCs w:val="26"/>
        </w:rPr>
        <w:t xml:space="preserve">As of this </w:t>
      </w:r>
      <w:r w:rsidR="00BB72B6">
        <w:rPr>
          <w:szCs w:val="26"/>
        </w:rPr>
        <w:lastRenderedPageBreak/>
        <w:t xml:space="preserve">writing, </w:t>
      </w:r>
      <w:r w:rsidR="00377686">
        <w:rPr>
          <w:szCs w:val="26"/>
        </w:rPr>
        <w:t>just</w:t>
      </w:r>
      <w:r w:rsidR="00BB72B6">
        <w:rPr>
          <w:szCs w:val="26"/>
        </w:rPr>
        <w:t xml:space="preserve"> months after the release of the</w:t>
      </w:r>
      <w:r w:rsidR="00AE5D4C">
        <w:rPr>
          <w:szCs w:val="26"/>
        </w:rPr>
        <w:t xml:space="preserve"> </w:t>
      </w:r>
      <w:r w:rsidR="00BB72B6">
        <w:rPr>
          <w:szCs w:val="26"/>
        </w:rPr>
        <w:t>reports, any judgment regarding their influence would be premature</w:t>
      </w:r>
      <w:r w:rsidR="003401F1">
        <w:rPr>
          <w:szCs w:val="26"/>
        </w:rPr>
        <w:t>;</w:t>
      </w:r>
      <w:r w:rsidR="00BB72B6">
        <w:rPr>
          <w:szCs w:val="26"/>
        </w:rPr>
        <w:t xml:space="preserve"> however,</w:t>
      </w:r>
      <w:r w:rsidR="003401F1">
        <w:rPr>
          <w:szCs w:val="26"/>
        </w:rPr>
        <w:t xml:space="preserve"> it is worth noting that the reports</w:t>
      </w:r>
      <w:r w:rsidR="00BB72B6">
        <w:rPr>
          <w:szCs w:val="26"/>
        </w:rPr>
        <w:t xml:space="preserve"> have already </w:t>
      </w:r>
      <w:r w:rsidR="005C241E">
        <w:rPr>
          <w:szCs w:val="26"/>
        </w:rPr>
        <w:t>garnered</w:t>
      </w:r>
      <w:r w:rsidR="00A666E1">
        <w:rPr>
          <w:szCs w:val="26"/>
        </w:rPr>
        <w:t xml:space="preserve"> </w:t>
      </w:r>
      <w:r w:rsidR="00C51B8B">
        <w:rPr>
          <w:szCs w:val="26"/>
        </w:rPr>
        <w:t xml:space="preserve">significant </w:t>
      </w:r>
      <w:r w:rsidR="00A666E1">
        <w:rPr>
          <w:szCs w:val="26"/>
        </w:rPr>
        <w:t xml:space="preserve">attention </w:t>
      </w:r>
      <w:r w:rsidR="00000046">
        <w:rPr>
          <w:szCs w:val="26"/>
        </w:rPr>
        <w:t>from</w:t>
      </w:r>
      <w:r w:rsidR="00A666E1">
        <w:rPr>
          <w:szCs w:val="26"/>
        </w:rPr>
        <w:t xml:space="preserve"> the press</w:t>
      </w:r>
      <w:r w:rsidR="00BB72B6">
        <w:rPr>
          <w:szCs w:val="26"/>
        </w:rPr>
        <w:t>.</w:t>
      </w:r>
      <w:r w:rsidR="00BB72B6">
        <w:rPr>
          <w:rStyle w:val="FootnoteReference"/>
          <w:szCs w:val="26"/>
        </w:rPr>
        <w:footnoteReference w:id="110"/>
      </w:r>
    </w:p>
    <w:p w14:paraId="25C89F85" w14:textId="080DD633" w:rsidR="00003E64" w:rsidRDefault="000B4E4A" w:rsidP="005D7DB8">
      <w:pPr>
        <w:spacing w:line="480" w:lineRule="auto"/>
        <w:ind w:firstLine="720"/>
        <w:rPr>
          <w:szCs w:val="26"/>
        </w:rPr>
      </w:pPr>
      <w:r>
        <w:rPr>
          <w:szCs w:val="26"/>
        </w:rPr>
        <w:t>T</w:t>
      </w:r>
      <w:r w:rsidR="00003E64">
        <w:rPr>
          <w:szCs w:val="26"/>
        </w:rPr>
        <w:t xml:space="preserve">he intersection of taxation and gender issues has </w:t>
      </w:r>
      <w:r>
        <w:rPr>
          <w:szCs w:val="26"/>
        </w:rPr>
        <w:t xml:space="preserve">also </w:t>
      </w:r>
      <w:r w:rsidR="00003E64">
        <w:rPr>
          <w:szCs w:val="26"/>
        </w:rPr>
        <w:t xml:space="preserve">taken on an unprecedented salience in public discourse. For example, </w:t>
      </w:r>
      <w:r w:rsidR="00003E64" w:rsidRPr="00F3467B">
        <w:rPr>
          <w:i/>
          <w:iCs/>
          <w:szCs w:val="26"/>
        </w:rPr>
        <w:t>Cosmopolitan</w:t>
      </w:r>
      <w:r w:rsidR="00003E64">
        <w:rPr>
          <w:szCs w:val="26"/>
        </w:rPr>
        <w:t xml:space="preserve"> magazine proclaimed 2015 as “The Year the Period Went Public,”</w:t>
      </w:r>
      <w:bookmarkStart w:id="18" w:name="_Ref12261770"/>
      <w:r w:rsidR="00003E64">
        <w:rPr>
          <w:vertAlign w:val="superscript"/>
        </w:rPr>
        <w:footnoteReference w:id="111"/>
      </w:r>
      <w:bookmarkEnd w:id="18"/>
      <w:r w:rsidR="00003E64">
        <w:rPr>
          <w:szCs w:val="26"/>
        </w:rPr>
        <w:t xml:space="preserve"> at least in part because of the popular “Stop Taxing Our Periods</w:t>
      </w:r>
      <w:r w:rsidR="006E6FE3">
        <w:rPr>
          <w:szCs w:val="26"/>
        </w:rPr>
        <w:t>!</w:t>
      </w:r>
      <w:r w:rsidR="00003E64">
        <w:rPr>
          <w:szCs w:val="26"/>
        </w:rPr>
        <w:t xml:space="preserve"> Period.” online petition against the “tampon tax”—the sales tax imposed on menstrual products in over thirty states.</w:t>
      </w:r>
      <w:r w:rsidR="00003E64">
        <w:rPr>
          <w:rStyle w:val="FootnoteReference"/>
          <w:szCs w:val="26"/>
        </w:rPr>
        <w:footnoteReference w:id="112"/>
      </w:r>
      <w:r w:rsidR="00003E64">
        <w:rPr>
          <w:szCs w:val="26"/>
        </w:rPr>
        <w:t xml:space="preserve"> In 2019, the ACLU issued a legislative toolkit and briefing paper on menstrual equity, both of which are designed to assist advocates in efforts to repeal the tampon tax.</w:t>
      </w:r>
      <w:r w:rsidR="00003E64">
        <w:rPr>
          <w:rStyle w:val="FootnoteReference"/>
          <w:szCs w:val="26"/>
        </w:rPr>
        <w:footnoteReference w:id="113"/>
      </w:r>
      <w:r w:rsidR="00003E64">
        <w:rPr>
          <w:szCs w:val="26"/>
        </w:rPr>
        <w:t xml:space="preserve"> The tampon tax is a constituent part of what the popular press now calls the “pink tax”: taxes on menstrual products, gender-based pricing discrimination for substantially similar items (think blue razors versus pink razors), and the wage gap itself.</w:t>
      </w:r>
      <w:r w:rsidR="00003E64">
        <w:rPr>
          <w:rStyle w:val="FootnoteReference"/>
          <w:szCs w:val="26"/>
        </w:rPr>
        <w:footnoteReference w:id="114"/>
      </w:r>
      <w:r w:rsidR="00003E64">
        <w:rPr>
          <w:szCs w:val="26"/>
        </w:rPr>
        <w:t xml:space="preserve"> New York Governor </w:t>
      </w:r>
      <w:r w:rsidR="00003E64">
        <w:rPr>
          <w:szCs w:val="26"/>
        </w:rPr>
        <w:lastRenderedPageBreak/>
        <w:t>Andrew Cuomo announced his intention to eliminate the “pink tax” in 2020, and so legislation in this area is expected.</w:t>
      </w:r>
      <w:r w:rsidR="00003E64">
        <w:rPr>
          <w:rStyle w:val="FootnoteReference"/>
          <w:szCs w:val="26"/>
        </w:rPr>
        <w:footnoteReference w:id="115"/>
      </w:r>
      <w:r w:rsidR="00003E64">
        <w:rPr>
          <w:szCs w:val="26"/>
        </w:rPr>
        <w:t xml:space="preserve"> Although it is too soon to predict the trajectory of either the tampon tax in particular or the pink tax in general, taxation is a current focal point for gender</w:t>
      </w:r>
      <w:r w:rsidR="004B16B6">
        <w:rPr>
          <w:szCs w:val="26"/>
        </w:rPr>
        <w:t>-</w:t>
      </w:r>
      <w:r w:rsidR="00003E64">
        <w:rPr>
          <w:szCs w:val="26"/>
        </w:rPr>
        <w:t>equality activism and legal reform.</w:t>
      </w:r>
    </w:p>
    <w:p w14:paraId="4C65CE08" w14:textId="44C59381" w:rsidR="00717F68" w:rsidRDefault="003C2629" w:rsidP="00B72F27">
      <w:pPr>
        <w:spacing w:line="480" w:lineRule="auto"/>
        <w:ind w:firstLine="720"/>
        <w:rPr>
          <w:szCs w:val="26"/>
        </w:rPr>
      </w:pPr>
      <w:r>
        <w:rPr>
          <w:szCs w:val="26"/>
        </w:rPr>
        <w:t>Th</w:t>
      </w:r>
      <w:r w:rsidR="00DF0086">
        <w:rPr>
          <w:szCs w:val="26"/>
        </w:rPr>
        <w:t>e</w:t>
      </w:r>
      <w:r>
        <w:rPr>
          <w:szCs w:val="26"/>
        </w:rPr>
        <w:t xml:space="preserve"> nascent recognition that tax law is an important contributor to gender discrimination in the United States is </w:t>
      </w:r>
      <w:r w:rsidR="00D3293D">
        <w:rPr>
          <w:szCs w:val="26"/>
        </w:rPr>
        <w:t>simultaneously</w:t>
      </w:r>
      <w:r>
        <w:rPr>
          <w:szCs w:val="26"/>
        </w:rPr>
        <w:t xml:space="preserve"> long overdue and </w:t>
      </w:r>
      <w:r w:rsidR="00536E11">
        <w:rPr>
          <w:szCs w:val="26"/>
        </w:rPr>
        <w:t xml:space="preserve">a </w:t>
      </w:r>
      <w:r>
        <w:rPr>
          <w:szCs w:val="26"/>
        </w:rPr>
        <w:t>welcome development.</w:t>
      </w:r>
      <w:r w:rsidR="00EF7E6E">
        <w:rPr>
          <w:szCs w:val="26"/>
        </w:rPr>
        <w:t xml:space="preserve"> </w:t>
      </w:r>
      <w:r w:rsidR="00536E11">
        <w:rPr>
          <w:szCs w:val="26"/>
        </w:rPr>
        <w:t>Of course, a</w:t>
      </w:r>
      <w:r w:rsidR="00EF7E6E">
        <w:rPr>
          <w:szCs w:val="26"/>
        </w:rPr>
        <w:t xml:space="preserve"> few decades of critical tax scholarship cannot, by itself, successfully loosen the grip of patriarchy over the tax code.</w:t>
      </w:r>
      <w:r>
        <w:rPr>
          <w:szCs w:val="26"/>
        </w:rPr>
        <w:t xml:space="preserve"> </w:t>
      </w:r>
      <w:r w:rsidR="00C00E6C">
        <w:rPr>
          <w:szCs w:val="26"/>
        </w:rPr>
        <w:t>T</w:t>
      </w:r>
      <w:r>
        <w:rPr>
          <w:szCs w:val="26"/>
        </w:rPr>
        <w:t xml:space="preserve">ax law is </w:t>
      </w:r>
      <w:r w:rsidR="00617CED">
        <w:rPr>
          <w:szCs w:val="26"/>
        </w:rPr>
        <w:t xml:space="preserve">closely tied to </w:t>
      </w:r>
      <w:r>
        <w:rPr>
          <w:szCs w:val="26"/>
        </w:rPr>
        <w:t xml:space="preserve">the </w:t>
      </w:r>
      <w:r w:rsidR="00617CED">
        <w:rPr>
          <w:szCs w:val="26"/>
        </w:rPr>
        <w:t>society</w:t>
      </w:r>
      <w:r>
        <w:rPr>
          <w:szCs w:val="26"/>
        </w:rPr>
        <w:t xml:space="preserve"> that creates it</w:t>
      </w:r>
      <w:r w:rsidR="00C00E6C">
        <w:rPr>
          <w:szCs w:val="26"/>
        </w:rPr>
        <w:t>.</w:t>
      </w:r>
      <w:r w:rsidR="00617CED">
        <w:rPr>
          <w:rStyle w:val="FootnoteReference"/>
          <w:szCs w:val="26"/>
        </w:rPr>
        <w:footnoteReference w:id="116"/>
      </w:r>
      <w:r w:rsidR="00617CED">
        <w:rPr>
          <w:szCs w:val="26"/>
        </w:rPr>
        <w:t xml:space="preserve"> </w:t>
      </w:r>
      <w:r w:rsidR="00C00E6C">
        <w:rPr>
          <w:szCs w:val="26"/>
        </w:rPr>
        <w:t>As a result,</w:t>
      </w:r>
      <w:r w:rsidR="00536E11">
        <w:rPr>
          <w:szCs w:val="26"/>
        </w:rPr>
        <w:t xml:space="preserve"> </w:t>
      </w:r>
      <w:r w:rsidR="00B84A26">
        <w:rPr>
          <w:szCs w:val="26"/>
        </w:rPr>
        <w:t xml:space="preserve">uprooting and eradicating </w:t>
      </w:r>
      <w:r w:rsidR="00291868">
        <w:rPr>
          <w:szCs w:val="26"/>
        </w:rPr>
        <w:t xml:space="preserve">deeply embedded </w:t>
      </w:r>
      <w:r w:rsidR="00536E11">
        <w:rPr>
          <w:szCs w:val="26"/>
        </w:rPr>
        <w:t>gender</w:t>
      </w:r>
      <w:r>
        <w:rPr>
          <w:szCs w:val="26"/>
        </w:rPr>
        <w:t xml:space="preserve"> discrimination</w:t>
      </w:r>
      <w:r w:rsidR="00A20851">
        <w:rPr>
          <w:szCs w:val="26"/>
        </w:rPr>
        <w:t xml:space="preserve">—for example, and </w:t>
      </w:r>
      <w:r w:rsidR="00291868">
        <w:rPr>
          <w:szCs w:val="26"/>
        </w:rPr>
        <w:t xml:space="preserve">perhaps </w:t>
      </w:r>
      <w:r w:rsidR="00A20851">
        <w:rPr>
          <w:szCs w:val="26"/>
        </w:rPr>
        <w:t xml:space="preserve">most prominently, the </w:t>
      </w:r>
      <w:r w:rsidR="000B4E2F">
        <w:rPr>
          <w:szCs w:val="26"/>
        </w:rPr>
        <w:t xml:space="preserve">heteropatriarchal </w:t>
      </w:r>
      <w:r w:rsidR="00A20851">
        <w:rPr>
          <w:szCs w:val="26"/>
        </w:rPr>
        <w:t>joint federal income tax return</w:t>
      </w:r>
      <w:r w:rsidR="008D36AD">
        <w:rPr>
          <w:szCs w:val="26"/>
        </w:rPr>
        <w:t xml:space="preserve"> based in and on the privileging of marriage</w:t>
      </w:r>
      <w:r w:rsidR="00302785">
        <w:rPr>
          <w:szCs w:val="26"/>
        </w:rPr>
        <w:t xml:space="preserve"> in U.S. tax law and society</w:t>
      </w:r>
      <w:r w:rsidR="000B4E2F">
        <w:rPr>
          <w:szCs w:val="26"/>
        </w:rPr>
        <w:t>—</w:t>
      </w:r>
      <w:r w:rsidR="00536E11">
        <w:rPr>
          <w:szCs w:val="26"/>
        </w:rPr>
        <w:t>c</w:t>
      </w:r>
      <w:r w:rsidR="00B84A26">
        <w:rPr>
          <w:szCs w:val="26"/>
        </w:rPr>
        <w:t xml:space="preserve">an only be successfully accomplished as part of </w:t>
      </w:r>
      <w:r w:rsidR="00536E11">
        <w:rPr>
          <w:szCs w:val="26"/>
        </w:rPr>
        <w:t xml:space="preserve">a </w:t>
      </w:r>
      <w:r w:rsidR="00B84A26">
        <w:rPr>
          <w:szCs w:val="26"/>
        </w:rPr>
        <w:t xml:space="preserve">broader movement for social change. </w:t>
      </w:r>
      <w:r w:rsidR="00EF7E6E">
        <w:rPr>
          <w:szCs w:val="26"/>
        </w:rPr>
        <w:t>That feminist tax work is beginning to have influence on policy matters and even public discourse—phrases like “pink tax” and “tampon tax” are now well-understood when just a few years ago they were not—demonstrates the continued vitality and importance of feminist tax perspectives</w:t>
      </w:r>
      <w:r w:rsidR="00991F09">
        <w:rPr>
          <w:szCs w:val="26"/>
        </w:rPr>
        <w:t>,</w:t>
      </w:r>
      <w:r w:rsidR="000A3208">
        <w:rPr>
          <w:szCs w:val="26"/>
        </w:rPr>
        <w:t xml:space="preserve"> </w:t>
      </w:r>
      <w:r w:rsidR="00E57C5E">
        <w:rPr>
          <w:szCs w:val="26"/>
        </w:rPr>
        <w:t xml:space="preserve">not to mention </w:t>
      </w:r>
      <w:r w:rsidR="000A3208">
        <w:rPr>
          <w:szCs w:val="26"/>
        </w:rPr>
        <w:t>the need fo</w:t>
      </w:r>
      <w:r w:rsidR="00AE16E6">
        <w:rPr>
          <w:szCs w:val="26"/>
        </w:rPr>
        <w:t>r</w:t>
      </w:r>
      <w:r w:rsidR="000A3208">
        <w:rPr>
          <w:szCs w:val="26"/>
        </w:rPr>
        <w:t xml:space="preserve"> feminist scholars</w:t>
      </w:r>
      <w:r w:rsidR="00AE16E6">
        <w:rPr>
          <w:szCs w:val="26"/>
        </w:rPr>
        <w:t xml:space="preserve"> outside of tax law</w:t>
      </w:r>
      <w:r w:rsidR="000A3208">
        <w:rPr>
          <w:szCs w:val="26"/>
        </w:rPr>
        <w:t xml:space="preserve"> to actively engage with </w:t>
      </w:r>
      <w:r w:rsidR="00194AAE">
        <w:rPr>
          <w:szCs w:val="26"/>
        </w:rPr>
        <w:t xml:space="preserve">and understand </w:t>
      </w:r>
      <w:r w:rsidR="000A3208">
        <w:rPr>
          <w:szCs w:val="26"/>
        </w:rPr>
        <w:t>these perspectives</w:t>
      </w:r>
      <w:r w:rsidR="00EF7E6E">
        <w:rPr>
          <w:szCs w:val="26"/>
        </w:rPr>
        <w:t>.</w:t>
      </w:r>
      <w:r w:rsidR="00B7619C">
        <w:rPr>
          <w:szCs w:val="26"/>
        </w:rPr>
        <w:t xml:space="preserve"> </w:t>
      </w:r>
    </w:p>
    <w:p w14:paraId="1BFA0984" w14:textId="1C5A1D0C" w:rsidR="00E5401E" w:rsidRPr="00E5401E" w:rsidRDefault="00E5401E" w:rsidP="005D7DB8">
      <w:pPr>
        <w:spacing w:line="480" w:lineRule="auto"/>
        <w:rPr>
          <w:b/>
          <w:bCs/>
          <w:szCs w:val="26"/>
        </w:rPr>
      </w:pPr>
      <w:r>
        <w:rPr>
          <w:b/>
          <w:bCs/>
          <w:szCs w:val="26"/>
        </w:rPr>
        <w:t>Conclusion</w:t>
      </w:r>
    </w:p>
    <w:p w14:paraId="4255E5BD" w14:textId="3E3BEBA5" w:rsidR="00627783" w:rsidRDefault="002766DD" w:rsidP="005D7DB8">
      <w:pPr>
        <w:spacing w:line="480" w:lineRule="auto"/>
        <w:ind w:firstLine="720"/>
        <w:rPr>
          <w:szCs w:val="26"/>
        </w:rPr>
      </w:pPr>
      <w:r>
        <w:rPr>
          <w:szCs w:val="26"/>
        </w:rPr>
        <w:t>The halls of tax academia have prove</w:t>
      </w:r>
      <w:r w:rsidR="00135934">
        <w:rPr>
          <w:szCs w:val="26"/>
        </w:rPr>
        <w:t>n</w:t>
      </w:r>
      <w:r>
        <w:rPr>
          <w:szCs w:val="26"/>
        </w:rPr>
        <w:t xml:space="preserve"> less than hospitable to the work of critical tax scholars</w:t>
      </w:r>
      <w:r w:rsidR="00321B84">
        <w:rPr>
          <w:szCs w:val="26"/>
        </w:rPr>
        <w:t xml:space="preserve"> because of mainstream tax scholars’ tendency to </w:t>
      </w:r>
      <w:r w:rsidR="00B70E4F">
        <w:rPr>
          <w:szCs w:val="26"/>
        </w:rPr>
        <w:t>view taxpayers as the sum of their economic transactions</w:t>
      </w:r>
      <w:r w:rsidR="0072718F">
        <w:rPr>
          <w:szCs w:val="26"/>
        </w:rPr>
        <w:t>. Where mainstream tax scholars see taxpayers</w:t>
      </w:r>
      <w:r w:rsidR="00617CED">
        <w:rPr>
          <w:szCs w:val="26"/>
        </w:rPr>
        <w:t xml:space="preserve"> as one-dimensional balance sheets</w:t>
      </w:r>
      <w:r w:rsidR="0072718F">
        <w:rPr>
          <w:szCs w:val="26"/>
        </w:rPr>
        <w:t>, critical tax scholars see them</w:t>
      </w:r>
      <w:r w:rsidR="00B70E4F">
        <w:rPr>
          <w:szCs w:val="26"/>
        </w:rPr>
        <w:t xml:space="preserve"> </w:t>
      </w:r>
      <w:r w:rsidR="00617CED">
        <w:rPr>
          <w:szCs w:val="26"/>
        </w:rPr>
        <w:t xml:space="preserve">as multidimensional </w:t>
      </w:r>
      <w:r w:rsidR="00321B84">
        <w:rPr>
          <w:szCs w:val="26"/>
        </w:rPr>
        <w:t>people</w:t>
      </w:r>
      <w:r w:rsidR="00B53015">
        <w:rPr>
          <w:szCs w:val="26"/>
        </w:rPr>
        <w:t xml:space="preserve"> with identities that may </w:t>
      </w:r>
      <w:r w:rsidR="00DD0A20">
        <w:rPr>
          <w:szCs w:val="26"/>
        </w:rPr>
        <w:t xml:space="preserve">give </w:t>
      </w:r>
      <w:r w:rsidR="00DD0A20">
        <w:rPr>
          <w:szCs w:val="26"/>
        </w:rPr>
        <w:lastRenderedPageBreak/>
        <w:t>rise to</w:t>
      </w:r>
      <w:r w:rsidR="00B53015">
        <w:rPr>
          <w:szCs w:val="26"/>
        </w:rPr>
        <w:t xml:space="preserve"> privilege and/or </w:t>
      </w:r>
      <w:r w:rsidR="00DD0A20">
        <w:rPr>
          <w:szCs w:val="26"/>
        </w:rPr>
        <w:t>to</w:t>
      </w:r>
      <w:r w:rsidR="00B53015">
        <w:rPr>
          <w:szCs w:val="26"/>
        </w:rPr>
        <w:t xml:space="preserve"> subordination both inside and outside the tax system</w:t>
      </w:r>
      <w:r w:rsidR="00B70E4F">
        <w:rPr>
          <w:szCs w:val="26"/>
        </w:rPr>
        <w:t xml:space="preserve">. </w:t>
      </w:r>
      <w:r>
        <w:rPr>
          <w:szCs w:val="26"/>
        </w:rPr>
        <w:t xml:space="preserve">While </w:t>
      </w:r>
      <w:r w:rsidR="00A82196">
        <w:rPr>
          <w:szCs w:val="26"/>
        </w:rPr>
        <w:t xml:space="preserve">there is </w:t>
      </w:r>
      <w:r>
        <w:rPr>
          <w:szCs w:val="26"/>
        </w:rPr>
        <w:t xml:space="preserve">still hope that critical perspectives will </w:t>
      </w:r>
      <w:proofErr w:type="spellStart"/>
      <w:r>
        <w:rPr>
          <w:szCs w:val="26"/>
        </w:rPr>
        <w:t>seep</w:t>
      </w:r>
      <w:proofErr w:type="spellEnd"/>
      <w:r>
        <w:rPr>
          <w:szCs w:val="26"/>
        </w:rPr>
        <w:t xml:space="preserve"> more broadly into </w:t>
      </w:r>
      <w:r w:rsidR="00146CA5">
        <w:rPr>
          <w:szCs w:val="26"/>
        </w:rPr>
        <w:t xml:space="preserve">both </w:t>
      </w:r>
      <w:r>
        <w:rPr>
          <w:szCs w:val="26"/>
        </w:rPr>
        <w:t xml:space="preserve">mainstream tax </w:t>
      </w:r>
      <w:r w:rsidR="00B70E4F">
        <w:rPr>
          <w:szCs w:val="26"/>
        </w:rPr>
        <w:t>and feminist scholarship</w:t>
      </w:r>
      <w:r>
        <w:rPr>
          <w:szCs w:val="26"/>
        </w:rPr>
        <w:t>, the influence that critical tax perspectives have begun to have</w:t>
      </w:r>
      <w:r w:rsidR="002A1F87">
        <w:rPr>
          <w:szCs w:val="26"/>
        </w:rPr>
        <w:t xml:space="preserve"> outside of academia—</w:t>
      </w:r>
      <w:r w:rsidR="006F3627">
        <w:rPr>
          <w:szCs w:val="26"/>
        </w:rPr>
        <w:t xml:space="preserve">for instance, </w:t>
      </w:r>
      <w:r w:rsidR="002A1F87">
        <w:rPr>
          <w:szCs w:val="26"/>
        </w:rPr>
        <w:t>i</w:t>
      </w:r>
      <w:r>
        <w:rPr>
          <w:szCs w:val="26"/>
        </w:rPr>
        <w:t>n think tanks and policy organizations</w:t>
      </w:r>
      <w:r w:rsidR="006E3C4A">
        <w:rPr>
          <w:szCs w:val="26"/>
        </w:rPr>
        <w:t xml:space="preserve"> </w:t>
      </w:r>
      <w:r w:rsidR="00C01606">
        <w:rPr>
          <w:szCs w:val="26"/>
        </w:rPr>
        <w:t>that</w:t>
      </w:r>
      <w:r w:rsidR="006E3C4A">
        <w:rPr>
          <w:szCs w:val="26"/>
        </w:rPr>
        <w:t xml:space="preserve"> are better positioned to disseminate this work to legislators and the public at large</w:t>
      </w:r>
      <w:r w:rsidR="002A1F87">
        <w:rPr>
          <w:szCs w:val="26"/>
        </w:rPr>
        <w:t>—</w:t>
      </w:r>
      <w:r>
        <w:rPr>
          <w:szCs w:val="26"/>
        </w:rPr>
        <w:t xml:space="preserve">may prove to be far more consequential in </w:t>
      </w:r>
      <w:r w:rsidR="002A1F87">
        <w:rPr>
          <w:szCs w:val="26"/>
        </w:rPr>
        <w:t xml:space="preserve">achieving positive changes in our tax system in </w:t>
      </w:r>
      <w:r>
        <w:rPr>
          <w:szCs w:val="26"/>
        </w:rPr>
        <w:t xml:space="preserve">the long run. </w:t>
      </w:r>
      <w:r w:rsidR="002A1F87">
        <w:rPr>
          <w:szCs w:val="26"/>
        </w:rPr>
        <w:t>An observation made by Michael Livingston i</w:t>
      </w:r>
      <w:r w:rsidR="00627783">
        <w:rPr>
          <w:szCs w:val="26"/>
        </w:rPr>
        <w:t xml:space="preserve">n closing his remarks at </w:t>
      </w:r>
      <w:r w:rsidR="00814D90">
        <w:rPr>
          <w:szCs w:val="26"/>
        </w:rPr>
        <w:t>the</w:t>
      </w:r>
      <w:r w:rsidR="00627783">
        <w:rPr>
          <w:szCs w:val="26"/>
        </w:rPr>
        <w:t xml:space="preserve"> </w:t>
      </w:r>
      <w:r w:rsidR="005961F3">
        <w:rPr>
          <w:i/>
          <w:iCs/>
          <w:szCs w:val="26"/>
        </w:rPr>
        <w:t xml:space="preserve">Journal of Gender, Race &amp; Justice </w:t>
      </w:r>
      <w:r w:rsidR="00627783">
        <w:rPr>
          <w:szCs w:val="26"/>
        </w:rPr>
        <w:t>conference on women and poverty</w:t>
      </w:r>
      <w:r w:rsidR="002A1F87">
        <w:rPr>
          <w:szCs w:val="26"/>
        </w:rPr>
        <w:t xml:space="preserve"> </w:t>
      </w:r>
      <w:r w:rsidR="00704626">
        <w:rPr>
          <w:szCs w:val="26"/>
        </w:rPr>
        <w:t>(</w:t>
      </w:r>
      <w:r w:rsidR="00814D90">
        <w:rPr>
          <w:szCs w:val="26"/>
        </w:rPr>
        <w:t>mentioned earlier</w:t>
      </w:r>
      <w:r w:rsidR="00704626">
        <w:rPr>
          <w:szCs w:val="26"/>
        </w:rPr>
        <w:t>)</w:t>
      </w:r>
      <w:r w:rsidR="002A1F87">
        <w:rPr>
          <w:szCs w:val="26"/>
        </w:rPr>
        <w:t xml:space="preserve"> provides relevant context</w:t>
      </w:r>
      <w:r w:rsidR="00F24F13">
        <w:rPr>
          <w:szCs w:val="26"/>
        </w:rPr>
        <w:t xml:space="preserve"> for,</w:t>
      </w:r>
      <w:r w:rsidR="002A1F87">
        <w:rPr>
          <w:szCs w:val="26"/>
        </w:rPr>
        <w:t xml:space="preserve"> and </w:t>
      </w:r>
      <w:r w:rsidR="00570F70">
        <w:rPr>
          <w:szCs w:val="26"/>
        </w:rPr>
        <w:t xml:space="preserve">an important lesson in </w:t>
      </w:r>
      <w:r w:rsidR="002A1F87">
        <w:rPr>
          <w:szCs w:val="26"/>
        </w:rPr>
        <w:t xml:space="preserve">support </w:t>
      </w:r>
      <w:r w:rsidR="00F24F13">
        <w:rPr>
          <w:szCs w:val="26"/>
        </w:rPr>
        <w:t>of,</w:t>
      </w:r>
      <w:r w:rsidR="002A1F87">
        <w:rPr>
          <w:szCs w:val="26"/>
        </w:rPr>
        <w:t xml:space="preserve"> this contention</w:t>
      </w:r>
      <w:r w:rsidR="00570F70">
        <w:rPr>
          <w:szCs w:val="26"/>
        </w:rPr>
        <w:t xml:space="preserve"> now</w:t>
      </w:r>
      <w:r w:rsidR="00627783">
        <w:rPr>
          <w:szCs w:val="26"/>
        </w:rPr>
        <w:t>:</w:t>
      </w:r>
    </w:p>
    <w:p w14:paraId="0EB9E779" w14:textId="31F64637" w:rsidR="0016488F" w:rsidRDefault="00627783" w:rsidP="00274A60">
      <w:pPr>
        <w:ind w:left="720" w:right="720"/>
        <w:rPr>
          <w:szCs w:val="26"/>
        </w:rPr>
      </w:pPr>
      <w:r w:rsidRPr="00605F0F">
        <w:rPr>
          <w:szCs w:val="26"/>
        </w:rPr>
        <w:t>A bit of history may be relevant at this point. Thirty years ago, conservative think tanks began to think about public policy in a detailed but unified way. They began to consider how various aspects of the liberal state, including tax, welfare, and various other policies, interacted to undermine traditional values and replace them with a state-centered, liberal creed. By developing expertise in numerous areas, but with a unifying philosophy, conservative think tanks were able to affect public policy in a more extensive manner than anyone had deemed possible. I suspect that most participants in this symposium would prefer that the conservatives had just stayed home. But in procedure, if not substance, there is much to be gleaned from them. Those who wish to reverse the feminization of poverty, together with other relics of the past two generations, would do well to learn from their example.</w:t>
      </w:r>
      <w:r>
        <w:rPr>
          <w:rStyle w:val="FootnoteReference"/>
          <w:szCs w:val="26"/>
        </w:rPr>
        <w:footnoteReference w:id="117"/>
      </w:r>
    </w:p>
    <w:p w14:paraId="4FF06E24" w14:textId="77777777" w:rsidR="00274A60" w:rsidRDefault="00274A60" w:rsidP="00274A60">
      <w:pPr>
        <w:ind w:left="720" w:right="720"/>
        <w:rPr>
          <w:szCs w:val="26"/>
        </w:rPr>
      </w:pPr>
    </w:p>
    <w:p w14:paraId="2163767F" w14:textId="772DFEE7" w:rsidR="001918C9" w:rsidRDefault="007F5294" w:rsidP="005D7DB8">
      <w:pPr>
        <w:spacing w:line="480" w:lineRule="auto"/>
        <w:ind w:firstLine="720"/>
        <w:rPr>
          <w:szCs w:val="26"/>
        </w:rPr>
      </w:pPr>
      <w:r>
        <w:rPr>
          <w:szCs w:val="26"/>
        </w:rPr>
        <w:t>T</w:t>
      </w:r>
      <w:r w:rsidR="00317362">
        <w:rPr>
          <w:szCs w:val="26"/>
        </w:rPr>
        <w:t>he</w:t>
      </w:r>
      <w:r w:rsidR="001B2214">
        <w:rPr>
          <w:szCs w:val="26"/>
        </w:rPr>
        <w:t>re is a long and rich history of</w:t>
      </w:r>
      <w:r w:rsidR="00317362">
        <w:rPr>
          <w:szCs w:val="26"/>
        </w:rPr>
        <w:t xml:space="preserve"> feminist tax </w:t>
      </w:r>
      <w:r w:rsidR="001B2214">
        <w:rPr>
          <w:szCs w:val="26"/>
        </w:rPr>
        <w:t>scholarship</w:t>
      </w:r>
      <w:r w:rsidR="00317362">
        <w:rPr>
          <w:szCs w:val="26"/>
        </w:rPr>
        <w:t xml:space="preserve">, </w:t>
      </w:r>
      <w:r w:rsidR="001B2214">
        <w:rPr>
          <w:szCs w:val="26"/>
        </w:rPr>
        <w:t xml:space="preserve">despite the </w:t>
      </w:r>
      <w:r w:rsidR="00317362">
        <w:rPr>
          <w:szCs w:val="26"/>
        </w:rPr>
        <w:t xml:space="preserve">frustratingly difficult time </w:t>
      </w:r>
      <w:r w:rsidR="001B2214">
        <w:rPr>
          <w:szCs w:val="26"/>
        </w:rPr>
        <w:t xml:space="preserve">that feminist and other critical tax perspectives have had </w:t>
      </w:r>
      <w:r w:rsidR="00DF3FB1">
        <w:rPr>
          <w:szCs w:val="26"/>
        </w:rPr>
        <w:t>in</w:t>
      </w:r>
      <w:r w:rsidR="00317362">
        <w:rPr>
          <w:szCs w:val="26"/>
        </w:rPr>
        <w:t xml:space="preserve"> penetrating the mainstream of legal thought. Fortunately,</w:t>
      </w:r>
      <w:r w:rsidR="00AE13F4">
        <w:rPr>
          <w:szCs w:val="26"/>
        </w:rPr>
        <w:t xml:space="preserve"> </w:t>
      </w:r>
      <w:r w:rsidR="00317362">
        <w:rPr>
          <w:szCs w:val="26"/>
        </w:rPr>
        <w:t>it seems that others</w:t>
      </w:r>
      <w:r w:rsidR="00AE13F4">
        <w:rPr>
          <w:szCs w:val="26"/>
        </w:rPr>
        <w:t xml:space="preserve"> outside of academia</w:t>
      </w:r>
      <w:r w:rsidR="00317362">
        <w:rPr>
          <w:szCs w:val="26"/>
        </w:rPr>
        <w:t xml:space="preserve"> have been paying attention to the work being done by critical tax scholars</w:t>
      </w:r>
      <w:r w:rsidR="0060597B">
        <w:rPr>
          <w:szCs w:val="26"/>
        </w:rPr>
        <w:t>,</w:t>
      </w:r>
      <w:r w:rsidR="00317362">
        <w:rPr>
          <w:szCs w:val="26"/>
        </w:rPr>
        <w:t xml:space="preserve"> </w:t>
      </w:r>
      <w:r w:rsidR="00614648">
        <w:rPr>
          <w:szCs w:val="26"/>
        </w:rPr>
        <w:t>as they</w:t>
      </w:r>
      <w:r w:rsidR="00317362">
        <w:rPr>
          <w:szCs w:val="26"/>
        </w:rPr>
        <w:t xml:space="preserve"> have </w:t>
      </w:r>
      <w:r w:rsidR="0060597B">
        <w:rPr>
          <w:szCs w:val="26"/>
        </w:rPr>
        <w:t>patiently</w:t>
      </w:r>
      <w:r w:rsidR="00317362">
        <w:rPr>
          <w:szCs w:val="26"/>
        </w:rPr>
        <w:t xml:space="preserve"> lai</w:t>
      </w:r>
      <w:r w:rsidR="005A7DC6">
        <w:rPr>
          <w:szCs w:val="26"/>
        </w:rPr>
        <w:t>d</w:t>
      </w:r>
      <w:r w:rsidR="00317362">
        <w:rPr>
          <w:szCs w:val="26"/>
        </w:rPr>
        <w:t xml:space="preserve"> the intellectual foundation for a fundamental shift in how we all see and interact with our tax system. If there is</w:t>
      </w:r>
      <w:r w:rsidR="00083ED2">
        <w:rPr>
          <w:szCs w:val="26"/>
        </w:rPr>
        <w:t xml:space="preserve"> to be</w:t>
      </w:r>
      <w:r w:rsidR="00317362">
        <w:rPr>
          <w:szCs w:val="26"/>
        </w:rPr>
        <w:t xml:space="preserve"> any hope for making inroads in the shaping and reshaping of tax policy</w:t>
      </w:r>
      <w:r w:rsidR="0060597B">
        <w:rPr>
          <w:szCs w:val="26"/>
        </w:rPr>
        <w:t xml:space="preserve"> by bringing feminist and other critical tax perspectives to bear</w:t>
      </w:r>
      <w:r w:rsidR="00317362">
        <w:rPr>
          <w:szCs w:val="26"/>
        </w:rPr>
        <w:t xml:space="preserve">, it is through </w:t>
      </w:r>
      <w:r>
        <w:rPr>
          <w:szCs w:val="26"/>
        </w:rPr>
        <w:t>the e</w:t>
      </w:r>
      <w:r w:rsidR="002A1F87">
        <w:rPr>
          <w:szCs w:val="26"/>
        </w:rPr>
        <w:t xml:space="preserve">merging </w:t>
      </w:r>
      <w:r w:rsidR="00841FF7">
        <w:rPr>
          <w:szCs w:val="26"/>
        </w:rPr>
        <w:lastRenderedPageBreak/>
        <w:t>partnerships between critical tax scholars and those working in think tanks and the public policy sphere</w:t>
      </w:r>
      <w:r w:rsidR="0060597B">
        <w:rPr>
          <w:szCs w:val="26"/>
        </w:rPr>
        <w:t xml:space="preserve"> who, together, might just be “</w:t>
      </w:r>
      <w:r w:rsidR="0060597B" w:rsidRPr="00605F0F">
        <w:rPr>
          <w:szCs w:val="26"/>
        </w:rPr>
        <w:t>able to affect public policy in a more extensive manner than anyone had deemed possible.</w:t>
      </w:r>
      <w:r w:rsidR="0060597B">
        <w:rPr>
          <w:szCs w:val="26"/>
        </w:rPr>
        <w:t>”</w:t>
      </w:r>
      <w:r w:rsidR="0060597B">
        <w:rPr>
          <w:rStyle w:val="FootnoteReference"/>
          <w:szCs w:val="26"/>
        </w:rPr>
        <w:footnoteReference w:id="118"/>
      </w:r>
      <w:r w:rsidR="00B7619C">
        <w:rPr>
          <w:szCs w:val="26"/>
        </w:rPr>
        <w:t xml:space="preserve"> </w:t>
      </w:r>
    </w:p>
    <w:p w14:paraId="6B79E2AF" w14:textId="3AD664F8" w:rsidR="00391D8C" w:rsidRDefault="00391D8C" w:rsidP="005D7DB8">
      <w:pPr>
        <w:spacing w:line="480" w:lineRule="auto"/>
        <w:ind w:left="720" w:right="720"/>
        <w:rPr>
          <w:szCs w:val="26"/>
        </w:rPr>
      </w:pPr>
    </w:p>
    <w:p w14:paraId="6CEFB68D" w14:textId="1113B4DE" w:rsidR="00655D0A" w:rsidRDefault="00655D0A" w:rsidP="005D7DB8">
      <w:pPr>
        <w:spacing w:line="480" w:lineRule="auto"/>
        <w:rPr>
          <w:szCs w:val="26"/>
        </w:rPr>
      </w:pPr>
    </w:p>
    <w:p w14:paraId="1A800CEB" w14:textId="22C38870" w:rsidR="00605F0F" w:rsidRDefault="00605F0F" w:rsidP="005D7DB8">
      <w:pPr>
        <w:spacing w:line="480" w:lineRule="auto"/>
        <w:ind w:left="720" w:right="720"/>
        <w:rPr>
          <w:szCs w:val="26"/>
        </w:rPr>
      </w:pPr>
    </w:p>
    <w:sectPr w:rsidR="00605F0F" w:rsidSect="006538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E9B5D" w14:textId="77777777" w:rsidR="0004256F" w:rsidRDefault="0004256F" w:rsidP="00C149F1">
      <w:r>
        <w:separator/>
      </w:r>
    </w:p>
  </w:endnote>
  <w:endnote w:type="continuationSeparator" w:id="0">
    <w:p w14:paraId="44825E7F" w14:textId="77777777" w:rsidR="0004256F" w:rsidRDefault="0004256F" w:rsidP="00C1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G Times">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7098433"/>
      <w:docPartObj>
        <w:docPartGallery w:val="Page Numbers (Bottom of Page)"/>
        <w:docPartUnique/>
      </w:docPartObj>
    </w:sdtPr>
    <w:sdtEndPr>
      <w:rPr>
        <w:rStyle w:val="PageNumber"/>
      </w:rPr>
    </w:sdtEndPr>
    <w:sdtContent>
      <w:p w14:paraId="74944C19" w14:textId="2474B84E" w:rsidR="000A7B6C" w:rsidRDefault="000A7B6C" w:rsidP="005710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000388" w14:textId="77777777" w:rsidR="000A7B6C" w:rsidRDefault="000A7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638494"/>
      <w:docPartObj>
        <w:docPartGallery w:val="Page Numbers (Bottom of Page)"/>
        <w:docPartUnique/>
      </w:docPartObj>
    </w:sdtPr>
    <w:sdtEndPr>
      <w:rPr>
        <w:rStyle w:val="PageNumber"/>
      </w:rPr>
    </w:sdtEndPr>
    <w:sdtContent>
      <w:p w14:paraId="18F13D62" w14:textId="37440451" w:rsidR="000A7B6C" w:rsidRDefault="000A7B6C" w:rsidP="005710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86218">
          <w:rPr>
            <w:rStyle w:val="PageNumber"/>
            <w:noProof/>
          </w:rPr>
          <w:t>1</w:t>
        </w:r>
        <w:r>
          <w:rPr>
            <w:rStyle w:val="PageNumber"/>
          </w:rPr>
          <w:fldChar w:fldCharType="end"/>
        </w:r>
      </w:p>
    </w:sdtContent>
  </w:sdt>
  <w:p w14:paraId="0593FA2D" w14:textId="77777777" w:rsidR="000A7B6C" w:rsidRDefault="000A7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AED60" w14:textId="77777777" w:rsidR="0004256F" w:rsidRDefault="0004256F" w:rsidP="00C149F1">
      <w:r>
        <w:separator/>
      </w:r>
    </w:p>
  </w:footnote>
  <w:footnote w:type="continuationSeparator" w:id="0">
    <w:p w14:paraId="1D26639C" w14:textId="77777777" w:rsidR="0004256F" w:rsidRDefault="0004256F" w:rsidP="00C149F1">
      <w:r>
        <w:continuationSeparator/>
      </w:r>
    </w:p>
  </w:footnote>
  <w:footnote w:id="1">
    <w:p w14:paraId="7378D34A" w14:textId="6867EF3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Style w:val="Footnotetext-largeandsmallcapsChar"/>
          <w:rFonts w:ascii="Times New Roman" w:hAnsi="Times New Roman" w:cs="Times New Roman"/>
          <w:color w:val="000000" w:themeColor="text1"/>
          <w:sz w:val="22"/>
          <w:szCs w:val="22"/>
        </w:rPr>
        <w:t xml:space="preserve"> </w:t>
      </w:r>
      <w:r w:rsidRPr="00274A60">
        <w:rPr>
          <w:rStyle w:val="Footnotetext-largeandsmallcapsChar"/>
          <w:rFonts w:ascii="Times New Roman" w:hAnsi="Times New Roman" w:cs="Times New Roman"/>
          <w:i/>
          <w:iCs/>
          <w:smallCaps w:val="0"/>
          <w:color w:val="000000" w:themeColor="text1"/>
          <w:sz w:val="22"/>
          <w:szCs w:val="22"/>
        </w:rPr>
        <w:t>The Declaration of Sentiments, Seneca Falls Conference</w:t>
      </w:r>
      <w:r w:rsidRPr="00274A60">
        <w:rPr>
          <w:rFonts w:cs="Times New Roman"/>
          <w:i/>
          <w:iCs/>
          <w:smallCaps/>
          <w:color w:val="000000" w:themeColor="text1"/>
          <w:sz w:val="22"/>
          <w:szCs w:val="22"/>
        </w:rPr>
        <w:t>, 1848</w:t>
      </w:r>
      <w:r w:rsidRPr="00274A60">
        <w:rPr>
          <w:rFonts w:cs="Times New Roman"/>
          <w:color w:val="000000" w:themeColor="text1"/>
          <w:sz w:val="22"/>
          <w:szCs w:val="22"/>
        </w:rPr>
        <w:t xml:space="preserve">, </w:t>
      </w:r>
      <w:r w:rsidRPr="00274A60">
        <w:rPr>
          <w:rStyle w:val="Footnotetext-largeandsmallcapsChar"/>
          <w:rFonts w:ascii="Times New Roman" w:hAnsi="Times New Roman" w:cs="Times New Roman"/>
          <w:color w:val="000000" w:themeColor="text1"/>
          <w:sz w:val="22"/>
          <w:szCs w:val="22"/>
        </w:rPr>
        <w:t>Mod. Hist. Sourcebook,</w:t>
      </w:r>
      <w:r w:rsidRPr="00274A60">
        <w:rPr>
          <w:rFonts w:cs="Times New Roman"/>
          <w:color w:val="000000" w:themeColor="text1"/>
          <w:sz w:val="22"/>
          <w:szCs w:val="22"/>
        </w:rPr>
        <w:t xml:space="preserve"> </w:t>
      </w:r>
      <w:hyperlink r:id="rId1" w:history="1">
        <w:r w:rsidR="000C165A" w:rsidRPr="000C165A">
          <w:rPr>
            <w:rStyle w:val="Hyperlink"/>
            <w:rFonts w:cs="Times New Roman"/>
            <w:sz w:val="22"/>
            <w:szCs w:val="22"/>
          </w:rPr>
          <w:t>https://sourcebooks.fordham.edu/mod/senecafalls.asp</w:t>
        </w:r>
      </w:hyperlink>
      <w:r w:rsidR="000C165A" w:rsidRPr="00274A60">
        <w:rPr>
          <w:rFonts w:cs="Times New Roman"/>
          <w:color w:val="000000" w:themeColor="text1"/>
          <w:sz w:val="22"/>
          <w:szCs w:val="22"/>
        </w:rPr>
        <w:t xml:space="preserve"> </w:t>
      </w:r>
      <w:r w:rsidRPr="00274A60">
        <w:rPr>
          <w:rFonts w:cs="Times New Roman"/>
          <w:color w:val="000000" w:themeColor="text1"/>
          <w:sz w:val="22"/>
          <w:szCs w:val="22"/>
        </w:rPr>
        <w:t>(last updated Nov. 1998).</w:t>
      </w:r>
    </w:p>
  </w:footnote>
  <w:footnote w:id="2">
    <w:p w14:paraId="322F0A65" w14:textId="6BC827F7" w:rsidR="000A7B6C" w:rsidRPr="00274A60" w:rsidRDefault="000A7B6C" w:rsidP="00274A60">
      <w:pPr>
        <w:pStyle w:val="FootnoteText"/>
        <w:snapToGrid w:val="0"/>
        <w:spacing w:line="240" w:lineRule="auto"/>
        <w:rPr>
          <w:rFonts w:cs="Times New Roman"/>
          <w:color w:val="000000" w:themeColor="text1"/>
          <w:sz w:val="22"/>
          <w:szCs w:val="22"/>
        </w:rPr>
      </w:pPr>
      <w:r w:rsidRPr="00274A60">
        <w:rPr>
          <w:rStyle w:val="FootnoteReference"/>
          <w:rFonts w:cs="Times New Roman"/>
          <w:color w:val="000000" w:themeColor="text1"/>
          <w:sz w:val="22"/>
          <w:szCs w:val="22"/>
        </w:rPr>
        <w:footnoteRef/>
      </w:r>
      <w:r w:rsidRPr="00274A60">
        <w:rPr>
          <w:rFonts w:cs="Times New Roman"/>
          <w:color w:val="000000" w:themeColor="text1"/>
          <w:sz w:val="22"/>
          <w:szCs w:val="22"/>
        </w:rPr>
        <w:t xml:space="preserve"> </w:t>
      </w:r>
      <w:r w:rsidRPr="00274A60">
        <w:rPr>
          <w:rStyle w:val="Footnotetext-largeandsmallcapsChar"/>
          <w:rFonts w:ascii="Times New Roman" w:hAnsi="Times New Roman" w:cs="Times New Roman"/>
          <w:i/>
          <w:iCs/>
          <w:smallCaps w:val="0"/>
          <w:color w:val="000000" w:themeColor="text1"/>
          <w:sz w:val="22"/>
          <w:szCs w:val="22"/>
        </w:rPr>
        <w:t>Id.</w:t>
      </w:r>
    </w:p>
  </w:footnote>
  <w:footnote w:id="3">
    <w:p w14:paraId="53488472" w14:textId="4D666C6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p>
  </w:footnote>
  <w:footnote w:id="4">
    <w:p w14:paraId="0C63E7A6" w14:textId="50F93CA9"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p>
  </w:footnote>
  <w:footnote w:id="5">
    <w:p w14:paraId="7E8F4422" w14:textId="1BCB4C5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w:t>
      </w:r>
      <w:r w:rsidRPr="00274A60">
        <w:rPr>
          <w:rFonts w:cs="Times New Roman"/>
          <w:sz w:val="22"/>
          <w:szCs w:val="22"/>
        </w:rPr>
        <w:t xml:space="preserve"> Carolyn C. Jones, </w:t>
      </w:r>
      <w:r w:rsidRPr="00274A60">
        <w:rPr>
          <w:rFonts w:cs="Times New Roman"/>
          <w:i/>
          <w:iCs/>
          <w:sz w:val="22"/>
          <w:szCs w:val="22"/>
        </w:rPr>
        <w:t>Dollars and Selves: Women’s Tax Criticism and Resistance in the 1870s</w:t>
      </w:r>
      <w:r w:rsidRPr="00274A60">
        <w:rPr>
          <w:rFonts w:cs="Times New Roman"/>
          <w:sz w:val="22"/>
          <w:szCs w:val="22"/>
        </w:rPr>
        <w:t xml:space="preserve">, 1994 </w:t>
      </w:r>
      <w:r w:rsidRPr="00274A60">
        <w:rPr>
          <w:rFonts w:cs="Times New Roman"/>
          <w:smallCaps/>
          <w:sz w:val="22"/>
          <w:szCs w:val="22"/>
        </w:rPr>
        <w:t>U. Ill. L. Rev.</w:t>
      </w:r>
      <w:r w:rsidRPr="00274A60">
        <w:rPr>
          <w:rFonts w:cs="Times New Roman"/>
          <w:sz w:val="22"/>
          <w:szCs w:val="22"/>
        </w:rPr>
        <w:t xml:space="preserve"> 265, 267.</w:t>
      </w:r>
    </w:p>
  </w:footnote>
  <w:footnote w:id="6">
    <w:p w14:paraId="19678090" w14:textId="1D646165"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 xml:space="preserve">Id. </w:t>
      </w:r>
      <w:r w:rsidRPr="00274A60">
        <w:rPr>
          <w:rFonts w:cs="Times New Roman"/>
          <w:sz w:val="22"/>
          <w:szCs w:val="22"/>
        </w:rPr>
        <w:t>at 268, 275–</w:t>
      </w:r>
      <w:r w:rsidR="00B2057E">
        <w:rPr>
          <w:rFonts w:cs="Times New Roman"/>
          <w:sz w:val="22"/>
          <w:szCs w:val="22"/>
        </w:rPr>
        <w:t>80</w:t>
      </w:r>
      <w:r w:rsidRPr="00274A60">
        <w:rPr>
          <w:rFonts w:cs="Times New Roman"/>
          <w:sz w:val="22"/>
          <w:szCs w:val="22"/>
        </w:rPr>
        <w:t>.</w:t>
      </w:r>
    </w:p>
  </w:footnote>
  <w:footnote w:id="7">
    <w:p w14:paraId="2E34B5AF" w14:textId="00BD2D03" w:rsidR="000A7B6C" w:rsidRPr="003877FF"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0C78E7">
        <w:rPr>
          <w:rFonts w:cs="Times New Roman"/>
          <w:i/>
          <w:iCs/>
          <w:sz w:val="22"/>
          <w:szCs w:val="22"/>
        </w:rPr>
        <w:t>.</w:t>
      </w:r>
      <w:r w:rsidR="003877FF">
        <w:rPr>
          <w:rFonts w:cs="Times New Roman"/>
          <w:sz w:val="22"/>
          <w:szCs w:val="22"/>
        </w:rPr>
        <w:t xml:space="preserve"> at 268–69, 275–80.</w:t>
      </w:r>
    </w:p>
  </w:footnote>
  <w:footnote w:id="8">
    <w:p w14:paraId="01670C0A" w14:textId="4F0433D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Moritz v. Comm’r, 55 T.C. 113 (1970), </w:t>
      </w:r>
      <w:proofErr w:type="spellStart"/>
      <w:r w:rsidRPr="00274A60">
        <w:rPr>
          <w:rFonts w:cs="Times New Roman"/>
          <w:i/>
          <w:iCs/>
          <w:sz w:val="22"/>
          <w:szCs w:val="22"/>
        </w:rPr>
        <w:t>rev’d</w:t>
      </w:r>
      <w:proofErr w:type="spellEnd"/>
      <w:r w:rsidRPr="00274A60">
        <w:rPr>
          <w:rFonts w:cs="Times New Roman"/>
          <w:sz w:val="22"/>
          <w:szCs w:val="22"/>
        </w:rPr>
        <w:t>, 469 F.2d 466 (</w:t>
      </w:r>
      <w:r w:rsidR="0052732B">
        <w:rPr>
          <w:rFonts w:cs="Times New Roman"/>
          <w:sz w:val="22"/>
          <w:szCs w:val="22"/>
        </w:rPr>
        <w:t xml:space="preserve">10th Cir. </w:t>
      </w:r>
      <w:r w:rsidRPr="00274A60">
        <w:rPr>
          <w:rFonts w:cs="Times New Roman"/>
          <w:sz w:val="22"/>
          <w:szCs w:val="22"/>
        </w:rPr>
        <w:t xml:space="preserve">1972), </w:t>
      </w:r>
      <w:r w:rsidRPr="00274A60">
        <w:rPr>
          <w:rFonts w:cs="Times New Roman"/>
          <w:i/>
          <w:iCs/>
          <w:sz w:val="22"/>
          <w:szCs w:val="22"/>
        </w:rPr>
        <w:t>cert. denied</w:t>
      </w:r>
      <w:r w:rsidRPr="00274A60">
        <w:rPr>
          <w:rFonts w:cs="Times New Roman"/>
          <w:sz w:val="22"/>
          <w:szCs w:val="22"/>
        </w:rPr>
        <w:t>, 412 U.S. 906 (1973).</w:t>
      </w:r>
    </w:p>
  </w:footnote>
  <w:footnote w:id="9">
    <w:p w14:paraId="4C366373" w14:textId="3ACACB2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I.R.C. § 214 (1968); </w:t>
      </w:r>
      <w:r w:rsidRPr="00274A60">
        <w:rPr>
          <w:rFonts w:cs="Times New Roman"/>
          <w:i/>
          <w:iCs/>
          <w:sz w:val="22"/>
          <w:szCs w:val="22"/>
        </w:rPr>
        <w:t xml:space="preserve">see </w:t>
      </w:r>
      <w:r w:rsidRPr="00274A60">
        <w:rPr>
          <w:rFonts w:cs="Times New Roman"/>
          <w:sz w:val="22"/>
          <w:szCs w:val="22"/>
        </w:rPr>
        <w:t>Revenue Act of 1964, Pub</w:t>
      </w:r>
      <w:r w:rsidR="00CB65CD">
        <w:rPr>
          <w:rFonts w:cs="Times New Roman"/>
          <w:sz w:val="22"/>
          <w:szCs w:val="22"/>
        </w:rPr>
        <w:t>.</w:t>
      </w:r>
      <w:r w:rsidRPr="00274A60">
        <w:rPr>
          <w:rFonts w:cs="Times New Roman"/>
          <w:sz w:val="22"/>
          <w:szCs w:val="22"/>
        </w:rPr>
        <w:t xml:space="preserve"> L. No. 88-272, § 212, 78 Stat. 19, 49.</w:t>
      </w:r>
    </w:p>
  </w:footnote>
  <w:footnote w:id="10">
    <w:p w14:paraId="54C0D497" w14:textId="138B1975"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Moritz</w:t>
      </w:r>
      <w:r w:rsidRPr="00274A60">
        <w:rPr>
          <w:rFonts w:cs="Times New Roman"/>
          <w:sz w:val="22"/>
          <w:szCs w:val="22"/>
        </w:rPr>
        <w:t>, 55 T.C. at 114–15.</w:t>
      </w:r>
    </w:p>
  </w:footnote>
  <w:footnote w:id="11">
    <w:p w14:paraId="50996063" w14:textId="4BC82E4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w:t>
      </w:r>
      <w:r w:rsidRPr="00274A60">
        <w:rPr>
          <w:rFonts w:cs="Times New Roman"/>
          <w:sz w:val="22"/>
          <w:szCs w:val="22"/>
        </w:rPr>
        <w:t xml:space="preserve"> Brief for Petitioner-Appellant at 2, </w:t>
      </w:r>
      <w:r w:rsidRPr="00176FFE">
        <w:rPr>
          <w:rFonts w:cs="Times New Roman"/>
          <w:i/>
          <w:iCs/>
          <w:sz w:val="22"/>
          <w:szCs w:val="22"/>
        </w:rPr>
        <w:t>Moritz</w:t>
      </w:r>
      <w:r w:rsidRPr="00274A60">
        <w:rPr>
          <w:rFonts w:cs="Times New Roman"/>
          <w:sz w:val="22"/>
          <w:szCs w:val="22"/>
        </w:rPr>
        <w:t>, 469 F.2d 466 (No. 71-1127).</w:t>
      </w:r>
    </w:p>
  </w:footnote>
  <w:footnote w:id="12">
    <w:p w14:paraId="3C5F6985" w14:textId="6C53CFED" w:rsidR="000A7B6C" w:rsidRPr="00274A60" w:rsidRDefault="000A7B6C" w:rsidP="00274A60">
      <w:pPr>
        <w:autoSpaceDE w:val="0"/>
        <w:autoSpaceDN w:val="0"/>
        <w:adjustRightInd w:val="0"/>
        <w:rPr>
          <w:sz w:val="22"/>
          <w:szCs w:val="22"/>
        </w:rPr>
      </w:pPr>
      <w:r w:rsidRPr="00274A60">
        <w:rPr>
          <w:rStyle w:val="FootnoteReference"/>
          <w:sz w:val="22"/>
          <w:szCs w:val="22"/>
        </w:rPr>
        <w:footnoteRef/>
      </w:r>
      <w:r w:rsidRPr="00274A60">
        <w:rPr>
          <w:sz w:val="22"/>
          <w:szCs w:val="22"/>
        </w:rPr>
        <w:t xml:space="preserve"> Martin D. Ginsburg, ABA Tax Section Distinguished Service Award Presentation 1–2 (May 5, 2006), </w:t>
      </w:r>
      <w:hyperlink r:id="rId2" w:history="1">
        <w:r w:rsidRPr="00D10A4B">
          <w:rPr>
            <w:rStyle w:val="Hyperlink"/>
            <w:sz w:val="22"/>
            <w:szCs w:val="22"/>
          </w:rPr>
          <w:t>https://www.americanbar.org/content/dam/aba/administrative/taxation/awards/dsa/ginsburgremarks.pdf</w:t>
        </w:r>
      </w:hyperlink>
      <w:r w:rsidRPr="00274A60">
        <w:rPr>
          <w:sz w:val="22"/>
          <w:szCs w:val="22"/>
        </w:rPr>
        <w:t>.</w:t>
      </w:r>
    </w:p>
  </w:footnote>
  <w:footnote w:id="13">
    <w:p w14:paraId="0AE7A402" w14:textId="2AAF00C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2 (“I went next door, handed the advance sheets to my wife, and said, ‘Read this.’ Ruth replied with a warm and friendly snarl, ‘I don’t read tax cases.’ I said, ‘Read this one,’ and returned to my room. No more than 5 minutes later—it was a short opinion—Ruth stepped into my room and, with the broadest smile you can imagine, said, ‘Let’s take it[.]’ And we did.”).</w:t>
      </w:r>
    </w:p>
  </w:footnote>
  <w:footnote w:id="14">
    <w:p w14:paraId="1CEC6DD0" w14:textId="7B522C8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p>
  </w:footnote>
  <w:footnote w:id="15">
    <w:p w14:paraId="33E7350A" w14:textId="08A497C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Moritz</w:t>
      </w:r>
      <w:r w:rsidRPr="00274A60">
        <w:rPr>
          <w:rFonts w:cs="Times New Roman"/>
          <w:sz w:val="22"/>
          <w:szCs w:val="22"/>
        </w:rPr>
        <w:t>, 469 F.2d at 470.</w:t>
      </w:r>
    </w:p>
  </w:footnote>
  <w:footnote w:id="16">
    <w:p w14:paraId="4E90CDD9" w14:textId="11DD76AE" w:rsidR="000A7B6C" w:rsidRPr="00176FFE" w:rsidRDefault="000A7B6C" w:rsidP="00274A60">
      <w:pPr>
        <w:pStyle w:val="FootnoteText"/>
        <w:spacing w:line="240" w:lineRule="auto"/>
        <w:rPr>
          <w:rFonts w:cs="Times New Roman"/>
          <w:sz w:val="22"/>
          <w:szCs w:val="22"/>
          <w:lang w:val="pl-PL"/>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 xml:space="preserve">See </w:t>
      </w:r>
      <w:r w:rsidRPr="00274A60">
        <w:rPr>
          <w:rFonts w:cs="Times New Roman"/>
          <w:sz w:val="22"/>
          <w:szCs w:val="22"/>
        </w:rPr>
        <w:t xml:space="preserve">Reed v. Reed, 404 U.S. 71 (1971) (finding unconstitutional an Idaho statutory preference for a male administrator of a decedent’s estate); Wendy Webster Williams, </w:t>
      </w:r>
      <w:r w:rsidRPr="00274A60">
        <w:rPr>
          <w:rFonts w:cs="Times New Roman"/>
          <w:i/>
          <w:iCs/>
          <w:sz w:val="22"/>
          <w:szCs w:val="22"/>
        </w:rPr>
        <w:t>Justice Ruth Bader Ginsburg’s Rutgers Years: 1963–1972</w:t>
      </w:r>
      <w:r w:rsidRPr="00274A60">
        <w:rPr>
          <w:rFonts w:cs="Times New Roman"/>
          <w:sz w:val="22"/>
          <w:szCs w:val="22"/>
        </w:rPr>
        <w:t xml:space="preserve">, 31 </w:t>
      </w:r>
      <w:r w:rsidRPr="00274A60">
        <w:rPr>
          <w:rFonts w:cs="Times New Roman"/>
          <w:smallCaps/>
          <w:sz w:val="22"/>
          <w:szCs w:val="22"/>
        </w:rPr>
        <w:t xml:space="preserve">Women’s </w:t>
      </w:r>
      <w:proofErr w:type="spellStart"/>
      <w:r w:rsidRPr="00274A60">
        <w:rPr>
          <w:rFonts w:cs="Times New Roman"/>
          <w:smallCaps/>
          <w:sz w:val="22"/>
          <w:szCs w:val="22"/>
        </w:rPr>
        <w:t>Rts</w:t>
      </w:r>
      <w:proofErr w:type="spellEnd"/>
      <w:r w:rsidRPr="00274A60">
        <w:rPr>
          <w:rFonts w:cs="Times New Roman"/>
          <w:smallCaps/>
          <w:sz w:val="22"/>
          <w:szCs w:val="22"/>
        </w:rPr>
        <w:t>. L. Rep</w:t>
      </w:r>
      <w:r w:rsidRPr="00274A60">
        <w:rPr>
          <w:rFonts w:cs="Times New Roman"/>
          <w:sz w:val="22"/>
          <w:szCs w:val="22"/>
        </w:rPr>
        <w:t xml:space="preserve">. 229, 249–50 (2010); Lila Thulin, </w:t>
      </w:r>
      <w:r w:rsidRPr="00274A60">
        <w:rPr>
          <w:rFonts w:cs="Times New Roman"/>
          <w:i/>
          <w:iCs/>
          <w:sz w:val="22"/>
          <w:szCs w:val="22"/>
        </w:rPr>
        <w:t>The True Story of the Case Ruth Bader Ginsburg Argues in “On the Basis of Sex</w:t>
      </w:r>
      <w:r w:rsidRPr="00274A60">
        <w:rPr>
          <w:rFonts w:cs="Times New Roman"/>
          <w:sz w:val="22"/>
          <w:szCs w:val="22"/>
        </w:rPr>
        <w:t>,</w:t>
      </w:r>
      <w:r w:rsidRPr="00274A60">
        <w:rPr>
          <w:rFonts w:cs="Times New Roman"/>
          <w:i/>
          <w:iCs/>
          <w:sz w:val="22"/>
          <w:szCs w:val="22"/>
        </w:rPr>
        <w:t>”</w:t>
      </w:r>
      <w:r w:rsidRPr="00274A60">
        <w:rPr>
          <w:rFonts w:cs="Times New Roman"/>
          <w:sz w:val="22"/>
          <w:szCs w:val="22"/>
        </w:rPr>
        <w:t xml:space="preserve"> </w:t>
      </w:r>
      <w:r w:rsidRPr="00274A60">
        <w:rPr>
          <w:rFonts w:cs="Times New Roman"/>
          <w:smallCaps/>
          <w:sz w:val="22"/>
          <w:szCs w:val="22"/>
        </w:rPr>
        <w:t>Smithsonian Mag</w:t>
      </w:r>
      <w:r w:rsidRPr="00274A60">
        <w:rPr>
          <w:rFonts w:cs="Times New Roman"/>
          <w:sz w:val="22"/>
          <w:szCs w:val="22"/>
        </w:rPr>
        <w:t xml:space="preserve">. </w:t>
      </w:r>
      <w:r w:rsidRPr="00176FFE">
        <w:rPr>
          <w:rFonts w:cs="Times New Roman"/>
          <w:sz w:val="22"/>
          <w:szCs w:val="22"/>
          <w:lang w:val="pl-PL"/>
        </w:rPr>
        <w:t>(Dec. 24, 2018)</w:t>
      </w:r>
      <w:r w:rsidR="003D0C3E">
        <w:rPr>
          <w:rFonts w:cs="Times New Roman"/>
          <w:sz w:val="22"/>
          <w:szCs w:val="22"/>
          <w:lang w:val="pl-PL"/>
        </w:rPr>
        <w:t xml:space="preserve">, </w:t>
      </w:r>
      <w:r w:rsidR="0004256F">
        <w:fldChar w:fldCharType="begin"/>
      </w:r>
      <w:r w:rsidR="0004256F" w:rsidRPr="008E2E0D">
        <w:rPr>
          <w:lang w:val="pl-PL"/>
        </w:rPr>
        <w:instrText xml:space="preserve"> HYPERLINK "https://www.smithsonianmag.com/history/true-story-case-center-basis-sex-180971110/" </w:instrText>
      </w:r>
      <w:r w:rsidR="0004256F">
        <w:fldChar w:fldCharType="separate"/>
      </w:r>
      <w:r w:rsidR="003D0C3E" w:rsidRPr="003D0C3E">
        <w:rPr>
          <w:rStyle w:val="Hyperlink"/>
          <w:rFonts w:cs="Times New Roman"/>
          <w:sz w:val="22"/>
          <w:szCs w:val="22"/>
          <w:lang w:val="pl-PL"/>
        </w:rPr>
        <w:t>https://www.smithsonianmag.com/history/true-story-case-center-basis-sex-180971110/</w:t>
      </w:r>
      <w:r w:rsidR="0004256F">
        <w:rPr>
          <w:rStyle w:val="Hyperlink"/>
          <w:rFonts w:cs="Times New Roman"/>
          <w:sz w:val="22"/>
          <w:szCs w:val="22"/>
          <w:lang w:val="pl-PL"/>
        </w:rPr>
        <w:fldChar w:fldCharType="end"/>
      </w:r>
      <w:r w:rsidRPr="00176FFE">
        <w:rPr>
          <w:rFonts w:cs="Times New Roman"/>
          <w:sz w:val="22"/>
          <w:szCs w:val="22"/>
          <w:lang w:val="pl-PL"/>
        </w:rPr>
        <w:t>.</w:t>
      </w:r>
    </w:p>
  </w:footnote>
  <w:footnote w:id="17">
    <w:p w14:paraId="4B44CDC4" w14:textId="1DC07ED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Williams,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_Ref32162453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16</w:t>
      </w:r>
      <w:r w:rsidRPr="00274A60">
        <w:rPr>
          <w:rFonts w:cs="Times New Roman"/>
          <w:sz w:val="22"/>
          <w:szCs w:val="22"/>
        </w:rPr>
        <w:fldChar w:fldCharType="end"/>
      </w:r>
      <w:r w:rsidRPr="00274A60">
        <w:rPr>
          <w:rFonts w:cs="Times New Roman"/>
          <w:sz w:val="22"/>
          <w:szCs w:val="22"/>
        </w:rPr>
        <w:t xml:space="preserve">, at 247 n.127; Thulin,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_Ref32162453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16</w:t>
      </w:r>
      <w:r w:rsidRPr="00274A60">
        <w:rPr>
          <w:rFonts w:cs="Times New Roman"/>
          <w:sz w:val="22"/>
          <w:szCs w:val="22"/>
        </w:rPr>
        <w:fldChar w:fldCharType="end"/>
      </w:r>
      <w:r w:rsidRPr="00274A60">
        <w:rPr>
          <w:rFonts w:cs="Times New Roman"/>
          <w:sz w:val="22"/>
          <w:szCs w:val="22"/>
        </w:rPr>
        <w:t>.</w:t>
      </w:r>
    </w:p>
  </w:footnote>
  <w:footnote w:id="18">
    <w:p w14:paraId="70A1552F" w14:textId="436F2C89"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Moritz</w:t>
      </w:r>
      <w:r w:rsidRPr="00274A60">
        <w:rPr>
          <w:rFonts w:cs="Times New Roman"/>
          <w:sz w:val="22"/>
          <w:szCs w:val="22"/>
        </w:rPr>
        <w:t>, 469 F.2d at 470.</w:t>
      </w:r>
    </w:p>
  </w:footnote>
  <w:footnote w:id="19">
    <w:p w14:paraId="2435CA7C" w14:textId="02CD4FB3"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Reed</w:t>
      </w:r>
      <w:r w:rsidRPr="00274A60">
        <w:rPr>
          <w:rFonts w:cs="Times New Roman"/>
          <w:sz w:val="22"/>
          <w:szCs w:val="22"/>
        </w:rPr>
        <w:t>, 404 U.S. at 76–77.</w:t>
      </w:r>
    </w:p>
  </w:footnote>
  <w:footnote w:id="20">
    <w:p w14:paraId="3EA5C9EB" w14:textId="1623632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w:t>
      </w:r>
      <w:r w:rsidRPr="00274A60">
        <w:rPr>
          <w:rFonts w:cs="Times New Roman"/>
          <w:sz w:val="22"/>
          <w:szCs w:val="22"/>
        </w:rPr>
        <w:t xml:space="preserve"> Duren v. Missouri, 439 U.S. 357 (1979) (challenging sex-based exemptions from jury service); </w:t>
      </w:r>
      <w:proofErr w:type="spellStart"/>
      <w:r w:rsidRPr="00274A60">
        <w:rPr>
          <w:rFonts w:cs="Times New Roman"/>
          <w:sz w:val="22"/>
          <w:szCs w:val="22"/>
        </w:rPr>
        <w:t>Califano</w:t>
      </w:r>
      <w:proofErr w:type="spellEnd"/>
      <w:r w:rsidRPr="00274A60">
        <w:rPr>
          <w:rFonts w:cs="Times New Roman"/>
          <w:sz w:val="22"/>
          <w:szCs w:val="22"/>
        </w:rPr>
        <w:t xml:space="preserve"> v. Goldfarb, 430 U.S. 199 (1977) (finding unconstitutional a law permitting widows but not widowers certain Social Security survivor benefits); Edwards v. Healy, 421 U.S. 772 (1975) (challenging sex-based exemptions from jury service); Weinberg v. </w:t>
      </w:r>
      <w:proofErr w:type="spellStart"/>
      <w:r w:rsidRPr="00274A60">
        <w:rPr>
          <w:rFonts w:cs="Times New Roman"/>
          <w:sz w:val="22"/>
          <w:szCs w:val="22"/>
        </w:rPr>
        <w:t>W</w:t>
      </w:r>
      <w:r w:rsidR="00CB5D85">
        <w:rPr>
          <w:rFonts w:cs="Times New Roman"/>
          <w:sz w:val="22"/>
          <w:szCs w:val="22"/>
        </w:rPr>
        <w:t>ie</w:t>
      </w:r>
      <w:r w:rsidRPr="00274A60">
        <w:rPr>
          <w:rFonts w:cs="Times New Roman"/>
          <w:sz w:val="22"/>
          <w:szCs w:val="22"/>
        </w:rPr>
        <w:t>senfeld</w:t>
      </w:r>
      <w:proofErr w:type="spellEnd"/>
      <w:r w:rsidRPr="00274A60">
        <w:rPr>
          <w:rFonts w:cs="Times New Roman"/>
          <w:sz w:val="22"/>
          <w:szCs w:val="22"/>
        </w:rPr>
        <w:t xml:space="preserve">, 420 U.S. 636 (1975) (finding unconstitutional a law that only allowed surviving children but not widowers to obtain Social Security survivor benefits); Kahn v. </w:t>
      </w:r>
      <w:proofErr w:type="spellStart"/>
      <w:r w:rsidRPr="00274A60">
        <w:rPr>
          <w:rFonts w:cs="Times New Roman"/>
          <w:sz w:val="22"/>
          <w:szCs w:val="22"/>
        </w:rPr>
        <w:t>Shevin</w:t>
      </w:r>
      <w:proofErr w:type="spellEnd"/>
      <w:r w:rsidRPr="00274A60">
        <w:rPr>
          <w:rFonts w:cs="Times New Roman"/>
          <w:sz w:val="22"/>
          <w:szCs w:val="22"/>
        </w:rPr>
        <w:t>, 416 U.S. 351 (1974) (property tax exemption for widows but not widowers held constitutional)</w:t>
      </w:r>
      <w:r w:rsidR="002D7774">
        <w:rPr>
          <w:rFonts w:cs="Times New Roman"/>
          <w:sz w:val="22"/>
          <w:szCs w:val="22"/>
        </w:rPr>
        <w:t>;</w:t>
      </w:r>
      <w:r w:rsidR="002D7774" w:rsidRPr="002D7774">
        <w:rPr>
          <w:rFonts w:cs="Times New Roman"/>
          <w:sz w:val="22"/>
          <w:szCs w:val="22"/>
        </w:rPr>
        <w:t xml:space="preserve"> </w:t>
      </w:r>
      <w:proofErr w:type="spellStart"/>
      <w:r w:rsidR="002D7774" w:rsidRPr="00274A60">
        <w:rPr>
          <w:rFonts w:cs="Times New Roman"/>
          <w:sz w:val="22"/>
          <w:szCs w:val="22"/>
        </w:rPr>
        <w:t>Frontiero</w:t>
      </w:r>
      <w:proofErr w:type="spellEnd"/>
      <w:r w:rsidR="002D7774" w:rsidRPr="00274A60">
        <w:rPr>
          <w:rFonts w:cs="Times New Roman"/>
          <w:sz w:val="22"/>
          <w:szCs w:val="22"/>
        </w:rPr>
        <w:t xml:space="preserve"> v. Richardson, 411 U.S. 677 (197</w:t>
      </w:r>
      <w:r w:rsidR="002D7774">
        <w:rPr>
          <w:rFonts w:cs="Times New Roman"/>
          <w:sz w:val="22"/>
          <w:szCs w:val="22"/>
        </w:rPr>
        <w:t>3</w:t>
      </w:r>
      <w:r w:rsidR="002D7774" w:rsidRPr="00274A60">
        <w:rPr>
          <w:rFonts w:cs="Times New Roman"/>
          <w:sz w:val="22"/>
          <w:szCs w:val="22"/>
        </w:rPr>
        <w:t>) (invalidating Air Force’s policy of automatically granting spousal benefits to married male service members but requiring married female service members to prove the financial dependency of their spouses)</w:t>
      </w:r>
      <w:r w:rsidRPr="00274A60">
        <w:rPr>
          <w:rFonts w:cs="Times New Roman"/>
          <w:sz w:val="22"/>
          <w:szCs w:val="22"/>
        </w:rPr>
        <w:t>.</w:t>
      </w:r>
    </w:p>
  </w:footnote>
  <w:footnote w:id="21">
    <w:p w14:paraId="79401229" w14:textId="74794B1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Craig v. Boren, 429 U.S. 190 (1976).</w:t>
      </w:r>
    </w:p>
  </w:footnote>
  <w:footnote w:id="22">
    <w:p w14:paraId="58CC5971" w14:textId="2D81554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About the Court: Current Members</w:t>
      </w:r>
      <w:r w:rsidRPr="00274A60">
        <w:rPr>
          <w:rFonts w:cs="Times New Roman"/>
          <w:sz w:val="22"/>
          <w:szCs w:val="22"/>
        </w:rPr>
        <w:t xml:space="preserve">, </w:t>
      </w:r>
      <w:r w:rsidRPr="00274A60">
        <w:rPr>
          <w:rFonts w:cs="Times New Roman"/>
          <w:smallCaps/>
          <w:sz w:val="22"/>
          <w:szCs w:val="22"/>
        </w:rPr>
        <w:t>U.S. Supreme Ct</w:t>
      </w:r>
      <w:r w:rsidRPr="00274A60">
        <w:rPr>
          <w:rFonts w:cs="Times New Roman"/>
          <w:sz w:val="22"/>
          <w:szCs w:val="22"/>
        </w:rPr>
        <w:t xml:space="preserve">., </w:t>
      </w:r>
      <w:hyperlink r:id="rId3" w:history="1">
        <w:r w:rsidRPr="00D304B4">
          <w:rPr>
            <w:rStyle w:val="Hyperlink"/>
            <w:rFonts w:cs="Times New Roman"/>
            <w:sz w:val="22"/>
            <w:szCs w:val="22"/>
          </w:rPr>
          <w:t>https://www.supremecourt.gov/about/biographies.aspx</w:t>
        </w:r>
      </w:hyperlink>
      <w:r w:rsidRPr="00274A60">
        <w:rPr>
          <w:rFonts w:cs="Times New Roman"/>
          <w:sz w:val="22"/>
          <w:szCs w:val="22"/>
        </w:rPr>
        <w:t xml:space="preserve"> (last visited </w:t>
      </w:r>
      <w:r w:rsidR="00540EA4">
        <w:rPr>
          <w:rFonts w:cs="Times New Roman"/>
          <w:sz w:val="22"/>
          <w:szCs w:val="22"/>
        </w:rPr>
        <w:t>June</w:t>
      </w:r>
      <w:r w:rsidRPr="00274A60">
        <w:rPr>
          <w:rFonts w:cs="Times New Roman"/>
          <w:sz w:val="22"/>
          <w:szCs w:val="22"/>
        </w:rPr>
        <w:t xml:space="preserve"> </w:t>
      </w:r>
      <w:r w:rsidR="00540EA4">
        <w:rPr>
          <w:rFonts w:cs="Times New Roman"/>
          <w:sz w:val="22"/>
          <w:szCs w:val="22"/>
        </w:rPr>
        <w:t>16</w:t>
      </w:r>
      <w:r w:rsidRPr="00274A60">
        <w:rPr>
          <w:rFonts w:cs="Times New Roman"/>
          <w:sz w:val="22"/>
          <w:szCs w:val="22"/>
        </w:rPr>
        <w:t>, 2020).</w:t>
      </w:r>
    </w:p>
  </w:footnote>
  <w:footnote w:id="23">
    <w:p w14:paraId="74260F9B" w14:textId="0B045E6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Grace Blumberg, </w:t>
      </w:r>
      <w:r w:rsidRPr="00274A60">
        <w:rPr>
          <w:rFonts w:cs="Times New Roman"/>
          <w:i/>
          <w:iCs/>
          <w:sz w:val="22"/>
          <w:szCs w:val="22"/>
        </w:rPr>
        <w:t>Sexism in the Code: A Comparative Study of the Taxation of Working Wives and Mothers</w:t>
      </w:r>
      <w:r w:rsidRPr="00274A60">
        <w:rPr>
          <w:rFonts w:cs="Times New Roman"/>
          <w:sz w:val="22"/>
          <w:szCs w:val="22"/>
        </w:rPr>
        <w:t xml:space="preserve">, 21 </w:t>
      </w:r>
      <w:r w:rsidRPr="00274A60">
        <w:rPr>
          <w:rFonts w:cs="Times New Roman"/>
          <w:smallCaps/>
          <w:sz w:val="22"/>
          <w:szCs w:val="22"/>
        </w:rPr>
        <w:t>Buff. L. Rev.</w:t>
      </w:r>
      <w:r w:rsidRPr="00274A60">
        <w:rPr>
          <w:rFonts w:cs="Times New Roman"/>
          <w:sz w:val="22"/>
          <w:szCs w:val="22"/>
        </w:rPr>
        <w:t xml:space="preserve"> 49 (1971).</w:t>
      </w:r>
    </w:p>
  </w:footnote>
  <w:footnote w:id="24">
    <w:p w14:paraId="366FF888" w14:textId="7E393A25"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49; </w:t>
      </w:r>
      <w:r w:rsidRPr="00274A60">
        <w:rPr>
          <w:rFonts w:cs="Times New Roman"/>
          <w:i/>
          <w:iCs/>
          <w:sz w:val="22"/>
          <w:szCs w:val="22"/>
        </w:rPr>
        <w:t>see id.</w:t>
      </w:r>
      <w:r w:rsidRPr="00274A60">
        <w:rPr>
          <w:rFonts w:cs="Times New Roman"/>
          <w:sz w:val="22"/>
          <w:szCs w:val="22"/>
        </w:rPr>
        <w:t xml:space="preserve"> at 50–54.</w:t>
      </w:r>
    </w:p>
  </w:footnote>
  <w:footnote w:id="25">
    <w:p w14:paraId="2B518F34" w14:textId="1A36517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54–59.</w:t>
      </w:r>
    </w:p>
  </w:footnote>
  <w:footnote w:id="26">
    <w:p w14:paraId="4B6DCE6E" w14:textId="4DD386B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62–74.</w:t>
      </w:r>
    </w:p>
  </w:footnote>
  <w:footnote w:id="27">
    <w:p w14:paraId="2BD4346A" w14:textId="36B6449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90.</w:t>
      </w:r>
    </w:p>
  </w:footnote>
  <w:footnote w:id="28">
    <w:p w14:paraId="4D17FE8A" w14:textId="707BB017"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91, 92–93.</w:t>
      </w:r>
    </w:p>
  </w:footnote>
  <w:footnote w:id="29">
    <w:p w14:paraId="7050EB3C" w14:textId="5FEB1F5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For a more recent</w:t>
      </w:r>
      <w:r w:rsidRPr="00274A60">
        <w:rPr>
          <w:rFonts w:cs="Times New Roman"/>
          <w:i/>
          <w:iCs/>
          <w:sz w:val="22"/>
          <w:szCs w:val="22"/>
        </w:rPr>
        <w:t xml:space="preserve"> </w:t>
      </w:r>
      <w:r w:rsidRPr="00274A60">
        <w:rPr>
          <w:rFonts w:cs="Times New Roman"/>
          <w:sz w:val="22"/>
          <w:szCs w:val="22"/>
        </w:rPr>
        <w:t xml:space="preserve">articulation of these distortion concerns, see Louis Kaplow &amp; Steven </w:t>
      </w:r>
      <w:proofErr w:type="spellStart"/>
      <w:r w:rsidRPr="00274A60">
        <w:rPr>
          <w:rFonts w:cs="Times New Roman"/>
          <w:sz w:val="22"/>
          <w:szCs w:val="22"/>
        </w:rPr>
        <w:t>Shavell</w:t>
      </w:r>
      <w:proofErr w:type="spellEnd"/>
      <w:r w:rsidRPr="00274A60">
        <w:rPr>
          <w:rFonts w:cs="Times New Roman"/>
          <w:sz w:val="22"/>
          <w:szCs w:val="22"/>
        </w:rPr>
        <w:t xml:space="preserve">, </w:t>
      </w:r>
      <w:r w:rsidRPr="00274A60">
        <w:rPr>
          <w:rFonts w:cs="Times New Roman"/>
          <w:i/>
          <w:iCs/>
          <w:sz w:val="22"/>
          <w:szCs w:val="22"/>
        </w:rPr>
        <w:t>Why the Legal System Is Less Efficient Than the Income Tax in Redistributing Income</w:t>
      </w:r>
      <w:r w:rsidRPr="00274A60">
        <w:rPr>
          <w:rFonts w:cs="Times New Roman"/>
          <w:sz w:val="22"/>
          <w:szCs w:val="22"/>
        </w:rPr>
        <w:t xml:space="preserve">, 23 J. </w:t>
      </w:r>
      <w:r w:rsidRPr="00274A60">
        <w:rPr>
          <w:rFonts w:cs="Times New Roman"/>
          <w:smallCaps/>
          <w:sz w:val="22"/>
          <w:szCs w:val="22"/>
        </w:rPr>
        <w:t>Legal Stud.</w:t>
      </w:r>
      <w:r w:rsidRPr="00274A60">
        <w:rPr>
          <w:rFonts w:cs="Times New Roman"/>
          <w:sz w:val="22"/>
          <w:szCs w:val="22"/>
        </w:rPr>
        <w:t xml:space="preserve"> 667 (1994). </w:t>
      </w:r>
    </w:p>
  </w:footnote>
  <w:footnote w:id="30">
    <w:p w14:paraId="352CAFB7" w14:textId="46E4DF85" w:rsidR="000A7B6C" w:rsidRPr="00274A60" w:rsidRDefault="000A7B6C" w:rsidP="00274A60">
      <w:pPr>
        <w:pStyle w:val="FootnoteText"/>
        <w:spacing w:line="240" w:lineRule="auto"/>
        <w:rPr>
          <w:rFonts w:cs="Times New Roman"/>
          <w:i/>
          <w:iCs/>
          <w:sz w:val="22"/>
          <w:szCs w:val="22"/>
        </w:rPr>
      </w:pPr>
      <w:r w:rsidRPr="00274A60">
        <w:rPr>
          <w:rStyle w:val="FootnoteReference"/>
          <w:rFonts w:cs="Times New Roman"/>
          <w:sz w:val="22"/>
          <w:szCs w:val="22"/>
        </w:rPr>
        <w:footnoteRef/>
      </w:r>
      <w:r w:rsidRPr="00274A60">
        <w:rPr>
          <w:rFonts w:cs="Times New Roman"/>
          <w:sz w:val="22"/>
          <w:szCs w:val="22"/>
        </w:rPr>
        <w:t xml:space="preserve"> For examples of feminist tax scholarship from this period, see Pamela B. Gann, </w:t>
      </w:r>
    </w:p>
    <w:p w14:paraId="7138B66B" w14:textId="4F932CAC" w:rsidR="000A7B6C" w:rsidRPr="00274A60" w:rsidRDefault="000A7B6C" w:rsidP="00274A60">
      <w:pPr>
        <w:pStyle w:val="FootnoteText"/>
        <w:spacing w:line="240" w:lineRule="auto"/>
        <w:rPr>
          <w:rFonts w:cs="Times New Roman"/>
          <w:sz w:val="22"/>
          <w:szCs w:val="22"/>
        </w:rPr>
      </w:pPr>
      <w:r w:rsidRPr="00274A60">
        <w:rPr>
          <w:rFonts w:cs="Times New Roman"/>
          <w:i/>
          <w:iCs/>
          <w:sz w:val="22"/>
          <w:szCs w:val="22"/>
        </w:rPr>
        <w:t>Abandoning Marital Status as a Factor in Allocating Income Tax Burdens</w:t>
      </w:r>
      <w:r w:rsidRPr="00274A60">
        <w:rPr>
          <w:rFonts w:cs="Times New Roman"/>
          <w:sz w:val="22"/>
          <w:szCs w:val="22"/>
        </w:rPr>
        <w:t xml:space="preserve">, 59 </w:t>
      </w:r>
      <w:r w:rsidRPr="00274A60">
        <w:rPr>
          <w:rFonts w:cs="Times New Roman"/>
          <w:smallCaps/>
          <w:sz w:val="22"/>
          <w:szCs w:val="22"/>
        </w:rPr>
        <w:t>Tex. L. Rev.</w:t>
      </w:r>
      <w:r w:rsidRPr="00274A60">
        <w:rPr>
          <w:rFonts w:cs="Times New Roman"/>
          <w:sz w:val="22"/>
          <w:szCs w:val="22"/>
        </w:rPr>
        <w:t xml:space="preserve"> 1 (1980); Marjorie 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The Rhetoric of the Anti-Progressive Income Tax Movement: A Typical Male Reaction</w:t>
      </w:r>
      <w:r w:rsidRPr="00274A60">
        <w:rPr>
          <w:rFonts w:cs="Times New Roman"/>
          <w:sz w:val="22"/>
          <w:szCs w:val="22"/>
        </w:rPr>
        <w:t xml:space="preserve">, 86 </w:t>
      </w:r>
      <w:r w:rsidRPr="00274A60">
        <w:rPr>
          <w:rFonts w:cs="Times New Roman"/>
          <w:smallCaps/>
          <w:sz w:val="22"/>
          <w:szCs w:val="22"/>
        </w:rPr>
        <w:t>Mich. L. Rev.</w:t>
      </w:r>
      <w:r w:rsidRPr="00274A60">
        <w:rPr>
          <w:rFonts w:cs="Times New Roman"/>
          <w:sz w:val="22"/>
          <w:szCs w:val="22"/>
        </w:rPr>
        <w:t xml:space="preserve"> 465 (1987).</w:t>
      </w:r>
    </w:p>
  </w:footnote>
  <w:footnote w:id="31">
    <w:p w14:paraId="007DEB23" w14:textId="555FC982"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For a further sampling, see </w:t>
      </w:r>
      <w:r w:rsidRPr="00274A60">
        <w:rPr>
          <w:rFonts w:cs="Times New Roman"/>
          <w:smallCaps/>
          <w:sz w:val="22"/>
          <w:szCs w:val="22"/>
        </w:rPr>
        <w:t>Critical Tax Theory: An Introduction</w:t>
      </w:r>
      <w:r w:rsidRPr="00274A60">
        <w:rPr>
          <w:rFonts w:cs="Times New Roman"/>
          <w:sz w:val="22"/>
          <w:szCs w:val="22"/>
        </w:rPr>
        <w:t xml:space="preserve"> (Anthony C. Infanti &amp; Bridget J. Crawford eds., 2009).</w:t>
      </w:r>
    </w:p>
  </w:footnote>
  <w:footnote w:id="32">
    <w:p w14:paraId="358B0C8E" w14:textId="02CEAE89"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Taxing America</w:t>
      </w:r>
      <w:r w:rsidRPr="00274A60">
        <w:rPr>
          <w:rFonts w:cs="Times New Roman"/>
          <w:sz w:val="22"/>
          <w:szCs w:val="22"/>
        </w:rPr>
        <w:t xml:space="preserve"> (Karen B. Brown &amp; Mary Louise Fellows eds., 1996).</w:t>
      </w:r>
    </w:p>
  </w:footnote>
  <w:footnote w:id="33">
    <w:p w14:paraId="46005040" w14:textId="5D4C8A7A"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Lily </w:t>
      </w:r>
      <w:proofErr w:type="spellStart"/>
      <w:r w:rsidRPr="00274A60">
        <w:rPr>
          <w:rFonts w:cs="Times New Roman"/>
          <w:sz w:val="22"/>
          <w:szCs w:val="22"/>
        </w:rPr>
        <w:t>Kahng</w:t>
      </w:r>
      <w:proofErr w:type="spellEnd"/>
      <w:r w:rsidRPr="00274A60">
        <w:rPr>
          <w:rFonts w:cs="Times New Roman"/>
          <w:sz w:val="22"/>
          <w:szCs w:val="22"/>
        </w:rPr>
        <w:t xml:space="preserve">, </w:t>
      </w:r>
      <w:r w:rsidRPr="00274A60">
        <w:rPr>
          <w:rFonts w:cs="Times New Roman"/>
          <w:i/>
          <w:iCs/>
          <w:sz w:val="22"/>
          <w:szCs w:val="22"/>
        </w:rPr>
        <w:t>Fiction in Tax</w:t>
      </w:r>
      <w:r w:rsidRPr="00274A60">
        <w:rPr>
          <w:rFonts w:cs="Times New Roman"/>
          <w:sz w:val="22"/>
          <w:szCs w:val="22"/>
        </w:rPr>
        <w:t xml:space="preserve">, </w:t>
      </w:r>
      <w:r w:rsidRPr="00274A60">
        <w:rPr>
          <w:rFonts w:cs="Times New Roman"/>
          <w:i/>
          <w:iCs/>
          <w:sz w:val="22"/>
          <w:szCs w:val="22"/>
        </w:rPr>
        <w:t>in</w:t>
      </w:r>
      <w:r w:rsidRPr="00274A60">
        <w:rPr>
          <w:rFonts w:cs="Times New Roman"/>
          <w:sz w:val="22"/>
          <w:szCs w:val="22"/>
        </w:rPr>
        <w:t xml:space="preserve"> </w:t>
      </w:r>
      <w:r w:rsidRPr="00274A60">
        <w:rPr>
          <w:rFonts w:cs="Times New Roman"/>
          <w:smallCaps/>
          <w:sz w:val="22"/>
          <w:szCs w:val="22"/>
        </w:rPr>
        <w:t>Taxing America</w:t>
      </w:r>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_Ref32071437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32</w:t>
      </w:r>
      <w:r w:rsidRPr="00274A60">
        <w:rPr>
          <w:rFonts w:cs="Times New Roman"/>
          <w:sz w:val="22"/>
          <w:szCs w:val="22"/>
        </w:rPr>
        <w:fldChar w:fldCharType="end"/>
      </w:r>
      <w:r w:rsidRPr="00274A60">
        <w:rPr>
          <w:rFonts w:cs="Times New Roman"/>
          <w:sz w:val="22"/>
          <w:szCs w:val="22"/>
        </w:rPr>
        <w:t>, at 25–44.</w:t>
      </w:r>
    </w:p>
  </w:footnote>
  <w:footnote w:id="34">
    <w:p w14:paraId="09A13A1F" w14:textId="51AA308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Dorothy A. Brown, </w:t>
      </w:r>
      <w:r w:rsidRPr="00274A60">
        <w:rPr>
          <w:rFonts w:cs="Times New Roman"/>
          <w:i/>
          <w:iCs/>
          <w:sz w:val="22"/>
          <w:szCs w:val="22"/>
        </w:rPr>
        <w:t>The Marriage Bonus/Penalty in Black and White</w:t>
      </w:r>
      <w:r w:rsidRPr="00274A60">
        <w:rPr>
          <w:rFonts w:cs="Times New Roman"/>
          <w:sz w:val="22"/>
          <w:szCs w:val="22"/>
        </w:rPr>
        <w:t xml:space="preserve">, </w:t>
      </w:r>
      <w:r w:rsidRPr="00274A60">
        <w:rPr>
          <w:rFonts w:cs="Times New Roman"/>
          <w:i/>
          <w:iCs/>
          <w:sz w:val="22"/>
          <w:szCs w:val="22"/>
        </w:rPr>
        <w:t>in</w:t>
      </w:r>
      <w:r w:rsidRPr="00274A60">
        <w:rPr>
          <w:rFonts w:cs="Times New Roman"/>
          <w:sz w:val="22"/>
          <w:szCs w:val="22"/>
        </w:rPr>
        <w:t xml:space="preserve"> </w:t>
      </w:r>
      <w:r w:rsidRPr="00274A60">
        <w:rPr>
          <w:rFonts w:cs="Times New Roman"/>
          <w:smallCaps/>
          <w:sz w:val="22"/>
          <w:szCs w:val="22"/>
        </w:rPr>
        <w:t>Taxing America</w:t>
      </w:r>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_Ref32071437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32</w:t>
      </w:r>
      <w:r w:rsidRPr="00274A60">
        <w:rPr>
          <w:rFonts w:cs="Times New Roman"/>
          <w:sz w:val="22"/>
          <w:szCs w:val="22"/>
        </w:rPr>
        <w:fldChar w:fldCharType="end"/>
      </w:r>
      <w:r w:rsidRPr="00274A60">
        <w:rPr>
          <w:rFonts w:cs="Times New Roman"/>
          <w:sz w:val="22"/>
          <w:szCs w:val="22"/>
        </w:rPr>
        <w:t>, at 45–57.</w:t>
      </w:r>
    </w:p>
  </w:footnote>
  <w:footnote w:id="35">
    <w:p w14:paraId="1FBFB29F" w14:textId="12D0842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49–53.</w:t>
      </w:r>
    </w:p>
  </w:footnote>
  <w:footnote w:id="36">
    <w:p w14:paraId="3F879A19" w14:textId="604667E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Edward J. McCaffery, Taxing Women: How the Marriage Penalty Affects Your Taxes</w:t>
      </w:r>
      <w:r w:rsidRPr="00274A60">
        <w:rPr>
          <w:rFonts w:cs="Times New Roman"/>
          <w:sz w:val="22"/>
          <w:szCs w:val="22"/>
        </w:rPr>
        <w:t xml:space="preserve"> (1997).</w:t>
      </w:r>
    </w:p>
  </w:footnote>
  <w:footnote w:id="37">
    <w:p w14:paraId="7B6E835C" w14:textId="17662862"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 e.g.,</w:t>
      </w:r>
      <w:r w:rsidRPr="00274A60">
        <w:rPr>
          <w:rFonts w:cs="Times New Roman"/>
          <w:sz w:val="22"/>
          <w:szCs w:val="22"/>
        </w:rPr>
        <w:t xml:space="preserve"> Edward J. McCaffery, </w:t>
      </w:r>
      <w:r w:rsidRPr="00274A60">
        <w:rPr>
          <w:rFonts w:cs="Times New Roman"/>
          <w:i/>
          <w:iCs/>
          <w:sz w:val="22"/>
          <w:szCs w:val="22"/>
        </w:rPr>
        <w:t>Taxation and the Family: A Fresh Look at Behavioral Gender Biases in the Code</w:t>
      </w:r>
      <w:r w:rsidRPr="00274A60">
        <w:rPr>
          <w:rFonts w:cs="Times New Roman"/>
          <w:sz w:val="22"/>
          <w:szCs w:val="22"/>
        </w:rPr>
        <w:t xml:space="preserve">, 40 </w:t>
      </w:r>
      <w:r w:rsidRPr="00274A60">
        <w:rPr>
          <w:rFonts w:cs="Times New Roman"/>
          <w:smallCaps/>
          <w:sz w:val="22"/>
          <w:szCs w:val="22"/>
        </w:rPr>
        <w:t>UCLA L. Rev.</w:t>
      </w:r>
      <w:r w:rsidRPr="00274A60">
        <w:rPr>
          <w:rFonts w:cs="Times New Roman"/>
          <w:sz w:val="22"/>
          <w:szCs w:val="22"/>
        </w:rPr>
        <w:t xml:space="preserve"> 983 (1993); Edward J. McCaffery, </w:t>
      </w:r>
      <w:r w:rsidRPr="00274A60">
        <w:rPr>
          <w:rFonts w:cs="Times New Roman"/>
          <w:i/>
          <w:iCs/>
          <w:sz w:val="22"/>
          <w:szCs w:val="22"/>
        </w:rPr>
        <w:t>Slouching Towards Equality: Gender Discrimination, Market Efficiency, and Social Change</w:t>
      </w:r>
      <w:r w:rsidRPr="00274A60">
        <w:rPr>
          <w:rFonts w:cs="Times New Roman"/>
          <w:sz w:val="22"/>
          <w:szCs w:val="22"/>
        </w:rPr>
        <w:t xml:space="preserve">, 103 </w:t>
      </w:r>
      <w:r w:rsidRPr="00274A60">
        <w:rPr>
          <w:rFonts w:cs="Times New Roman"/>
          <w:smallCaps/>
          <w:sz w:val="22"/>
          <w:szCs w:val="22"/>
        </w:rPr>
        <w:t>Yale L.J.</w:t>
      </w:r>
      <w:r w:rsidRPr="00274A60">
        <w:rPr>
          <w:rFonts w:cs="Times New Roman"/>
          <w:sz w:val="22"/>
          <w:szCs w:val="22"/>
        </w:rPr>
        <w:t xml:space="preserve"> 595 (1993).</w:t>
      </w:r>
    </w:p>
  </w:footnote>
  <w:footnote w:id="38">
    <w:p w14:paraId="542A69C7" w14:textId="1BB251A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McCaffery</w:t>
      </w:r>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_Ref32325859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36</w:t>
      </w:r>
      <w:r w:rsidRPr="00274A60">
        <w:rPr>
          <w:rFonts w:cs="Times New Roman"/>
          <w:sz w:val="22"/>
          <w:szCs w:val="22"/>
        </w:rPr>
        <w:fldChar w:fldCharType="end"/>
      </w:r>
      <w:r w:rsidRPr="00274A60">
        <w:rPr>
          <w:rFonts w:cs="Times New Roman"/>
          <w:sz w:val="22"/>
          <w:szCs w:val="22"/>
        </w:rPr>
        <w:t>, at 1.</w:t>
      </w:r>
    </w:p>
  </w:footnote>
  <w:footnote w:id="39">
    <w:p w14:paraId="6849F778" w14:textId="4FC95DA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Nancy C. Staudt, </w:t>
      </w:r>
      <w:r w:rsidRPr="00274A60">
        <w:rPr>
          <w:rFonts w:cs="Times New Roman"/>
          <w:i/>
          <w:iCs/>
          <w:sz w:val="22"/>
          <w:szCs w:val="22"/>
        </w:rPr>
        <w:t>Taxing Housework</w:t>
      </w:r>
      <w:r w:rsidRPr="00274A60">
        <w:rPr>
          <w:rFonts w:cs="Times New Roman"/>
          <w:sz w:val="22"/>
          <w:szCs w:val="22"/>
        </w:rPr>
        <w:t xml:space="preserve">, 84 </w:t>
      </w:r>
      <w:r w:rsidRPr="00274A60">
        <w:rPr>
          <w:rFonts w:cs="Times New Roman"/>
          <w:smallCaps/>
          <w:sz w:val="22"/>
          <w:szCs w:val="22"/>
        </w:rPr>
        <w:t xml:space="preserve">Geo. L.J. </w:t>
      </w:r>
      <w:r w:rsidRPr="00274A60">
        <w:rPr>
          <w:rFonts w:cs="Times New Roman"/>
          <w:sz w:val="22"/>
          <w:szCs w:val="22"/>
        </w:rPr>
        <w:t>1571 (1996).</w:t>
      </w:r>
    </w:p>
  </w:footnote>
  <w:footnote w:id="40">
    <w:p w14:paraId="0D6B2F4D" w14:textId="7F38CC99"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1618–40.</w:t>
      </w:r>
    </w:p>
  </w:footnote>
  <w:footnote w:id="41">
    <w:p w14:paraId="6A1672E1" w14:textId="316E904A" w:rsidR="000A7B6C" w:rsidRPr="004B5C09" w:rsidRDefault="000A7B6C" w:rsidP="004B5C09">
      <w:pPr>
        <w:pStyle w:val="FootnoteText"/>
        <w:spacing w:line="240" w:lineRule="auto"/>
        <w:rPr>
          <w:smallCaps/>
          <w:sz w:val="22"/>
          <w:szCs w:val="22"/>
        </w:rPr>
      </w:pPr>
      <w:r w:rsidRPr="004B5C09">
        <w:rPr>
          <w:rStyle w:val="FootnoteReference"/>
          <w:sz w:val="22"/>
          <w:szCs w:val="22"/>
        </w:rPr>
        <w:footnoteRef/>
      </w:r>
      <w:r w:rsidRPr="004B5C09">
        <w:rPr>
          <w:smallCaps/>
          <w:sz w:val="22"/>
          <w:szCs w:val="22"/>
        </w:rPr>
        <w:t xml:space="preserve"> </w:t>
      </w:r>
      <w:r w:rsidRPr="004B5C09">
        <w:rPr>
          <w:i/>
          <w:iCs/>
          <w:sz w:val="22"/>
          <w:szCs w:val="22"/>
        </w:rPr>
        <w:t>See, e.g.</w:t>
      </w:r>
      <w:r w:rsidRPr="004B5C09">
        <w:rPr>
          <w:sz w:val="22"/>
          <w:szCs w:val="22"/>
        </w:rPr>
        <w:t>,</w:t>
      </w:r>
      <w:r w:rsidRPr="004B5C09">
        <w:rPr>
          <w:smallCaps/>
          <w:sz w:val="22"/>
          <w:szCs w:val="22"/>
        </w:rPr>
        <w:t xml:space="preserve"> Robin West, Caring for Justice (1997).</w:t>
      </w:r>
    </w:p>
  </w:footnote>
  <w:footnote w:id="42">
    <w:p w14:paraId="2E43D88C" w14:textId="44A868D6" w:rsidR="000A7B6C" w:rsidRPr="00274A60" w:rsidRDefault="000A7B6C" w:rsidP="00274A60">
      <w:pPr>
        <w:rPr>
          <w:sz w:val="22"/>
          <w:szCs w:val="22"/>
        </w:rPr>
      </w:pPr>
      <w:r w:rsidRPr="00274A60">
        <w:rPr>
          <w:rStyle w:val="FootnoteReference"/>
          <w:sz w:val="22"/>
          <w:szCs w:val="22"/>
        </w:rPr>
        <w:footnoteRef/>
      </w:r>
      <w:r w:rsidRPr="00274A60">
        <w:rPr>
          <w:sz w:val="22"/>
          <w:szCs w:val="22"/>
        </w:rPr>
        <w:t xml:space="preserve"> Mary Louise Fellows, </w:t>
      </w:r>
      <w:r w:rsidRPr="00274A60">
        <w:rPr>
          <w:i/>
          <w:iCs/>
          <w:sz w:val="22"/>
          <w:szCs w:val="22"/>
        </w:rPr>
        <w:t>Rocking the Tax Code: A Case Study of Employment-Related Child-Care Expenditures</w:t>
      </w:r>
      <w:r w:rsidRPr="00274A60">
        <w:rPr>
          <w:sz w:val="22"/>
          <w:szCs w:val="22"/>
        </w:rPr>
        <w:t xml:space="preserve">, 10 </w:t>
      </w:r>
      <w:r w:rsidRPr="00274A60">
        <w:rPr>
          <w:smallCaps/>
          <w:sz w:val="22"/>
          <w:szCs w:val="22"/>
        </w:rPr>
        <w:t>Yale J.L. &amp; Feminism</w:t>
      </w:r>
      <w:r w:rsidRPr="00274A60">
        <w:rPr>
          <w:sz w:val="22"/>
          <w:szCs w:val="22"/>
        </w:rPr>
        <w:t xml:space="preserve"> 307, 308 (1998).</w:t>
      </w:r>
    </w:p>
  </w:footnote>
  <w:footnote w:id="43">
    <w:p w14:paraId="3806965E" w14:textId="574308A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312–55.</w:t>
      </w:r>
    </w:p>
  </w:footnote>
  <w:footnote w:id="44">
    <w:p w14:paraId="299EAF93" w14:textId="15DE93B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385–93.</w:t>
      </w:r>
    </w:p>
  </w:footnote>
  <w:footnote w:id="45">
    <w:p w14:paraId="2637BF3E" w14:textId="6F892917" w:rsidR="000A7B6C" w:rsidRPr="00274A60" w:rsidRDefault="000A7B6C" w:rsidP="00274A60">
      <w:pPr>
        <w:rPr>
          <w:sz w:val="22"/>
          <w:szCs w:val="22"/>
        </w:rPr>
      </w:pPr>
      <w:r w:rsidRPr="00274A60">
        <w:rPr>
          <w:rStyle w:val="FootnoteReference"/>
          <w:sz w:val="22"/>
          <w:szCs w:val="22"/>
        </w:rPr>
        <w:footnoteRef/>
      </w:r>
      <w:r w:rsidRPr="00274A60">
        <w:rPr>
          <w:sz w:val="22"/>
          <w:szCs w:val="22"/>
        </w:rPr>
        <w:t xml:space="preserve"> Wendy C. </w:t>
      </w:r>
      <w:proofErr w:type="spellStart"/>
      <w:r w:rsidRPr="00274A60">
        <w:rPr>
          <w:sz w:val="22"/>
          <w:szCs w:val="22"/>
        </w:rPr>
        <w:t>Gerzog</w:t>
      </w:r>
      <w:proofErr w:type="spellEnd"/>
      <w:r w:rsidRPr="00274A60">
        <w:rPr>
          <w:sz w:val="22"/>
          <w:szCs w:val="22"/>
        </w:rPr>
        <w:t xml:space="preserve">, </w:t>
      </w:r>
      <w:r w:rsidRPr="00274A60">
        <w:rPr>
          <w:i/>
          <w:iCs/>
          <w:sz w:val="22"/>
          <w:szCs w:val="22"/>
        </w:rPr>
        <w:t>The Marital Deduction QTIP Provisions: Illogical and Degrading to Women</w:t>
      </w:r>
      <w:r w:rsidRPr="00274A60">
        <w:rPr>
          <w:sz w:val="22"/>
          <w:szCs w:val="22"/>
        </w:rPr>
        <w:t xml:space="preserve">, 5 </w:t>
      </w:r>
      <w:r w:rsidRPr="00274A60">
        <w:rPr>
          <w:smallCaps/>
          <w:sz w:val="22"/>
          <w:szCs w:val="22"/>
        </w:rPr>
        <w:t>UCLA Women’s L.J.</w:t>
      </w:r>
      <w:r w:rsidRPr="00274A60">
        <w:rPr>
          <w:sz w:val="22"/>
          <w:szCs w:val="22"/>
        </w:rPr>
        <w:t xml:space="preserve"> 301 (1995).</w:t>
      </w:r>
    </w:p>
  </w:footnote>
  <w:footnote w:id="46">
    <w:p w14:paraId="008C3EA7" w14:textId="5F1F1E1F" w:rsidR="000A7B6C" w:rsidRPr="008E549E"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008E549E">
        <w:rPr>
          <w:rFonts w:cs="Times New Roman"/>
          <w:sz w:val="22"/>
          <w:szCs w:val="22"/>
        </w:rPr>
        <w:t xml:space="preserve"> at 301.</w:t>
      </w:r>
    </w:p>
  </w:footnote>
  <w:footnote w:id="47">
    <w:p w14:paraId="302B9912" w14:textId="2F6673D2" w:rsidR="000A7B6C" w:rsidRPr="00607B63" w:rsidRDefault="000A7B6C" w:rsidP="00607B63">
      <w:pPr>
        <w:pStyle w:val="FootnoteText"/>
        <w:spacing w:line="240" w:lineRule="auto"/>
        <w:rPr>
          <w:sz w:val="22"/>
          <w:szCs w:val="22"/>
        </w:rPr>
      </w:pPr>
      <w:r w:rsidRPr="00607B63">
        <w:rPr>
          <w:rStyle w:val="FootnoteReference"/>
          <w:sz w:val="22"/>
          <w:szCs w:val="22"/>
        </w:rPr>
        <w:footnoteRef/>
      </w:r>
      <w:r w:rsidRPr="00607B63">
        <w:rPr>
          <w:sz w:val="22"/>
          <w:szCs w:val="22"/>
        </w:rPr>
        <w:t xml:space="preserve"> </w:t>
      </w:r>
      <w:r w:rsidRPr="00607B63">
        <w:rPr>
          <w:i/>
          <w:iCs/>
          <w:sz w:val="22"/>
          <w:szCs w:val="22"/>
        </w:rPr>
        <w:t>Id.</w:t>
      </w:r>
      <w:r w:rsidRPr="00607B63">
        <w:rPr>
          <w:sz w:val="22"/>
          <w:szCs w:val="22"/>
        </w:rPr>
        <w:t xml:space="preserve"> at 310.</w:t>
      </w:r>
    </w:p>
  </w:footnote>
  <w:footnote w:id="48">
    <w:p w14:paraId="2C7BC24B" w14:textId="77777777" w:rsidR="00BC4ABF" w:rsidRPr="00274A60" w:rsidRDefault="00BC4ABF" w:rsidP="00BC4ABF">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305.</w:t>
      </w:r>
    </w:p>
  </w:footnote>
  <w:footnote w:id="49">
    <w:p w14:paraId="0699DDA7" w14:textId="18037ECA"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Marjorie 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What Do Women Want: Feminism and the Progressive Income Tax</w:t>
      </w:r>
      <w:r w:rsidRPr="00274A60">
        <w:rPr>
          <w:rFonts w:cs="Times New Roman"/>
          <w:sz w:val="22"/>
          <w:szCs w:val="22"/>
        </w:rPr>
        <w:t xml:space="preserve">, </w:t>
      </w:r>
      <w:bookmarkStart w:id="6" w:name="OLE_LINK1"/>
      <w:bookmarkStart w:id="7" w:name="OLE_LINK2"/>
      <w:r w:rsidRPr="00274A60">
        <w:rPr>
          <w:rFonts w:cs="Times New Roman"/>
          <w:sz w:val="22"/>
          <w:szCs w:val="22"/>
        </w:rPr>
        <w:t xml:space="preserve">47 </w:t>
      </w:r>
      <w:r w:rsidRPr="00274A60">
        <w:rPr>
          <w:rFonts w:cs="Times New Roman"/>
          <w:smallCaps/>
          <w:sz w:val="22"/>
          <w:szCs w:val="22"/>
        </w:rPr>
        <w:t>Am. U. L. Rev.</w:t>
      </w:r>
      <w:r w:rsidRPr="00274A60">
        <w:rPr>
          <w:rFonts w:cs="Times New Roman"/>
          <w:sz w:val="22"/>
          <w:szCs w:val="22"/>
        </w:rPr>
        <w:t xml:space="preserve"> 151</w:t>
      </w:r>
      <w:bookmarkEnd w:id="6"/>
      <w:bookmarkEnd w:id="7"/>
      <w:r w:rsidRPr="00274A60">
        <w:rPr>
          <w:rFonts w:cs="Times New Roman"/>
          <w:sz w:val="22"/>
          <w:szCs w:val="22"/>
        </w:rPr>
        <w:t xml:space="preserve"> (1997); </w:t>
      </w:r>
      <w:r w:rsidRPr="00274A60">
        <w:rPr>
          <w:rFonts w:cs="Times New Roman"/>
          <w:i/>
          <w:iCs/>
          <w:sz w:val="22"/>
          <w:szCs w:val="22"/>
        </w:rPr>
        <w:t>see</w:t>
      </w:r>
      <w:r w:rsidRPr="00274A60">
        <w:rPr>
          <w:rFonts w:cs="Times New Roman"/>
          <w:sz w:val="22"/>
          <w:szCs w:val="22"/>
        </w:rPr>
        <w:t xml:space="preserv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 xml:space="preserve">supra </w:t>
      </w:r>
      <w:r w:rsidRPr="00274A60">
        <w:rPr>
          <w:rFonts w:cs="Times New Roman"/>
          <w:sz w:val="22"/>
          <w:szCs w:val="22"/>
        </w:rPr>
        <w:t xml:space="preserve">note </w:t>
      </w:r>
      <w:r w:rsidRPr="00274A60">
        <w:rPr>
          <w:rFonts w:cs="Times New Roman"/>
          <w:sz w:val="22"/>
          <w:szCs w:val="22"/>
        </w:rPr>
        <w:fldChar w:fldCharType="begin"/>
      </w:r>
      <w:r w:rsidRPr="00274A60">
        <w:rPr>
          <w:rFonts w:cs="Times New Roman"/>
          <w:sz w:val="22"/>
          <w:szCs w:val="22"/>
        </w:rPr>
        <w:instrText xml:space="preserve"> NOTEREF _Ref32487938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30</w:t>
      </w:r>
      <w:r w:rsidRPr="00274A60">
        <w:rPr>
          <w:rFonts w:cs="Times New Roman"/>
          <w:sz w:val="22"/>
          <w:szCs w:val="22"/>
        </w:rPr>
        <w:fldChar w:fldCharType="end"/>
      </w:r>
      <w:r w:rsidRPr="00274A60">
        <w:rPr>
          <w:rFonts w:cs="Times New Roman"/>
          <w:sz w:val="22"/>
          <w:szCs w:val="22"/>
        </w:rPr>
        <w:t>.</w:t>
      </w:r>
    </w:p>
  </w:footnote>
  <w:footnote w:id="50">
    <w:p w14:paraId="3BBC1061" w14:textId="4A32DD0B" w:rsidR="000A7B6C" w:rsidRPr="00103272" w:rsidRDefault="000A7B6C" w:rsidP="00103272">
      <w:pPr>
        <w:pStyle w:val="FootnoteText"/>
        <w:spacing w:line="240" w:lineRule="auto"/>
        <w:rPr>
          <w:sz w:val="22"/>
          <w:szCs w:val="22"/>
        </w:rPr>
      </w:pPr>
      <w:r w:rsidRPr="00103272">
        <w:rPr>
          <w:rStyle w:val="FootnoteReference"/>
          <w:sz w:val="22"/>
          <w:szCs w:val="22"/>
        </w:rPr>
        <w:footnoteRef/>
      </w:r>
      <w:r w:rsidRPr="00103272">
        <w:rPr>
          <w:sz w:val="22"/>
          <w:szCs w:val="22"/>
        </w:rPr>
        <w:t xml:space="preserve"> </w:t>
      </w:r>
      <w:proofErr w:type="spellStart"/>
      <w:r w:rsidR="00093905" w:rsidRPr="00274A60">
        <w:rPr>
          <w:rFonts w:cs="Times New Roman"/>
          <w:sz w:val="22"/>
          <w:szCs w:val="22"/>
        </w:rPr>
        <w:t>Kornhauser</w:t>
      </w:r>
      <w:proofErr w:type="spellEnd"/>
      <w:r w:rsidR="00093905" w:rsidRPr="00274A60">
        <w:rPr>
          <w:rFonts w:cs="Times New Roman"/>
          <w:sz w:val="22"/>
          <w:szCs w:val="22"/>
        </w:rPr>
        <w:t xml:space="preserve">, </w:t>
      </w:r>
      <w:r w:rsidR="00093905" w:rsidRPr="00274A60">
        <w:rPr>
          <w:rFonts w:cs="Times New Roman"/>
          <w:i/>
          <w:iCs/>
          <w:sz w:val="22"/>
          <w:szCs w:val="22"/>
        </w:rPr>
        <w:t>supra</w:t>
      </w:r>
      <w:r w:rsidR="00093905" w:rsidRPr="00274A60">
        <w:rPr>
          <w:rFonts w:cs="Times New Roman"/>
          <w:sz w:val="22"/>
          <w:szCs w:val="22"/>
        </w:rPr>
        <w:t xml:space="preserve"> note </w:t>
      </w:r>
      <w:r w:rsidR="00093905" w:rsidRPr="00274A60">
        <w:rPr>
          <w:rFonts w:cs="Times New Roman"/>
          <w:sz w:val="22"/>
          <w:szCs w:val="22"/>
        </w:rPr>
        <w:fldChar w:fldCharType="begin"/>
      </w:r>
      <w:r w:rsidR="00093905" w:rsidRPr="00274A60">
        <w:rPr>
          <w:rFonts w:cs="Times New Roman"/>
          <w:sz w:val="22"/>
          <w:szCs w:val="22"/>
        </w:rPr>
        <w:instrText xml:space="preserve"> NOTEREF _Ref32074446 \h  \* MERGEFORMAT </w:instrText>
      </w:r>
      <w:r w:rsidR="00093905" w:rsidRPr="00274A60">
        <w:rPr>
          <w:rFonts w:cs="Times New Roman"/>
          <w:sz w:val="22"/>
          <w:szCs w:val="22"/>
        </w:rPr>
      </w:r>
      <w:r w:rsidR="00093905" w:rsidRPr="00274A60">
        <w:rPr>
          <w:rFonts w:cs="Times New Roman"/>
          <w:sz w:val="22"/>
          <w:szCs w:val="22"/>
        </w:rPr>
        <w:fldChar w:fldCharType="separate"/>
      </w:r>
      <w:r w:rsidR="00C0563E">
        <w:rPr>
          <w:rFonts w:cs="Times New Roman"/>
          <w:sz w:val="22"/>
          <w:szCs w:val="22"/>
        </w:rPr>
        <w:t>49</w:t>
      </w:r>
      <w:r w:rsidR="00093905" w:rsidRPr="00274A60">
        <w:rPr>
          <w:rFonts w:cs="Times New Roman"/>
          <w:sz w:val="22"/>
          <w:szCs w:val="22"/>
        </w:rPr>
        <w:fldChar w:fldCharType="end"/>
      </w:r>
      <w:r w:rsidR="00093905">
        <w:rPr>
          <w:rFonts w:cs="Times New Roman"/>
          <w:sz w:val="22"/>
          <w:szCs w:val="22"/>
        </w:rPr>
        <w:t>,</w:t>
      </w:r>
      <w:r w:rsidR="00683A5A">
        <w:rPr>
          <w:sz w:val="22"/>
          <w:szCs w:val="22"/>
        </w:rPr>
        <w:t xml:space="preserve"> at 153; </w:t>
      </w:r>
      <w:r w:rsidRPr="00103272">
        <w:rPr>
          <w:sz w:val="22"/>
          <w:szCs w:val="22"/>
        </w:rPr>
        <w:t xml:space="preserve">William J. </w:t>
      </w:r>
      <w:proofErr w:type="spellStart"/>
      <w:r w:rsidRPr="00103272">
        <w:rPr>
          <w:sz w:val="22"/>
          <w:szCs w:val="22"/>
        </w:rPr>
        <w:t>Turnier</w:t>
      </w:r>
      <w:proofErr w:type="spellEnd"/>
      <w:r w:rsidRPr="00103272">
        <w:rPr>
          <w:sz w:val="22"/>
          <w:szCs w:val="22"/>
        </w:rPr>
        <w:t xml:space="preserve"> et al., </w:t>
      </w:r>
      <w:r w:rsidRPr="00891807">
        <w:rPr>
          <w:i/>
          <w:iCs/>
          <w:sz w:val="22"/>
          <w:szCs w:val="22"/>
        </w:rPr>
        <w:t>Redistributive Justice and Cultural Feminism</w:t>
      </w:r>
      <w:r w:rsidRPr="00103272">
        <w:rPr>
          <w:sz w:val="22"/>
          <w:szCs w:val="22"/>
        </w:rPr>
        <w:t xml:space="preserve">, 45 </w:t>
      </w:r>
      <w:r w:rsidRPr="00891807">
        <w:rPr>
          <w:smallCaps/>
          <w:sz w:val="22"/>
          <w:szCs w:val="22"/>
        </w:rPr>
        <w:t>Am. U. L. Rev</w:t>
      </w:r>
      <w:r w:rsidRPr="00103272">
        <w:rPr>
          <w:sz w:val="22"/>
          <w:szCs w:val="22"/>
        </w:rPr>
        <w:t>. 1275 (1996).</w:t>
      </w:r>
    </w:p>
  </w:footnote>
  <w:footnote w:id="51">
    <w:p w14:paraId="04662D69" w14:textId="494F40CF" w:rsidR="00794C31" w:rsidRPr="00274A60" w:rsidRDefault="00794C31" w:rsidP="00794C31">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_Ref32074446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49</w:t>
      </w:r>
      <w:r w:rsidRPr="00274A60">
        <w:rPr>
          <w:rFonts w:cs="Times New Roman"/>
          <w:sz w:val="22"/>
          <w:szCs w:val="22"/>
        </w:rPr>
        <w:fldChar w:fldCharType="end"/>
      </w:r>
      <w:r>
        <w:rPr>
          <w:rFonts w:cs="Times New Roman"/>
          <w:sz w:val="22"/>
          <w:szCs w:val="22"/>
        </w:rPr>
        <w:t>, at 161–62</w:t>
      </w:r>
      <w:r w:rsidRPr="00274A60">
        <w:rPr>
          <w:rFonts w:cs="Times New Roman"/>
          <w:sz w:val="22"/>
          <w:szCs w:val="22"/>
        </w:rPr>
        <w:t>.</w:t>
      </w:r>
    </w:p>
  </w:footnote>
  <w:footnote w:id="52">
    <w:p w14:paraId="2BD3F8A3" w14:textId="7D84D4A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006675E9">
        <w:rPr>
          <w:rFonts w:cs="Times New Roman"/>
          <w:i/>
          <w:iCs/>
          <w:sz w:val="22"/>
          <w:szCs w:val="22"/>
        </w:rPr>
        <w:t>Id.</w:t>
      </w:r>
      <w:r>
        <w:rPr>
          <w:rFonts w:cs="Times New Roman"/>
          <w:sz w:val="22"/>
          <w:szCs w:val="22"/>
        </w:rPr>
        <w:t xml:space="preserve"> </w:t>
      </w:r>
      <w:r w:rsidRPr="00274A60">
        <w:rPr>
          <w:rFonts w:cs="Times New Roman"/>
          <w:sz w:val="22"/>
          <w:szCs w:val="22"/>
        </w:rPr>
        <w:t>at 154–59.</w:t>
      </w:r>
    </w:p>
  </w:footnote>
  <w:footnote w:id="53">
    <w:p w14:paraId="74B9FA34" w14:textId="2B5717E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160.</w:t>
      </w:r>
    </w:p>
  </w:footnote>
  <w:footnote w:id="54">
    <w:p w14:paraId="12D7CE91" w14:textId="04A8CD2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w:t>
      </w:r>
    </w:p>
  </w:footnote>
  <w:footnote w:id="55">
    <w:p w14:paraId="6CA1D807" w14:textId="3B6CC4A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Pr>
          <w:rFonts w:cs="Times New Roman"/>
          <w:sz w:val="22"/>
          <w:szCs w:val="22"/>
        </w:rPr>
        <w:t xml:space="preserve"> </w:t>
      </w:r>
      <w:r>
        <w:rPr>
          <w:rFonts w:cs="Times New Roman"/>
          <w:i/>
          <w:iCs/>
          <w:sz w:val="22"/>
          <w:szCs w:val="22"/>
        </w:rPr>
        <w:t>See</w:t>
      </w:r>
      <w:r w:rsidRPr="00274A60">
        <w:rPr>
          <w:rFonts w:cs="Times New Roman"/>
          <w:sz w:val="22"/>
          <w:szCs w:val="22"/>
        </w:rPr>
        <w:t xml:space="preserve"> </w:t>
      </w:r>
      <w:proofErr w:type="spellStart"/>
      <w:r w:rsidRPr="00274A60">
        <w:rPr>
          <w:rFonts w:cs="Times New Roman"/>
          <w:sz w:val="22"/>
          <w:szCs w:val="22"/>
        </w:rPr>
        <w:t>Boyter</w:t>
      </w:r>
      <w:proofErr w:type="spellEnd"/>
      <w:r w:rsidRPr="00274A60">
        <w:rPr>
          <w:rFonts w:cs="Times New Roman"/>
          <w:sz w:val="22"/>
          <w:szCs w:val="22"/>
        </w:rPr>
        <w:t xml:space="preserve"> v. Comm’r, 668 F.2d 1382, 1385 (4th Cir. 1981) (deferring to state law in determining who is married for federal tax purposes)</w:t>
      </w:r>
      <w:r>
        <w:rPr>
          <w:rFonts w:cs="Times New Roman"/>
          <w:sz w:val="22"/>
          <w:szCs w:val="22"/>
        </w:rPr>
        <w:t xml:space="preserve">; 1 U.S.C. § 7 (1996) (defining </w:t>
      </w:r>
      <w:r w:rsidR="0011047D">
        <w:rPr>
          <w:rFonts w:cs="Times New Roman"/>
          <w:sz w:val="22"/>
          <w:szCs w:val="22"/>
        </w:rPr>
        <w:t>“</w:t>
      </w:r>
      <w:r w:rsidRPr="00B54D4A">
        <w:rPr>
          <w:rFonts w:cs="Times New Roman"/>
          <w:sz w:val="22"/>
          <w:szCs w:val="22"/>
        </w:rPr>
        <w:t>marriage</w:t>
      </w:r>
      <w:r w:rsidR="0011047D">
        <w:rPr>
          <w:rFonts w:cs="Times New Roman"/>
          <w:sz w:val="22"/>
          <w:szCs w:val="22"/>
        </w:rPr>
        <w:t>”</w:t>
      </w:r>
      <w:r>
        <w:rPr>
          <w:rFonts w:cs="Times New Roman"/>
          <w:sz w:val="22"/>
          <w:szCs w:val="22"/>
        </w:rPr>
        <w:t xml:space="preserve"> for purposes of federal law as “only a legal union between one man and one woman as husband and wife”)</w:t>
      </w:r>
      <w:r w:rsidRPr="00274A60">
        <w:rPr>
          <w:rFonts w:cs="Times New Roman"/>
          <w:sz w:val="22"/>
          <w:szCs w:val="22"/>
        </w:rPr>
        <w:t>.</w:t>
      </w:r>
    </w:p>
  </w:footnote>
  <w:footnote w:id="56">
    <w:p w14:paraId="56D19430" w14:textId="314660F8"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E.g.</w:t>
      </w:r>
      <w:r w:rsidRPr="00274A60">
        <w:rPr>
          <w:rFonts w:cs="Times New Roman"/>
          <w:sz w:val="22"/>
          <w:szCs w:val="22"/>
        </w:rPr>
        <w:t xml:space="preserve">, Patricia A. Cain, </w:t>
      </w:r>
      <w:r w:rsidRPr="00274A60">
        <w:rPr>
          <w:rFonts w:cs="Times New Roman"/>
          <w:i/>
          <w:iCs/>
          <w:sz w:val="22"/>
          <w:szCs w:val="22"/>
        </w:rPr>
        <w:t>Same-Sex Couples and the Federal Tax Law</w:t>
      </w:r>
      <w:r w:rsidRPr="00274A60">
        <w:rPr>
          <w:rFonts w:cs="Times New Roman"/>
          <w:sz w:val="22"/>
          <w:szCs w:val="22"/>
        </w:rPr>
        <w:t xml:space="preserve">, 1 </w:t>
      </w:r>
      <w:r w:rsidRPr="00274A60">
        <w:rPr>
          <w:rFonts w:cs="Times New Roman"/>
          <w:smallCaps/>
          <w:sz w:val="22"/>
          <w:szCs w:val="22"/>
        </w:rPr>
        <w:t>Law &amp; Sexuality</w:t>
      </w:r>
      <w:r w:rsidRPr="00274A60">
        <w:rPr>
          <w:rFonts w:cs="Times New Roman"/>
          <w:sz w:val="22"/>
          <w:szCs w:val="22"/>
        </w:rPr>
        <w:t xml:space="preserve"> 97 (1991); Patricia A. Cain, </w:t>
      </w:r>
      <w:r w:rsidRPr="00274A60">
        <w:rPr>
          <w:rFonts w:cs="Times New Roman"/>
          <w:i/>
          <w:iCs/>
          <w:sz w:val="22"/>
          <w:szCs w:val="22"/>
        </w:rPr>
        <w:t>Taxing Lesbians</w:t>
      </w:r>
      <w:r w:rsidRPr="00274A60">
        <w:rPr>
          <w:rFonts w:cs="Times New Roman"/>
          <w:sz w:val="22"/>
          <w:szCs w:val="22"/>
        </w:rPr>
        <w:t xml:space="preserve">, 6 S. </w:t>
      </w:r>
      <w:r w:rsidRPr="00274A60">
        <w:rPr>
          <w:rFonts w:cs="Times New Roman"/>
          <w:smallCaps/>
          <w:sz w:val="22"/>
          <w:szCs w:val="22"/>
        </w:rPr>
        <w:t>Cal. Rev. L. &amp; Women’s Stud</w:t>
      </w:r>
      <w:r w:rsidRPr="00274A60">
        <w:rPr>
          <w:rFonts w:cs="Times New Roman"/>
          <w:sz w:val="22"/>
          <w:szCs w:val="22"/>
        </w:rPr>
        <w:t>. 471 (1997).</w:t>
      </w:r>
    </w:p>
  </w:footnote>
  <w:footnote w:id="57">
    <w:p w14:paraId="38FD2893" w14:textId="192DDE56"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798 N.E.2d 941 (Mass. 2003); </w:t>
      </w:r>
      <w:r w:rsidRPr="00274A60">
        <w:rPr>
          <w:rFonts w:cs="Times New Roman"/>
          <w:i/>
          <w:iCs/>
          <w:sz w:val="22"/>
          <w:szCs w:val="22"/>
        </w:rPr>
        <w:t>see</w:t>
      </w:r>
      <w:r w:rsidRPr="00274A60">
        <w:rPr>
          <w:rFonts w:cs="Times New Roman"/>
          <w:sz w:val="22"/>
          <w:szCs w:val="22"/>
        </w:rPr>
        <w:t xml:space="preserve"> Opinions of the Justices to the Senate, 802 N.E.2d 565 (Mass. 2004).</w:t>
      </w:r>
      <w:r w:rsidR="000556BA">
        <w:rPr>
          <w:rFonts w:cs="Times New Roman"/>
          <w:sz w:val="22"/>
          <w:szCs w:val="22"/>
        </w:rPr>
        <w:t xml:space="preserve"> Although Hawaii was on the path to be the first state to recognize same-sex marriage after a landmark </w:t>
      </w:r>
      <w:r w:rsidR="00A15085">
        <w:rPr>
          <w:rFonts w:cs="Times New Roman"/>
          <w:sz w:val="22"/>
          <w:szCs w:val="22"/>
        </w:rPr>
        <w:t xml:space="preserve">1993 </w:t>
      </w:r>
      <w:r w:rsidR="000556BA">
        <w:rPr>
          <w:rFonts w:cs="Times New Roman"/>
          <w:sz w:val="22"/>
          <w:szCs w:val="22"/>
        </w:rPr>
        <w:t>decision</w:t>
      </w:r>
      <w:r w:rsidR="002D5CE0">
        <w:rPr>
          <w:rFonts w:cs="Times New Roman"/>
          <w:sz w:val="22"/>
          <w:szCs w:val="22"/>
        </w:rPr>
        <w:t xml:space="preserve"> from the Hawaii Supreme Court</w:t>
      </w:r>
      <w:r w:rsidR="000556BA">
        <w:rPr>
          <w:rFonts w:cs="Times New Roman"/>
          <w:sz w:val="22"/>
          <w:szCs w:val="22"/>
        </w:rPr>
        <w:t>,</w:t>
      </w:r>
      <w:r w:rsidR="002D5CE0">
        <w:rPr>
          <w:rFonts w:cs="Times New Roman"/>
          <w:sz w:val="22"/>
          <w:szCs w:val="22"/>
        </w:rPr>
        <w:t xml:space="preserve"> </w:t>
      </w:r>
      <w:proofErr w:type="spellStart"/>
      <w:r w:rsidR="002D5CE0">
        <w:rPr>
          <w:rFonts w:cs="Times New Roman"/>
          <w:sz w:val="22"/>
          <w:szCs w:val="22"/>
        </w:rPr>
        <w:t>Baehr</w:t>
      </w:r>
      <w:proofErr w:type="spellEnd"/>
      <w:r w:rsidR="002D5CE0">
        <w:rPr>
          <w:rFonts w:cs="Times New Roman"/>
          <w:sz w:val="22"/>
          <w:szCs w:val="22"/>
        </w:rPr>
        <w:t xml:space="preserve"> v. Lewin, </w:t>
      </w:r>
      <w:r w:rsidR="002D5CE0" w:rsidRPr="002D5CE0">
        <w:rPr>
          <w:rFonts w:cs="Times New Roman"/>
          <w:sz w:val="22"/>
          <w:szCs w:val="22"/>
        </w:rPr>
        <w:t xml:space="preserve">852 P.2d 44 (Haw. 1993), </w:t>
      </w:r>
      <w:r w:rsidR="002D5CE0">
        <w:rPr>
          <w:rFonts w:cs="Times New Roman"/>
          <w:sz w:val="22"/>
          <w:szCs w:val="22"/>
        </w:rPr>
        <w:t xml:space="preserve">an amendment </w:t>
      </w:r>
      <w:r w:rsidR="00BF105C">
        <w:rPr>
          <w:rFonts w:cs="Times New Roman"/>
          <w:sz w:val="22"/>
          <w:szCs w:val="22"/>
        </w:rPr>
        <w:t xml:space="preserve">was </w:t>
      </w:r>
      <w:r w:rsidR="00693746">
        <w:rPr>
          <w:rFonts w:cs="Times New Roman"/>
          <w:sz w:val="22"/>
          <w:szCs w:val="22"/>
        </w:rPr>
        <w:t xml:space="preserve">later </w:t>
      </w:r>
      <w:r w:rsidR="00A15085">
        <w:rPr>
          <w:rFonts w:cs="Times New Roman"/>
          <w:sz w:val="22"/>
          <w:szCs w:val="22"/>
        </w:rPr>
        <w:t>added</w:t>
      </w:r>
      <w:r w:rsidR="002D5CE0">
        <w:rPr>
          <w:rFonts w:cs="Times New Roman"/>
          <w:sz w:val="22"/>
          <w:szCs w:val="22"/>
        </w:rPr>
        <w:t xml:space="preserve"> to the Hawaii Constitution</w:t>
      </w:r>
      <w:r w:rsidR="00BF105C">
        <w:rPr>
          <w:rFonts w:cs="Times New Roman"/>
          <w:sz w:val="22"/>
          <w:szCs w:val="22"/>
        </w:rPr>
        <w:t xml:space="preserve"> that</w:t>
      </w:r>
      <w:r w:rsidR="002D5CE0">
        <w:rPr>
          <w:rFonts w:cs="Times New Roman"/>
          <w:sz w:val="22"/>
          <w:szCs w:val="22"/>
        </w:rPr>
        <w:t xml:space="preserve"> placed the power </w:t>
      </w:r>
      <w:r w:rsidR="00693746">
        <w:rPr>
          <w:rFonts w:cs="Times New Roman"/>
          <w:sz w:val="22"/>
          <w:szCs w:val="22"/>
        </w:rPr>
        <w:t xml:space="preserve">to </w:t>
      </w:r>
      <w:r w:rsidR="002D5CE0">
        <w:rPr>
          <w:rFonts w:cs="Times New Roman"/>
          <w:sz w:val="22"/>
          <w:szCs w:val="22"/>
        </w:rPr>
        <w:t>defin</w:t>
      </w:r>
      <w:r w:rsidR="00693746">
        <w:rPr>
          <w:rFonts w:cs="Times New Roman"/>
          <w:sz w:val="22"/>
          <w:szCs w:val="22"/>
        </w:rPr>
        <w:t>e</w:t>
      </w:r>
      <w:r w:rsidR="002D5CE0">
        <w:rPr>
          <w:rFonts w:cs="Times New Roman"/>
          <w:sz w:val="22"/>
          <w:szCs w:val="22"/>
        </w:rPr>
        <w:t xml:space="preserve"> marriage in the hands of the state legislature</w:t>
      </w:r>
      <w:r w:rsidR="00A15085">
        <w:rPr>
          <w:rFonts w:cs="Times New Roman"/>
          <w:sz w:val="22"/>
          <w:szCs w:val="22"/>
        </w:rPr>
        <w:t xml:space="preserve"> and effectively validated the challenged marriage law before a</w:t>
      </w:r>
      <w:r w:rsidR="00970696">
        <w:rPr>
          <w:rFonts w:cs="Times New Roman"/>
          <w:sz w:val="22"/>
          <w:szCs w:val="22"/>
        </w:rPr>
        <w:t xml:space="preserve"> final</w:t>
      </w:r>
      <w:r w:rsidR="00A15085">
        <w:rPr>
          <w:rFonts w:cs="Times New Roman"/>
          <w:sz w:val="22"/>
          <w:szCs w:val="22"/>
        </w:rPr>
        <w:t xml:space="preserve"> decision </w:t>
      </w:r>
      <w:r w:rsidR="00BF105C">
        <w:rPr>
          <w:rFonts w:cs="Times New Roman"/>
          <w:sz w:val="22"/>
          <w:szCs w:val="22"/>
        </w:rPr>
        <w:t xml:space="preserve">could </w:t>
      </w:r>
      <w:r w:rsidR="00A15085">
        <w:rPr>
          <w:rFonts w:cs="Times New Roman"/>
          <w:sz w:val="22"/>
          <w:szCs w:val="22"/>
        </w:rPr>
        <w:t>be</w:t>
      </w:r>
      <w:r w:rsidR="00970696">
        <w:rPr>
          <w:rFonts w:cs="Times New Roman"/>
          <w:sz w:val="22"/>
          <w:szCs w:val="22"/>
        </w:rPr>
        <w:t xml:space="preserve"> reached in the case</w:t>
      </w:r>
      <w:r w:rsidR="002D5CE0">
        <w:rPr>
          <w:rFonts w:cs="Times New Roman"/>
          <w:sz w:val="22"/>
          <w:szCs w:val="22"/>
        </w:rPr>
        <w:t xml:space="preserve">. </w:t>
      </w:r>
      <w:proofErr w:type="spellStart"/>
      <w:r w:rsidR="00A15085">
        <w:rPr>
          <w:rFonts w:cs="Times New Roman"/>
          <w:sz w:val="22"/>
          <w:szCs w:val="22"/>
        </w:rPr>
        <w:t>Baehr</w:t>
      </w:r>
      <w:proofErr w:type="spellEnd"/>
      <w:r w:rsidR="00A15085">
        <w:rPr>
          <w:rFonts w:cs="Times New Roman"/>
          <w:sz w:val="22"/>
          <w:szCs w:val="22"/>
        </w:rPr>
        <w:t xml:space="preserve"> v. </w:t>
      </w:r>
      <w:proofErr w:type="spellStart"/>
      <w:r w:rsidR="00A15085">
        <w:rPr>
          <w:rFonts w:cs="Times New Roman"/>
          <w:sz w:val="22"/>
          <w:szCs w:val="22"/>
        </w:rPr>
        <w:t>Miike</w:t>
      </w:r>
      <w:proofErr w:type="spellEnd"/>
      <w:r w:rsidR="00A15085">
        <w:rPr>
          <w:rFonts w:cs="Times New Roman"/>
          <w:sz w:val="22"/>
          <w:szCs w:val="22"/>
        </w:rPr>
        <w:t xml:space="preserve">, No. 20371, </w:t>
      </w:r>
      <w:r w:rsidR="00B03BBA" w:rsidRPr="00B03BBA">
        <w:rPr>
          <w:rFonts w:cs="Times New Roman"/>
          <w:sz w:val="22"/>
          <w:szCs w:val="22"/>
        </w:rPr>
        <w:t>1999 WL 35643448</w:t>
      </w:r>
      <w:r w:rsidR="00B03BBA">
        <w:rPr>
          <w:rFonts w:cs="Times New Roman"/>
          <w:sz w:val="22"/>
          <w:szCs w:val="22"/>
        </w:rPr>
        <w:t xml:space="preserve"> (Haw. Dec. 9, 1999).</w:t>
      </w:r>
      <w:r w:rsidR="00A15085">
        <w:rPr>
          <w:rFonts w:cs="Times New Roman"/>
          <w:sz w:val="22"/>
          <w:szCs w:val="22"/>
        </w:rPr>
        <w:t xml:space="preserve"> </w:t>
      </w:r>
    </w:p>
  </w:footnote>
  <w:footnote w:id="58">
    <w:p w14:paraId="01869395" w14:textId="4FFB8285"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Steve R. Johnson, </w:t>
      </w:r>
      <w:r w:rsidRPr="00274A60">
        <w:rPr>
          <w:rFonts w:cs="Times New Roman"/>
          <w:i/>
          <w:iCs/>
          <w:sz w:val="22"/>
          <w:szCs w:val="22"/>
        </w:rPr>
        <w:t>Targets Missed and Targets Hit: Critical Tax Studies and Effective Tax Reform</w:t>
      </w:r>
      <w:r w:rsidRPr="00274A60">
        <w:rPr>
          <w:rFonts w:cs="Times New Roman"/>
          <w:sz w:val="22"/>
          <w:szCs w:val="22"/>
        </w:rPr>
        <w:t xml:space="preserve">, 76 </w:t>
      </w:r>
      <w:r w:rsidRPr="00274A60">
        <w:rPr>
          <w:rFonts w:cs="Times New Roman"/>
          <w:smallCaps/>
          <w:sz w:val="22"/>
          <w:szCs w:val="22"/>
        </w:rPr>
        <w:t>N.C. L. Rev.</w:t>
      </w:r>
      <w:r w:rsidRPr="00274A60">
        <w:rPr>
          <w:rFonts w:cs="Times New Roman"/>
          <w:sz w:val="22"/>
          <w:szCs w:val="22"/>
        </w:rPr>
        <w:t xml:space="preserve"> 1771, 1779 (1998).</w:t>
      </w:r>
    </w:p>
  </w:footnote>
  <w:footnote w:id="59">
    <w:p w14:paraId="06EF2616" w14:textId="6DAC53E3"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Anthony C. Infanti, </w:t>
      </w:r>
      <w:r w:rsidRPr="00274A60">
        <w:rPr>
          <w:rFonts w:cs="Times New Roman"/>
          <w:i/>
          <w:iCs/>
          <w:sz w:val="22"/>
          <w:szCs w:val="22"/>
        </w:rPr>
        <w:t>The Internal Revenue Code as Sodomy Statute</w:t>
      </w:r>
      <w:r w:rsidRPr="00274A60">
        <w:rPr>
          <w:rFonts w:cs="Times New Roman"/>
          <w:sz w:val="22"/>
          <w:szCs w:val="22"/>
        </w:rPr>
        <w:t xml:space="preserve">, 44 </w:t>
      </w:r>
      <w:r w:rsidRPr="00274A60">
        <w:rPr>
          <w:rFonts w:cs="Times New Roman"/>
          <w:smallCaps/>
          <w:sz w:val="22"/>
          <w:szCs w:val="22"/>
        </w:rPr>
        <w:t>Santa Clara L. Rev.</w:t>
      </w:r>
      <w:r w:rsidRPr="00274A60">
        <w:rPr>
          <w:rFonts w:cs="Times New Roman"/>
          <w:sz w:val="22"/>
          <w:szCs w:val="22"/>
        </w:rPr>
        <w:t xml:space="preserve"> 763</w:t>
      </w:r>
      <w:r w:rsidR="003407A1">
        <w:rPr>
          <w:rFonts w:cs="Times New Roman"/>
          <w:sz w:val="22"/>
          <w:szCs w:val="22"/>
        </w:rPr>
        <w:t>, 765, 779</w:t>
      </w:r>
      <w:r w:rsidRPr="00274A60">
        <w:rPr>
          <w:rFonts w:cs="Times New Roman"/>
          <w:sz w:val="22"/>
          <w:szCs w:val="22"/>
        </w:rPr>
        <w:t xml:space="preserve"> (2004).</w:t>
      </w:r>
    </w:p>
  </w:footnote>
  <w:footnote w:id="60">
    <w:p w14:paraId="0B3E5C92" w14:textId="0494255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E.g.,</w:t>
      </w:r>
      <w:r w:rsidRPr="00274A60">
        <w:rPr>
          <w:rFonts w:cs="Times New Roman"/>
          <w:sz w:val="22"/>
          <w:szCs w:val="22"/>
        </w:rPr>
        <w:t xml:space="preserve"> Patricia A. Cain, </w:t>
      </w:r>
      <w:r w:rsidRPr="00274A60">
        <w:rPr>
          <w:rFonts w:cs="Times New Roman"/>
          <w:i/>
          <w:iCs/>
          <w:sz w:val="22"/>
          <w:szCs w:val="22"/>
        </w:rPr>
        <w:t>The New York Marriage Equality Act and the Income Tax</w:t>
      </w:r>
      <w:r w:rsidRPr="00274A60">
        <w:rPr>
          <w:rFonts w:cs="Times New Roman"/>
          <w:sz w:val="22"/>
          <w:szCs w:val="22"/>
        </w:rPr>
        <w:t xml:space="preserve">, 5 </w:t>
      </w:r>
      <w:r w:rsidRPr="00274A60">
        <w:rPr>
          <w:rFonts w:cs="Times New Roman"/>
          <w:smallCaps/>
          <w:sz w:val="22"/>
          <w:szCs w:val="22"/>
        </w:rPr>
        <w:t>Alb. Gov’t L. Rev.</w:t>
      </w:r>
      <w:r w:rsidRPr="00274A60">
        <w:rPr>
          <w:rFonts w:cs="Times New Roman"/>
          <w:sz w:val="22"/>
          <w:szCs w:val="22"/>
        </w:rPr>
        <w:t xml:space="preserve"> 634 (2012); Anthony C. Infanti, </w:t>
      </w:r>
      <w:r w:rsidRPr="00274A60">
        <w:rPr>
          <w:rFonts w:cs="Times New Roman"/>
          <w:i/>
          <w:iCs/>
          <w:sz w:val="22"/>
          <w:szCs w:val="22"/>
        </w:rPr>
        <w:t xml:space="preserve">The House of </w:t>
      </w:r>
      <w:r w:rsidRPr="00274A60">
        <w:rPr>
          <w:rFonts w:cs="Times New Roman"/>
          <w:sz w:val="22"/>
          <w:szCs w:val="22"/>
        </w:rPr>
        <w:t>Windsor</w:t>
      </w:r>
      <w:r w:rsidRPr="00274A60">
        <w:rPr>
          <w:rFonts w:cs="Times New Roman"/>
          <w:i/>
          <w:iCs/>
          <w:sz w:val="22"/>
          <w:szCs w:val="22"/>
        </w:rPr>
        <w:t>: Accentuating the Heter</w:t>
      </w:r>
      <w:r w:rsidR="00637ACF">
        <w:rPr>
          <w:rFonts w:cs="Times New Roman"/>
          <w:i/>
          <w:iCs/>
          <w:sz w:val="22"/>
          <w:szCs w:val="22"/>
        </w:rPr>
        <w:t>o</w:t>
      </w:r>
      <w:r w:rsidRPr="00274A60">
        <w:rPr>
          <w:rFonts w:cs="Times New Roman"/>
          <w:i/>
          <w:iCs/>
          <w:sz w:val="22"/>
          <w:szCs w:val="22"/>
        </w:rPr>
        <w:t>no</w:t>
      </w:r>
      <w:r w:rsidR="000407FF">
        <w:rPr>
          <w:rFonts w:cs="Times New Roman"/>
          <w:i/>
          <w:iCs/>
          <w:sz w:val="22"/>
          <w:szCs w:val="22"/>
        </w:rPr>
        <w:t>r</w:t>
      </w:r>
      <w:r w:rsidRPr="00274A60">
        <w:rPr>
          <w:rFonts w:cs="Times New Roman"/>
          <w:i/>
          <w:iCs/>
          <w:sz w:val="22"/>
          <w:szCs w:val="22"/>
        </w:rPr>
        <w:t>mativity in the Tax Incentives for Procreatio</w:t>
      </w:r>
      <w:r w:rsidRPr="00274A60">
        <w:rPr>
          <w:rFonts w:cs="Times New Roman"/>
          <w:sz w:val="22"/>
          <w:szCs w:val="22"/>
        </w:rPr>
        <w:t xml:space="preserve">n, 89 </w:t>
      </w:r>
      <w:r w:rsidRPr="00274A60">
        <w:rPr>
          <w:rFonts w:cs="Times New Roman"/>
          <w:smallCaps/>
          <w:sz w:val="22"/>
          <w:szCs w:val="22"/>
        </w:rPr>
        <w:t>Wash. L. Rev. 1185</w:t>
      </w:r>
      <w:r w:rsidRPr="00274A60">
        <w:rPr>
          <w:rFonts w:cs="Times New Roman"/>
          <w:sz w:val="22"/>
          <w:szCs w:val="22"/>
        </w:rPr>
        <w:t xml:space="preserve"> (2014); Nancy J. Knauer, </w:t>
      </w:r>
      <w:r w:rsidRPr="00274A60">
        <w:rPr>
          <w:rFonts w:cs="Times New Roman"/>
          <w:i/>
          <w:iCs/>
          <w:sz w:val="22"/>
          <w:szCs w:val="22"/>
        </w:rPr>
        <w:t>Heteronormativity and Federal Tax Policy</w:t>
      </w:r>
      <w:r w:rsidRPr="00274A60">
        <w:rPr>
          <w:rFonts w:cs="Times New Roman"/>
          <w:sz w:val="22"/>
          <w:szCs w:val="22"/>
        </w:rPr>
        <w:t xml:space="preserve">, 101 </w:t>
      </w:r>
      <w:r w:rsidRPr="00274A60">
        <w:rPr>
          <w:rFonts w:cs="Times New Roman"/>
          <w:smallCaps/>
          <w:sz w:val="22"/>
          <w:szCs w:val="22"/>
        </w:rPr>
        <w:t xml:space="preserve">W. Va. L. Rev. </w:t>
      </w:r>
      <w:r w:rsidRPr="00274A60">
        <w:rPr>
          <w:rFonts w:cs="Times New Roman"/>
          <w:sz w:val="22"/>
          <w:szCs w:val="22"/>
        </w:rPr>
        <w:t>129 (1998).</w:t>
      </w:r>
    </w:p>
  </w:footnote>
  <w:footnote w:id="61">
    <w:p w14:paraId="434E4585" w14:textId="0B284B6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Bridget J. Crawford &amp; Anthony C. Infanti, </w:t>
      </w:r>
      <w:r w:rsidRPr="00274A60">
        <w:rPr>
          <w:rFonts w:cs="Times New Roman"/>
          <w:i/>
          <w:iCs/>
          <w:sz w:val="22"/>
          <w:szCs w:val="22"/>
        </w:rPr>
        <w:t>Introduction</w:t>
      </w:r>
      <w:r w:rsidRPr="00274A60">
        <w:rPr>
          <w:rFonts w:cs="Times New Roman"/>
          <w:sz w:val="22"/>
          <w:szCs w:val="22"/>
        </w:rPr>
        <w:t xml:space="preserve">, </w:t>
      </w:r>
      <w:r w:rsidRPr="00274A60">
        <w:rPr>
          <w:rFonts w:cs="Times New Roman"/>
          <w:i/>
          <w:iCs/>
          <w:sz w:val="22"/>
          <w:szCs w:val="22"/>
        </w:rPr>
        <w:t>in</w:t>
      </w:r>
      <w:r w:rsidRPr="00274A60">
        <w:rPr>
          <w:rFonts w:cs="Times New Roman"/>
          <w:sz w:val="22"/>
          <w:szCs w:val="22"/>
        </w:rPr>
        <w:t xml:space="preserve"> </w:t>
      </w:r>
      <w:r w:rsidRPr="00274A60">
        <w:rPr>
          <w:rFonts w:cs="Times New Roman"/>
          <w:smallCaps/>
          <w:sz w:val="22"/>
          <w:szCs w:val="22"/>
        </w:rPr>
        <w:t>Feminist Judgments: Rewritten Tax Opinions</w:t>
      </w:r>
      <w:r w:rsidRPr="00274A60">
        <w:rPr>
          <w:rFonts w:cs="Times New Roman"/>
          <w:sz w:val="22"/>
          <w:szCs w:val="22"/>
        </w:rPr>
        <w:t xml:space="preserve"> 3, 9 (Bridget J. Crawford &amp; Anthony C. Infanti eds., 2017). </w:t>
      </w:r>
    </w:p>
  </w:footnote>
  <w:footnote w:id="62">
    <w:p w14:paraId="348E6026" w14:textId="61732F6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Katherine Pratt, </w:t>
      </w:r>
      <w:r w:rsidRPr="00274A60">
        <w:rPr>
          <w:rFonts w:cs="Times New Roman"/>
          <w:i/>
          <w:iCs/>
          <w:sz w:val="22"/>
          <w:szCs w:val="22"/>
        </w:rPr>
        <w:t>Deducting the Costs of Fertility Treatment: Implications of</w:t>
      </w:r>
      <w:r w:rsidRPr="00274A60">
        <w:rPr>
          <w:rFonts w:cs="Times New Roman"/>
          <w:sz w:val="22"/>
          <w:szCs w:val="22"/>
        </w:rPr>
        <w:t xml:space="preserve"> </w:t>
      </w:r>
      <w:proofErr w:type="spellStart"/>
      <w:r w:rsidRPr="00274A60">
        <w:rPr>
          <w:rFonts w:cs="Times New Roman"/>
          <w:sz w:val="22"/>
          <w:szCs w:val="22"/>
        </w:rPr>
        <w:t>Magdalin</w:t>
      </w:r>
      <w:proofErr w:type="spellEnd"/>
      <w:r w:rsidRPr="00274A60">
        <w:rPr>
          <w:rFonts w:cs="Times New Roman"/>
          <w:sz w:val="22"/>
          <w:szCs w:val="22"/>
        </w:rPr>
        <w:t xml:space="preserve"> v. Commissioner </w:t>
      </w:r>
      <w:r w:rsidRPr="00274A60">
        <w:rPr>
          <w:rFonts w:cs="Times New Roman"/>
          <w:i/>
          <w:iCs/>
          <w:sz w:val="22"/>
          <w:szCs w:val="22"/>
        </w:rPr>
        <w:t>for Opposite-Sex Couples, Gay and Lesbian Same-Sex Couples, and Single Women and Men</w:t>
      </w:r>
      <w:r w:rsidRPr="00274A60">
        <w:rPr>
          <w:rFonts w:cs="Times New Roman"/>
          <w:sz w:val="22"/>
          <w:szCs w:val="22"/>
        </w:rPr>
        <w:t xml:space="preserve">, 2009 </w:t>
      </w:r>
      <w:r w:rsidRPr="00274A60">
        <w:rPr>
          <w:rFonts w:cs="Times New Roman"/>
          <w:smallCaps/>
          <w:sz w:val="22"/>
          <w:szCs w:val="22"/>
        </w:rPr>
        <w:t>Wis. L. Rev.</w:t>
      </w:r>
      <w:r w:rsidRPr="00274A60">
        <w:rPr>
          <w:rFonts w:cs="Times New Roman"/>
          <w:sz w:val="22"/>
          <w:szCs w:val="22"/>
        </w:rPr>
        <w:t xml:space="preserve"> 1283.</w:t>
      </w:r>
    </w:p>
  </w:footnote>
  <w:footnote w:id="63">
    <w:p w14:paraId="0B8422D5" w14:textId="78A7AA8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E.g.,</w:t>
      </w:r>
      <w:r w:rsidRPr="00274A60">
        <w:rPr>
          <w:rFonts w:cs="Times New Roman"/>
          <w:sz w:val="22"/>
          <w:szCs w:val="22"/>
        </w:rPr>
        <w:t xml:space="preserve"> Anthony C. Infanti, </w:t>
      </w:r>
      <w:r w:rsidRPr="00274A60">
        <w:rPr>
          <w:rFonts w:cs="Times New Roman"/>
          <w:i/>
          <w:iCs/>
          <w:sz w:val="22"/>
          <w:szCs w:val="22"/>
        </w:rPr>
        <w:t xml:space="preserve">LGBT Taxpayers: A Collision of </w:t>
      </w:r>
      <w:r>
        <w:rPr>
          <w:rFonts w:cs="Times New Roman"/>
          <w:i/>
          <w:iCs/>
          <w:sz w:val="22"/>
          <w:szCs w:val="22"/>
        </w:rPr>
        <w:t>“</w:t>
      </w:r>
      <w:r w:rsidRPr="00274A60">
        <w:rPr>
          <w:rFonts w:cs="Times New Roman"/>
          <w:i/>
          <w:iCs/>
          <w:sz w:val="22"/>
          <w:szCs w:val="22"/>
        </w:rPr>
        <w:t>Others</w:t>
      </w:r>
      <w:r w:rsidRPr="00274A60">
        <w:rPr>
          <w:rFonts w:cs="Times New Roman"/>
          <w:sz w:val="22"/>
          <w:szCs w:val="22"/>
        </w:rPr>
        <w:t>,</w:t>
      </w:r>
      <w:r>
        <w:rPr>
          <w:rFonts w:cs="Times New Roman"/>
          <w:i/>
          <w:iCs/>
          <w:sz w:val="22"/>
          <w:szCs w:val="22"/>
        </w:rPr>
        <w:t>”</w:t>
      </w:r>
      <w:r w:rsidRPr="00274A60">
        <w:rPr>
          <w:rFonts w:cs="Times New Roman"/>
          <w:sz w:val="22"/>
          <w:szCs w:val="22"/>
        </w:rPr>
        <w:t xml:space="preserve"> 13 </w:t>
      </w:r>
      <w:r w:rsidRPr="00274A60">
        <w:rPr>
          <w:rFonts w:cs="Times New Roman"/>
          <w:smallCaps/>
          <w:sz w:val="22"/>
          <w:szCs w:val="22"/>
        </w:rPr>
        <w:t>Geo. J. Gender &amp; L.</w:t>
      </w:r>
      <w:r w:rsidRPr="00274A60">
        <w:rPr>
          <w:rFonts w:cs="Times New Roman"/>
          <w:sz w:val="22"/>
          <w:szCs w:val="22"/>
        </w:rPr>
        <w:t xml:space="preserve"> 1 (2012); Katherine Pratt, </w:t>
      </w:r>
      <w:r w:rsidRPr="00274A60">
        <w:rPr>
          <w:rFonts w:cs="Times New Roman"/>
          <w:i/>
          <w:iCs/>
          <w:sz w:val="22"/>
          <w:szCs w:val="22"/>
        </w:rPr>
        <w:t>The Tax Definition of “Medical Care:” A Critique of the Startling IRS Arguments in</w:t>
      </w:r>
      <w:r w:rsidRPr="00274A60">
        <w:rPr>
          <w:rFonts w:cs="Times New Roman"/>
          <w:sz w:val="22"/>
          <w:szCs w:val="22"/>
        </w:rPr>
        <w:t xml:space="preserve"> </w:t>
      </w:r>
      <w:proofErr w:type="spellStart"/>
      <w:r w:rsidRPr="00274A60">
        <w:rPr>
          <w:rFonts w:cs="Times New Roman"/>
          <w:sz w:val="22"/>
          <w:szCs w:val="22"/>
        </w:rPr>
        <w:t>O’Donnabhain</w:t>
      </w:r>
      <w:proofErr w:type="spellEnd"/>
      <w:r w:rsidRPr="00274A60">
        <w:rPr>
          <w:rFonts w:cs="Times New Roman"/>
          <w:sz w:val="22"/>
          <w:szCs w:val="22"/>
        </w:rPr>
        <w:t xml:space="preserve"> v. Commissioner, 23 </w:t>
      </w:r>
      <w:r w:rsidRPr="00274A60">
        <w:rPr>
          <w:rFonts w:cs="Times New Roman"/>
          <w:smallCaps/>
          <w:sz w:val="22"/>
          <w:szCs w:val="22"/>
        </w:rPr>
        <w:t>Mich. J. Gender &amp; L.</w:t>
      </w:r>
      <w:r w:rsidRPr="00274A60">
        <w:rPr>
          <w:rFonts w:cs="Times New Roman"/>
          <w:sz w:val="22"/>
          <w:szCs w:val="22"/>
        </w:rPr>
        <w:t xml:space="preserve"> 313 (2016).</w:t>
      </w:r>
    </w:p>
  </w:footnote>
  <w:footnote w:id="64">
    <w:p w14:paraId="40C96BF0" w14:textId="1E802A18"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Victoria J. </w:t>
      </w:r>
      <w:proofErr w:type="spellStart"/>
      <w:r w:rsidRPr="00274A60">
        <w:rPr>
          <w:rFonts w:cs="Times New Roman"/>
          <w:sz w:val="22"/>
          <w:szCs w:val="22"/>
        </w:rPr>
        <w:t>Haneman</w:t>
      </w:r>
      <w:proofErr w:type="spellEnd"/>
      <w:r w:rsidRPr="00274A60">
        <w:rPr>
          <w:rFonts w:cs="Times New Roman"/>
          <w:sz w:val="22"/>
          <w:szCs w:val="22"/>
        </w:rPr>
        <w:t xml:space="preserve">, </w:t>
      </w:r>
      <w:r w:rsidRPr="00274A60">
        <w:rPr>
          <w:rFonts w:cs="Times New Roman"/>
          <w:i/>
          <w:iCs/>
          <w:sz w:val="22"/>
          <w:szCs w:val="22"/>
        </w:rPr>
        <w:t>The Collision of Student Loan Debt and Joint Marital Taxation</w:t>
      </w:r>
      <w:r w:rsidRPr="00274A60">
        <w:rPr>
          <w:rFonts w:cs="Times New Roman"/>
          <w:sz w:val="22"/>
          <w:szCs w:val="22"/>
        </w:rPr>
        <w:t xml:space="preserve">, 35 </w:t>
      </w:r>
      <w:r w:rsidRPr="00274A60">
        <w:rPr>
          <w:rFonts w:cs="Times New Roman"/>
          <w:smallCaps/>
          <w:sz w:val="22"/>
          <w:szCs w:val="22"/>
        </w:rPr>
        <w:t>Va. Tax Rev.</w:t>
      </w:r>
      <w:r w:rsidRPr="00274A60">
        <w:rPr>
          <w:rFonts w:cs="Times New Roman"/>
          <w:sz w:val="22"/>
          <w:szCs w:val="22"/>
        </w:rPr>
        <w:t xml:space="preserve"> 223 (2016).</w:t>
      </w:r>
    </w:p>
  </w:footnote>
  <w:footnote w:id="65">
    <w:p w14:paraId="52DDBDF1" w14:textId="23F00422"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Francine J. Lipman</w:t>
      </w:r>
      <w:r>
        <w:rPr>
          <w:rFonts w:cs="Times New Roman"/>
          <w:sz w:val="22"/>
          <w:szCs w:val="22"/>
        </w:rPr>
        <w:t xml:space="preserve"> &amp; James Owens</w:t>
      </w:r>
      <w:r w:rsidRPr="00274A60">
        <w:rPr>
          <w:rFonts w:cs="Times New Roman"/>
          <w:sz w:val="22"/>
          <w:szCs w:val="22"/>
        </w:rPr>
        <w:t xml:space="preserve">, </w:t>
      </w:r>
      <w:r w:rsidRPr="00274A60">
        <w:rPr>
          <w:rFonts w:cs="Times New Roman"/>
          <w:i/>
          <w:iCs/>
          <w:sz w:val="22"/>
          <w:szCs w:val="22"/>
        </w:rPr>
        <w:t>Irresponsibly Taxing Irresponsibility: The Individual Tax Penalty Under the Affordable Care Act</w:t>
      </w:r>
      <w:r w:rsidRPr="00274A60">
        <w:rPr>
          <w:rFonts w:cs="Times New Roman"/>
          <w:sz w:val="22"/>
          <w:szCs w:val="22"/>
        </w:rPr>
        <w:t xml:space="preserve">, 23 </w:t>
      </w:r>
      <w:r w:rsidRPr="00274A60">
        <w:rPr>
          <w:rFonts w:cs="Times New Roman"/>
          <w:smallCaps/>
          <w:sz w:val="22"/>
          <w:szCs w:val="22"/>
        </w:rPr>
        <w:t xml:space="preserve">Geo. J. on Poverty L. &amp; </w:t>
      </w:r>
      <w:proofErr w:type="spellStart"/>
      <w:r w:rsidRPr="00274A60">
        <w:rPr>
          <w:rFonts w:cs="Times New Roman"/>
          <w:smallCaps/>
          <w:sz w:val="22"/>
          <w:szCs w:val="22"/>
        </w:rPr>
        <w:t>Pol’y</w:t>
      </w:r>
      <w:proofErr w:type="spellEnd"/>
      <w:r w:rsidRPr="00274A60">
        <w:rPr>
          <w:rFonts w:cs="Times New Roman"/>
          <w:sz w:val="22"/>
          <w:szCs w:val="22"/>
        </w:rPr>
        <w:t xml:space="preserve"> 463 (2016).</w:t>
      </w:r>
    </w:p>
  </w:footnote>
  <w:footnote w:id="66">
    <w:p w14:paraId="2A38FC18" w14:textId="42A9EB4F"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E.g.,</w:t>
      </w:r>
      <w:r w:rsidRPr="00274A60">
        <w:rPr>
          <w:rFonts w:cs="Times New Roman"/>
          <w:sz w:val="22"/>
          <w:szCs w:val="22"/>
        </w:rPr>
        <w:t xml:space="preserve"> Bridget J. Crawford &amp; Carla </w:t>
      </w:r>
      <w:proofErr w:type="spellStart"/>
      <w:r w:rsidRPr="00274A60">
        <w:rPr>
          <w:rFonts w:cs="Times New Roman"/>
          <w:sz w:val="22"/>
          <w:szCs w:val="22"/>
        </w:rPr>
        <w:t>Spivack</w:t>
      </w:r>
      <w:proofErr w:type="spellEnd"/>
      <w:r w:rsidRPr="00274A60">
        <w:rPr>
          <w:rFonts w:cs="Times New Roman"/>
          <w:sz w:val="22"/>
          <w:szCs w:val="22"/>
        </w:rPr>
        <w:t xml:space="preserve">, </w:t>
      </w:r>
      <w:r w:rsidRPr="00274A60">
        <w:rPr>
          <w:rFonts w:cs="Times New Roman"/>
          <w:i/>
          <w:sz w:val="22"/>
          <w:szCs w:val="22"/>
        </w:rPr>
        <w:t xml:space="preserve">Tampon Taxes, Discrimination and Human </w:t>
      </w:r>
      <w:r w:rsidRPr="00274A60">
        <w:rPr>
          <w:rFonts w:cs="Times New Roman"/>
          <w:i/>
          <w:iCs/>
          <w:sz w:val="22"/>
          <w:szCs w:val="22"/>
        </w:rPr>
        <w:t>Rights</w:t>
      </w:r>
      <w:r w:rsidRPr="00274A60">
        <w:rPr>
          <w:rFonts w:cs="Times New Roman"/>
          <w:sz w:val="22"/>
          <w:szCs w:val="22"/>
        </w:rPr>
        <w:t xml:space="preserve">, 2017 </w:t>
      </w:r>
      <w:r w:rsidRPr="00274A60">
        <w:rPr>
          <w:rFonts w:cs="Times New Roman"/>
          <w:smallCaps/>
          <w:sz w:val="22"/>
          <w:szCs w:val="22"/>
        </w:rPr>
        <w:t>Wis. L. Rev.</w:t>
      </w:r>
      <w:r w:rsidRPr="00274A60">
        <w:rPr>
          <w:rFonts w:cs="Times New Roman"/>
          <w:sz w:val="22"/>
          <w:szCs w:val="22"/>
        </w:rPr>
        <w:t xml:space="preserve"> 491; </w:t>
      </w:r>
      <w:r w:rsidRPr="00274A60">
        <w:rPr>
          <w:rFonts w:cs="Times New Roman"/>
          <w:smallCaps/>
          <w:sz w:val="22"/>
          <w:szCs w:val="22"/>
        </w:rPr>
        <w:t>Tax, Inequality, and Human Rights</w:t>
      </w:r>
      <w:r w:rsidRPr="00274A60">
        <w:rPr>
          <w:rFonts w:cs="Times New Roman"/>
          <w:sz w:val="22"/>
          <w:szCs w:val="22"/>
        </w:rPr>
        <w:t xml:space="preserve"> (Philip Alston &amp; Nikki </w:t>
      </w:r>
      <w:proofErr w:type="spellStart"/>
      <w:r w:rsidRPr="00274A60">
        <w:rPr>
          <w:rFonts w:cs="Times New Roman"/>
          <w:sz w:val="22"/>
          <w:szCs w:val="22"/>
        </w:rPr>
        <w:t>Reisch</w:t>
      </w:r>
      <w:proofErr w:type="spellEnd"/>
      <w:r w:rsidRPr="00274A60">
        <w:rPr>
          <w:rFonts w:cs="Times New Roman"/>
          <w:sz w:val="22"/>
          <w:szCs w:val="22"/>
        </w:rPr>
        <w:t xml:space="preserve"> eds., 2019).</w:t>
      </w:r>
    </w:p>
  </w:footnote>
  <w:footnote w:id="67">
    <w:p w14:paraId="0CD9B10D" w14:textId="5D6684EA"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w:t>
      </w:r>
      <w:r w:rsidRPr="00274A60">
        <w:rPr>
          <w:rFonts w:cs="Times New Roman"/>
          <w:sz w:val="22"/>
          <w:szCs w:val="22"/>
        </w:rPr>
        <w:t xml:space="preserve"> David A. Brennen, </w:t>
      </w:r>
      <w:r w:rsidRPr="00274A60">
        <w:rPr>
          <w:rFonts w:cs="Times New Roman"/>
          <w:i/>
          <w:iCs/>
          <w:sz w:val="22"/>
          <w:szCs w:val="22"/>
        </w:rPr>
        <w:t>Bob Jones University v. United States</w:t>
      </w:r>
      <w:r w:rsidRPr="00274A60">
        <w:rPr>
          <w:rFonts w:cs="Times New Roman"/>
          <w:sz w:val="22"/>
          <w:szCs w:val="22"/>
        </w:rPr>
        <w:t xml:space="preserve">, </w:t>
      </w:r>
      <w:r w:rsidRPr="00274A60">
        <w:rPr>
          <w:rFonts w:cs="Times New Roman"/>
          <w:i/>
          <w:iCs/>
          <w:sz w:val="22"/>
          <w:szCs w:val="22"/>
        </w:rPr>
        <w:t>in</w:t>
      </w:r>
      <w:r w:rsidRPr="00274A60">
        <w:rPr>
          <w:rFonts w:cs="Times New Roman"/>
          <w:sz w:val="22"/>
          <w:szCs w:val="22"/>
        </w:rPr>
        <w:t xml:space="preserve"> </w:t>
      </w:r>
      <w:r w:rsidRPr="00274A60">
        <w:rPr>
          <w:rFonts w:cs="Times New Roman"/>
          <w:smallCaps/>
          <w:sz w:val="22"/>
          <w:szCs w:val="22"/>
        </w:rPr>
        <w:t>Feminist Judgments: Rewritten Tax Opinions</w:t>
      </w:r>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_Ref32333814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61</w:t>
      </w:r>
      <w:r w:rsidRPr="00274A60">
        <w:rPr>
          <w:rFonts w:cs="Times New Roman"/>
          <w:sz w:val="22"/>
          <w:szCs w:val="22"/>
        </w:rPr>
        <w:fldChar w:fldCharType="end"/>
      </w:r>
      <w:r w:rsidRPr="00274A60">
        <w:rPr>
          <w:rFonts w:cs="Times New Roman"/>
          <w:sz w:val="22"/>
          <w:szCs w:val="22"/>
        </w:rPr>
        <w:t>, at</w:t>
      </w:r>
      <w:r w:rsidRPr="00274A60">
        <w:rPr>
          <w:rFonts w:cs="Times New Roman"/>
          <w:smallCaps/>
          <w:sz w:val="22"/>
          <w:szCs w:val="22"/>
        </w:rPr>
        <w:t xml:space="preserve"> 150; </w:t>
      </w:r>
      <w:r w:rsidRPr="00274A60">
        <w:rPr>
          <w:rFonts w:cs="Times New Roman"/>
          <w:sz w:val="22"/>
          <w:szCs w:val="22"/>
        </w:rPr>
        <w:t xml:space="preserve">Elaine Waterhouse Wilson, </w:t>
      </w:r>
      <w:r w:rsidRPr="00274A60">
        <w:rPr>
          <w:rFonts w:cs="Times New Roman"/>
          <w:i/>
          <w:iCs/>
          <w:sz w:val="22"/>
          <w:szCs w:val="22"/>
        </w:rPr>
        <w:t>Commentary on</w:t>
      </w:r>
      <w:r w:rsidRPr="00274A60">
        <w:rPr>
          <w:rFonts w:cs="Times New Roman"/>
          <w:sz w:val="22"/>
          <w:szCs w:val="22"/>
        </w:rPr>
        <w:t xml:space="preserve"> Bob Jones University v. United States, </w:t>
      </w:r>
      <w:r w:rsidRPr="00274A60">
        <w:rPr>
          <w:rFonts w:cs="Times New Roman"/>
          <w:i/>
          <w:iCs/>
          <w:sz w:val="22"/>
          <w:szCs w:val="22"/>
        </w:rPr>
        <w:t>in</w:t>
      </w:r>
      <w:r w:rsidRPr="00274A60">
        <w:rPr>
          <w:rFonts w:cs="Times New Roman"/>
          <w:sz w:val="22"/>
          <w:szCs w:val="22"/>
        </w:rPr>
        <w:t xml:space="preserve"> </w:t>
      </w:r>
      <w:r w:rsidRPr="00274A60">
        <w:rPr>
          <w:rFonts w:cs="Times New Roman"/>
          <w:smallCaps/>
          <w:sz w:val="22"/>
          <w:szCs w:val="22"/>
        </w:rPr>
        <w:t>Feminist Judgments: Rewritten Tax Opinions</w:t>
      </w:r>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_Ref32333814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61</w:t>
      </w:r>
      <w:r w:rsidRPr="00274A60">
        <w:rPr>
          <w:rFonts w:cs="Times New Roman"/>
          <w:sz w:val="22"/>
          <w:szCs w:val="22"/>
        </w:rPr>
        <w:fldChar w:fldCharType="end"/>
      </w:r>
      <w:r w:rsidRPr="00274A60">
        <w:rPr>
          <w:rFonts w:cs="Times New Roman"/>
          <w:sz w:val="22"/>
          <w:szCs w:val="22"/>
        </w:rPr>
        <w:t>, at 140</w:t>
      </w:r>
      <w:r w:rsidRPr="00274A60">
        <w:rPr>
          <w:rFonts w:cs="Times New Roman"/>
          <w:smallCaps/>
          <w:sz w:val="22"/>
          <w:szCs w:val="22"/>
        </w:rPr>
        <w:t>.</w:t>
      </w:r>
    </w:p>
  </w:footnote>
  <w:footnote w:id="68">
    <w:p w14:paraId="335ED0FB" w14:textId="379BA779" w:rsidR="000A7B6C" w:rsidRPr="00176FFE" w:rsidRDefault="000A7B6C" w:rsidP="00176FFE">
      <w:pPr>
        <w:pStyle w:val="FootnoteText"/>
        <w:spacing w:line="240" w:lineRule="auto"/>
        <w:rPr>
          <w:sz w:val="22"/>
          <w:szCs w:val="22"/>
        </w:rPr>
      </w:pPr>
      <w:r w:rsidRPr="00176FFE">
        <w:rPr>
          <w:rStyle w:val="FootnoteReference"/>
          <w:sz w:val="22"/>
          <w:szCs w:val="22"/>
        </w:rPr>
        <w:footnoteRef/>
      </w:r>
      <w:r>
        <w:rPr>
          <w:i/>
          <w:iCs/>
          <w:sz w:val="22"/>
          <w:szCs w:val="22"/>
        </w:rPr>
        <w:t>E</w:t>
      </w:r>
      <w:r w:rsidRPr="00176FFE">
        <w:rPr>
          <w:i/>
          <w:iCs/>
          <w:sz w:val="22"/>
          <w:szCs w:val="22"/>
        </w:rPr>
        <w:t>.g.</w:t>
      </w:r>
      <w:r w:rsidRPr="00176FFE">
        <w:rPr>
          <w:sz w:val="22"/>
          <w:szCs w:val="22"/>
        </w:rPr>
        <w:t xml:space="preserve">, Kristin </w:t>
      </w:r>
      <w:proofErr w:type="spellStart"/>
      <w:r w:rsidRPr="00176FFE">
        <w:rPr>
          <w:sz w:val="22"/>
          <w:szCs w:val="22"/>
        </w:rPr>
        <w:t>Kalsem</w:t>
      </w:r>
      <w:proofErr w:type="spellEnd"/>
      <w:r w:rsidRPr="00176FFE">
        <w:rPr>
          <w:sz w:val="22"/>
          <w:szCs w:val="22"/>
        </w:rPr>
        <w:t xml:space="preserve"> &amp; Verna Williams, </w:t>
      </w:r>
      <w:r w:rsidRPr="00176FFE">
        <w:rPr>
          <w:i/>
          <w:iCs/>
          <w:sz w:val="22"/>
          <w:szCs w:val="22"/>
        </w:rPr>
        <w:t>Social Justice Feminism</w:t>
      </w:r>
      <w:r w:rsidRPr="00176FFE">
        <w:rPr>
          <w:sz w:val="22"/>
          <w:szCs w:val="22"/>
        </w:rPr>
        <w:t xml:space="preserve">, 18 </w:t>
      </w:r>
      <w:r w:rsidRPr="00176FFE">
        <w:rPr>
          <w:smallCaps/>
          <w:sz w:val="22"/>
          <w:szCs w:val="22"/>
        </w:rPr>
        <w:t>UCLA Women’s L.J.</w:t>
      </w:r>
      <w:r w:rsidRPr="00176FFE">
        <w:rPr>
          <w:sz w:val="22"/>
          <w:szCs w:val="22"/>
        </w:rPr>
        <w:t xml:space="preserve"> 131 (2010); </w:t>
      </w:r>
      <w:r>
        <w:rPr>
          <w:i/>
          <w:iCs/>
          <w:sz w:val="22"/>
          <w:szCs w:val="22"/>
        </w:rPr>
        <w:t xml:space="preserve">see </w:t>
      </w:r>
      <w:r w:rsidRPr="00176FFE">
        <w:rPr>
          <w:sz w:val="22"/>
          <w:szCs w:val="22"/>
        </w:rPr>
        <w:t xml:space="preserve">Bridget J. Crawford, </w:t>
      </w:r>
      <w:r w:rsidRPr="00176FFE">
        <w:rPr>
          <w:i/>
          <w:iCs/>
          <w:sz w:val="22"/>
          <w:szCs w:val="22"/>
        </w:rPr>
        <w:t>Toward a Third-Wave Feminist Legal Theory: Young Women, Pornography and the Praxis of Pleasure</w:t>
      </w:r>
      <w:r w:rsidRPr="00176FFE">
        <w:rPr>
          <w:sz w:val="22"/>
          <w:szCs w:val="22"/>
        </w:rPr>
        <w:t xml:space="preserve">, 14 </w:t>
      </w:r>
      <w:r w:rsidRPr="00176FFE">
        <w:rPr>
          <w:smallCaps/>
          <w:sz w:val="22"/>
          <w:szCs w:val="22"/>
        </w:rPr>
        <w:t>Mich. J. Gender &amp; L</w:t>
      </w:r>
      <w:r w:rsidR="00143A3D">
        <w:rPr>
          <w:smallCaps/>
          <w:sz w:val="22"/>
          <w:szCs w:val="22"/>
        </w:rPr>
        <w:t>.</w:t>
      </w:r>
      <w:r w:rsidRPr="00176FFE">
        <w:rPr>
          <w:sz w:val="22"/>
          <w:szCs w:val="22"/>
        </w:rPr>
        <w:t xml:space="preserve"> 99, 127 (2007) (describing coalition</w:t>
      </w:r>
      <w:r>
        <w:rPr>
          <w:sz w:val="22"/>
          <w:szCs w:val="22"/>
        </w:rPr>
        <w:t xml:space="preserve"> </w:t>
      </w:r>
      <w:r w:rsidRPr="00176FFE">
        <w:rPr>
          <w:sz w:val="22"/>
          <w:szCs w:val="22"/>
        </w:rPr>
        <w:t>building as a hallmark of third-wave feminism).</w:t>
      </w:r>
    </w:p>
  </w:footnote>
  <w:footnote w:id="69">
    <w:p w14:paraId="3BFEA0F4" w14:textId="5ECC05A3"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Patricia A. Cain, </w:t>
      </w:r>
      <w:r w:rsidRPr="00274A60">
        <w:rPr>
          <w:rFonts w:cs="Times New Roman"/>
          <w:i/>
          <w:iCs/>
          <w:sz w:val="22"/>
          <w:szCs w:val="22"/>
        </w:rPr>
        <w:t>Death Taxes: A Critique from the Margin</w:t>
      </w:r>
      <w:r w:rsidRPr="00274A60">
        <w:rPr>
          <w:rFonts w:cs="Times New Roman"/>
          <w:sz w:val="22"/>
          <w:szCs w:val="22"/>
        </w:rPr>
        <w:t xml:space="preserve">, 48 </w:t>
      </w:r>
      <w:proofErr w:type="spellStart"/>
      <w:r w:rsidRPr="00274A60">
        <w:rPr>
          <w:rFonts w:cs="Times New Roman"/>
          <w:smallCaps/>
          <w:sz w:val="22"/>
          <w:szCs w:val="22"/>
        </w:rPr>
        <w:t>Clev</w:t>
      </w:r>
      <w:proofErr w:type="spellEnd"/>
      <w:r w:rsidRPr="00274A60">
        <w:rPr>
          <w:rFonts w:cs="Times New Roman"/>
          <w:smallCaps/>
          <w:sz w:val="22"/>
          <w:szCs w:val="22"/>
        </w:rPr>
        <w:t>. St. L. Rev.</w:t>
      </w:r>
      <w:r w:rsidRPr="00274A60">
        <w:rPr>
          <w:rFonts w:cs="Times New Roman"/>
          <w:sz w:val="22"/>
          <w:szCs w:val="22"/>
        </w:rPr>
        <w:t xml:space="preserve"> 677 (2000). </w:t>
      </w:r>
    </w:p>
  </w:footnote>
  <w:footnote w:id="70">
    <w:p w14:paraId="7E6737AC" w14:textId="24FA5FC9"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Michael A. Livingston, </w:t>
      </w:r>
      <w:r w:rsidRPr="00274A60">
        <w:rPr>
          <w:rFonts w:cs="Times New Roman"/>
          <w:i/>
          <w:iCs/>
          <w:sz w:val="22"/>
          <w:szCs w:val="22"/>
        </w:rPr>
        <w:t>Radical Scholars, Conservative Field: Putting “Critical Tax Scholarship” in Perspective</w:t>
      </w:r>
      <w:r w:rsidRPr="00274A60">
        <w:rPr>
          <w:rFonts w:cs="Times New Roman"/>
          <w:sz w:val="22"/>
          <w:szCs w:val="22"/>
        </w:rPr>
        <w:t xml:space="preserve">, 76 </w:t>
      </w:r>
      <w:r w:rsidRPr="00274A60">
        <w:rPr>
          <w:rFonts w:cs="Times New Roman"/>
          <w:smallCaps/>
          <w:sz w:val="22"/>
          <w:szCs w:val="22"/>
        </w:rPr>
        <w:t>N.C. L. Rev.</w:t>
      </w:r>
      <w:r w:rsidRPr="00274A60">
        <w:rPr>
          <w:rFonts w:cs="Times New Roman"/>
          <w:sz w:val="22"/>
          <w:szCs w:val="22"/>
        </w:rPr>
        <w:t xml:space="preserve"> 1791, 1795</w:t>
      </w:r>
      <w:r w:rsidR="00F47904">
        <w:rPr>
          <w:rFonts w:cs="Times New Roman"/>
          <w:sz w:val="22"/>
          <w:szCs w:val="22"/>
        </w:rPr>
        <w:t>–96</w:t>
      </w:r>
      <w:r w:rsidRPr="00274A60">
        <w:rPr>
          <w:rFonts w:cs="Times New Roman"/>
          <w:sz w:val="22"/>
          <w:szCs w:val="22"/>
        </w:rPr>
        <w:t xml:space="preserve"> (1998); </w:t>
      </w:r>
      <w:r w:rsidRPr="00274A60">
        <w:rPr>
          <w:rFonts w:cs="Times New Roman"/>
          <w:i/>
          <w:iCs/>
          <w:sz w:val="22"/>
          <w:szCs w:val="22"/>
        </w:rPr>
        <w:t>see id.</w:t>
      </w:r>
      <w:r w:rsidRPr="00274A60">
        <w:rPr>
          <w:rFonts w:cs="Times New Roman"/>
          <w:sz w:val="22"/>
          <w:szCs w:val="22"/>
        </w:rPr>
        <w:t xml:space="preserve"> at 1794;</w:t>
      </w:r>
      <w:r w:rsidRPr="00274A60">
        <w:rPr>
          <w:rFonts w:cs="Times New Roman"/>
          <w:i/>
          <w:iCs/>
          <w:sz w:val="22"/>
          <w:szCs w:val="22"/>
        </w:rPr>
        <w:t xml:space="preserve"> </w:t>
      </w:r>
      <w:r w:rsidRPr="00274A60">
        <w:rPr>
          <w:rFonts w:cs="Times New Roman"/>
          <w:sz w:val="22"/>
          <w:szCs w:val="22"/>
        </w:rPr>
        <w:t xml:space="preserve">Nancy J. Knauer, </w:t>
      </w:r>
      <w:r w:rsidRPr="00274A60">
        <w:rPr>
          <w:rFonts w:cs="Times New Roman"/>
          <w:i/>
          <w:iCs/>
          <w:sz w:val="22"/>
          <w:szCs w:val="22"/>
        </w:rPr>
        <w:t xml:space="preserve">Critical Tax Policy: A Pathway to </w:t>
      </w:r>
      <w:proofErr w:type="gramStart"/>
      <w:r w:rsidRPr="00274A60">
        <w:rPr>
          <w:rFonts w:cs="Times New Roman"/>
          <w:i/>
          <w:iCs/>
          <w:sz w:val="22"/>
          <w:szCs w:val="22"/>
        </w:rPr>
        <w:t>Reform?</w:t>
      </w:r>
      <w:r w:rsidRPr="00274A60">
        <w:rPr>
          <w:rFonts w:cs="Times New Roman"/>
          <w:sz w:val="22"/>
          <w:szCs w:val="22"/>
        </w:rPr>
        <w:t>,</w:t>
      </w:r>
      <w:proofErr w:type="gramEnd"/>
      <w:r w:rsidRPr="00274A60">
        <w:rPr>
          <w:rFonts w:cs="Times New Roman"/>
          <w:sz w:val="22"/>
          <w:szCs w:val="22"/>
        </w:rPr>
        <w:t xml:space="preserve"> 9 </w:t>
      </w:r>
      <w:r w:rsidRPr="00274A60">
        <w:rPr>
          <w:rFonts w:cs="Times New Roman"/>
          <w:smallCaps/>
          <w:sz w:val="22"/>
          <w:szCs w:val="22"/>
        </w:rPr>
        <w:t xml:space="preserve">Nw. J.L. &amp; Soc. </w:t>
      </w:r>
      <w:proofErr w:type="spellStart"/>
      <w:r w:rsidRPr="00274A60">
        <w:rPr>
          <w:rFonts w:cs="Times New Roman"/>
          <w:smallCaps/>
          <w:sz w:val="22"/>
          <w:szCs w:val="22"/>
        </w:rPr>
        <w:t>Pol’y</w:t>
      </w:r>
      <w:proofErr w:type="spellEnd"/>
      <w:r w:rsidRPr="00274A60">
        <w:rPr>
          <w:rFonts w:cs="Times New Roman"/>
          <w:sz w:val="22"/>
          <w:szCs w:val="22"/>
        </w:rPr>
        <w:t xml:space="preserve"> 206, 226 (2014).</w:t>
      </w:r>
    </w:p>
  </w:footnote>
  <w:footnote w:id="71">
    <w:p w14:paraId="018B0E78" w14:textId="66E1F4C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 xml:space="preserve">Katrine </w:t>
      </w:r>
      <w:proofErr w:type="spellStart"/>
      <w:r w:rsidRPr="00274A60">
        <w:rPr>
          <w:rFonts w:cs="Times New Roman"/>
          <w:smallCaps/>
          <w:sz w:val="22"/>
          <w:szCs w:val="22"/>
        </w:rPr>
        <w:t>Marçal</w:t>
      </w:r>
      <w:proofErr w:type="spellEnd"/>
      <w:r w:rsidRPr="00274A60">
        <w:rPr>
          <w:rFonts w:cs="Times New Roman"/>
          <w:smallCaps/>
          <w:sz w:val="22"/>
          <w:szCs w:val="22"/>
        </w:rPr>
        <w:t xml:space="preserve">, Who Cooked Adam Smith’s </w:t>
      </w:r>
      <w:proofErr w:type="gramStart"/>
      <w:r w:rsidRPr="00274A60">
        <w:rPr>
          <w:rFonts w:cs="Times New Roman"/>
          <w:smallCaps/>
          <w:sz w:val="22"/>
          <w:szCs w:val="22"/>
        </w:rPr>
        <w:t>Dinner?:</w:t>
      </w:r>
      <w:proofErr w:type="gramEnd"/>
      <w:r w:rsidRPr="00274A60">
        <w:rPr>
          <w:rFonts w:cs="Times New Roman"/>
          <w:smallCaps/>
          <w:sz w:val="22"/>
          <w:szCs w:val="22"/>
        </w:rPr>
        <w:t xml:space="preserve"> A Story About Women and Economics</w:t>
      </w:r>
      <w:r w:rsidRPr="00274A60">
        <w:rPr>
          <w:rFonts w:cs="Times New Roman"/>
          <w:sz w:val="22"/>
          <w:szCs w:val="22"/>
        </w:rPr>
        <w:t xml:space="preserve"> 19 (Saskia Vogel trans., 2016).</w:t>
      </w:r>
    </w:p>
  </w:footnote>
  <w:footnote w:id="72">
    <w:p w14:paraId="6FD62941" w14:textId="19235DE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Anthony C. Infanti, </w:t>
      </w:r>
      <w:r w:rsidRPr="00274A60">
        <w:rPr>
          <w:rFonts w:cs="Times New Roman"/>
          <w:i/>
          <w:iCs/>
          <w:sz w:val="22"/>
          <w:szCs w:val="22"/>
        </w:rPr>
        <w:t xml:space="preserve">Tax </w:t>
      </w:r>
      <w:r w:rsidRPr="00274A60">
        <w:rPr>
          <w:rFonts w:cs="Times New Roman"/>
          <w:i/>
          <w:iCs/>
          <w:strike/>
          <w:sz w:val="22"/>
          <w:szCs w:val="22"/>
        </w:rPr>
        <w:t>Equity</w:t>
      </w:r>
      <w:r w:rsidRPr="00274A60">
        <w:rPr>
          <w:rFonts w:cs="Times New Roman"/>
          <w:sz w:val="22"/>
          <w:szCs w:val="22"/>
        </w:rPr>
        <w:t xml:space="preserve">, 55 </w:t>
      </w:r>
      <w:r w:rsidRPr="00274A60">
        <w:rPr>
          <w:rFonts w:cs="Times New Roman"/>
          <w:smallCaps/>
          <w:sz w:val="22"/>
          <w:szCs w:val="22"/>
        </w:rPr>
        <w:t>Buff. L. Rev.</w:t>
      </w:r>
      <w:r w:rsidRPr="00274A60">
        <w:rPr>
          <w:rFonts w:cs="Times New Roman"/>
          <w:sz w:val="22"/>
          <w:szCs w:val="22"/>
        </w:rPr>
        <w:t xml:space="preserve"> 1191, 1200–03 (2008);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at 208, 209–10.</w:t>
      </w:r>
    </w:p>
  </w:footnote>
  <w:footnote w:id="73">
    <w:p w14:paraId="0B6DB01B" w14:textId="65F7AB9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proofErr w:type="spellStart"/>
      <w:r w:rsidRPr="00274A60">
        <w:rPr>
          <w:rFonts w:cs="Times New Roman"/>
          <w:smallCaps/>
          <w:sz w:val="22"/>
          <w:szCs w:val="22"/>
        </w:rPr>
        <w:t>Marçal</w:t>
      </w:r>
      <w:proofErr w:type="spellEnd"/>
      <w:r w:rsidRPr="00274A60">
        <w:rPr>
          <w:rFonts w:cs="Times New Roman"/>
          <w:smallCaps/>
          <w:sz w:val="22"/>
          <w:szCs w:val="22"/>
        </w:rPr>
        <w:t>,</w:t>
      </w:r>
      <w:r w:rsidRPr="00274A60">
        <w:rPr>
          <w:rFonts w:cs="Times New Roman"/>
          <w:i/>
          <w:iCs/>
          <w:sz w:val="22"/>
          <w:szCs w:val="22"/>
        </w:rPr>
        <w:t xml:space="preserve"> 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_Ref28936826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71</w:t>
      </w:r>
      <w:r w:rsidRPr="00274A60">
        <w:rPr>
          <w:rFonts w:cs="Times New Roman"/>
          <w:sz w:val="22"/>
          <w:szCs w:val="22"/>
        </w:rPr>
        <w:fldChar w:fldCharType="end"/>
      </w:r>
      <w:r w:rsidRPr="00274A60">
        <w:rPr>
          <w:rFonts w:cs="Times New Roman"/>
          <w:sz w:val="22"/>
          <w:szCs w:val="22"/>
        </w:rPr>
        <w:t>, at 21–22.</w:t>
      </w:r>
    </w:p>
  </w:footnote>
  <w:footnote w:id="74">
    <w:p w14:paraId="6E9D2957" w14:textId="538E9FC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at 209–10 (footnotes omitted).</w:t>
      </w:r>
    </w:p>
  </w:footnote>
  <w:footnote w:id="75">
    <w:p w14:paraId="55713299" w14:textId="76504E4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Infanti,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_Ref28329325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72</w:t>
      </w:r>
      <w:r w:rsidRPr="00274A60">
        <w:rPr>
          <w:rFonts w:cs="Times New Roman"/>
          <w:sz w:val="22"/>
          <w:szCs w:val="22"/>
        </w:rPr>
        <w:fldChar w:fldCharType="end"/>
      </w:r>
      <w:r w:rsidRPr="00274A60">
        <w:rPr>
          <w:rFonts w:cs="Times New Roman"/>
          <w:sz w:val="22"/>
          <w:szCs w:val="22"/>
        </w:rPr>
        <w:t>, at 1201.</w:t>
      </w:r>
    </w:p>
  </w:footnote>
  <w:footnote w:id="76">
    <w:p w14:paraId="192B9E66" w14:textId="4FEE37B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1253.</w:t>
      </w:r>
    </w:p>
  </w:footnote>
  <w:footnote w:id="77">
    <w:p w14:paraId="1AB3E726" w14:textId="1F4530B9" w:rsidR="000A7B6C" w:rsidRPr="00743273" w:rsidRDefault="000A7B6C" w:rsidP="00743273">
      <w:pPr>
        <w:pStyle w:val="FootnoteText"/>
        <w:spacing w:line="240" w:lineRule="auto"/>
        <w:rPr>
          <w:sz w:val="22"/>
          <w:szCs w:val="22"/>
        </w:rPr>
      </w:pPr>
      <w:r w:rsidRPr="00743273">
        <w:rPr>
          <w:rStyle w:val="FootnoteReference"/>
          <w:sz w:val="22"/>
          <w:szCs w:val="22"/>
        </w:rPr>
        <w:footnoteRef/>
      </w:r>
      <w:r w:rsidRPr="00743273">
        <w:rPr>
          <w:sz w:val="22"/>
          <w:szCs w:val="22"/>
        </w:rPr>
        <w:t xml:space="preserve"> </w:t>
      </w:r>
      <w:r w:rsidRPr="00743273">
        <w:rPr>
          <w:smallCaps/>
          <w:sz w:val="22"/>
          <w:szCs w:val="22"/>
        </w:rPr>
        <w:t>Anthony C. Infanti, Our Selfish Tax Laws: Toward Tax Reform That Mirrors Our Better Selves</w:t>
      </w:r>
      <w:r w:rsidRPr="00743273">
        <w:rPr>
          <w:sz w:val="22"/>
          <w:szCs w:val="22"/>
        </w:rPr>
        <w:t xml:space="preserve"> 141 (2018).</w:t>
      </w:r>
    </w:p>
  </w:footnote>
  <w:footnote w:id="78">
    <w:p w14:paraId="489B720A" w14:textId="3E2D6A1D" w:rsidR="000A7B6C" w:rsidRPr="00426BE5" w:rsidRDefault="000A7B6C" w:rsidP="00426BE5">
      <w:pPr>
        <w:pStyle w:val="FootnoteText"/>
        <w:spacing w:line="240" w:lineRule="auto"/>
        <w:rPr>
          <w:i/>
          <w:iCs/>
          <w:sz w:val="22"/>
          <w:szCs w:val="22"/>
        </w:rPr>
      </w:pPr>
      <w:r w:rsidRPr="00426BE5">
        <w:rPr>
          <w:rStyle w:val="FootnoteReference"/>
          <w:sz w:val="22"/>
          <w:szCs w:val="22"/>
        </w:rPr>
        <w:footnoteRef/>
      </w:r>
      <w:r w:rsidRPr="00426BE5">
        <w:rPr>
          <w:sz w:val="22"/>
          <w:szCs w:val="22"/>
        </w:rPr>
        <w:t xml:space="preserve"> </w:t>
      </w:r>
      <w:r w:rsidRPr="00426BE5">
        <w:rPr>
          <w:i/>
          <w:iCs/>
          <w:sz w:val="22"/>
          <w:szCs w:val="22"/>
        </w:rPr>
        <w:t>Id.</w:t>
      </w:r>
    </w:p>
  </w:footnote>
  <w:footnote w:id="79">
    <w:p w14:paraId="525B4D9D" w14:textId="696C7A52" w:rsidR="000A7B6C" w:rsidRPr="00426BE5" w:rsidRDefault="000A7B6C" w:rsidP="00426BE5">
      <w:pPr>
        <w:pStyle w:val="FootnoteText"/>
        <w:spacing w:line="240" w:lineRule="auto"/>
        <w:rPr>
          <w:sz w:val="22"/>
          <w:szCs w:val="22"/>
        </w:rPr>
      </w:pPr>
      <w:r w:rsidRPr="00426BE5">
        <w:rPr>
          <w:rStyle w:val="FootnoteReference"/>
          <w:sz w:val="22"/>
          <w:szCs w:val="22"/>
        </w:rPr>
        <w:footnoteRef/>
      </w:r>
      <w:r w:rsidRPr="00426BE5">
        <w:rPr>
          <w:sz w:val="22"/>
          <w:szCs w:val="22"/>
        </w:rPr>
        <w:t xml:space="preserve"> </w:t>
      </w:r>
      <w:r w:rsidRPr="00426BE5">
        <w:rPr>
          <w:i/>
          <w:iCs/>
          <w:sz w:val="22"/>
          <w:szCs w:val="22"/>
        </w:rPr>
        <w:t>Id.</w:t>
      </w:r>
      <w:r w:rsidRPr="00426BE5">
        <w:rPr>
          <w:sz w:val="22"/>
          <w:szCs w:val="22"/>
        </w:rPr>
        <w:t xml:space="preserve"> at 143.</w:t>
      </w:r>
    </w:p>
  </w:footnote>
  <w:footnote w:id="80">
    <w:p w14:paraId="03698E81" w14:textId="2F547663"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Livingston,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at 1815.</w:t>
      </w:r>
    </w:p>
  </w:footnote>
  <w:footnote w:id="81">
    <w:p w14:paraId="5743F97C" w14:textId="1BA3830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xml:space="preserve">, at 226; </w:t>
      </w:r>
      <w:r w:rsidRPr="00274A60">
        <w:rPr>
          <w:rFonts w:cs="Times New Roman"/>
          <w:i/>
          <w:iCs/>
          <w:sz w:val="22"/>
          <w:szCs w:val="22"/>
        </w:rPr>
        <w:t>see also</w:t>
      </w:r>
      <w:r w:rsidRPr="00274A60">
        <w:rPr>
          <w:rFonts w:cs="Times New Roman"/>
          <w:sz w:val="22"/>
          <w:szCs w:val="22"/>
        </w:rPr>
        <w:t xml:space="preserve"> Alice G. Abreu, </w:t>
      </w:r>
      <w:r w:rsidRPr="00274A60">
        <w:rPr>
          <w:rFonts w:cs="Times New Roman"/>
          <w:i/>
          <w:iCs/>
          <w:sz w:val="22"/>
          <w:szCs w:val="22"/>
        </w:rPr>
        <w:t xml:space="preserve">Tax Counts: Bringing Money-Law to </w:t>
      </w:r>
      <w:proofErr w:type="spellStart"/>
      <w:r w:rsidRPr="00274A60">
        <w:rPr>
          <w:rFonts w:cs="Times New Roman"/>
          <w:i/>
          <w:iCs/>
          <w:sz w:val="22"/>
          <w:szCs w:val="22"/>
        </w:rPr>
        <w:t>LatCrit</w:t>
      </w:r>
      <w:proofErr w:type="spellEnd"/>
      <w:r w:rsidRPr="00274A60">
        <w:rPr>
          <w:rFonts w:cs="Times New Roman"/>
          <w:sz w:val="22"/>
          <w:szCs w:val="22"/>
        </w:rPr>
        <w:t xml:space="preserve">, 78 </w:t>
      </w:r>
      <w:proofErr w:type="spellStart"/>
      <w:r w:rsidRPr="00274A60">
        <w:rPr>
          <w:rFonts w:cs="Times New Roman"/>
          <w:smallCaps/>
          <w:sz w:val="22"/>
          <w:szCs w:val="22"/>
        </w:rPr>
        <w:t>Denv</w:t>
      </w:r>
      <w:proofErr w:type="spellEnd"/>
      <w:r w:rsidRPr="00274A60">
        <w:rPr>
          <w:rFonts w:cs="Times New Roman"/>
          <w:smallCaps/>
          <w:sz w:val="22"/>
          <w:szCs w:val="22"/>
        </w:rPr>
        <w:t>. U. L. Rev.</w:t>
      </w:r>
      <w:r w:rsidRPr="00274A60">
        <w:rPr>
          <w:rFonts w:cs="Times New Roman"/>
          <w:sz w:val="22"/>
          <w:szCs w:val="22"/>
        </w:rPr>
        <w:t xml:space="preserve"> 575, 590 (2001) (“substantial resistance”); Nancy E. </w:t>
      </w:r>
      <w:proofErr w:type="spellStart"/>
      <w:r w:rsidRPr="00274A60">
        <w:rPr>
          <w:rFonts w:cs="Times New Roman"/>
          <w:sz w:val="22"/>
          <w:szCs w:val="22"/>
        </w:rPr>
        <w:t>Shurtz</w:t>
      </w:r>
      <w:proofErr w:type="spellEnd"/>
      <w:r w:rsidRPr="00274A60">
        <w:rPr>
          <w:rFonts w:cs="Times New Roman"/>
          <w:sz w:val="22"/>
          <w:szCs w:val="22"/>
        </w:rPr>
        <w:t xml:space="preserve">, </w:t>
      </w:r>
      <w:r w:rsidRPr="00274A60">
        <w:rPr>
          <w:rFonts w:cs="Times New Roman"/>
          <w:i/>
          <w:iCs/>
          <w:sz w:val="22"/>
          <w:szCs w:val="22"/>
        </w:rPr>
        <w:t>Critical Tax Theory: Still Not Taken Seriously</w:t>
      </w:r>
      <w:r w:rsidRPr="00274A60">
        <w:rPr>
          <w:rFonts w:cs="Times New Roman"/>
          <w:sz w:val="22"/>
          <w:szCs w:val="22"/>
        </w:rPr>
        <w:t xml:space="preserve">, 76 </w:t>
      </w:r>
      <w:r w:rsidRPr="00274A60">
        <w:rPr>
          <w:rFonts w:cs="Times New Roman"/>
          <w:smallCaps/>
          <w:sz w:val="22"/>
          <w:szCs w:val="22"/>
        </w:rPr>
        <w:t>N.C. L. Rev.</w:t>
      </w:r>
      <w:r w:rsidRPr="00274A60">
        <w:rPr>
          <w:rFonts w:cs="Times New Roman"/>
          <w:sz w:val="22"/>
          <w:szCs w:val="22"/>
        </w:rPr>
        <w:t xml:space="preserve"> 1837, 1846 (1998) (“open resistance”).</w:t>
      </w:r>
    </w:p>
  </w:footnote>
  <w:footnote w:id="82">
    <w:p w14:paraId="40137488" w14:textId="105A715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Karen B. Brown et al., </w:t>
      </w:r>
      <w:r w:rsidRPr="00274A60">
        <w:rPr>
          <w:rFonts w:cs="Times New Roman"/>
          <w:i/>
          <w:iCs/>
          <w:sz w:val="22"/>
          <w:szCs w:val="22"/>
        </w:rPr>
        <w:t>The Past, Present, and Future of Critical Tax Theory: A Conversation</w:t>
      </w:r>
      <w:r w:rsidRPr="00274A60">
        <w:rPr>
          <w:rFonts w:cs="Times New Roman"/>
          <w:sz w:val="22"/>
          <w:szCs w:val="22"/>
        </w:rPr>
        <w:t xml:space="preserve">, 10 </w:t>
      </w:r>
      <w:r w:rsidRPr="00274A60">
        <w:rPr>
          <w:rFonts w:cs="Times New Roman"/>
          <w:smallCaps/>
          <w:sz w:val="22"/>
          <w:szCs w:val="22"/>
        </w:rPr>
        <w:t>Pitt. Tax Rev.</w:t>
      </w:r>
      <w:r w:rsidRPr="00274A60">
        <w:rPr>
          <w:rFonts w:cs="Times New Roman"/>
          <w:sz w:val="22"/>
          <w:szCs w:val="22"/>
        </w:rPr>
        <w:t xml:space="preserve"> 59, 64 (2012).</w:t>
      </w:r>
    </w:p>
  </w:footnote>
  <w:footnote w:id="83">
    <w:p w14:paraId="4083F4CF" w14:textId="68EA6036"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63.</w:t>
      </w:r>
    </w:p>
  </w:footnote>
  <w:footnote w:id="84">
    <w:p w14:paraId="21538104" w14:textId="3B2246E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at 227.</w:t>
      </w:r>
    </w:p>
  </w:footnote>
  <w:footnote w:id="85">
    <w:p w14:paraId="16C395CF" w14:textId="19FB757A"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Michael A. Livingston, </w:t>
      </w:r>
      <w:r w:rsidRPr="00274A60">
        <w:rPr>
          <w:rFonts w:cs="Times New Roman"/>
          <w:i/>
          <w:iCs/>
          <w:sz w:val="22"/>
          <w:szCs w:val="22"/>
        </w:rPr>
        <w:t>Women, Poverty, and the Tax Code: A Tale of Theory and Practice</w:t>
      </w:r>
      <w:r w:rsidRPr="00274A60">
        <w:rPr>
          <w:rFonts w:cs="Times New Roman"/>
          <w:sz w:val="22"/>
          <w:szCs w:val="22"/>
        </w:rPr>
        <w:t xml:space="preserve">, 5 </w:t>
      </w:r>
      <w:r w:rsidRPr="00274A60">
        <w:rPr>
          <w:rFonts w:cs="Times New Roman"/>
          <w:smallCaps/>
          <w:sz w:val="22"/>
          <w:szCs w:val="22"/>
        </w:rPr>
        <w:t>J. Gender Race &amp; Just.</w:t>
      </w:r>
      <w:r w:rsidRPr="00274A60">
        <w:rPr>
          <w:rFonts w:cs="Times New Roman"/>
          <w:sz w:val="22"/>
          <w:szCs w:val="22"/>
        </w:rPr>
        <w:t xml:space="preserve"> 327, 330 (2002).</w:t>
      </w:r>
    </w:p>
  </w:footnote>
  <w:footnote w:id="86">
    <w:p w14:paraId="6615FCE7" w14:textId="147702FB"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xml:space="preserve">, at 228 (quoting Lawrence </w:t>
      </w:r>
      <w:proofErr w:type="spellStart"/>
      <w:r w:rsidRPr="00274A60">
        <w:rPr>
          <w:rFonts w:cs="Times New Roman"/>
          <w:sz w:val="22"/>
          <w:szCs w:val="22"/>
        </w:rPr>
        <w:t>Zelenak</w:t>
      </w:r>
      <w:proofErr w:type="spellEnd"/>
      <w:r w:rsidRPr="00274A60">
        <w:rPr>
          <w:rFonts w:cs="Times New Roman"/>
          <w:sz w:val="22"/>
          <w:szCs w:val="22"/>
        </w:rPr>
        <w:t xml:space="preserve">, </w:t>
      </w:r>
      <w:r w:rsidRPr="00274A60">
        <w:rPr>
          <w:rFonts w:cs="Times New Roman"/>
          <w:i/>
          <w:iCs/>
          <w:sz w:val="22"/>
          <w:szCs w:val="22"/>
        </w:rPr>
        <w:t>Taking Critical Tax Theory Seriously</w:t>
      </w:r>
      <w:r w:rsidRPr="00274A60">
        <w:rPr>
          <w:rFonts w:cs="Times New Roman"/>
          <w:sz w:val="22"/>
          <w:szCs w:val="22"/>
        </w:rPr>
        <w:t xml:space="preserve">, 76 </w:t>
      </w:r>
      <w:r w:rsidRPr="00274A60">
        <w:rPr>
          <w:rFonts w:cs="Times New Roman"/>
          <w:smallCaps/>
          <w:sz w:val="22"/>
          <w:szCs w:val="22"/>
        </w:rPr>
        <w:t>N.C. L. Rev.</w:t>
      </w:r>
      <w:r w:rsidRPr="00274A60">
        <w:rPr>
          <w:rFonts w:cs="Times New Roman"/>
          <w:sz w:val="22"/>
          <w:szCs w:val="22"/>
        </w:rPr>
        <w:t xml:space="preserve"> 1521, 1524 (1998)).</w:t>
      </w:r>
    </w:p>
  </w:footnote>
  <w:footnote w:id="87">
    <w:p w14:paraId="1E13EAEA" w14:textId="61AD7641" w:rsidR="000A7B6C" w:rsidRPr="00B36B81"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B36B81">
        <w:rPr>
          <w:rFonts w:cs="Times New Roman"/>
          <w:sz w:val="22"/>
          <w:szCs w:val="22"/>
        </w:rPr>
        <w:t xml:space="preserve"> Abreu, </w:t>
      </w:r>
      <w:r w:rsidRPr="00B36B81">
        <w:rPr>
          <w:rFonts w:cs="Times New Roman"/>
          <w:i/>
          <w:iCs/>
          <w:sz w:val="22"/>
          <w:szCs w:val="22"/>
        </w:rPr>
        <w:t>supra</w:t>
      </w:r>
      <w:r w:rsidRPr="00B36B81">
        <w:rPr>
          <w:rFonts w:cs="Times New Roman"/>
          <w:sz w:val="22"/>
          <w:szCs w:val="22"/>
        </w:rPr>
        <w:t xml:space="preserve"> note </w:t>
      </w:r>
      <w:r w:rsidRPr="00274A60">
        <w:rPr>
          <w:rFonts w:cs="Times New Roman"/>
          <w:sz w:val="22"/>
          <w:szCs w:val="22"/>
        </w:rPr>
        <w:fldChar w:fldCharType="begin"/>
      </w:r>
      <w:r w:rsidRPr="00176FFE">
        <w:rPr>
          <w:rFonts w:cs="Times New Roman"/>
          <w:sz w:val="22"/>
          <w:szCs w:val="22"/>
        </w:rPr>
        <w:instrText xml:space="preserve"> NOTEREF _Ref27808033 \h </w:instrText>
      </w:r>
      <w:r w:rsidRPr="00274A60">
        <w:rPr>
          <w:rFonts w:cs="Times New Roman"/>
          <w:sz w:val="22"/>
          <w:szCs w:val="22"/>
        </w:rPr>
        <w:instrText xml:space="preserve">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81</w:t>
      </w:r>
      <w:r w:rsidRPr="00274A60">
        <w:rPr>
          <w:rFonts w:cs="Times New Roman"/>
          <w:sz w:val="22"/>
          <w:szCs w:val="22"/>
        </w:rPr>
        <w:fldChar w:fldCharType="end"/>
      </w:r>
      <w:r w:rsidRPr="00B36B81">
        <w:rPr>
          <w:rFonts w:cs="Times New Roman"/>
          <w:sz w:val="22"/>
          <w:szCs w:val="22"/>
        </w:rPr>
        <w:t>, at 591 n.41.</w:t>
      </w:r>
    </w:p>
  </w:footnote>
  <w:footnote w:id="88">
    <w:p w14:paraId="7DB4A45A" w14:textId="77777777" w:rsidR="000A7B6C" w:rsidRPr="00274A60" w:rsidRDefault="000A7B6C" w:rsidP="00717F68">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Symposium, </w:t>
      </w:r>
      <w:r w:rsidRPr="00274A60">
        <w:rPr>
          <w:rFonts w:cs="Times New Roman"/>
          <w:i/>
          <w:iCs/>
          <w:sz w:val="22"/>
          <w:szCs w:val="22"/>
        </w:rPr>
        <w:t>Critical Tax Theory: Criticism and Response</w:t>
      </w:r>
      <w:r w:rsidRPr="00274A60">
        <w:rPr>
          <w:rFonts w:cs="Times New Roman"/>
          <w:sz w:val="22"/>
          <w:szCs w:val="22"/>
        </w:rPr>
        <w:t xml:space="preserve">, 76 </w:t>
      </w:r>
      <w:r w:rsidRPr="00274A60">
        <w:rPr>
          <w:rFonts w:cs="Times New Roman"/>
          <w:smallCaps/>
          <w:sz w:val="22"/>
          <w:szCs w:val="22"/>
        </w:rPr>
        <w:t>N.C. L. Rev.</w:t>
      </w:r>
      <w:r w:rsidRPr="00274A60">
        <w:rPr>
          <w:rFonts w:cs="Times New Roman"/>
          <w:sz w:val="22"/>
          <w:szCs w:val="22"/>
        </w:rPr>
        <w:t xml:space="preserve"> 1519 (1998).</w:t>
      </w:r>
    </w:p>
  </w:footnote>
  <w:footnote w:id="89">
    <w:p w14:paraId="2CE5565A" w14:textId="182F3343"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Brown et al.,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_Ref27808032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82</w:t>
      </w:r>
      <w:r w:rsidRPr="00274A60">
        <w:rPr>
          <w:rFonts w:cs="Times New Roman"/>
          <w:sz w:val="22"/>
          <w:szCs w:val="22"/>
        </w:rPr>
        <w:fldChar w:fldCharType="end"/>
      </w:r>
      <w:r w:rsidRPr="00274A60">
        <w:rPr>
          <w:rFonts w:cs="Times New Roman"/>
          <w:sz w:val="22"/>
          <w:szCs w:val="22"/>
        </w:rPr>
        <w:t>, at 65.</w:t>
      </w:r>
    </w:p>
  </w:footnote>
  <w:footnote w:id="90">
    <w:p w14:paraId="377BCADE" w14:textId="6041F6C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65–66.</w:t>
      </w:r>
    </w:p>
  </w:footnote>
  <w:footnote w:id="91">
    <w:p w14:paraId="16D3DAA2" w14:textId="527330B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w:t>
      </w:r>
      <w:r w:rsidRPr="00274A60">
        <w:rPr>
          <w:rFonts w:cs="Times New Roman"/>
          <w:sz w:val="22"/>
          <w:szCs w:val="22"/>
        </w:rPr>
        <w:t xml:space="preserve"> Dorothy A. Brown, </w:t>
      </w:r>
      <w:r w:rsidRPr="00274A60">
        <w:rPr>
          <w:rFonts w:cs="Times New Roman"/>
          <w:i/>
          <w:iCs/>
          <w:sz w:val="22"/>
          <w:szCs w:val="22"/>
        </w:rPr>
        <w:t xml:space="preserve">Tales from a Tax </w:t>
      </w:r>
      <w:proofErr w:type="spellStart"/>
      <w:r w:rsidRPr="00274A60">
        <w:rPr>
          <w:rFonts w:cs="Times New Roman"/>
          <w:i/>
          <w:iCs/>
          <w:sz w:val="22"/>
          <w:szCs w:val="22"/>
        </w:rPr>
        <w:t>Crit</w:t>
      </w:r>
      <w:proofErr w:type="spellEnd"/>
      <w:r w:rsidRPr="00274A60">
        <w:rPr>
          <w:rFonts w:cs="Times New Roman"/>
          <w:sz w:val="22"/>
          <w:szCs w:val="22"/>
        </w:rPr>
        <w:t xml:space="preserve">, 10 </w:t>
      </w:r>
      <w:r w:rsidRPr="00274A60">
        <w:rPr>
          <w:rFonts w:cs="Times New Roman"/>
          <w:smallCaps/>
          <w:sz w:val="22"/>
          <w:szCs w:val="22"/>
        </w:rPr>
        <w:t>Pitt. Tax Rev.</w:t>
      </w:r>
      <w:r w:rsidRPr="00274A60">
        <w:rPr>
          <w:rFonts w:cs="Times New Roman"/>
          <w:sz w:val="22"/>
          <w:szCs w:val="22"/>
        </w:rPr>
        <w:t xml:space="preserve"> 47, 47 (2012).</w:t>
      </w:r>
    </w:p>
  </w:footnote>
  <w:footnote w:id="92">
    <w:p w14:paraId="7F61B13D" w14:textId="3499A9E8"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Marjorie 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A Taxing Woman: The Relationship of Feminist Scholarship to Tax</w:t>
      </w:r>
      <w:r w:rsidRPr="00274A60">
        <w:rPr>
          <w:rFonts w:cs="Times New Roman"/>
          <w:sz w:val="22"/>
          <w:szCs w:val="22"/>
        </w:rPr>
        <w:t xml:space="preserve">, 6 </w:t>
      </w:r>
      <w:r w:rsidRPr="00274A60">
        <w:rPr>
          <w:rFonts w:cs="Times New Roman"/>
          <w:smallCaps/>
          <w:sz w:val="22"/>
          <w:szCs w:val="22"/>
        </w:rPr>
        <w:t>S. Cal. Rev. L. &amp; Women’s Stud.</w:t>
      </w:r>
      <w:r w:rsidRPr="00274A60">
        <w:rPr>
          <w:rFonts w:cs="Times New Roman"/>
          <w:sz w:val="22"/>
          <w:szCs w:val="22"/>
        </w:rPr>
        <w:t xml:space="preserve"> 301, 301 (1997).</w:t>
      </w:r>
    </w:p>
  </w:footnote>
  <w:footnote w:id="93">
    <w:p w14:paraId="16761979" w14:textId="3937E94D" w:rsidR="000A7B6C" w:rsidRPr="00274A60" w:rsidRDefault="000A7B6C" w:rsidP="00274A60">
      <w:pPr>
        <w:pStyle w:val="FootnoteText"/>
        <w:spacing w:line="240" w:lineRule="auto"/>
        <w:rPr>
          <w:rFonts w:cs="Times New Roman"/>
          <w:i/>
          <w:iCs/>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302; </w:t>
      </w:r>
      <w:r w:rsidRPr="00274A60">
        <w:rPr>
          <w:rFonts w:cs="Times New Roman"/>
          <w:i/>
          <w:iCs/>
          <w:sz w:val="22"/>
          <w:szCs w:val="22"/>
        </w:rPr>
        <w:t>see</w:t>
      </w:r>
      <w:r w:rsidRPr="00274A60">
        <w:rPr>
          <w:rFonts w:cs="Times New Roman"/>
          <w:sz w:val="22"/>
          <w:szCs w:val="22"/>
        </w:rPr>
        <w:t xml:space="preserv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_Ref32487938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30</w:t>
      </w:r>
      <w:r w:rsidRPr="00274A60">
        <w:rPr>
          <w:rFonts w:cs="Times New Roman"/>
          <w:sz w:val="22"/>
          <w:szCs w:val="22"/>
        </w:rPr>
        <w:fldChar w:fldCharType="end"/>
      </w:r>
      <w:r w:rsidRPr="00274A60">
        <w:rPr>
          <w:rFonts w:cs="Times New Roman"/>
          <w:sz w:val="22"/>
          <w:szCs w:val="22"/>
        </w:rPr>
        <w:t>.</w:t>
      </w:r>
    </w:p>
  </w:footnote>
  <w:footnote w:id="94">
    <w:p w14:paraId="0B8EFA63" w14:textId="0C6DBC8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Joseph </w:t>
      </w:r>
      <w:proofErr w:type="spellStart"/>
      <w:r w:rsidRPr="00274A60">
        <w:rPr>
          <w:rFonts w:cs="Times New Roman"/>
          <w:sz w:val="22"/>
          <w:szCs w:val="22"/>
        </w:rPr>
        <w:t>Bankman</w:t>
      </w:r>
      <w:proofErr w:type="spellEnd"/>
      <w:r w:rsidRPr="00274A60">
        <w:rPr>
          <w:rFonts w:cs="Times New Roman"/>
          <w:sz w:val="22"/>
          <w:szCs w:val="22"/>
        </w:rPr>
        <w:t xml:space="preserve"> &amp; Thomas Griffith, </w:t>
      </w:r>
      <w:r w:rsidRPr="00274A60">
        <w:rPr>
          <w:rFonts w:cs="Times New Roman"/>
          <w:i/>
          <w:iCs/>
          <w:sz w:val="22"/>
          <w:szCs w:val="22"/>
        </w:rPr>
        <w:t>Social Welfare and the Rate Structure: A New Look at Progressive Taxation</w:t>
      </w:r>
      <w:r w:rsidRPr="00274A60">
        <w:rPr>
          <w:rFonts w:cs="Times New Roman"/>
          <w:sz w:val="22"/>
          <w:szCs w:val="22"/>
        </w:rPr>
        <w:t xml:space="preserve">, 75 </w:t>
      </w:r>
      <w:r w:rsidRPr="00274A60">
        <w:rPr>
          <w:rFonts w:cs="Times New Roman"/>
          <w:smallCaps/>
          <w:sz w:val="22"/>
          <w:szCs w:val="22"/>
        </w:rPr>
        <w:t>Calif. L. Rev.</w:t>
      </w:r>
      <w:r w:rsidRPr="00274A60">
        <w:rPr>
          <w:rFonts w:cs="Times New Roman"/>
          <w:sz w:val="22"/>
          <w:szCs w:val="22"/>
        </w:rPr>
        <w:t xml:space="preserve"> 1905 (1987).</w:t>
      </w:r>
    </w:p>
  </w:footnote>
  <w:footnote w:id="95">
    <w:p w14:paraId="75473D3E" w14:textId="19F30446"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proofErr w:type="spellStart"/>
      <w:r w:rsidRPr="00274A60">
        <w:rPr>
          <w:rFonts w:cs="Times New Roman"/>
          <w:sz w:val="22"/>
          <w:szCs w:val="22"/>
        </w:rPr>
        <w:t>Kornhauser</w:t>
      </w:r>
      <w:proofErr w:type="spellEnd"/>
      <w:r w:rsidRPr="00274A60">
        <w:rPr>
          <w:rFonts w:cs="Times New Roman"/>
          <w:sz w:val="22"/>
          <w:szCs w:val="22"/>
        </w:rPr>
        <w:t xml:space="preserve">,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_Ref27977606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92</w:t>
      </w:r>
      <w:r w:rsidRPr="00274A60">
        <w:rPr>
          <w:rFonts w:cs="Times New Roman"/>
          <w:sz w:val="22"/>
          <w:szCs w:val="22"/>
        </w:rPr>
        <w:fldChar w:fldCharType="end"/>
      </w:r>
      <w:r w:rsidRPr="00274A60">
        <w:rPr>
          <w:rFonts w:cs="Times New Roman"/>
          <w:sz w:val="22"/>
          <w:szCs w:val="22"/>
        </w:rPr>
        <w:t>, at 317.</w:t>
      </w:r>
    </w:p>
  </w:footnote>
  <w:footnote w:id="96">
    <w:p w14:paraId="208DC81F" w14:textId="096FEBC6"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321–22.</w:t>
      </w:r>
    </w:p>
  </w:footnote>
  <w:footnote w:id="97">
    <w:p w14:paraId="48E4E49E" w14:textId="1AF7C26E" w:rsidR="000A7B6C" w:rsidRPr="00274A60" w:rsidRDefault="000A7B6C" w:rsidP="00B36B81">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E.g.</w:t>
      </w:r>
      <w:r w:rsidRPr="00274A60">
        <w:rPr>
          <w:rFonts w:cs="Times New Roman"/>
          <w:sz w:val="22"/>
          <w:szCs w:val="22"/>
        </w:rPr>
        <w:t xml:space="preserve">, Edward </w:t>
      </w:r>
      <w:proofErr w:type="spellStart"/>
      <w:r w:rsidRPr="00274A60">
        <w:rPr>
          <w:rFonts w:cs="Times New Roman"/>
          <w:sz w:val="22"/>
          <w:szCs w:val="22"/>
        </w:rPr>
        <w:t>Kleinbard</w:t>
      </w:r>
      <w:proofErr w:type="spellEnd"/>
      <w:r w:rsidRPr="00274A60">
        <w:rPr>
          <w:rFonts w:cs="Times New Roman"/>
          <w:sz w:val="22"/>
          <w:szCs w:val="22"/>
        </w:rPr>
        <w:t xml:space="preserve">, </w:t>
      </w:r>
      <w:r w:rsidRPr="00274A60">
        <w:rPr>
          <w:rFonts w:cs="Times New Roman"/>
          <w:i/>
          <w:iCs/>
          <w:sz w:val="22"/>
          <w:szCs w:val="22"/>
        </w:rPr>
        <w:t>Critical Tax Thinking</w:t>
      </w:r>
      <w:r w:rsidR="00B84571">
        <w:rPr>
          <w:rFonts w:cs="Times New Roman"/>
          <w:sz w:val="22"/>
          <w:szCs w:val="22"/>
        </w:rPr>
        <w:t>, at slides 3–4</w:t>
      </w:r>
      <w:r w:rsidRPr="00274A60">
        <w:rPr>
          <w:rFonts w:cs="Times New Roman"/>
          <w:sz w:val="22"/>
          <w:szCs w:val="22"/>
        </w:rPr>
        <w:t xml:space="preserve"> (Univ. S. Cal. Legal Studies Research Paper No. 19-10, 2019), </w:t>
      </w:r>
      <w:hyperlink r:id="rId4" w:history="1">
        <w:r w:rsidRPr="00274A60">
          <w:rPr>
            <w:rStyle w:val="Hyperlink"/>
            <w:rFonts w:cs="Times New Roman"/>
            <w:sz w:val="22"/>
            <w:szCs w:val="22"/>
          </w:rPr>
          <w:t>https://papers.ssrn.com/sol3/papers.cfm?abstract_id=3373965</w:t>
        </w:r>
      </w:hyperlink>
      <w:r w:rsidR="00B84571">
        <w:rPr>
          <w:rFonts w:cs="Times New Roman"/>
          <w:sz w:val="22"/>
          <w:szCs w:val="22"/>
        </w:rPr>
        <w:t>;</w:t>
      </w:r>
      <w:r w:rsidRPr="00274A60">
        <w:rPr>
          <w:rFonts w:cs="Times New Roman"/>
          <w:sz w:val="22"/>
          <w:szCs w:val="22"/>
        </w:rPr>
        <w:t xml:space="preserve"> </w:t>
      </w:r>
      <w:r w:rsidRPr="00176FFE">
        <w:rPr>
          <w:rFonts w:cs="Times New Roman"/>
          <w:i/>
          <w:iCs/>
          <w:sz w:val="22"/>
          <w:szCs w:val="22"/>
        </w:rPr>
        <w:t>see</w:t>
      </w:r>
      <w:r w:rsidRPr="00274A60">
        <w:rPr>
          <w:rFonts w:cs="Times New Roman"/>
          <w:sz w:val="22"/>
          <w:szCs w:val="22"/>
        </w:rPr>
        <w:t xml:space="preserve"> Leo P. Martinez, </w:t>
      </w:r>
      <w:r w:rsidRPr="00274A60">
        <w:rPr>
          <w:rFonts w:cs="Times New Roman"/>
          <w:i/>
          <w:iCs/>
          <w:sz w:val="22"/>
          <w:szCs w:val="22"/>
        </w:rPr>
        <w:t>A Critique of Critical Tax Policy Critiques (Or, You’ve Got to Speak Out Against the Madness)</w:t>
      </w:r>
      <w:r w:rsidRPr="00274A60">
        <w:rPr>
          <w:rFonts w:cs="Times New Roman"/>
          <w:sz w:val="22"/>
          <w:szCs w:val="22"/>
        </w:rPr>
        <w:t xml:space="preserve">, 28 </w:t>
      </w:r>
      <w:r w:rsidRPr="00274A60">
        <w:rPr>
          <w:rFonts w:cs="Times New Roman"/>
          <w:smallCaps/>
          <w:sz w:val="22"/>
          <w:szCs w:val="22"/>
        </w:rPr>
        <w:t>Berkeley La Raza L.J.</w:t>
      </w:r>
      <w:r w:rsidRPr="00274A60">
        <w:rPr>
          <w:rFonts w:cs="Times New Roman"/>
          <w:sz w:val="22"/>
          <w:szCs w:val="22"/>
        </w:rPr>
        <w:t xml:space="preserve"> 49 (2018).</w:t>
      </w:r>
    </w:p>
  </w:footnote>
  <w:footnote w:id="98">
    <w:p w14:paraId="6DD4638D" w14:textId="207B47F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Livingston,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_Ref27808269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85</w:t>
      </w:r>
      <w:r w:rsidRPr="00274A60">
        <w:rPr>
          <w:rFonts w:cs="Times New Roman"/>
          <w:sz w:val="22"/>
          <w:szCs w:val="22"/>
        </w:rPr>
        <w:fldChar w:fldCharType="end"/>
      </w:r>
      <w:r w:rsidRPr="00274A60">
        <w:rPr>
          <w:rFonts w:cs="Times New Roman"/>
          <w:sz w:val="22"/>
          <w:szCs w:val="22"/>
        </w:rPr>
        <w:t>, at 335.</w:t>
      </w:r>
    </w:p>
  </w:footnote>
  <w:footnote w:id="99">
    <w:p w14:paraId="51144B78" w14:textId="4C66BF7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Knauer,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_Ref27733874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70</w:t>
      </w:r>
      <w:r w:rsidRPr="00274A60">
        <w:rPr>
          <w:rFonts w:cs="Times New Roman"/>
          <w:sz w:val="22"/>
          <w:szCs w:val="22"/>
        </w:rPr>
        <w:fldChar w:fldCharType="end"/>
      </w:r>
      <w:r w:rsidRPr="00274A60">
        <w:rPr>
          <w:rFonts w:cs="Times New Roman"/>
          <w:sz w:val="22"/>
          <w:szCs w:val="22"/>
        </w:rPr>
        <w:t>, at 229–30 (footnotes omitted).</w:t>
      </w:r>
    </w:p>
  </w:footnote>
  <w:footnote w:id="100">
    <w:p w14:paraId="0A4D2C17" w14:textId="1CCCF8E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It is worth noting that the Kogod Tax Policy Center’s mission is not particularly focused on marginalized groups, as critical tax theory is; rather, the Kogod Tax Policy Center more broadly “seeks to increase public understanding of the nation’s tax laws, and to spur balanced, productive dialogue on the status of current tax law, the challenges of tax compliance and planning, and the potential impact of tax reform, with a focus on ‘average’ Americans and small and mid-size businesses.” </w:t>
      </w:r>
      <w:r w:rsidRPr="00274A60">
        <w:rPr>
          <w:rFonts w:cs="Times New Roman"/>
          <w:smallCaps/>
          <w:sz w:val="22"/>
          <w:szCs w:val="22"/>
        </w:rPr>
        <w:t xml:space="preserve">Kogod Tax </w:t>
      </w:r>
      <w:proofErr w:type="spellStart"/>
      <w:r w:rsidRPr="00274A60">
        <w:rPr>
          <w:rFonts w:cs="Times New Roman"/>
          <w:smallCaps/>
          <w:sz w:val="22"/>
          <w:szCs w:val="22"/>
        </w:rPr>
        <w:t>Pol’y</w:t>
      </w:r>
      <w:proofErr w:type="spellEnd"/>
      <w:r w:rsidRPr="00274A60">
        <w:rPr>
          <w:rFonts w:cs="Times New Roman"/>
          <w:smallCaps/>
          <w:sz w:val="22"/>
          <w:szCs w:val="22"/>
        </w:rPr>
        <w:t xml:space="preserve"> Ctr.</w:t>
      </w:r>
      <w:r w:rsidRPr="00274A60">
        <w:rPr>
          <w:rFonts w:cs="Times New Roman"/>
          <w:sz w:val="22"/>
          <w:szCs w:val="22"/>
        </w:rPr>
        <w:t xml:space="preserve">, </w:t>
      </w:r>
      <w:hyperlink r:id="rId5" w:history="1">
        <w:r w:rsidRPr="00274A60">
          <w:rPr>
            <w:rStyle w:val="Hyperlink"/>
            <w:rFonts w:cs="Times New Roman"/>
            <w:sz w:val="22"/>
            <w:szCs w:val="22"/>
          </w:rPr>
          <w:t>https://www.american.edu/kogod/research/taxpolicy/</w:t>
        </w:r>
      </w:hyperlink>
      <w:r w:rsidRPr="00274A60">
        <w:rPr>
          <w:rFonts w:cs="Times New Roman"/>
          <w:sz w:val="22"/>
          <w:szCs w:val="22"/>
        </w:rPr>
        <w:t xml:space="preserve"> (last visited </w:t>
      </w:r>
      <w:r w:rsidR="00F016FA">
        <w:rPr>
          <w:rFonts w:cs="Times New Roman"/>
          <w:sz w:val="22"/>
          <w:szCs w:val="22"/>
        </w:rPr>
        <w:t>June 16</w:t>
      </w:r>
      <w:r w:rsidRPr="00274A60">
        <w:rPr>
          <w:rFonts w:cs="Times New Roman"/>
          <w:sz w:val="22"/>
          <w:szCs w:val="22"/>
        </w:rPr>
        <w:t>, 20</w:t>
      </w:r>
      <w:r w:rsidR="00F016FA">
        <w:rPr>
          <w:rFonts w:cs="Times New Roman"/>
          <w:sz w:val="22"/>
          <w:szCs w:val="22"/>
        </w:rPr>
        <w:t>20</w:t>
      </w:r>
      <w:r w:rsidRPr="00274A60">
        <w:rPr>
          <w:rFonts w:cs="Times New Roman"/>
          <w:sz w:val="22"/>
          <w:szCs w:val="22"/>
        </w:rPr>
        <w:t>).</w:t>
      </w:r>
    </w:p>
  </w:footnote>
  <w:footnote w:id="101">
    <w:p w14:paraId="3C9EACC0" w14:textId="7E765FC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Caroline Bruckner, Kogod Sch. of Bus. Tax Policy Ctr., Billion Dollar Blind Spot: How the U.S. Tax Code’s Small Business Expenditures Impact Women Business Owners</w:t>
      </w:r>
      <w:r w:rsidRPr="00274A60">
        <w:rPr>
          <w:rFonts w:cs="Times New Roman"/>
          <w:sz w:val="22"/>
          <w:szCs w:val="22"/>
        </w:rPr>
        <w:t xml:space="preserve"> 7 (2017), </w:t>
      </w:r>
      <w:hyperlink r:id="rId6" w:history="1">
        <w:r w:rsidRPr="00274A60">
          <w:rPr>
            <w:rStyle w:val="Hyperlink"/>
            <w:rFonts w:cs="Times New Roman"/>
            <w:sz w:val="22"/>
            <w:szCs w:val="22"/>
          </w:rPr>
          <w:t>https://www.american.edu/kogod/research/upload/blind_spot_accessible.pdf</w:t>
        </w:r>
      </w:hyperlink>
      <w:r w:rsidRPr="00274A60">
        <w:rPr>
          <w:rFonts w:cs="Times New Roman"/>
          <w:sz w:val="22"/>
          <w:szCs w:val="22"/>
        </w:rPr>
        <w:t>.</w:t>
      </w:r>
    </w:p>
  </w:footnote>
  <w:footnote w:id="102">
    <w:p w14:paraId="2B0C4D0F" w14:textId="6F1D443A" w:rsidR="000A7B6C" w:rsidRPr="00274A60" w:rsidRDefault="000A7B6C" w:rsidP="00274A60">
      <w:pPr>
        <w:pStyle w:val="FootnoteText"/>
        <w:spacing w:line="240" w:lineRule="auto"/>
        <w:rPr>
          <w:rFonts w:cs="Times New Roman"/>
          <w:i/>
          <w:iCs/>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p>
  </w:footnote>
  <w:footnote w:id="103">
    <w:p w14:paraId="3A07E552" w14:textId="0AD8567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Expanding Opportunities for Small Businesses Through the Tax Code: Hearing Before the S. Comm. on Small Bus. &amp; Entrepreneurship</w:t>
      </w:r>
      <w:r w:rsidRPr="00274A60">
        <w:rPr>
          <w:rFonts w:cs="Times New Roman"/>
          <w:sz w:val="22"/>
          <w:szCs w:val="22"/>
        </w:rPr>
        <w:t xml:space="preserve">, 115th Cong. 26–36 (2018) (statement of Caroline Bruckner, Managing Director, Kogod Tax Policy Center); </w:t>
      </w:r>
      <w:r w:rsidRPr="00274A60">
        <w:rPr>
          <w:rFonts w:cs="Times New Roman"/>
          <w:i/>
          <w:iCs/>
          <w:sz w:val="22"/>
          <w:szCs w:val="22"/>
        </w:rPr>
        <w:t>Small Business Tax Reform: Modernizing the Code for the Nation’s Job Creators: Hearing Before the H. Comm. on Small Bus.</w:t>
      </w:r>
      <w:r w:rsidRPr="00274A60">
        <w:rPr>
          <w:rFonts w:cs="Times New Roman"/>
          <w:sz w:val="22"/>
          <w:szCs w:val="22"/>
        </w:rPr>
        <w:t>, 115th Cong. 10–12, 13–14, 36–43 (2017) (statement of Caroline Bruckner, Managing Director, Kogod Tax Policy Center).</w:t>
      </w:r>
    </w:p>
  </w:footnote>
  <w:footnote w:id="104">
    <w:p w14:paraId="4D842ED4" w14:textId="12F01C1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Hearing on 2017 Tax Law: Impact on the Budget and American Families: Hearing Before the H. Comm. on Budget</w:t>
      </w:r>
      <w:r w:rsidRPr="00274A60">
        <w:rPr>
          <w:rFonts w:cs="Times New Roman"/>
          <w:sz w:val="22"/>
          <w:szCs w:val="22"/>
        </w:rPr>
        <w:t>, 116th Cong. 42–50 (2019) (statement of Caroline Bruckner, Managing Director, Kogod Tax Policy Center).</w:t>
      </w:r>
    </w:p>
  </w:footnote>
  <w:footnote w:id="105">
    <w:p w14:paraId="5BC400D1" w14:textId="06FEEDA4"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Real-World Effects Prove the GOP Tax Law Was the Wrong Policy at the Wrong Time</w:t>
      </w:r>
      <w:r w:rsidRPr="00274A60">
        <w:rPr>
          <w:rFonts w:cs="Times New Roman"/>
          <w:sz w:val="22"/>
          <w:szCs w:val="22"/>
        </w:rPr>
        <w:t xml:space="preserve">, </w:t>
      </w:r>
      <w:r w:rsidRPr="00274A60">
        <w:rPr>
          <w:rFonts w:cs="Times New Roman"/>
          <w:smallCaps/>
          <w:sz w:val="22"/>
          <w:szCs w:val="22"/>
        </w:rPr>
        <w:t>House Comm</w:t>
      </w:r>
      <w:r w:rsidR="006E6FE3">
        <w:rPr>
          <w:rFonts w:cs="Times New Roman"/>
          <w:smallCaps/>
          <w:sz w:val="22"/>
          <w:szCs w:val="22"/>
        </w:rPr>
        <w:t>.</w:t>
      </w:r>
      <w:r w:rsidRPr="00274A60">
        <w:rPr>
          <w:rFonts w:cs="Times New Roman"/>
          <w:smallCaps/>
          <w:sz w:val="22"/>
          <w:szCs w:val="22"/>
        </w:rPr>
        <w:t xml:space="preserve"> on Budget</w:t>
      </w:r>
      <w:r w:rsidRPr="00274A60">
        <w:rPr>
          <w:rFonts w:cs="Times New Roman"/>
          <w:sz w:val="22"/>
          <w:szCs w:val="22"/>
        </w:rPr>
        <w:t xml:space="preserve"> (Mar. 6, 2019), </w:t>
      </w:r>
      <w:hyperlink r:id="rId7" w:history="1">
        <w:r w:rsidRPr="00274A60">
          <w:rPr>
            <w:rStyle w:val="Hyperlink"/>
            <w:rFonts w:cs="Times New Roman"/>
            <w:sz w:val="22"/>
            <w:szCs w:val="22"/>
          </w:rPr>
          <w:t>https://budget.house.gov/publications/report/real-world-effects-prove-gop-tax-law-was-wrong-policy-wrong-time</w:t>
        </w:r>
      </w:hyperlink>
      <w:r w:rsidRPr="00274A60">
        <w:rPr>
          <w:rFonts w:cs="Times New Roman"/>
          <w:sz w:val="22"/>
          <w:szCs w:val="22"/>
        </w:rPr>
        <w:t>.</w:t>
      </w:r>
    </w:p>
  </w:footnote>
  <w:footnote w:id="106">
    <w:p w14:paraId="29509F39" w14:textId="428EE6D3" w:rsidR="000A7B6C" w:rsidRPr="00176FFE" w:rsidRDefault="000A7B6C" w:rsidP="00274A60">
      <w:pPr>
        <w:pStyle w:val="FootnoteText"/>
        <w:spacing w:line="240" w:lineRule="auto"/>
        <w:rPr>
          <w:rFonts w:cs="Times New Roman"/>
          <w:sz w:val="22"/>
          <w:szCs w:val="22"/>
          <w:lang w:val="pl-PL"/>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Resource: Gender and the Tax Code</w:t>
      </w:r>
      <w:r w:rsidRPr="00274A60">
        <w:rPr>
          <w:rFonts w:cs="Times New Roman"/>
          <w:sz w:val="22"/>
          <w:szCs w:val="22"/>
        </w:rPr>
        <w:t xml:space="preserve">, </w:t>
      </w:r>
      <w:r w:rsidRPr="00274A60">
        <w:rPr>
          <w:rFonts w:cs="Times New Roman"/>
          <w:smallCaps/>
          <w:sz w:val="22"/>
          <w:szCs w:val="22"/>
        </w:rPr>
        <w:t>Nat’l Women’s L. Ctr.</w:t>
      </w:r>
      <w:r w:rsidRPr="00274A60">
        <w:rPr>
          <w:rFonts w:cs="Times New Roman"/>
          <w:sz w:val="22"/>
          <w:szCs w:val="22"/>
        </w:rPr>
        <w:t xml:space="preserve"> (Nov. 13, 2019), </w:t>
      </w:r>
      <w:hyperlink r:id="rId8" w:history="1">
        <w:r w:rsidRPr="00274A60">
          <w:rPr>
            <w:rStyle w:val="Hyperlink"/>
            <w:rFonts w:cs="Times New Roman"/>
            <w:sz w:val="22"/>
            <w:szCs w:val="22"/>
          </w:rPr>
          <w:t>https://nwlc.org/resources/gender-and-the-tax-code/</w:t>
        </w:r>
      </w:hyperlink>
      <w:r w:rsidRPr="00274A60">
        <w:rPr>
          <w:rFonts w:cs="Times New Roman"/>
          <w:sz w:val="22"/>
          <w:szCs w:val="22"/>
        </w:rPr>
        <w:t xml:space="preserve">; Melissa Boteach, </w:t>
      </w:r>
      <w:r w:rsidRPr="00274A60">
        <w:rPr>
          <w:rFonts w:cs="Times New Roman"/>
          <w:i/>
          <w:iCs/>
          <w:sz w:val="22"/>
          <w:szCs w:val="22"/>
        </w:rPr>
        <w:t>Five Reasons We Need to Tax the Patriarchy</w:t>
      </w:r>
      <w:r w:rsidRPr="00274A60">
        <w:rPr>
          <w:rFonts w:cs="Times New Roman"/>
          <w:sz w:val="22"/>
          <w:szCs w:val="22"/>
        </w:rPr>
        <w:t xml:space="preserve">, </w:t>
      </w:r>
      <w:r w:rsidRPr="00274A60">
        <w:rPr>
          <w:rFonts w:cs="Times New Roman"/>
          <w:smallCaps/>
          <w:sz w:val="22"/>
          <w:szCs w:val="22"/>
        </w:rPr>
        <w:t>Nat’l Women’s L. Ctr.</w:t>
      </w:r>
      <w:r w:rsidRPr="00274A60">
        <w:rPr>
          <w:rFonts w:cs="Times New Roman"/>
          <w:sz w:val="22"/>
          <w:szCs w:val="22"/>
        </w:rPr>
        <w:t xml:space="preserve"> </w:t>
      </w:r>
      <w:r w:rsidRPr="00176FFE">
        <w:rPr>
          <w:rFonts w:cs="Times New Roman"/>
          <w:sz w:val="22"/>
          <w:szCs w:val="22"/>
          <w:lang w:val="pl-PL"/>
        </w:rPr>
        <w:t>(Dec. 20, 2019),</w:t>
      </w:r>
      <w:r w:rsidR="00F6341A">
        <w:rPr>
          <w:rFonts w:cs="Times New Roman"/>
          <w:sz w:val="22"/>
          <w:szCs w:val="22"/>
          <w:lang w:val="pl-PL"/>
        </w:rPr>
        <w:t xml:space="preserve"> </w:t>
      </w:r>
      <w:r w:rsidR="0004256F">
        <w:fldChar w:fldCharType="begin"/>
      </w:r>
      <w:r w:rsidR="0004256F" w:rsidRPr="008E2E0D">
        <w:rPr>
          <w:lang w:val="pl-PL"/>
        </w:rPr>
        <w:instrText xml:space="preserve"> HYPERLINK "https://nwlc.org/blog/five-reasons-we-need-to-tax-the-patriarchy" </w:instrText>
      </w:r>
      <w:r w:rsidR="0004256F">
        <w:fldChar w:fldCharType="separate"/>
      </w:r>
      <w:r w:rsidR="00F6341A" w:rsidRPr="00F6341A">
        <w:rPr>
          <w:rStyle w:val="Hyperlink"/>
          <w:rFonts w:cs="Times New Roman"/>
          <w:sz w:val="22"/>
          <w:szCs w:val="22"/>
          <w:lang w:val="pl-PL"/>
        </w:rPr>
        <w:t>https://nwlc.org/blog/five-reasons-we-need-to-tax-the-patriarchy/</w:t>
      </w:r>
      <w:r w:rsidR="0004256F">
        <w:rPr>
          <w:rStyle w:val="Hyperlink"/>
          <w:rFonts w:cs="Times New Roman"/>
          <w:sz w:val="22"/>
          <w:szCs w:val="22"/>
          <w:lang w:val="pl-PL"/>
        </w:rPr>
        <w:fldChar w:fldCharType="end"/>
      </w:r>
      <w:r w:rsidR="00F6341A">
        <w:rPr>
          <w:rFonts w:cs="Times New Roman"/>
          <w:sz w:val="22"/>
          <w:szCs w:val="22"/>
          <w:lang w:val="pl-PL"/>
        </w:rPr>
        <w:t>.</w:t>
      </w:r>
    </w:p>
  </w:footnote>
  <w:footnote w:id="107">
    <w:p w14:paraId="45B2DA0A" w14:textId="7F3A0D02"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 xml:space="preserve">Ariel </w:t>
      </w:r>
      <w:proofErr w:type="spellStart"/>
      <w:r w:rsidRPr="00274A60">
        <w:rPr>
          <w:rFonts w:cs="Times New Roman"/>
          <w:smallCaps/>
          <w:sz w:val="22"/>
          <w:szCs w:val="22"/>
        </w:rPr>
        <w:t>Jurow</w:t>
      </w:r>
      <w:proofErr w:type="spellEnd"/>
      <w:r w:rsidRPr="00274A60">
        <w:rPr>
          <w:rFonts w:cs="Times New Roman"/>
          <w:smallCaps/>
          <w:sz w:val="22"/>
          <w:szCs w:val="22"/>
        </w:rPr>
        <w:t xml:space="preserve"> Kleiman et al., Nat’l Women’s Law Ctr., The Faulty Foundations of the Code: Gender and Racial Bias in Our Tax Laws</w:t>
      </w:r>
      <w:r w:rsidRPr="00274A60">
        <w:rPr>
          <w:rFonts w:cs="Times New Roman"/>
          <w:sz w:val="22"/>
          <w:szCs w:val="22"/>
        </w:rPr>
        <w:t xml:space="preserve"> (2019), </w:t>
      </w:r>
      <w:hyperlink r:id="rId9" w:history="1">
        <w:r w:rsidRPr="00274A60">
          <w:rPr>
            <w:rStyle w:val="Hyperlink"/>
            <w:rFonts w:cs="Times New Roman"/>
            <w:sz w:val="22"/>
            <w:szCs w:val="22"/>
          </w:rPr>
          <w:t>https://nwlc-ciw49tixgw5lbab.stackpathdns.com/wp-content/uploads/2019/11/NWLC-The-Faulty-Foundations-of-the-Tax-Code-Accessible-FINAL.pdf</w:t>
        </w:r>
      </w:hyperlink>
      <w:r w:rsidRPr="00274A60">
        <w:rPr>
          <w:rFonts w:cs="Times New Roman"/>
          <w:sz w:val="22"/>
          <w:szCs w:val="22"/>
        </w:rPr>
        <w:t>.</w:t>
      </w:r>
    </w:p>
  </w:footnote>
  <w:footnote w:id="108">
    <w:p w14:paraId="229D52EB" w14:textId="7111F63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Katy Milani et al., Nat’l Women’s Law Ctr., Reckoning with the Hidden Rules of Gender in the Tax Code: How Low Taxes on Corporations and the Wealthy Impact Women’s Economic Opportunity and Security</w:t>
      </w:r>
      <w:r w:rsidRPr="00274A60">
        <w:rPr>
          <w:rFonts w:cs="Times New Roman"/>
          <w:sz w:val="22"/>
          <w:szCs w:val="22"/>
        </w:rPr>
        <w:t xml:space="preserve"> (2019), </w:t>
      </w:r>
      <w:hyperlink r:id="rId10" w:history="1">
        <w:r w:rsidRPr="00274A60">
          <w:rPr>
            <w:rStyle w:val="Hyperlink"/>
            <w:rFonts w:cs="Times New Roman"/>
            <w:sz w:val="22"/>
            <w:szCs w:val="22"/>
          </w:rPr>
          <w:t>https://nwlc-ciw49tixgw5lbab.stackpathdns.com/wp-content/uploads/2019/11/NWLC-ReckoningTheHiddenRules-accessibleNov12.pdf</w:t>
        </w:r>
      </w:hyperlink>
      <w:r w:rsidRPr="00274A60">
        <w:rPr>
          <w:rFonts w:cs="Times New Roman"/>
          <w:sz w:val="22"/>
          <w:szCs w:val="22"/>
        </w:rPr>
        <w:t>.</w:t>
      </w:r>
    </w:p>
  </w:footnote>
  <w:footnote w:id="109">
    <w:p w14:paraId="2B05640A" w14:textId="591EA85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Melissa Boteach et al., Nat’l Women’s Law Ctr., A Tax Code for the Rest of Us: A Framework &amp; Recommendations for Advancing Gender &amp; Racial Equality Through Tax Credits</w:t>
      </w:r>
      <w:r w:rsidRPr="00274A60">
        <w:rPr>
          <w:rFonts w:cs="Times New Roman"/>
          <w:sz w:val="22"/>
          <w:szCs w:val="22"/>
        </w:rPr>
        <w:t xml:space="preserve"> (2019), </w:t>
      </w:r>
      <w:hyperlink r:id="rId11" w:history="1">
        <w:r w:rsidRPr="00274A60">
          <w:rPr>
            <w:rStyle w:val="Hyperlink"/>
            <w:rFonts w:cs="Times New Roman"/>
            <w:sz w:val="22"/>
            <w:szCs w:val="22"/>
          </w:rPr>
          <w:t>https://nwlc-ciw49tixgw5lbab.stackpathdns.com/wp-content/uploads/2019/11/NWLC-GCPI-Tax-Code-for-the-Rest-of-Us-Nov14.pdf</w:t>
        </w:r>
      </w:hyperlink>
      <w:r w:rsidRPr="00274A60">
        <w:rPr>
          <w:rFonts w:cs="Times New Roman"/>
          <w:sz w:val="22"/>
          <w:szCs w:val="22"/>
        </w:rPr>
        <w:t>.</w:t>
      </w:r>
    </w:p>
  </w:footnote>
  <w:footnote w:id="110">
    <w:p w14:paraId="7F8112C1" w14:textId="36CFF69C"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Andrew </w:t>
      </w:r>
      <w:proofErr w:type="spellStart"/>
      <w:r w:rsidRPr="00274A60">
        <w:rPr>
          <w:rFonts w:cs="Times New Roman"/>
          <w:sz w:val="22"/>
          <w:szCs w:val="22"/>
        </w:rPr>
        <w:t>Keshner</w:t>
      </w:r>
      <w:proofErr w:type="spellEnd"/>
      <w:r w:rsidRPr="00274A60">
        <w:rPr>
          <w:rFonts w:cs="Times New Roman"/>
          <w:sz w:val="22"/>
          <w:szCs w:val="22"/>
        </w:rPr>
        <w:t xml:space="preserve">, </w:t>
      </w:r>
      <w:r w:rsidRPr="00274A60">
        <w:rPr>
          <w:rFonts w:cs="Times New Roman"/>
          <w:i/>
          <w:iCs/>
          <w:sz w:val="22"/>
          <w:szCs w:val="22"/>
        </w:rPr>
        <w:t>Tax Rules Have Been Largely Written by Rich, White Men—And It Shows, Researchers Say</w:t>
      </w:r>
      <w:r w:rsidRPr="00274A60">
        <w:rPr>
          <w:rFonts w:cs="Times New Roman"/>
          <w:sz w:val="22"/>
          <w:szCs w:val="22"/>
        </w:rPr>
        <w:t xml:space="preserve">, </w:t>
      </w:r>
      <w:r w:rsidRPr="00274A60">
        <w:rPr>
          <w:rFonts w:cs="Times New Roman"/>
          <w:smallCaps/>
          <w:sz w:val="22"/>
          <w:szCs w:val="22"/>
        </w:rPr>
        <w:t>MarketWatch</w:t>
      </w:r>
      <w:r w:rsidRPr="00274A60">
        <w:rPr>
          <w:rFonts w:cs="Times New Roman"/>
          <w:sz w:val="22"/>
          <w:szCs w:val="22"/>
        </w:rPr>
        <w:t xml:space="preserve"> (Nov. 18, 2019), </w:t>
      </w:r>
      <w:hyperlink r:id="rId12" w:history="1">
        <w:r w:rsidRPr="00274A60">
          <w:rPr>
            <w:rStyle w:val="Hyperlink"/>
            <w:rFonts w:cs="Times New Roman"/>
            <w:sz w:val="22"/>
            <w:szCs w:val="22"/>
          </w:rPr>
          <w:t>https://www.marketwatch.com/story/3-ways-the-tax-code-can-burden-women-and-the-poor-while-helping-out-wealthy-men-2019-11-15</w:t>
        </w:r>
      </w:hyperlink>
      <w:r w:rsidRPr="00274A60">
        <w:rPr>
          <w:rFonts w:cs="Times New Roman"/>
          <w:sz w:val="22"/>
          <w:szCs w:val="22"/>
        </w:rPr>
        <w:t xml:space="preserve">; Annie Lowrey, </w:t>
      </w:r>
      <w:r w:rsidRPr="00274A60">
        <w:rPr>
          <w:rFonts w:cs="Times New Roman"/>
          <w:i/>
          <w:iCs/>
          <w:sz w:val="22"/>
          <w:szCs w:val="22"/>
        </w:rPr>
        <w:t xml:space="preserve">Tax </w:t>
      </w:r>
      <w:r w:rsidR="007B0118">
        <w:rPr>
          <w:rFonts w:cs="Times New Roman"/>
          <w:i/>
          <w:iCs/>
          <w:sz w:val="22"/>
          <w:szCs w:val="22"/>
        </w:rPr>
        <w:t>t</w:t>
      </w:r>
      <w:r w:rsidRPr="00274A60">
        <w:rPr>
          <w:rFonts w:cs="Times New Roman"/>
          <w:i/>
          <w:iCs/>
          <w:sz w:val="22"/>
          <w:szCs w:val="22"/>
        </w:rPr>
        <w:t>he Patriarchy</w:t>
      </w:r>
      <w:r w:rsidRPr="00274A60">
        <w:rPr>
          <w:rFonts w:cs="Times New Roman"/>
          <w:sz w:val="22"/>
          <w:szCs w:val="22"/>
        </w:rPr>
        <w:t xml:space="preserve">, </w:t>
      </w:r>
      <w:r w:rsidRPr="00274A60">
        <w:rPr>
          <w:rFonts w:cs="Times New Roman"/>
          <w:smallCaps/>
          <w:sz w:val="22"/>
          <w:szCs w:val="22"/>
        </w:rPr>
        <w:t>Atlantic</w:t>
      </w:r>
      <w:r w:rsidRPr="00274A60">
        <w:rPr>
          <w:rFonts w:cs="Times New Roman"/>
          <w:sz w:val="22"/>
          <w:szCs w:val="22"/>
        </w:rPr>
        <w:t xml:space="preserve"> (Nov. 13, 2019), </w:t>
      </w:r>
      <w:hyperlink r:id="rId13" w:history="1">
        <w:r w:rsidRPr="00274A60">
          <w:rPr>
            <w:rStyle w:val="Hyperlink"/>
            <w:rFonts w:cs="Times New Roman"/>
            <w:sz w:val="22"/>
            <w:szCs w:val="22"/>
          </w:rPr>
          <w:t>https://www.theatlantic.com/ideas/archive/2019/11/tax-patriarchy/601864/</w:t>
        </w:r>
      </w:hyperlink>
      <w:r w:rsidRPr="00274A60">
        <w:rPr>
          <w:rFonts w:cs="Times New Roman"/>
          <w:sz w:val="22"/>
          <w:szCs w:val="22"/>
        </w:rPr>
        <w:t xml:space="preserve">; Maura Quint, </w:t>
      </w:r>
      <w:r w:rsidRPr="00274A60">
        <w:rPr>
          <w:rFonts w:cs="Times New Roman"/>
          <w:i/>
          <w:iCs/>
          <w:sz w:val="22"/>
          <w:szCs w:val="22"/>
        </w:rPr>
        <w:t>Taxes Are a “Women’s Issue,” Too</w:t>
      </w:r>
      <w:r w:rsidRPr="00274A60">
        <w:rPr>
          <w:rFonts w:cs="Times New Roman"/>
          <w:sz w:val="22"/>
          <w:szCs w:val="22"/>
        </w:rPr>
        <w:t xml:space="preserve">, </w:t>
      </w:r>
      <w:r w:rsidRPr="00274A60">
        <w:rPr>
          <w:rFonts w:cs="Times New Roman"/>
          <w:smallCaps/>
          <w:sz w:val="22"/>
          <w:szCs w:val="22"/>
        </w:rPr>
        <w:t>Ms.</w:t>
      </w:r>
      <w:r w:rsidRPr="00274A60">
        <w:rPr>
          <w:rFonts w:cs="Times New Roman"/>
          <w:sz w:val="22"/>
          <w:szCs w:val="22"/>
        </w:rPr>
        <w:t xml:space="preserve"> (Nov. 21, 2019), </w:t>
      </w:r>
      <w:hyperlink r:id="rId14" w:history="1">
        <w:r w:rsidRPr="00274A60">
          <w:rPr>
            <w:rStyle w:val="Hyperlink"/>
            <w:rFonts w:cs="Times New Roman"/>
            <w:sz w:val="22"/>
            <w:szCs w:val="22"/>
          </w:rPr>
          <w:t>https://msmagazine.com/2019/11/21/taxes-are-a-womens-issue-too/</w:t>
        </w:r>
      </w:hyperlink>
      <w:r w:rsidRPr="00274A60">
        <w:rPr>
          <w:rFonts w:cs="Times New Roman"/>
          <w:sz w:val="22"/>
          <w:szCs w:val="22"/>
        </w:rPr>
        <w:t>.</w:t>
      </w:r>
    </w:p>
  </w:footnote>
  <w:footnote w:id="111">
    <w:p w14:paraId="3A20AB66" w14:textId="2EB286AE" w:rsidR="000A7B6C" w:rsidRPr="00274A60" w:rsidRDefault="000A7B6C" w:rsidP="002073EF">
      <w:pPr>
        <w:rPr>
          <w:sz w:val="22"/>
          <w:szCs w:val="22"/>
        </w:rPr>
      </w:pPr>
      <w:r w:rsidRPr="00274A60">
        <w:rPr>
          <w:sz w:val="22"/>
          <w:szCs w:val="22"/>
          <w:vertAlign w:val="superscript"/>
        </w:rPr>
        <w:footnoteRef/>
      </w:r>
      <w:r w:rsidRPr="00274A60">
        <w:rPr>
          <w:sz w:val="22"/>
          <w:szCs w:val="22"/>
        </w:rPr>
        <w:t xml:space="preserve"> Anna Maltby, </w:t>
      </w:r>
      <w:r w:rsidRPr="00274A60">
        <w:rPr>
          <w:i/>
          <w:sz w:val="22"/>
          <w:szCs w:val="22"/>
        </w:rPr>
        <w:t>The 8 Greatest Menstrual Moments of 2015</w:t>
      </w:r>
      <w:r w:rsidRPr="00274A60">
        <w:rPr>
          <w:sz w:val="22"/>
          <w:szCs w:val="22"/>
        </w:rPr>
        <w:t xml:space="preserve">, </w:t>
      </w:r>
      <w:r w:rsidRPr="00274A60">
        <w:rPr>
          <w:smallCaps/>
          <w:sz w:val="22"/>
          <w:szCs w:val="22"/>
        </w:rPr>
        <w:t>Cosmopolitan</w:t>
      </w:r>
      <w:r w:rsidRPr="00274A60">
        <w:rPr>
          <w:sz w:val="22"/>
          <w:szCs w:val="22"/>
        </w:rPr>
        <w:t xml:space="preserve"> (Oct. 13, 2015), </w:t>
      </w:r>
      <w:hyperlink r:id="rId15" w:history="1">
        <w:r w:rsidRPr="002073EF">
          <w:rPr>
            <w:rStyle w:val="Hyperlink"/>
            <w:sz w:val="22"/>
            <w:szCs w:val="22"/>
          </w:rPr>
          <w:t>https://www.cosmopolitan.com/health-fitness/news/a47609/2015-the-year-the-period-went-public</w:t>
        </w:r>
      </w:hyperlink>
      <w:r w:rsidRPr="00274A60">
        <w:rPr>
          <w:sz w:val="22"/>
          <w:szCs w:val="22"/>
        </w:rPr>
        <w:t>.</w:t>
      </w:r>
    </w:p>
  </w:footnote>
  <w:footnote w:id="112">
    <w:p w14:paraId="125C2B1E" w14:textId="4713DFFD"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No Tax on Tampons: Stop Taxing Our Periods! Period.</w:t>
      </w:r>
      <w:r w:rsidRPr="00274A60">
        <w:rPr>
          <w:rFonts w:cs="Times New Roman"/>
          <w:sz w:val="22"/>
          <w:szCs w:val="22"/>
        </w:rPr>
        <w:t xml:space="preserve">, </w:t>
      </w:r>
      <w:r w:rsidRPr="00274A60">
        <w:rPr>
          <w:rFonts w:cs="Times New Roman"/>
          <w:smallCaps/>
          <w:sz w:val="22"/>
          <w:szCs w:val="22"/>
        </w:rPr>
        <w:t>Change.org</w:t>
      </w:r>
      <w:r w:rsidRPr="00274A60">
        <w:rPr>
          <w:rFonts w:cs="Times New Roman"/>
          <w:sz w:val="22"/>
          <w:szCs w:val="22"/>
        </w:rPr>
        <w:t xml:space="preserve"> (Oct. 10, 2015), https://www.change.org/p/u-s-state-legislators-stop-taxing-our-periods-period [</w:t>
      </w:r>
      <w:hyperlink r:id="rId16" w:history="1">
        <w:r w:rsidRPr="002073EF">
          <w:rPr>
            <w:rStyle w:val="Hyperlink"/>
            <w:rFonts w:cs="Times New Roman"/>
            <w:sz w:val="22"/>
            <w:szCs w:val="22"/>
          </w:rPr>
          <w:t>https://perma.cc/D38W-DR4G</w:t>
        </w:r>
      </w:hyperlink>
      <w:r w:rsidRPr="00274A60">
        <w:rPr>
          <w:rFonts w:cs="Times New Roman"/>
          <w:sz w:val="22"/>
          <w:szCs w:val="22"/>
        </w:rPr>
        <w:t xml:space="preserve">]. For a discussion of state sales tax regimes, </w:t>
      </w:r>
      <w:r w:rsidRPr="00274A60">
        <w:rPr>
          <w:rFonts w:cs="Times New Roman"/>
          <w:i/>
          <w:iCs/>
          <w:sz w:val="22"/>
          <w:szCs w:val="22"/>
        </w:rPr>
        <w:t>see</w:t>
      </w:r>
      <w:r w:rsidRPr="00274A60">
        <w:rPr>
          <w:rFonts w:cs="Times New Roman"/>
          <w:sz w:val="22"/>
          <w:szCs w:val="22"/>
        </w:rPr>
        <w:t xml:space="preserve"> Bridget J. Crawford &amp; Emily Gold Waldman, </w:t>
      </w:r>
      <w:r w:rsidRPr="00274A60">
        <w:rPr>
          <w:rFonts w:cs="Times New Roman"/>
          <w:i/>
          <w:iCs/>
          <w:sz w:val="22"/>
          <w:szCs w:val="22"/>
        </w:rPr>
        <w:t>The Unconstitutional Tampon Tax</w:t>
      </w:r>
      <w:r w:rsidRPr="00274A60">
        <w:rPr>
          <w:rFonts w:cs="Times New Roman"/>
          <w:sz w:val="22"/>
          <w:szCs w:val="22"/>
        </w:rPr>
        <w:t xml:space="preserve">, 53 U. </w:t>
      </w:r>
      <w:r w:rsidRPr="00274A60">
        <w:rPr>
          <w:rFonts w:cs="Times New Roman"/>
          <w:smallCaps/>
          <w:sz w:val="22"/>
          <w:szCs w:val="22"/>
        </w:rPr>
        <w:t>Rich. L. Rev.</w:t>
      </w:r>
      <w:r w:rsidRPr="00274A60">
        <w:rPr>
          <w:rFonts w:cs="Times New Roman"/>
          <w:sz w:val="22"/>
          <w:szCs w:val="22"/>
        </w:rPr>
        <w:t xml:space="preserve"> 439, 449–56 (2019).</w:t>
      </w:r>
    </w:p>
  </w:footnote>
  <w:footnote w:id="113">
    <w:p w14:paraId="74EEE72D" w14:textId="78AF760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smallCaps/>
          <w:sz w:val="22"/>
          <w:szCs w:val="22"/>
        </w:rPr>
        <w:t xml:space="preserve">ACLU &amp; Period Equity, The Unequal Price of </w:t>
      </w:r>
      <w:r w:rsidR="00AD7E03">
        <w:rPr>
          <w:rFonts w:cs="Times New Roman"/>
          <w:smallCaps/>
          <w:sz w:val="22"/>
          <w:szCs w:val="22"/>
        </w:rPr>
        <w:t xml:space="preserve">Periods: </w:t>
      </w:r>
      <w:r w:rsidRPr="00274A60">
        <w:rPr>
          <w:rFonts w:cs="Times New Roman"/>
          <w:smallCaps/>
          <w:sz w:val="22"/>
          <w:szCs w:val="22"/>
        </w:rPr>
        <w:t>Menstrual Equity in the United States</w:t>
      </w:r>
      <w:r w:rsidRPr="00274A60">
        <w:rPr>
          <w:rFonts w:cs="Times New Roman"/>
          <w:sz w:val="22"/>
          <w:szCs w:val="22"/>
        </w:rPr>
        <w:t xml:space="preserve"> (2019), </w:t>
      </w:r>
      <w:hyperlink r:id="rId17" w:history="1">
        <w:r w:rsidRPr="002073EF">
          <w:rPr>
            <w:rStyle w:val="Hyperlink"/>
            <w:rFonts w:cs="Times New Roman"/>
            <w:sz w:val="22"/>
            <w:szCs w:val="22"/>
          </w:rPr>
          <w:t>https://www.aclu.org/report/unequal-price-periods</w:t>
        </w:r>
      </w:hyperlink>
      <w:r w:rsidRPr="00274A60">
        <w:rPr>
          <w:rFonts w:cs="Times New Roman"/>
          <w:sz w:val="22"/>
          <w:szCs w:val="22"/>
        </w:rPr>
        <w:t xml:space="preserve">; </w:t>
      </w:r>
      <w:r w:rsidRPr="00274A60">
        <w:rPr>
          <w:rFonts w:cs="Times New Roman"/>
          <w:smallCaps/>
          <w:sz w:val="22"/>
          <w:szCs w:val="22"/>
        </w:rPr>
        <w:t>ACLU Nat’l Prison Project &amp; Period Equity, Menstrual Equity: A Legislative Toolkit</w:t>
      </w:r>
      <w:r w:rsidRPr="00274A60">
        <w:rPr>
          <w:rFonts w:cs="Times New Roman"/>
          <w:sz w:val="22"/>
          <w:szCs w:val="22"/>
        </w:rPr>
        <w:t xml:space="preserve"> (2019), </w:t>
      </w:r>
      <w:hyperlink r:id="rId18" w:history="1">
        <w:r w:rsidRPr="00BA28BE">
          <w:rPr>
            <w:rStyle w:val="Hyperlink"/>
            <w:rFonts w:cs="Times New Roman"/>
            <w:sz w:val="22"/>
            <w:szCs w:val="22"/>
          </w:rPr>
          <w:t>https://www.aclu.org/report/menstrual-equity</w:t>
        </w:r>
      </w:hyperlink>
      <w:r w:rsidRPr="00274A60">
        <w:rPr>
          <w:rFonts w:cs="Times New Roman"/>
          <w:sz w:val="22"/>
          <w:szCs w:val="22"/>
        </w:rPr>
        <w:t>.</w:t>
      </w:r>
    </w:p>
  </w:footnote>
  <w:footnote w:id="114">
    <w:p w14:paraId="0C279BEB" w14:textId="7DEEA826"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See, e.g.,</w:t>
      </w:r>
      <w:r w:rsidRPr="00274A60">
        <w:rPr>
          <w:rFonts w:cs="Times New Roman"/>
          <w:sz w:val="22"/>
          <w:szCs w:val="22"/>
        </w:rPr>
        <w:t xml:space="preserve"> Ewan Palmer, </w:t>
      </w:r>
      <w:r w:rsidRPr="00274A60">
        <w:rPr>
          <w:rFonts w:cs="Times New Roman"/>
          <w:i/>
          <w:iCs/>
          <w:sz w:val="22"/>
          <w:szCs w:val="22"/>
        </w:rPr>
        <w:t>What Is the “Pink Tax?” New York Lawmakers Could Soon End Discriminatory Pricing of Women’s Products</w:t>
      </w:r>
      <w:r w:rsidRPr="00274A60">
        <w:rPr>
          <w:rFonts w:cs="Times New Roman"/>
          <w:sz w:val="22"/>
          <w:szCs w:val="22"/>
        </w:rPr>
        <w:t xml:space="preserve">, </w:t>
      </w:r>
      <w:r w:rsidRPr="00274A60">
        <w:rPr>
          <w:rFonts w:cs="Times New Roman"/>
          <w:smallCaps/>
          <w:sz w:val="22"/>
          <w:szCs w:val="22"/>
        </w:rPr>
        <w:t>Newsweek</w:t>
      </w:r>
      <w:r w:rsidRPr="00274A60">
        <w:rPr>
          <w:rFonts w:cs="Times New Roman"/>
          <w:sz w:val="22"/>
          <w:szCs w:val="22"/>
        </w:rPr>
        <w:t xml:space="preserve"> (June 10, 2019), </w:t>
      </w:r>
      <w:hyperlink r:id="rId19" w:history="1">
        <w:r w:rsidRPr="00274A60">
          <w:rPr>
            <w:rStyle w:val="Hyperlink"/>
            <w:rFonts w:cs="Times New Roman"/>
            <w:sz w:val="22"/>
            <w:szCs w:val="22"/>
          </w:rPr>
          <w:t>https://www.newsweek.com/new-york-pink-tax-pricing-women-products-1443149</w:t>
        </w:r>
      </w:hyperlink>
      <w:r w:rsidRPr="00274A60">
        <w:rPr>
          <w:rFonts w:cs="Times New Roman"/>
          <w:sz w:val="22"/>
          <w:szCs w:val="22"/>
        </w:rPr>
        <w:t xml:space="preserve">; Press Release, Congresswoman Carolyn B. Maloney, Earn Less, Pay More: The State of the Gender Pay Gap and “Pink Tax” in 2018, </w:t>
      </w:r>
      <w:hyperlink r:id="rId20" w:history="1">
        <w:r w:rsidRPr="001566B5">
          <w:rPr>
            <w:rStyle w:val="Hyperlink"/>
            <w:rFonts w:cs="Times New Roman"/>
            <w:sz w:val="22"/>
            <w:szCs w:val="22"/>
          </w:rPr>
          <w:t>https://maloney.house.gov/sites/maloney.house.gov/files/Pink%20Tax%20report%20FINAL.pdf</w:t>
        </w:r>
      </w:hyperlink>
      <w:r w:rsidRPr="00274A60">
        <w:rPr>
          <w:rFonts w:cs="Times New Roman"/>
          <w:sz w:val="22"/>
          <w:szCs w:val="22"/>
        </w:rPr>
        <w:t>.</w:t>
      </w:r>
    </w:p>
  </w:footnote>
  <w:footnote w:id="115">
    <w:p w14:paraId="66952F81" w14:textId="476393E1"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Press Release, Governor Andrew M. Cuomo, Governor Cuomo Unveils Tenth Proposal of 2020, State of the State: Eliminating the Pink Tax (Dec. 22, 2019), </w:t>
      </w:r>
      <w:hyperlink r:id="rId21" w:history="1">
        <w:r w:rsidRPr="00F76EF5">
          <w:rPr>
            <w:rStyle w:val="Hyperlink"/>
            <w:rFonts w:cs="Times New Roman"/>
            <w:sz w:val="22"/>
            <w:szCs w:val="22"/>
          </w:rPr>
          <w:t>https://www.governor.ny.gov/news/governor-cuomo-unveils-10th-proposal-2020-state-state-eliminating-pink-tax</w:t>
        </w:r>
      </w:hyperlink>
      <w:r w:rsidRPr="00274A60">
        <w:rPr>
          <w:rFonts w:cs="Times New Roman"/>
          <w:sz w:val="22"/>
          <w:szCs w:val="22"/>
        </w:rPr>
        <w:t>.</w:t>
      </w:r>
    </w:p>
  </w:footnote>
  <w:footnote w:id="116">
    <w:p w14:paraId="20F10780" w14:textId="6E6E73B4" w:rsidR="00617CED" w:rsidRPr="007D2DDF" w:rsidRDefault="00617CED" w:rsidP="007D2DDF">
      <w:pPr>
        <w:pStyle w:val="FootnoteText"/>
        <w:spacing w:line="240" w:lineRule="auto"/>
        <w:rPr>
          <w:sz w:val="22"/>
          <w:szCs w:val="22"/>
        </w:rPr>
      </w:pPr>
      <w:r w:rsidRPr="007D2DDF">
        <w:rPr>
          <w:rStyle w:val="FootnoteReference"/>
          <w:sz w:val="22"/>
          <w:szCs w:val="22"/>
        </w:rPr>
        <w:footnoteRef/>
      </w:r>
      <w:r w:rsidRPr="007D2DDF">
        <w:rPr>
          <w:sz w:val="22"/>
          <w:szCs w:val="22"/>
        </w:rPr>
        <w:t xml:space="preserve"> </w:t>
      </w:r>
      <w:r w:rsidRPr="007D2DDF">
        <w:rPr>
          <w:i/>
          <w:iCs/>
          <w:sz w:val="22"/>
          <w:szCs w:val="22"/>
        </w:rPr>
        <w:t>See generally</w:t>
      </w:r>
      <w:r w:rsidRPr="007D2DDF">
        <w:rPr>
          <w:sz w:val="22"/>
          <w:szCs w:val="22"/>
        </w:rPr>
        <w:t xml:space="preserve"> Infanti, </w:t>
      </w:r>
      <w:r w:rsidRPr="007D2DDF">
        <w:rPr>
          <w:i/>
          <w:iCs/>
          <w:sz w:val="22"/>
          <w:szCs w:val="22"/>
        </w:rPr>
        <w:t>supra</w:t>
      </w:r>
      <w:r w:rsidRPr="007D2DDF">
        <w:rPr>
          <w:sz w:val="22"/>
          <w:szCs w:val="22"/>
        </w:rPr>
        <w:t xml:space="preserve"> note </w:t>
      </w:r>
      <w:r w:rsidRPr="007D2DDF">
        <w:rPr>
          <w:sz w:val="22"/>
          <w:szCs w:val="22"/>
        </w:rPr>
        <w:fldChar w:fldCharType="begin"/>
      </w:r>
      <w:r w:rsidRPr="007D2DDF">
        <w:rPr>
          <w:sz w:val="22"/>
          <w:szCs w:val="22"/>
        </w:rPr>
        <w:instrText xml:space="preserve"> NOTEREF _Ref43131662 \h </w:instrText>
      </w:r>
      <w:r>
        <w:rPr>
          <w:sz w:val="22"/>
          <w:szCs w:val="22"/>
        </w:rPr>
        <w:instrText xml:space="preserve"> \* MERGEFORMAT </w:instrText>
      </w:r>
      <w:r w:rsidRPr="007D2DDF">
        <w:rPr>
          <w:sz w:val="22"/>
          <w:szCs w:val="22"/>
        </w:rPr>
      </w:r>
      <w:r w:rsidRPr="007D2DDF">
        <w:rPr>
          <w:sz w:val="22"/>
          <w:szCs w:val="22"/>
        </w:rPr>
        <w:fldChar w:fldCharType="separate"/>
      </w:r>
      <w:r w:rsidR="00C0563E">
        <w:rPr>
          <w:sz w:val="22"/>
          <w:szCs w:val="22"/>
        </w:rPr>
        <w:t>77</w:t>
      </w:r>
      <w:r w:rsidRPr="007D2DDF">
        <w:rPr>
          <w:sz w:val="22"/>
          <w:szCs w:val="22"/>
        </w:rPr>
        <w:fldChar w:fldCharType="end"/>
      </w:r>
      <w:r w:rsidRPr="007D2DDF">
        <w:rPr>
          <w:sz w:val="22"/>
          <w:szCs w:val="22"/>
        </w:rPr>
        <w:t>.</w:t>
      </w:r>
    </w:p>
  </w:footnote>
  <w:footnote w:id="117">
    <w:p w14:paraId="07FC14D5" w14:textId="72726DA8"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Livingston, </w:t>
      </w:r>
      <w:r w:rsidRPr="00274A60">
        <w:rPr>
          <w:rFonts w:cs="Times New Roman"/>
          <w:i/>
          <w:iCs/>
          <w:sz w:val="22"/>
          <w:szCs w:val="22"/>
        </w:rPr>
        <w:t>supra</w:t>
      </w:r>
      <w:r w:rsidRPr="00274A60">
        <w:rPr>
          <w:rFonts w:cs="Times New Roman"/>
          <w:sz w:val="22"/>
          <w:szCs w:val="22"/>
        </w:rPr>
        <w:t xml:space="preserve"> note </w:t>
      </w:r>
      <w:r w:rsidRPr="00274A60">
        <w:rPr>
          <w:rFonts w:cs="Times New Roman"/>
          <w:sz w:val="22"/>
          <w:szCs w:val="22"/>
        </w:rPr>
        <w:fldChar w:fldCharType="begin"/>
      </w:r>
      <w:r w:rsidRPr="00274A60">
        <w:rPr>
          <w:rFonts w:cs="Times New Roman"/>
          <w:sz w:val="22"/>
          <w:szCs w:val="22"/>
        </w:rPr>
        <w:instrText xml:space="preserve"> NOTEREF _Ref27808269 \h  \* MERGEFORMAT </w:instrText>
      </w:r>
      <w:r w:rsidRPr="00274A60">
        <w:rPr>
          <w:rFonts w:cs="Times New Roman"/>
          <w:sz w:val="22"/>
          <w:szCs w:val="22"/>
        </w:rPr>
      </w:r>
      <w:r w:rsidRPr="00274A60">
        <w:rPr>
          <w:rFonts w:cs="Times New Roman"/>
          <w:sz w:val="22"/>
          <w:szCs w:val="22"/>
        </w:rPr>
        <w:fldChar w:fldCharType="separate"/>
      </w:r>
      <w:r w:rsidR="00C0563E">
        <w:rPr>
          <w:rFonts w:cs="Times New Roman"/>
          <w:sz w:val="22"/>
          <w:szCs w:val="22"/>
        </w:rPr>
        <w:t>85</w:t>
      </w:r>
      <w:r w:rsidRPr="00274A60">
        <w:rPr>
          <w:rFonts w:cs="Times New Roman"/>
          <w:sz w:val="22"/>
          <w:szCs w:val="22"/>
        </w:rPr>
        <w:fldChar w:fldCharType="end"/>
      </w:r>
      <w:r w:rsidRPr="00274A60">
        <w:rPr>
          <w:rFonts w:cs="Times New Roman"/>
          <w:sz w:val="22"/>
          <w:szCs w:val="22"/>
        </w:rPr>
        <w:t>, at 336–37.</w:t>
      </w:r>
    </w:p>
  </w:footnote>
  <w:footnote w:id="118">
    <w:p w14:paraId="50971751" w14:textId="13EBCAFE" w:rsidR="000A7B6C" w:rsidRPr="00274A60" w:rsidRDefault="000A7B6C" w:rsidP="00274A60">
      <w:pPr>
        <w:pStyle w:val="FootnoteText"/>
        <w:spacing w:line="240" w:lineRule="auto"/>
        <w:rPr>
          <w:rFonts w:cs="Times New Roman"/>
          <w:sz w:val="22"/>
          <w:szCs w:val="22"/>
        </w:rPr>
      </w:pPr>
      <w:r w:rsidRPr="00274A60">
        <w:rPr>
          <w:rStyle w:val="FootnoteReference"/>
          <w:rFonts w:cs="Times New Roman"/>
          <w:sz w:val="22"/>
          <w:szCs w:val="22"/>
        </w:rPr>
        <w:footnoteRef/>
      </w:r>
      <w:r w:rsidRPr="00274A60">
        <w:rPr>
          <w:rFonts w:cs="Times New Roman"/>
          <w:sz w:val="22"/>
          <w:szCs w:val="22"/>
        </w:rPr>
        <w:t xml:space="preserve"> </w:t>
      </w:r>
      <w:r w:rsidRPr="00274A60">
        <w:rPr>
          <w:rFonts w:cs="Times New Roman"/>
          <w:i/>
          <w:iCs/>
          <w:sz w:val="22"/>
          <w:szCs w:val="22"/>
        </w:rPr>
        <w:t>Id.</w:t>
      </w:r>
      <w:r w:rsidRPr="00274A60">
        <w:rPr>
          <w:rFonts w:cs="Times New Roman"/>
          <w:sz w:val="22"/>
          <w:szCs w:val="22"/>
        </w:rPr>
        <w:t xml:space="preserve"> at 337.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activeWritingStyle w:appName="MSWord" w:lang="es-ES"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5C3"/>
    <w:rsid w:val="00000046"/>
    <w:rsid w:val="00000FBB"/>
    <w:rsid w:val="00003E64"/>
    <w:rsid w:val="00006DDF"/>
    <w:rsid w:val="00010685"/>
    <w:rsid w:val="00011994"/>
    <w:rsid w:val="00012882"/>
    <w:rsid w:val="000138C6"/>
    <w:rsid w:val="00013F01"/>
    <w:rsid w:val="0001564C"/>
    <w:rsid w:val="00015A7F"/>
    <w:rsid w:val="0002202E"/>
    <w:rsid w:val="00025920"/>
    <w:rsid w:val="00025A64"/>
    <w:rsid w:val="0002748D"/>
    <w:rsid w:val="00034FBA"/>
    <w:rsid w:val="0003794D"/>
    <w:rsid w:val="00037D2D"/>
    <w:rsid w:val="000407FF"/>
    <w:rsid w:val="00041FCF"/>
    <w:rsid w:val="0004256F"/>
    <w:rsid w:val="0004380B"/>
    <w:rsid w:val="00045392"/>
    <w:rsid w:val="00045519"/>
    <w:rsid w:val="00045798"/>
    <w:rsid w:val="0004781A"/>
    <w:rsid w:val="00050C64"/>
    <w:rsid w:val="00051018"/>
    <w:rsid w:val="00051E48"/>
    <w:rsid w:val="00051FE1"/>
    <w:rsid w:val="00052CAF"/>
    <w:rsid w:val="0005462A"/>
    <w:rsid w:val="000556BA"/>
    <w:rsid w:val="000575EB"/>
    <w:rsid w:val="000621B1"/>
    <w:rsid w:val="00066CCE"/>
    <w:rsid w:val="0007406C"/>
    <w:rsid w:val="00075318"/>
    <w:rsid w:val="00076072"/>
    <w:rsid w:val="000769A2"/>
    <w:rsid w:val="00083857"/>
    <w:rsid w:val="00083ED2"/>
    <w:rsid w:val="00084AA4"/>
    <w:rsid w:val="00090163"/>
    <w:rsid w:val="000925AC"/>
    <w:rsid w:val="00093905"/>
    <w:rsid w:val="00096941"/>
    <w:rsid w:val="00097B03"/>
    <w:rsid w:val="000A3208"/>
    <w:rsid w:val="000A56EC"/>
    <w:rsid w:val="000A6729"/>
    <w:rsid w:val="000A792D"/>
    <w:rsid w:val="000A7B6C"/>
    <w:rsid w:val="000A7FEE"/>
    <w:rsid w:val="000B1784"/>
    <w:rsid w:val="000B4C83"/>
    <w:rsid w:val="000B4E2F"/>
    <w:rsid w:val="000B4E4A"/>
    <w:rsid w:val="000C00E9"/>
    <w:rsid w:val="000C165A"/>
    <w:rsid w:val="000C1A0B"/>
    <w:rsid w:val="000C27A9"/>
    <w:rsid w:val="000C2DC3"/>
    <w:rsid w:val="000C6FE1"/>
    <w:rsid w:val="000C78E7"/>
    <w:rsid w:val="000D048E"/>
    <w:rsid w:val="000D3D8E"/>
    <w:rsid w:val="000D73D3"/>
    <w:rsid w:val="000E2C83"/>
    <w:rsid w:val="000E3558"/>
    <w:rsid w:val="000E44D6"/>
    <w:rsid w:val="000E7553"/>
    <w:rsid w:val="000F0272"/>
    <w:rsid w:val="000F089F"/>
    <w:rsid w:val="000F1167"/>
    <w:rsid w:val="000F19CC"/>
    <w:rsid w:val="000F1EC5"/>
    <w:rsid w:val="000F2E04"/>
    <w:rsid w:val="000F541E"/>
    <w:rsid w:val="000F543F"/>
    <w:rsid w:val="000F771E"/>
    <w:rsid w:val="001007E6"/>
    <w:rsid w:val="00103272"/>
    <w:rsid w:val="0011047D"/>
    <w:rsid w:val="00115BC9"/>
    <w:rsid w:val="0012037F"/>
    <w:rsid w:val="00120A27"/>
    <w:rsid w:val="001249DC"/>
    <w:rsid w:val="00124BB3"/>
    <w:rsid w:val="001278D8"/>
    <w:rsid w:val="00127A01"/>
    <w:rsid w:val="001318ED"/>
    <w:rsid w:val="001320AA"/>
    <w:rsid w:val="001353DE"/>
    <w:rsid w:val="00135934"/>
    <w:rsid w:val="0014374A"/>
    <w:rsid w:val="00143A3D"/>
    <w:rsid w:val="00144186"/>
    <w:rsid w:val="001444D5"/>
    <w:rsid w:val="001448DB"/>
    <w:rsid w:val="00146528"/>
    <w:rsid w:val="00146CA5"/>
    <w:rsid w:val="001566B5"/>
    <w:rsid w:val="001616AF"/>
    <w:rsid w:val="001622F2"/>
    <w:rsid w:val="0016488F"/>
    <w:rsid w:val="00166EB7"/>
    <w:rsid w:val="00166FE3"/>
    <w:rsid w:val="0017074C"/>
    <w:rsid w:val="00170E59"/>
    <w:rsid w:val="00174949"/>
    <w:rsid w:val="00176FFE"/>
    <w:rsid w:val="00180C5B"/>
    <w:rsid w:val="0018174B"/>
    <w:rsid w:val="00187FD5"/>
    <w:rsid w:val="00191320"/>
    <w:rsid w:val="001918C9"/>
    <w:rsid w:val="0019233E"/>
    <w:rsid w:val="0019323A"/>
    <w:rsid w:val="00193397"/>
    <w:rsid w:val="00194AAE"/>
    <w:rsid w:val="001956C2"/>
    <w:rsid w:val="001961BD"/>
    <w:rsid w:val="001974BD"/>
    <w:rsid w:val="00197F6F"/>
    <w:rsid w:val="001A02D1"/>
    <w:rsid w:val="001A0559"/>
    <w:rsid w:val="001A0B92"/>
    <w:rsid w:val="001A1308"/>
    <w:rsid w:val="001A2FA4"/>
    <w:rsid w:val="001A3DE2"/>
    <w:rsid w:val="001A4B91"/>
    <w:rsid w:val="001A6271"/>
    <w:rsid w:val="001A68CD"/>
    <w:rsid w:val="001A7B0E"/>
    <w:rsid w:val="001B1B91"/>
    <w:rsid w:val="001B2214"/>
    <w:rsid w:val="001B4338"/>
    <w:rsid w:val="001B4E96"/>
    <w:rsid w:val="001B5911"/>
    <w:rsid w:val="001B7B4F"/>
    <w:rsid w:val="001C0068"/>
    <w:rsid w:val="001C0317"/>
    <w:rsid w:val="001C0E74"/>
    <w:rsid w:val="001C1D3F"/>
    <w:rsid w:val="001C2347"/>
    <w:rsid w:val="001C5AA5"/>
    <w:rsid w:val="001C7ABB"/>
    <w:rsid w:val="001C7E1D"/>
    <w:rsid w:val="001D0DC1"/>
    <w:rsid w:val="001D1299"/>
    <w:rsid w:val="001D24E8"/>
    <w:rsid w:val="001D4852"/>
    <w:rsid w:val="001D5F59"/>
    <w:rsid w:val="001D695F"/>
    <w:rsid w:val="001D6FD3"/>
    <w:rsid w:val="001E064D"/>
    <w:rsid w:val="001E13E2"/>
    <w:rsid w:val="001E1F3E"/>
    <w:rsid w:val="001E2BCE"/>
    <w:rsid w:val="001E5C97"/>
    <w:rsid w:val="001F01F0"/>
    <w:rsid w:val="001F17DB"/>
    <w:rsid w:val="001F1F90"/>
    <w:rsid w:val="001F2A7F"/>
    <w:rsid w:val="001F3B4E"/>
    <w:rsid w:val="001F4A02"/>
    <w:rsid w:val="00201418"/>
    <w:rsid w:val="00203232"/>
    <w:rsid w:val="00203E5A"/>
    <w:rsid w:val="00203FAA"/>
    <w:rsid w:val="00206753"/>
    <w:rsid w:val="002073EF"/>
    <w:rsid w:val="00210ABF"/>
    <w:rsid w:val="00212FF6"/>
    <w:rsid w:val="0021388E"/>
    <w:rsid w:val="00215814"/>
    <w:rsid w:val="00215F43"/>
    <w:rsid w:val="00215FB2"/>
    <w:rsid w:val="00216225"/>
    <w:rsid w:val="00217496"/>
    <w:rsid w:val="00221AE7"/>
    <w:rsid w:val="00222341"/>
    <w:rsid w:val="00222999"/>
    <w:rsid w:val="00222DF1"/>
    <w:rsid w:val="002234DC"/>
    <w:rsid w:val="002332C2"/>
    <w:rsid w:val="002348AD"/>
    <w:rsid w:val="00245225"/>
    <w:rsid w:val="00245C05"/>
    <w:rsid w:val="00247EC5"/>
    <w:rsid w:val="0025092C"/>
    <w:rsid w:val="00250B3F"/>
    <w:rsid w:val="00250F37"/>
    <w:rsid w:val="0025347E"/>
    <w:rsid w:val="00254ED8"/>
    <w:rsid w:val="00256DAF"/>
    <w:rsid w:val="00257E55"/>
    <w:rsid w:val="00260A7C"/>
    <w:rsid w:val="00263379"/>
    <w:rsid w:val="00264E5F"/>
    <w:rsid w:val="00266307"/>
    <w:rsid w:val="00267406"/>
    <w:rsid w:val="00267F39"/>
    <w:rsid w:val="00272A5C"/>
    <w:rsid w:val="0027361C"/>
    <w:rsid w:val="00273889"/>
    <w:rsid w:val="00274303"/>
    <w:rsid w:val="002748D8"/>
    <w:rsid w:val="00274A60"/>
    <w:rsid w:val="00274EDC"/>
    <w:rsid w:val="00275036"/>
    <w:rsid w:val="00275693"/>
    <w:rsid w:val="002766DD"/>
    <w:rsid w:val="00277224"/>
    <w:rsid w:val="0028005A"/>
    <w:rsid w:val="00282951"/>
    <w:rsid w:val="00282F12"/>
    <w:rsid w:val="00285EFD"/>
    <w:rsid w:val="00286FD6"/>
    <w:rsid w:val="00287B93"/>
    <w:rsid w:val="00290203"/>
    <w:rsid w:val="00290908"/>
    <w:rsid w:val="00291868"/>
    <w:rsid w:val="00291FB9"/>
    <w:rsid w:val="002933D7"/>
    <w:rsid w:val="00294258"/>
    <w:rsid w:val="00294EF4"/>
    <w:rsid w:val="002A1935"/>
    <w:rsid w:val="002A1941"/>
    <w:rsid w:val="002A1F87"/>
    <w:rsid w:val="002A2868"/>
    <w:rsid w:val="002A320C"/>
    <w:rsid w:val="002A4464"/>
    <w:rsid w:val="002A6D7C"/>
    <w:rsid w:val="002C2F37"/>
    <w:rsid w:val="002C3B9B"/>
    <w:rsid w:val="002D5CE0"/>
    <w:rsid w:val="002D7774"/>
    <w:rsid w:val="002D787F"/>
    <w:rsid w:val="002E0BD1"/>
    <w:rsid w:val="002E1ED9"/>
    <w:rsid w:val="002E5A1A"/>
    <w:rsid w:val="002E7BCE"/>
    <w:rsid w:val="002F0FA4"/>
    <w:rsid w:val="002F1956"/>
    <w:rsid w:val="002F46D0"/>
    <w:rsid w:val="00302785"/>
    <w:rsid w:val="0030562E"/>
    <w:rsid w:val="0030564A"/>
    <w:rsid w:val="00313153"/>
    <w:rsid w:val="003157B3"/>
    <w:rsid w:val="00317362"/>
    <w:rsid w:val="0031757B"/>
    <w:rsid w:val="0031769E"/>
    <w:rsid w:val="00317C93"/>
    <w:rsid w:val="0032183C"/>
    <w:rsid w:val="00321B84"/>
    <w:rsid w:val="0032237B"/>
    <w:rsid w:val="00323A4E"/>
    <w:rsid w:val="00325A74"/>
    <w:rsid w:val="00327B23"/>
    <w:rsid w:val="00334A7D"/>
    <w:rsid w:val="003401F1"/>
    <w:rsid w:val="003407A1"/>
    <w:rsid w:val="0034223B"/>
    <w:rsid w:val="003427BE"/>
    <w:rsid w:val="003427E8"/>
    <w:rsid w:val="00342B56"/>
    <w:rsid w:val="00343B97"/>
    <w:rsid w:val="00343D2D"/>
    <w:rsid w:val="00343EF2"/>
    <w:rsid w:val="003449C0"/>
    <w:rsid w:val="00353514"/>
    <w:rsid w:val="00353DA6"/>
    <w:rsid w:val="00356FA6"/>
    <w:rsid w:val="00357C66"/>
    <w:rsid w:val="00360296"/>
    <w:rsid w:val="00360711"/>
    <w:rsid w:val="003643F0"/>
    <w:rsid w:val="003649B5"/>
    <w:rsid w:val="00364A61"/>
    <w:rsid w:val="0036708D"/>
    <w:rsid w:val="00370E65"/>
    <w:rsid w:val="00371AA9"/>
    <w:rsid w:val="00372717"/>
    <w:rsid w:val="0037298D"/>
    <w:rsid w:val="003729CA"/>
    <w:rsid w:val="00373ACE"/>
    <w:rsid w:val="003744D3"/>
    <w:rsid w:val="00374F17"/>
    <w:rsid w:val="00375C91"/>
    <w:rsid w:val="00377686"/>
    <w:rsid w:val="00380FB6"/>
    <w:rsid w:val="00381A9F"/>
    <w:rsid w:val="003877FF"/>
    <w:rsid w:val="00387B8F"/>
    <w:rsid w:val="00391D8C"/>
    <w:rsid w:val="00391E56"/>
    <w:rsid w:val="003A0F6F"/>
    <w:rsid w:val="003A2899"/>
    <w:rsid w:val="003A5430"/>
    <w:rsid w:val="003B087E"/>
    <w:rsid w:val="003B1929"/>
    <w:rsid w:val="003B3B93"/>
    <w:rsid w:val="003B5031"/>
    <w:rsid w:val="003B66EC"/>
    <w:rsid w:val="003C0205"/>
    <w:rsid w:val="003C2629"/>
    <w:rsid w:val="003C270D"/>
    <w:rsid w:val="003C27F4"/>
    <w:rsid w:val="003C4010"/>
    <w:rsid w:val="003C56A7"/>
    <w:rsid w:val="003C5BEC"/>
    <w:rsid w:val="003D0C3E"/>
    <w:rsid w:val="003D160A"/>
    <w:rsid w:val="003D473A"/>
    <w:rsid w:val="003D62C4"/>
    <w:rsid w:val="003D7ED2"/>
    <w:rsid w:val="003E24C4"/>
    <w:rsid w:val="003E4BA9"/>
    <w:rsid w:val="003E54B3"/>
    <w:rsid w:val="003E6D54"/>
    <w:rsid w:val="003E744A"/>
    <w:rsid w:val="003F3802"/>
    <w:rsid w:val="003F5D40"/>
    <w:rsid w:val="004018CA"/>
    <w:rsid w:val="004020B2"/>
    <w:rsid w:val="00402612"/>
    <w:rsid w:val="00402DDA"/>
    <w:rsid w:val="00403125"/>
    <w:rsid w:val="0040397B"/>
    <w:rsid w:val="00405FC6"/>
    <w:rsid w:val="00406D4D"/>
    <w:rsid w:val="0040767F"/>
    <w:rsid w:val="00410773"/>
    <w:rsid w:val="00410D46"/>
    <w:rsid w:val="0042282A"/>
    <w:rsid w:val="004258C6"/>
    <w:rsid w:val="00426BE5"/>
    <w:rsid w:val="004339F0"/>
    <w:rsid w:val="00435461"/>
    <w:rsid w:val="004361E9"/>
    <w:rsid w:val="00440EB7"/>
    <w:rsid w:val="00441086"/>
    <w:rsid w:val="00443DB2"/>
    <w:rsid w:val="0044476D"/>
    <w:rsid w:val="00445130"/>
    <w:rsid w:val="004457EC"/>
    <w:rsid w:val="004467CD"/>
    <w:rsid w:val="0044773A"/>
    <w:rsid w:val="00453CFF"/>
    <w:rsid w:val="0045600A"/>
    <w:rsid w:val="004561BC"/>
    <w:rsid w:val="00456756"/>
    <w:rsid w:val="00462733"/>
    <w:rsid w:val="004629F5"/>
    <w:rsid w:val="00462D06"/>
    <w:rsid w:val="004668F6"/>
    <w:rsid w:val="004674C8"/>
    <w:rsid w:val="00470577"/>
    <w:rsid w:val="00472BBB"/>
    <w:rsid w:val="00474CA2"/>
    <w:rsid w:val="00480704"/>
    <w:rsid w:val="004811A4"/>
    <w:rsid w:val="00481CD5"/>
    <w:rsid w:val="00482FDE"/>
    <w:rsid w:val="00484EB3"/>
    <w:rsid w:val="004901B6"/>
    <w:rsid w:val="00493AA4"/>
    <w:rsid w:val="00494A6C"/>
    <w:rsid w:val="00494B2C"/>
    <w:rsid w:val="004960E5"/>
    <w:rsid w:val="004B16B6"/>
    <w:rsid w:val="004B194A"/>
    <w:rsid w:val="004B3293"/>
    <w:rsid w:val="004B3F73"/>
    <w:rsid w:val="004B5C09"/>
    <w:rsid w:val="004B613A"/>
    <w:rsid w:val="004C4395"/>
    <w:rsid w:val="004D091D"/>
    <w:rsid w:val="004D2AF7"/>
    <w:rsid w:val="004D784A"/>
    <w:rsid w:val="004E2B43"/>
    <w:rsid w:val="004E4904"/>
    <w:rsid w:val="004E4969"/>
    <w:rsid w:val="004F2E7A"/>
    <w:rsid w:val="004F3FC4"/>
    <w:rsid w:val="004F6020"/>
    <w:rsid w:val="004F6658"/>
    <w:rsid w:val="004F6EA7"/>
    <w:rsid w:val="00500F86"/>
    <w:rsid w:val="00501D86"/>
    <w:rsid w:val="0050499B"/>
    <w:rsid w:val="00505277"/>
    <w:rsid w:val="0050530C"/>
    <w:rsid w:val="005109BB"/>
    <w:rsid w:val="00513658"/>
    <w:rsid w:val="00525A97"/>
    <w:rsid w:val="005263B2"/>
    <w:rsid w:val="0052732B"/>
    <w:rsid w:val="00530BCC"/>
    <w:rsid w:val="00531FEE"/>
    <w:rsid w:val="00534B6A"/>
    <w:rsid w:val="00536665"/>
    <w:rsid w:val="00536E11"/>
    <w:rsid w:val="00540239"/>
    <w:rsid w:val="00540C11"/>
    <w:rsid w:val="00540EA4"/>
    <w:rsid w:val="00541241"/>
    <w:rsid w:val="00541C7F"/>
    <w:rsid w:val="00542C62"/>
    <w:rsid w:val="005438CA"/>
    <w:rsid w:val="00543C09"/>
    <w:rsid w:val="005440A1"/>
    <w:rsid w:val="00547BD3"/>
    <w:rsid w:val="00552DB6"/>
    <w:rsid w:val="0055373B"/>
    <w:rsid w:val="005561B6"/>
    <w:rsid w:val="00556B09"/>
    <w:rsid w:val="00560247"/>
    <w:rsid w:val="005640DA"/>
    <w:rsid w:val="005654D0"/>
    <w:rsid w:val="005665E3"/>
    <w:rsid w:val="005701E3"/>
    <w:rsid w:val="00570577"/>
    <w:rsid w:val="00570F70"/>
    <w:rsid w:val="0057100C"/>
    <w:rsid w:val="00572E75"/>
    <w:rsid w:val="00574167"/>
    <w:rsid w:val="005744DF"/>
    <w:rsid w:val="00581628"/>
    <w:rsid w:val="005820EA"/>
    <w:rsid w:val="00582DB6"/>
    <w:rsid w:val="00583D59"/>
    <w:rsid w:val="00585E77"/>
    <w:rsid w:val="0058762D"/>
    <w:rsid w:val="00592804"/>
    <w:rsid w:val="00595F69"/>
    <w:rsid w:val="005961F3"/>
    <w:rsid w:val="005A0E0A"/>
    <w:rsid w:val="005A3E39"/>
    <w:rsid w:val="005A7DC6"/>
    <w:rsid w:val="005B149F"/>
    <w:rsid w:val="005B1EC8"/>
    <w:rsid w:val="005B2020"/>
    <w:rsid w:val="005B56E4"/>
    <w:rsid w:val="005B5EFA"/>
    <w:rsid w:val="005C241E"/>
    <w:rsid w:val="005C673C"/>
    <w:rsid w:val="005D1096"/>
    <w:rsid w:val="005D31A1"/>
    <w:rsid w:val="005D3FCD"/>
    <w:rsid w:val="005D76EF"/>
    <w:rsid w:val="005D7DB8"/>
    <w:rsid w:val="005E09F7"/>
    <w:rsid w:val="005E127D"/>
    <w:rsid w:val="005E1805"/>
    <w:rsid w:val="005E1EB1"/>
    <w:rsid w:val="005E1F15"/>
    <w:rsid w:val="005E2194"/>
    <w:rsid w:val="005E2560"/>
    <w:rsid w:val="005E2A9C"/>
    <w:rsid w:val="005E3251"/>
    <w:rsid w:val="005E579F"/>
    <w:rsid w:val="005F215B"/>
    <w:rsid w:val="005F2457"/>
    <w:rsid w:val="005F2F84"/>
    <w:rsid w:val="005F4413"/>
    <w:rsid w:val="00600491"/>
    <w:rsid w:val="0060087D"/>
    <w:rsid w:val="006009DF"/>
    <w:rsid w:val="006016EC"/>
    <w:rsid w:val="00602EAC"/>
    <w:rsid w:val="0060454E"/>
    <w:rsid w:val="0060597B"/>
    <w:rsid w:val="00605F0F"/>
    <w:rsid w:val="00607B63"/>
    <w:rsid w:val="0061227B"/>
    <w:rsid w:val="00614648"/>
    <w:rsid w:val="00617CED"/>
    <w:rsid w:val="00617E30"/>
    <w:rsid w:val="00622DA8"/>
    <w:rsid w:val="006250AF"/>
    <w:rsid w:val="00626B45"/>
    <w:rsid w:val="00627783"/>
    <w:rsid w:val="00627D8B"/>
    <w:rsid w:val="00632811"/>
    <w:rsid w:val="00632E08"/>
    <w:rsid w:val="00637041"/>
    <w:rsid w:val="006376AF"/>
    <w:rsid w:val="00637ACF"/>
    <w:rsid w:val="00641E66"/>
    <w:rsid w:val="00643A61"/>
    <w:rsid w:val="00644FC1"/>
    <w:rsid w:val="00645D94"/>
    <w:rsid w:val="00645ECF"/>
    <w:rsid w:val="006505EE"/>
    <w:rsid w:val="00650EDC"/>
    <w:rsid w:val="00653830"/>
    <w:rsid w:val="00655D0A"/>
    <w:rsid w:val="0066134B"/>
    <w:rsid w:val="00661D44"/>
    <w:rsid w:val="006637A0"/>
    <w:rsid w:val="006675E9"/>
    <w:rsid w:val="00672B36"/>
    <w:rsid w:val="00672C0B"/>
    <w:rsid w:val="006747C2"/>
    <w:rsid w:val="006756C7"/>
    <w:rsid w:val="00680208"/>
    <w:rsid w:val="0068033C"/>
    <w:rsid w:val="00680B01"/>
    <w:rsid w:val="00683717"/>
    <w:rsid w:val="00683A5A"/>
    <w:rsid w:val="006856EA"/>
    <w:rsid w:val="00686E33"/>
    <w:rsid w:val="00693746"/>
    <w:rsid w:val="006937D1"/>
    <w:rsid w:val="0069487A"/>
    <w:rsid w:val="00695BF9"/>
    <w:rsid w:val="00695F92"/>
    <w:rsid w:val="006A0906"/>
    <w:rsid w:val="006A26B9"/>
    <w:rsid w:val="006A440F"/>
    <w:rsid w:val="006A5565"/>
    <w:rsid w:val="006A5A11"/>
    <w:rsid w:val="006A5A5F"/>
    <w:rsid w:val="006A690D"/>
    <w:rsid w:val="006B23C2"/>
    <w:rsid w:val="006B6AB2"/>
    <w:rsid w:val="006B723D"/>
    <w:rsid w:val="006C2664"/>
    <w:rsid w:val="006C4A66"/>
    <w:rsid w:val="006C56B2"/>
    <w:rsid w:val="006D27DD"/>
    <w:rsid w:val="006D2A75"/>
    <w:rsid w:val="006D3B8C"/>
    <w:rsid w:val="006D4A83"/>
    <w:rsid w:val="006D725F"/>
    <w:rsid w:val="006D7F5F"/>
    <w:rsid w:val="006E0565"/>
    <w:rsid w:val="006E3C4A"/>
    <w:rsid w:val="006E6D5C"/>
    <w:rsid w:val="006E6E4A"/>
    <w:rsid w:val="006E6FE3"/>
    <w:rsid w:val="006F27D9"/>
    <w:rsid w:val="006F3627"/>
    <w:rsid w:val="006F3F5E"/>
    <w:rsid w:val="006F5F64"/>
    <w:rsid w:val="006F7026"/>
    <w:rsid w:val="00702E96"/>
    <w:rsid w:val="00704626"/>
    <w:rsid w:val="00710B7D"/>
    <w:rsid w:val="00717841"/>
    <w:rsid w:val="00717F68"/>
    <w:rsid w:val="007202CB"/>
    <w:rsid w:val="00722276"/>
    <w:rsid w:val="00723774"/>
    <w:rsid w:val="00726DD6"/>
    <w:rsid w:val="0072718F"/>
    <w:rsid w:val="0072797E"/>
    <w:rsid w:val="00727D96"/>
    <w:rsid w:val="00727F42"/>
    <w:rsid w:val="00731E1F"/>
    <w:rsid w:val="0073219D"/>
    <w:rsid w:val="007331C2"/>
    <w:rsid w:val="00733F1A"/>
    <w:rsid w:val="0073471A"/>
    <w:rsid w:val="00741A41"/>
    <w:rsid w:val="00741C43"/>
    <w:rsid w:val="0074252E"/>
    <w:rsid w:val="00743273"/>
    <w:rsid w:val="00745F6F"/>
    <w:rsid w:val="00746077"/>
    <w:rsid w:val="00751356"/>
    <w:rsid w:val="00752857"/>
    <w:rsid w:val="007533D8"/>
    <w:rsid w:val="0075705D"/>
    <w:rsid w:val="00760993"/>
    <w:rsid w:val="00761FD3"/>
    <w:rsid w:val="00763031"/>
    <w:rsid w:val="007639AB"/>
    <w:rsid w:val="007674C8"/>
    <w:rsid w:val="00771715"/>
    <w:rsid w:val="007721E3"/>
    <w:rsid w:val="007755B6"/>
    <w:rsid w:val="00777CBE"/>
    <w:rsid w:val="0078085A"/>
    <w:rsid w:val="007810BD"/>
    <w:rsid w:val="0078187C"/>
    <w:rsid w:val="00781E16"/>
    <w:rsid w:val="00783780"/>
    <w:rsid w:val="00784DC9"/>
    <w:rsid w:val="00784F61"/>
    <w:rsid w:val="0078654C"/>
    <w:rsid w:val="00786B3F"/>
    <w:rsid w:val="00792656"/>
    <w:rsid w:val="0079391D"/>
    <w:rsid w:val="00794C31"/>
    <w:rsid w:val="007A089A"/>
    <w:rsid w:val="007A0B18"/>
    <w:rsid w:val="007A255A"/>
    <w:rsid w:val="007A277E"/>
    <w:rsid w:val="007A3F81"/>
    <w:rsid w:val="007A61B2"/>
    <w:rsid w:val="007B0118"/>
    <w:rsid w:val="007B2671"/>
    <w:rsid w:val="007B5201"/>
    <w:rsid w:val="007B6710"/>
    <w:rsid w:val="007C3131"/>
    <w:rsid w:val="007C6470"/>
    <w:rsid w:val="007C7537"/>
    <w:rsid w:val="007D2DDF"/>
    <w:rsid w:val="007D32CB"/>
    <w:rsid w:val="007D3540"/>
    <w:rsid w:val="007D54CC"/>
    <w:rsid w:val="007D5CB3"/>
    <w:rsid w:val="007E0922"/>
    <w:rsid w:val="007E24D0"/>
    <w:rsid w:val="007E5A4F"/>
    <w:rsid w:val="007F1115"/>
    <w:rsid w:val="007F30D8"/>
    <w:rsid w:val="007F3470"/>
    <w:rsid w:val="007F5294"/>
    <w:rsid w:val="007F7501"/>
    <w:rsid w:val="008026EF"/>
    <w:rsid w:val="00810699"/>
    <w:rsid w:val="008118A5"/>
    <w:rsid w:val="00811F7F"/>
    <w:rsid w:val="00814D90"/>
    <w:rsid w:val="00816405"/>
    <w:rsid w:val="0081683C"/>
    <w:rsid w:val="00820396"/>
    <w:rsid w:val="00822613"/>
    <w:rsid w:val="00824B7A"/>
    <w:rsid w:val="00827459"/>
    <w:rsid w:val="0082754B"/>
    <w:rsid w:val="00832013"/>
    <w:rsid w:val="008346FF"/>
    <w:rsid w:val="008347D7"/>
    <w:rsid w:val="00835E8C"/>
    <w:rsid w:val="00841FF7"/>
    <w:rsid w:val="00845851"/>
    <w:rsid w:val="00845B91"/>
    <w:rsid w:val="008468B8"/>
    <w:rsid w:val="00862267"/>
    <w:rsid w:val="00865507"/>
    <w:rsid w:val="008674E0"/>
    <w:rsid w:val="00870AF5"/>
    <w:rsid w:val="008711A1"/>
    <w:rsid w:val="00871A52"/>
    <w:rsid w:val="008832B4"/>
    <w:rsid w:val="0088573B"/>
    <w:rsid w:val="008862E5"/>
    <w:rsid w:val="008863CD"/>
    <w:rsid w:val="008901E6"/>
    <w:rsid w:val="00890E53"/>
    <w:rsid w:val="008913D2"/>
    <w:rsid w:val="00891807"/>
    <w:rsid w:val="008934B2"/>
    <w:rsid w:val="008934BB"/>
    <w:rsid w:val="00893DA0"/>
    <w:rsid w:val="00895755"/>
    <w:rsid w:val="008961BB"/>
    <w:rsid w:val="008A6017"/>
    <w:rsid w:val="008A6E2A"/>
    <w:rsid w:val="008B1DBD"/>
    <w:rsid w:val="008B4A5D"/>
    <w:rsid w:val="008B65EB"/>
    <w:rsid w:val="008B750E"/>
    <w:rsid w:val="008C12AE"/>
    <w:rsid w:val="008C3B60"/>
    <w:rsid w:val="008C3E1F"/>
    <w:rsid w:val="008D2D3D"/>
    <w:rsid w:val="008D36AD"/>
    <w:rsid w:val="008D38C0"/>
    <w:rsid w:val="008D624A"/>
    <w:rsid w:val="008E1ED6"/>
    <w:rsid w:val="008E23D6"/>
    <w:rsid w:val="008E2E0D"/>
    <w:rsid w:val="008E470A"/>
    <w:rsid w:val="008E549E"/>
    <w:rsid w:val="008E668B"/>
    <w:rsid w:val="008E789F"/>
    <w:rsid w:val="008F0CD3"/>
    <w:rsid w:val="008F1E20"/>
    <w:rsid w:val="00900300"/>
    <w:rsid w:val="00900395"/>
    <w:rsid w:val="00904A8B"/>
    <w:rsid w:val="00905D67"/>
    <w:rsid w:val="009141E1"/>
    <w:rsid w:val="009234E6"/>
    <w:rsid w:val="009307CB"/>
    <w:rsid w:val="00931B10"/>
    <w:rsid w:val="0093207D"/>
    <w:rsid w:val="00933473"/>
    <w:rsid w:val="00937F24"/>
    <w:rsid w:val="009408B1"/>
    <w:rsid w:val="00941520"/>
    <w:rsid w:val="009517E4"/>
    <w:rsid w:val="0095183B"/>
    <w:rsid w:val="0095707B"/>
    <w:rsid w:val="009640E5"/>
    <w:rsid w:val="009642C8"/>
    <w:rsid w:val="00965012"/>
    <w:rsid w:val="0096568C"/>
    <w:rsid w:val="00970696"/>
    <w:rsid w:val="009735DA"/>
    <w:rsid w:val="009749D3"/>
    <w:rsid w:val="00974F4D"/>
    <w:rsid w:val="00976950"/>
    <w:rsid w:val="00983FFD"/>
    <w:rsid w:val="00984F49"/>
    <w:rsid w:val="009854F3"/>
    <w:rsid w:val="00986163"/>
    <w:rsid w:val="00986218"/>
    <w:rsid w:val="00991F09"/>
    <w:rsid w:val="009920F6"/>
    <w:rsid w:val="00995D79"/>
    <w:rsid w:val="009960BB"/>
    <w:rsid w:val="009A11B3"/>
    <w:rsid w:val="009A4C20"/>
    <w:rsid w:val="009A54CA"/>
    <w:rsid w:val="009A5DB9"/>
    <w:rsid w:val="009A67F1"/>
    <w:rsid w:val="009A6948"/>
    <w:rsid w:val="009B2516"/>
    <w:rsid w:val="009B5594"/>
    <w:rsid w:val="009C1E6B"/>
    <w:rsid w:val="009C21C8"/>
    <w:rsid w:val="009C2211"/>
    <w:rsid w:val="009C2670"/>
    <w:rsid w:val="009C4B77"/>
    <w:rsid w:val="009C7DF8"/>
    <w:rsid w:val="009D43FD"/>
    <w:rsid w:val="009D55D9"/>
    <w:rsid w:val="009D5879"/>
    <w:rsid w:val="009D5BC8"/>
    <w:rsid w:val="009D65E8"/>
    <w:rsid w:val="009D70B0"/>
    <w:rsid w:val="009E1009"/>
    <w:rsid w:val="009E199E"/>
    <w:rsid w:val="009E31E0"/>
    <w:rsid w:val="009E3FCB"/>
    <w:rsid w:val="009E6001"/>
    <w:rsid w:val="009F0622"/>
    <w:rsid w:val="009F0CCE"/>
    <w:rsid w:val="009F0D55"/>
    <w:rsid w:val="009F316B"/>
    <w:rsid w:val="00A03305"/>
    <w:rsid w:val="00A072DF"/>
    <w:rsid w:val="00A15085"/>
    <w:rsid w:val="00A20131"/>
    <w:rsid w:val="00A20851"/>
    <w:rsid w:val="00A22899"/>
    <w:rsid w:val="00A25BD2"/>
    <w:rsid w:val="00A3111E"/>
    <w:rsid w:val="00A3732D"/>
    <w:rsid w:val="00A40816"/>
    <w:rsid w:val="00A41314"/>
    <w:rsid w:val="00A4161C"/>
    <w:rsid w:val="00A4169E"/>
    <w:rsid w:val="00A41FAC"/>
    <w:rsid w:val="00A43F70"/>
    <w:rsid w:val="00A448E6"/>
    <w:rsid w:val="00A47DE5"/>
    <w:rsid w:val="00A50A5B"/>
    <w:rsid w:val="00A5153B"/>
    <w:rsid w:val="00A51BB9"/>
    <w:rsid w:val="00A51F6E"/>
    <w:rsid w:val="00A520F5"/>
    <w:rsid w:val="00A531F2"/>
    <w:rsid w:val="00A5580A"/>
    <w:rsid w:val="00A565AD"/>
    <w:rsid w:val="00A66036"/>
    <w:rsid w:val="00A666E1"/>
    <w:rsid w:val="00A66A4B"/>
    <w:rsid w:val="00A67468"/>
    <w:rsid w:val="00A6761B"/>
    <w:rsid w:val="00A71D27"/>
    <w:rsid w:val="00A73414"/>
    <w:rsid w:val="00A755B2"/>
    <w:rsid w:val="00A81638"/>
    <w:rsid w:val="00A82196"/>
    <w:rsid w:val="00A86DAB"/>
    <w:rsid w:val="00A9044C"/>
    <w:rsid w:val="00A93A9E"/>
    <w:rsid w:val="00A94C27"/>
    <w:rsid w:val="00A94C49"/>
    <w:rsid w:val="00A971C3"/>
    <w:rsid w:val="00A97852"/>
    <w:rsid w:val="00AB07BA"/>
    <w:rsid w:val="00AB62B2"/>
    <w:rsid w:val="00AB70B5"/>
    <w:rsid w:val="00AC104D"/>
    <w:rsid w:val="00AC598C"/>
    <w:rsid w:val="00AC612F"/>
    <w:rsid w:val="00AC62D2"/>
    <w:rsid w:val="00AC6B06"/>
    <w:rsid w:val="00AD1060"/>
    <w:rsid w:val="00AD3A66"/>
    <w:rsid w:val="00AD4B07"/>
    <w:rsid w:val="00AD58C8"/>
    <w:rsid w:val="00AD69C2"/>
    <w:rsid w:val="00AD6F76"/>
    <w:rsid w:val="00AD7E03"/>
    <w:rsid w:val="00AE13F4"/>
    <w:rsid w:val="00AE16E6"/>
    <w:rsid w:val="00AE2ED1"/>
    <w:rsid w:val="00AE5D4C"/>
    <w:rsid w:val="00AE6982"/>
    <w:rsid w:val="00AE7FE3"/>
    <w:rsid w:val="00B00801"/>
    <w:rsid w:val="00B00B07"/>
    <w:rsid w:val="00B03109"/>
    <w:rsid w:val="00B03BBA"/>
    <w:rsid w:val="00B03ECD"/>
    <w:rsid w:val="00B05A2F"/>
    <w:rsid w:val="00B14916"/>
    <w:rsid w:val="00B149EB"/>
    <w:rsid w:val="00B14C5D"/>
    <w:rsid w:val="00B2057E"/>
    <w:rsid w:val="00B20A2D"/>
    <w:rsid w:val="00B21EA9"/>
    <w:rsid w:val="00B24295"/>
    <w:rsid w:val="00B26704"/>
    <w:rsid w:val="00B27235"/>
    <w:rsid w:val="00B36B81"/>
    <w:rsid w:val="00B4047C"/>
    <w:rsid w:val="00B44A34"/>
    <w:rsid w:val="00B461A3"/>
    <w:rsid w:val="00B46E3C"/>
    <w:rsid w:val="00B47B2D"/>
    <w:rsid w:val="00B51C0E"/>
    <w:rsid w:val="00B53015"/>
    <w:rsid w:val="00B53301"/>
    <w:rsid w:val="00B53A1A"/>
    <w:rsid w:val="00B54D4A"/>
    <w:rsid w:val="00B558B2"/>
    <w:rsid w:val="00B60059"/>
    <w:rsid w:val="00B601F6"/>
    <w:rsid w:val="00B60910"/>
    <w:rsid w:val="00B6218E"/>
    <w:rsid w:val="00B62A86"/>
    <w:rsid w:val="00B63C9D"/>
    <w:rsid w:val="00B70E4F"/>
    <w:rsid w:val="00B7120C"/>
    <w:rsid w:val="00B71B99"/>
    <w:rsid w:val="00B72F27"/>
    <w:rsid w:val="00B730AD"/>
    <w:rsid w:val="00B75CDC"/>
    <w:rsid w:val="00B7619C"/>
    <w:rsid w:val="00B76B75"/>
    <w:rsid w:val="00B76E93"/>
    <w:rsid w:val="00B83E0B"/>
    <w:rsid w:val="00B84571"/>
    <w:rsid w:val="00B84A26"/>
    <w:rsid w:val="00B857EE"/>
    <w:rsid w:val="00B90C8A"/>
    <w:rsid w:val="00B935E4"/>
    <w:rsid w:val="00B94764"/>
    <w:rsid w:val="00B9549E"/>
    <w:rsid w:val="00B95AA7"/>
    <w:rsid w:val="00B96B21"/>
    <w:rsid w:val="00B96C7F"/>
    <w:rsid w:val="00BA074E"/>
    <w:rsid w:val="00BA16D9"/>
    <w:rsid w:val="00BA28BE"/>
    <w:rsid w:val="00BA2D91"/>
    <w:rsid w:val="00BA2D9D"/>
    <w:rsid w:val="00BA3637"/>
    <w:rsid w:val="00BB07AE"/>
    <w:rsid w:val="00BB2921"/>
    <w:rsid w:val="00BB4527"/>
    <w:rsid w:val="00BB6F0D"/>
    <w:rsid w:val="00BB72B6"/>
    <w:rsid w:val="00BC0EC1"/>
    <w:rsid w:val="00BC2C20"/>
    <w:rsid w:val="00BC4ABF"/>
    <w:rsid w:val="00BC56B8"/>
    <w:rsid w:val="00BD50A8"/>
    <w:rsid w:val="00BD7994"/>
    <w:rsid w:val="00BE3269"/>
    <w:rsid w:val="00BE3701"/>
    <w:rsid w:val="00BF105C"/>
    <w:rsid w:val="00BF1E2C"/>
    <w:rsid w:val="00BF5073"/>
    <w:rsid w:val="00C00E6C"/>
    <w:rsid w:val="00C013E2"/>
    <w:rsid w:val="00C01606"/>
    <w:rsid w:val="00C0563E"/>
    <w:rsid w:val="00C07898"/>
    <w:rsid w:val="00C0798A"/>
    <w:rsid w:val="00C149F1"/>
    <w:rsid w:val="00C16061"/>
    <w:rsid w:val="00C163F2"/>
    <w:rsid w:val="00C1796C"/>
    <w:rsid w:val="00C21284"/>
    <w:rsid w:val="00C23375"/>
    <w:rsid w:val="00C25820"/>
    <w:rsid w:val="00C25918"/>
    <w:rsid w:val="00C27BAE"/>
    <w:rsid w:val="00C31651"/>
    <w:rsid w:val="00C33EED"/>
    <w:rsid w:val="00C36CA2"/>
    <w:rsid w:val="00C374A4"/>
    <w:rsid w:val="00C3779C"/>
    <w:rsid w:val="00C42254"/>
    <w:rsid w:val="00C44DC0"/>
    <w:rsid w:val="00C46349"/>
    <w:rsid w:val="00C4721B"/>
    <w:rsid w:val="00C51739"/>
    <w:rsid w:val="00C517F8"/>
    <w:rsid w:val="00C51B8B"/>
    <w:rsid w:val="00C52613"/>
    <w:rsid w:val="00C5291C"/>
    <w:rsid w:val="00C53DEA"/>
    <w:rsid w:val="00C6035B"/>
    <w:rsid w:val="00C603BB"/>
    <w:rsid w:val="00C64045"/>
    <w:rsid w:val="00C66031"/>
    <w:rsid w:val="00C664FA"/>
    <w:rsid w:val="00C66985"/>
    <w:rsid w:val="00C67FAF"/>
    <w:rsid w:val="00C70773"/>
    <w:rsid w:val="00C70BBA"/>
    <w:rsid w:val="00C71F91"/>
    <w:rsid w:val="00C72402"/>
    <w:rsid w:val="00C72777"/>
    <w:rsid w:val="00C75417"/>
    <w:rsid w:val="00C82F55"/>
    <w:rsid w:val="00C84EFB"/>
    <w:rsid w:val="00C9026E"/>
    <w:rsid w:val="00C9243B"/>
    <w:rsid w:val="00C92C63"/>
    <w:rsid w:val="00C93088"/>
    <w:rsid w:val="00C95061"/>
    <w:rsid w:val="00C96E04"/>
    <w:rsid w:val="00CA40A2"/>
    <w:rsid w:val="00CA5E97"/>
    <w:rsid w:val="00CB3B1E"/>
    <w:rsid w:val="00CB3F62"/>
    <w:rsid w:val="00CB4843"/>
    <w:rsid w:val="00CB5D85"/>
    <w:rsid w:val="00CB6091"/>
    <w:rsid w:val="00CB65CD"/>
    <w:rsid w:val="00CB7303"/>
    <w:rsid w:val="00CC2325"/>
    <w:rsid w:val="00CD093B"/>
    <w:rsid w:val="00CD2F10"/>
    <w:rsid w:val="00CD2F46"/>
    <w:rsid w:val="00CD3EEB"/>
    <w:rsid w:val="00CD6076"/>
    <w:rsid w:val="00CD777A"/>
    <w:rsid w:val="00CE0931"/>
    <w:rsid w:val="00CE0F5E"/>
    <w:rsid w:val="00CF03D3"/>
    <w:rsid w:val="00CF0824"/>
    <w:rsid w:val="00CF0EAC"/>
    <w:rsid w:val="00CF2BB0"/>
    <w:rsid w:val="00D03205"/>
    <w:rsid w:val="00D03487"/>
    <w:rsid w:val="00D03761"/>
    <w:rsid w:val="00D042E8"/>
    <w:rsid w:val="00D043ED"/>
    <w:rsid w:val="00D04E18"/>
    <w:rsid w:val="00D05C42"/>
    <w:rsid w:val="00D10A4B"/>
    <w:rsid w:val="00D23275"/>
    <w:rsid w:val="00D23303"/>
    <w:rsid w:val="00D23DA2"/>
    <w:rsid w:val="00D25698"/>
    <w:rsid w:val="00D2794E"/>
    <w:rsid w:val="00D304B4"/>
    <w:rsid w:val="00D323DE"/>
    <w:rsid w:val="00D3293D"/>
    <w:rsid w:val="00D34194"/>
    <w:rsid w:val="00D3486E"/>
    <w:rsid w:val="00D34A31"/>
    <w:rsid w:val="00D351B4"/>
    <w:rsid w:val="00D3646B"/>
    <w:rsid w:val="00D37912"/>
    <w:rsid w:val="00D40E52"/>
    <w:rsid w:val="00D41D4E"/>
    <w:rsid w:val="00D42F75"/>
    <w:rsid w:val="00D436FD"/>
    <w:rsid w:val="00D44275"/>
    <w:rsid w:val="00D443A3"/>
    <w:rsid w:val="00D45B54"/>
    <w:rsid w:val="00D46BD1"/>
    <w:rsid w:val="00D47B22"/>
    <w:rsid w:val="00D5179E"/>
    <w:rsid w:val="00D520EA"/>
    <w:rsid w:val="00D52E4F"/>
    <w:rsid w:val="00D57FD2"/>
    <w:rsid w:val="00D60736"/>
    <w:rsid w:val="00D6091F"/>
    <w:rsid w:val="00D670DA"/>
    <w:rsid w:val="00D70B19"/>
    <w:rsid w:val="00D73D93"/>
    <w:rsid w:val="00D74136"/>
    <w:rsid w:val="00D77813"/>
    <w:rsid w:val="00D8093F"/>
    <w:rsid w:val="00D80962"/>
    <w:rsid w:val="00D83B52"/>
    <w:rsid w:val="00D84C9F"/>
    <w:rsid w:val="00D862C1"/>
    <w:rsid w:val="00D906B9"/>
    <w:rsid w:val="00D94592"/>
    <w:rsid w:val="00D94D6B"/>
    <w:rsid w:val="00D95A5A"/>
    <w:rsid w:val="00D9639C"/>
    <w:rsid w:val="00D96701"/>
    <w:rsid w:val="00DA1AE2"/>
    <w:rsid w:val="00DA4F27"/>
    <w:rsid w:val="00DA59D9"/>
    <w:rsid w:val="00DB01BD"/>
    <w:rsid w:val="00DB297A"/>
    <w:rsid w:val="00DB2F14"/>
    <w:rsid w:val="00DB7CF3"/>
    <w:rsid w:val="00DC17D7"/>
    <w:rsid w:val="00DC1E95"/>
    <w:rsid w:val="00DC2AB1"/>
    <w:rsid w:val="00DC36EF"/>
    <w:rsid w:val="00DC4B02"/>
    <w:rsid w:val="00DC4FBB"/>
    <w:rsid w:val="00DC58C7"/>
    <w:rsid w:val="00DC6FE4"/>
    <w:rsid w:val="00DD0A20"/>
    <w:rsid w:val="00DD1615"/>
    <w:rsid w:val="00DD1654"/>
    <w:rsid w:val="00DD1DD4"/>
    <w:rsid w:val="00DD2514"/>
    <w:rsid w:val="00DD4EA4"/>
    <w:rsid w:val="00DD5093"/>
    <w:rsid w:val="00DD7070"/>
    <w:rsid w:val="00DD75C3"/>
    <w:rsid w:val="00DE2D83"/>
    <w:rsid w:val="00DF0086"/>
    <w:rsid w:val="00DF3FB1"/>
    <w:rsid w:val="00DF7BEE"/>
    <w:rsid w:val="00DF7CE1"/>
    <w:rsid w:val="00E001F7"/>
    <w:rsid w:val="00E00397"/>
    <w:rsid w:val="00E01CA7"/>
    <w:rsid w:val="00E022F5"/>
    <w:rsid w:val="00E02F9A"/>
    <w:rsid w:val="00E0497A"/>
    <w:rsid w:val="00E05560"/>
    <w:rsid w:val="00E06003"/>
    <w:rsid w:val="00E06C9C"/>
    <w:rsid w:val="00E06EC6"/>
    <w:rsid w:val="00E104E0"/>
    <w:rsid w:val="00E10B09"/>
    <w:rsid w:val="00E1116B"/>
    <w:rsid w:val="00E128F1"/>
    <w:rsid w:val="00E12F1C"/>
    <w:rsid w:val="00E13698"/>
    <w:rsid w:val="00E13FD2"/>
    <w:rsid w:val="00E20381"/>
    <w:rsid w:val="00E217B5"/>
    <w:rsid w:val="00E225A9"/>
    <w:rsid w:val="00E230D6"/>
    <w:rsid w:val="00E23CF6"/>
    <w:rsid w:val="00E2453B"/>
    <w:rsid w:val="00E3180C"/>
    <w:rsid w:val="00E339B5"/>
    <w:rsid w:val="00E341F4"/>
    <w:rsid w:val="00E34473"/>
    <w:rsid w:val="00E35910"/>
    <w:rsid w:val="00E4005F"/>
    <w:rsid w:val="00E41D71"/>
    <w:rsid w:val="00E43DC1"/>
    <w:rsid w:val="00E44435"/>
    <w:rsid w:val="00E53720"/>
    <w:rsid w:val="00E53A04"/>
    <w:rsid w:val="00E5401E"/>
    <w:rsid w:val="00E556FA"/>
    <w:rsid w:val="00E57C5E"/>
    <w:rsid w:val="00E60825"/>
    <w:rsid w:val="00E61484"/>
    <w:rsid w:val="00E63DBD"/>
    <w:rsid w:val="00E6698D"/>
    <w:rsid w:val="00E67347"/>
    <w:rsid w:val="00E73267"/>
    <w:rsid w:val="00E74052"/>
    <w:rsid w:val="00E76C29"/>
    <w:rsid w:val="00E77811"/>
    <w:rsid w:val="00E8007E"/>
    <w:rsid w:val="00E84AF3"/>
    <w:rsid w:val="00E9070B"/>
    <w:rsid w:val="00E91315"/>
    <w:rsid w:val="00E93801"/>
    <w:rsid w:val="00E9469A"/>
    <w:rsid w:val="00EB0711"/>
    <w:rsid w:val="00EB3BB5"/>
    <w:rsid w:val="00EB6835"/>
    <w:rsid w:val="00EB68F5"/>
    <w:rsid w:val="00EB75F3"/>
    <w:rsid w:val="00EC1E36"/>
    <w:rsid w:val="00EC285E"/>
    <w:rsid w:val="00EC79BD"/>
    <w:rsid w:val="00ED4466"/>
    <w:rsid w:val="00EF1349"/>
    <w:rsid w:val="00EF7E6E"/>
    <w:rsid w:val="00F009EC"/>
    <w:rsid w:val="00F016FA"/>
    <w:rsid w:val="00F02919"/>
    <w:rsid w:val="00F02CE0"/>
    <w:rsid w:val="00F105C3"/>
    <w:rsid w:val="00F1356C"/>
    <w:rsid w:val="00F15412"/>
    <w:rsid w:val="00F15EE6"/>
    <w:rsid w:val="00F169B8"/>
    <w:rsid w:val="00F2148F"/>
    <w:rsid w:val="00F22053"/>
    <w:rsid w:val="00F24F13"/>
    <w:rsid w:val="00F26AC1"/>
    <w:rsid w:val="00F32A77"/>
    <w:rsid w:val="00F33BAA"/>
    <w:rsid w:val="00F3467B"/>
    <w:rsid w:val="00F4095E"/>
    <w:rsid w:val="00F43D38"/>
    <w:rsid w:val="00F4569B"/>
    <w:rsid w:val="00F47904"/>
    <w:rsid w:val="00F52D25"/>
    <w:rsid w:val="00F53F11"/>
    <w:rsid w:val="00F54148"/>
    <w:rsid w:val="00F55601"/>
    <w:rsid w:val="00F60DB4"/>
    <w:rsid w:val="00F6259E"/>
    <w:rsid w:val="00F6341A"/>
    <w:rsid w:val="00F64A4A"/>
    <w:rsid w:val="00F65F74"/>
    <w:rsid w:val="00F674D6"/>
    <w:rsid w:val="00F7223F"/>
    <w:rsid w:val="00F739A1"/>
    <w:rsid w:val="00F73AD1"/>
    <w:rsid w:val="00F74DCB"/>
    <w:rsid w:val="00F75009"/>
    <w:rsid w:val="00F76EF5"/>
    <w:rsid w:val="00F807BF"/>
    <w:rsid w:val="00F83291"/>
    <w:rsid w:val="00F8338B"/>
    <w:rsid w:val="00F87B4E"/>
    <w:rsid w:val="00F9096E"/>
    <w:rsid w:val="00F91431"/>
    <w:rsid w:val="00F92A1B"/>
    <w:rsid w:val="00F93BCF"/>
    <w:rsid w:val="00F94D12"/>
    <w:rsid w:val="00FA0133"/>
    <w:rsid w:val="00FA43D9"/>
    <w:rsid w:val="00FA5102"/>
    <w:rsid w:val="00FB3FF3"/>
    <w:rsid w:val="00FB5E81"/>
    <w:rsid w:val="00FB658B"/>
    <w:rsid w:val="00FB6C37"/>
    <w:rsid w:val="00FC05E1"/>
    <w:rsid w:val="00FC3E91"/>
    <w:rsid w:val="00FC42B0"/>
    <w:rsid w:val="00FC533B"/>
    <w:rsid w:val="00FD18DF"/>
    <w:rsid w:val="00FD59D8"/>
    <w:rsid w:val="00FD5A51"/>
    <w:rsid w:val="00FD7840"/>
    <w:rsid w:val="00FD7B51"/>
    <w:rsid w:val="00FE2670"/>
    <w:rsid w:val="00FE4933"/>
    <w:rsid w:val="00FE6A14"/>
    <w:rsid w:val="00FE6AF7"/>
    <w:rsid w:val="00FF00A6"/>
    <w:rsid w:val="00FF14A8"/>
    <w:rsid w:val="00FF2A38"/>
    <w:rsid w:val="00FF35D5"/>
    <w:rsid w:val="00FF3E53"/>
    <w:rsid w:val="00FF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40D2"/>
  <w15:chartTrackingRefBased/>
  <w15:docId w15:val="{8A61469D-8ADE-DC49-A4AD-139F2675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B91"/>
    <w:pPr>
      <w:spacing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B2F14"/>
    <w:pPr>
      <w:spacing w:line="480" w:lineRule="auto"/>
    </w:pPr>
    <w:rPr>
      <w:rFonts w:eastAsiaTheme="minorHAnsi" w:cs="Times New Roman (Body CS)"/>
      <w:szCs w:val="20"/>
    </w:rPr>
  </w:style>
  <w:style w:type="character" w:customStyle="1" w:styleId="FootnoteTextChar">
    <w:name w:val="Footnote Text Char"/>
    <w:basedOn w:val="DefaultParagraphFont"/>
    <w:link w:val="FootnoteText"/>
    <w:uiPriority w:val="99"/>
    <w:rsid w:val="00DB2F14"/>
    <w:rPr>
      <w:szCs w:val="20"/>
    </w:rPr>
  </w:style>
  <w:style w:type="character" w:styleId="FootnoteReference">
    <w:name w:val="footnote reference"/>
    <w:aliases w:val="a Footnote Reference"/>
    <w:basedOn w:val="DefaultParagraphFont"/>
    <w:uiPriority w:val="99"/>
    <w:unhideWhenUsed/>
    <w:qFormat/>
    <w:rsid w:val="00C149F1"/>
    <w:rPr>
      <w:vertAlign w:val="superscript"/>
    </w:rPr>
  </w:style>
  <w:style w:type="paragraph" w:styleId="Footer">
    <w:name w:val="footer"/>
    <w:basedOn w:val="Normal"/>
    <w:link w:val="FooterChar"/>
    <w:uiPriority w:val="99"/>
    <w:unhideWhenUsed/>
    <w:rsid w:val="00C70773"/>
    <w:pPr>
      <w:tabs>
        <w:tab w:val="center" w:pos="4680"/>
        <w:tab w:val="right" w:pos="9360"/>
      </w:tabs>
    </w:pPr>
    <w:rPr>
      <w:rFonts w:eastAsiaTheme="minorHAnsi" w:cs="Times New Roman (Body CS)"/>
    </w:rPr>
  </w:style>
  <w:style w:type="character" w:customStyle="1" w:styleId="FooterChar">
    <w:name w:val="Footer Char"/>
    <w:basedOn w:val="DefaultParagraphFont"/>
    <w:link w:val="Footer"/>
    <w:uiPriority w:val="99"/>
    <w:rsid w:val="00C70773"/>
  </w:style>
  <w:style w:type="character" w:styleId="PageNumber">
    <w:name w:val="page number"/>
    <w:basedOn w:val="DefaultParagraphFont"/>
    <w:uiPriority w:val="99"/>
    <w:semiHidden/>
    <w:unhideWhenUsed/>
    <w:rsid w:val="00C70773"/>
  </w:style>
  <w:style w:type="paragraph" w:styleId="EndnoteText">
    <w:name w:val="endnote text"/>
    <w:basedOn w:val="Normal"/>
    <w:link w:val="EndnoteTextChar"/>
    <w:uiPriority w:val="99"/>
    <w:semiHidden/>
    <w:unhideWhenUsed/>
    <w:rsid w:val="005B56E4"/>
    <w:rPr>
      <w:rFonts w:eastAsiaTheme="minorHAnsi" w:cs="Times New Roman (Body CS)"/>
      <w:sz w:val="20"/>
      <w:szCs w:val="20"/>
    </w:rPr>
  </w:style>
  <w:style w:type="character" w:customStyle="1" w:styleId="EndnoteTextChar">
    <w:name w:val="Endnote Text Char"/>
    <w:basedOn w:val="DefaultParagraphFont"/>
    <w:link w:val="EndnoteText"/>
    <w:uiPriority w:val="99"/>
    <w:semiHidden/>
    <w:rsid w:val="005B56E4"/>
    <w:rPr>
      <w:sz w:val="20"/>
      <w:szCs w:val="20"/>
    </w:rPr>
  </w:style>
  <w:style w:type="character" w:styleId="EndnoteReference">
    <w:name w:val="endnote reference"/>
    <w:basedOn w:val="DefaultParagraphFont"/>
    <w:uiPriority w:val="99"/>
    <w:semiHidden/>
    <w:unhideWhenUsed/>
    <w:rsid w:val="005B56E4"/>
    <w:rPr>
      <w:vertAlign w:val="superscript"/>
    </w:rPr>
  </w:style>
  <w:style w:type="character" w:styleId="Hyperlink">
    <w:name w:val="Hyperlink"/>
    <w:basedOn w:val="DefaultParagraphFont"/>
    <w:uiPriority w:val="99"/>
    <w:unhideWhenUsed/>
    <w:rsid w:val="00627D8B"/>
    <w:rPr>
      <w:color w:val="0563C1" w:themeColor="hyperlink"/>
      <w:u w:val="single"/>
    </w:rPr>
  </w:style>
  <w:style w:type="character" w:customStyle="1" w:styleId="UnresolvedMention1">
    <w:name w:val="Unresolved Mention1"/>
    <w:basedOn w:val="DefaultParagraphFont"/>
    <w:uiPriority w:val="99"/>
    <w:semiHidden/>
    <w:unhideWhenUsed/>
    <w:rsid w:val="00627D8B"/>
    <w:rPr>
      <w:color w:val="605E5C"/>
      <w:shd w:val="clear" w:color="auto" w:fill="E1DFDD"/>
    </w:rPr>
  </w:style>
  <w:style w:type="paragraph" w:customStyle="1" w:styleId="Footnotetext-largeandsmallcaps">
    <w:name w:val="Footnote text-largeandsmallcaps"/>
    <w:basedOn w:val="FootnoteText"/>
    <w:link w:val="Footnotetext-largeandsmallcapsChar"/>
    <w:qFormat/>
    <w:rsid w:val="001C0E74"/>
    <w:pPr>
      <w:spacing w:after="60" w:line="240" w:lineRule="auto"/>
      <w:jc w:val="both"/>
    </w:pPr>
    <w:rPr>
      <w:rFonts w:ascii="CG Times" w:eastAsia="Calibri" w:hAnsi="CG Times" w:cs="Calibri"/>
      <w:smallCaps/>
      <w:sz w:val="18"/>
    </w:rPr>
  </w:style>
  <w:style w:type="character" w:customStyle="1" w:styleId="Footnotetext-largeandsmallcapsChar">
    <w:name w:val="Footnote text-largeandsmallcaps Char"/>
    <w:basedOn w:val="FootnoteTextChar"/>
    <w:link w:val="Footnotetext-largeandsmallcaps"/>
    <w:rsid w:val="001C0E74"/>
    <w:rPr>
      <w:rFonts w:ascii="CG Times" w:eastAsia="Calibri" w:hAnsi="CG Times" w:cs="Calibri"/>
      <w:smallCaps/>
      <w:sz w:val="18"/>
      <w:szCs w:val="20"/>
    </w:rPr>
  </w:style>
  <w:style w:type="paragraph" w:styleId="BalloonText">
    <w:name w:val="Balloon Text"/>
    <w:basedOn w:val="Normal"/>
    <w:link w:val="BalloonTextChar"/>
    <w:uiPriority w:val="99"/>
    <w:semiHidden/>
    <w:unhideWhenUsed/>
    <w:rsid w:val="00E230D6"/>
    <w:rPr>
      <w:rFonts w:eastAsiaTheme="minorHAnsi"/>
      <w:sz w:val="18"/>
      <w:szCs w:val="18"/>
    </w:rPr>
  </w:style>
  <w:style w:type="character" w:customStyle="1" w:styleId="BalloonTextChar">
    <w:name w:val="Balloon Text Char"/>
    <w:basedOn w:val="DefaultParagraphFont"/>
    <w:link w:val="BalloonText"/>
    <w:uiPriority w:val="99"/>
    <w:semiHidden/>
    <w:rsid w:val="00E230D6"/>
    <w:rPr>
      <w:rFonts w:cs="Times New Roman"/>
      <w:sz w:val="18"/>
      <w:szCs w:val="18"/>
    </w:rPr>
  </w:style>
  <w:style w:type="character" w:styleId="FollowedHyperlink">
    <w:name w:val="FollowedHyperlink"/>
    <w:basedOn w:val="DefaultParagraphFont"/>
    <w:uiPriority w:val="99"/>
    <w:semiHidden/>
    <w:unhideWhenUsed/>
    <w:rsid w:val="009C21C8"/>
    <w:rPr>
      <w:color w:val="954F72" w:themeColor="followedHyperlink"/>
      <w:u w:val="single"/>
    </w:rPr>
  </w:style>
  <w:style w:type="character" w:styleId="CommentReference">
    <w:name w:val="annotation reference"/>
    <w:basedOn w:val="DefaultParagraphFont"/>
    <w:uiPriority w:val="99"/>
    <w:semiHidden/>
    <w:unhideWhenUsed/>
    <w:rsid w:val="009F316B"/>
    <w:rPr>
      <w:sz w:val="16"/>
      <w:szCs w:val="16"/>
    </w:rPr>
  </w:style>
  <w:style w:type="paragraph" w:styleId="CommentText">
    <w:name w:val="annotation text"/>
    <w:basedOn w:val="Normal"/>
    <w:link w:val="CommentTextChar"/>
    <w:uiPriority w:val="99"/>
    <w:semiHidden/>
    <w:unhideWhenUsed/>
    <w:rsid w:val="009F316B"/>
    <w:rPr>
      <w:sz w:val="20"/>
      <w:szCs w:val="20"/>
    </w:rPr>
  </w:style>
  <w:style w:type="character" w:customStyle="1" w:styleId="CommentTextChar">
    <w:name w:val="Comment Text Char"/>
    <w:basedOn w:val="DefaultParagraphFont"/>
    <w:link w:val="CommentText"/>
    <w:uiPriority w:val="99"/>
    <w:semiHidden/>
    <w:rsid w:val="009F316B"/>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316B"/>
    <w:rPr>
      <w:b/>
      <w:bCs/>
    </w:rPr>
  </w:style>
  <w:style w:type="character" w:customStyle="1" w:styleId="CommentSubjectChar">
    <w:name w:val="Comment Subject Char"/>
    <w:basedOn w:val="CommentTextChar"/>
    <w:link w:val="CommentSubject"/>
    <w:uiPriority w:val="99"/>
    <w:semiHidden/>
    <w:rsid w:val="009F316B"/>
    <w:rPr>
      <w:rFonts w:eastAsia="Times New Roman" w:cs="Times New Roman"/>
      <w:b/>
      <w:bCs/>
      <w:sz w:val="20"/>
      <w:szCs w:val="20"/>
    </w:rPr>
  </w:style>
  <w:style w:type="character" w:customStyle="1" w:styleId="UnresolvedMention2">
    <w:name w:val="Unresolved Mention2"/>
    <w:basedOn w:val="DefaultParagraphFont"/>
    <w:uiPriority w:val="99"/>
    <w:semiHidden/>
    <w:unhideWhenUsed/>
    <w:rsid w:val="002073EF"/>
    <w:rPr>
      <w:color w:val="605E5C"/>
      <w:shd w:val="clear" w:color="auto" w:fill="E1DFDD"/>
    </w:rPr>
  </w:style>
  <w:style w:type="character" w:styleId="UnresolvedMention">
    <w:name w:val="Unresolved Mention"/>
    <w:basedOn w:val="DefaultParagraphFont"/>
    <w:uiPriority w:val="99"/>
    <w:semiHidden/>
    <w:unhideWhenUsed/>
    <w:rsid w:val="00F63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6495">
      <w:bodyDiv w:val="1"/>
      <w:marLeft w:val="0"/>
      <w:marRight w:val="0"/>
      <w:marTop w:val="0"/>
      <w:marBottom w:val="0"/>
      <w:divBdr>
        <w:top w:val="none" w:sz="0" w:space="0" w:color="auto"/>
        <w:left w:val="none" w:sz="0" w:space="0" w:color="auto"/>
        <w:bottom w:val="none" w:sz="0" w:space="0" w:color="auto"/>
        <w:right w:val="none" w:sz="0" w:space="0" w:color="auto"/>
      </w:divBdr>
      <w:divsChild>
        <w:div w:id="710806349">
          <w:marLeft w:val="0"/>
          <w:marRight w:val="0"/>
          <w:marTop w:val="0"/>
          <w:marBottom w:val="0"/>
          <w:divBdr>
            <w:top w:val="none" w:sz="0" w:space="0" w:color="auto"/>
            <w:left w:val="none" w:sz="0" w:space="0" w:color="auto"/>
            <w:bottom w:val="none" w:sz="0" w:space="0" w:color="auto"/>
            <w:right w:val="none" w:sz="0" w:space="0" w:color="auto"/>
          </w:divBdr>
          <w:divsChild>
            <w:div w:id="524441964">
              <w:marLeft w:val="0"/>
              <w:marRight w:val="0"/>
              <w:marTop w:val="0"/>
              <w:marBottom w:val="0"/>
              <w:divBdr>
                <w:top w:val="none" w:sz="0" w:space="0" w:color="auto"/>
                <w:left w:val="none" w:sz="0" w:space="0" w:color="auto"/>
                <w:bottom w:val="none" w:sz="0" w:space="0" w:color="auto"/>
                <w:right w:val="none" w:sz="0" w:space="0" w:color="auto"/>
              </w:divBdr>
              <w:divsChild>
                <w:div w:id="479426212">
                  <w:marLeft w:val="0"/>
                  <w:marRight w:val="0"/>
                  <w:marTop w:val="0"/>
                  <w:marBottom w:val="0"/>
                  <w:divBdr>
                    <w:top w:val="none" w:sz="0" w:space="0" w:color="auto"/>
                    <w:left w:val="none" w:sz="0" w:space="0" w:color="auto"/>
                    <w:bottom w:val="none" w:sz="0" w:space="0" w:color="auto"/>
                    <w:right w:val="none" w:sz="0" w:space="0" w:color="auto"/>
                  </w:divBdr>
                  <w:divsChild>
                    <w:div w:id="5629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66006">
          <w:marLeft w:val="0"/>
          <w:marRight w:val="0"/>
          <w:marTop w:val="0"/>
          <w:marBottom w:val="0"/>
          <w:divBdr>
            <w:top w:val="single" w:sz="18" w:space="0" w:color="DADADA"/>
            <w:left w:val="none" w:sz="0" w:space="0" w:color="auto"/>
            <w:bottom w:val="none" w:sz="0" w:space="0" w:color="auto"/>
            <w:right w:val="none" w:sz="0" w:space="0" w:color="auto"/>
          </w:divBdr>
        </w:div>
      </w:divsChild>
    </w:div>
    <w:div w:id="84500657">
      <w:bodyDiv w:val="1"/>
      <w:marLeft w:val="0"/>
      <w:marRight w:val="0"/>
      <w:marTop w:val="0"/>
      <w:marBottom w:val="0"/>
      <w:divBdr>
        <w:top w:val="none" w:sz="0" w:space="0" w:color="auto"/>
        <w:left w:val="none" w:sz="0" w:space="0" w:color="auto"/>
        <w:bottom w:val="none" w:sz="0" w:space="0" w:color="auto"/>
        <w:right w:val="none" w:sz="0" w:space="0" w:color="auto"/>
      </w:divBdr>
    </w:div>
    <w:div w:id="127476781">
      <w:bodyDiv w:val="1"/>
      <w:marLeft w:val="0"/>
      <w:marRight w:val="0"/>
      <w:marTop w:val="0"/>
      <w:marBottom w:val="0"/>
      <w:divBdr>
        <w:top w:val="none" w:sz="0" w:space="0" w:color="auto"/>
        <w:left w:val="none" w:sz="0" w:space="0" w:color="auto"/>
        <w:bottom w:val="none" w:sz="0" w:space="0" w:color="auto"/>
        <w:right w:val="none" w:sz="0" w:space="0" w:color="auto"/>
      </w:divBdr>
    </w:div>
    <w:div w:id="235551835">
      <w:bodyDiv w:val="1"/>
      <w:marLeft w:val="0"/>
      <w:marRight w:val="0"/>
      <w:marTop w:val="0"/>
      <w:marBottom w:val="0"/>
      <w:divBdr>
        <w:top w:val="none" w:sz="0" w:space="0" w:color="auto"/>
        <w:left w:val="none" w:sz="0" w:space="0" w:color="auto"/>
        <w:bottom w:val="none" w:sz="0" w:space="0" w:color="auto"/>
        <w:right w:val="none" w:sz="0" w:space="0" w:color="auto"/>
      </w:divBdr>
    </w:div>
    <w:div w:id="384136107">
      <w:bodyDiv w:val="1"/>
      <w:marLeft w:val="0"/>
      <w:marRight w:val="0"/>
      <w:marTop w:val="0"/>
      <w:marBottom w:val="0"/>
      <w:divBdr>
        <w:top w:val="none" w:sz="0" w:space="0" w:color="auto"/>
        <w:left w:val="none" w:sz="0" w:space="0" w:color="auto"/>
        <w:bottom w:val="none" w:sz="0" w:space="0" w:color="auto"/>
        <w:right w:val="none" w:sz="0" w:space="0" w:color="auto"/>
      </w:divBdr>
    </w:div>
    <w:div w:id="394548331">
      <w:bodyDiv w:val="1"/>
      <w:marLeft w:val="0"/>
      <w:marRight w:val="0"/>
      <w:marTop w:val="0"/>
      <w:marBottom w:val="0"/>
      <w:divBdr>
        <w:top w:val="none" w:sz="0" w:space="0" w:color="auto"/>
        <w:left w:val="none" w:sz="0" w:space="0" w:color="auto"/>
        <w:bottom w:val="none" w:sz="0" w:space="0" w:color="auto"/>
        <w:right w:val="none" w:sz="0" w:space="0" w:color="auto"/>
      </w:divBdr>
    </w:div>
    <w:div w:id="455563847">
      <w:bodyDiv w:val="1"/>
      <w:marLeft w:val="0"/>
      <w:marRight w:val="0"/>
      <w:marTop w:val="0"/>
      <w:marBottom w:val="0"/>
      <w:divBdr>
        <w:top w:val="none" w:sz="0" w:space="0" w:color="auto"/>
        <w:left w:val="none" w:sz="0" w:space="0" w:color="auto"/>
        <w:bottom w:val="none" w:sz="0" w:space="0" w:color="auto"/>
        <w:right w:val="none" w:sz="0" w:space="0" w:color="auto"/>
      </w:divBdr>
    </w:div>
    <w:div w:id="597904627">
      <w:bodyDiv w:val="1"/>
      <w:marLeft w:val="0"/>
      <w:marRight w:val="0"/>
      <w:marTop w:val="0"/>
      <w:marBottom w:val="0"/>
      <w:divBdr>
        <w:top w:val="none" w:sz="0" w:space="0" w:color="auto"/>
        <w:left w:val="none" w:sz="0" w:space="0" w:color="auto"/>
        <w:bottom w:val="none" w:sz="0" w:space="0" w:color="auto"/>
        <w:right w:val="none" w:sz="0" w:space="0" w:color="auto"/>
      </w:divBdr>
    </w:div>
    <w:div w:id="614411013">
      <w:bodyDiv w:val="1"/>
      <w:marLeft w:val="0"/>
      <w:marRight w:val="0"/>
      <w:marTop w:val="0"/>
      <w:marBottom w:val="0"/>
      <w:divBdr>
        <w:top w:val="none" w:sz="0" w:space="0" w:color="auto"/>
        <w:left w:val="none" w:sz="0" w:space="0" w:color="auto"/>
        <w:bottom w:val="none" w:sz="0" w:space="0" w:color="auto"/>
        <w:right w:val="none" w:sz="0" w:space="0" w:color="auto"/>
      </w:divBdr>
    </w:div>
    <w:div w:id="693504772">
      <w:bodyDiv w:val="1"/>
      <w:marLeft w:val="0"/>
      <w:marRight w:val="0"/>
      <w:marTop w:val="0"/>
      <w:marBottom w:val="0"/>
      <w:divBdr>
        <w:top w:val="none" w:sz="0" w:space="0" w:color="auto"/>
        <w:left w:val="none" w:sz="0" w:space="0" w:color="auto"/>
        <w:bottom w:val="none" w:sz="0" w:space="0" w:color="auto"/>
        <w:right w:val="none" w:sz="0" w:space="0" w:color="auto"/>
      </w:divBdr>
    </w:div>
    <w:div w:id="714043604">
      <w:bodyDiv w:val="1"/>
      <w:marLeft w:val="0"/>
      <w:marRight w:val="0"/>
      <w:marTop w:val="0"/>
      <w:marBottom w:val="0"/>
      <w:divBdr>
        <w:top w:val="none" w:sz="0" w:space="0" w:color="auto"/>
        <w:left w:val="none" w:sz="0" w:space="0" w:color="auto"/>
        <w:bottom w:val="none" w:sz="0" w:space="0" w:color="auto"/>
        <w:right w:val="none" w:sz="0" w:space="0" w:color="auto"/>
      </w:divBdr>
    </w:div>
    <w:div w:id="742802228">
      <w:bodyDiv w:val="1"/>
      <w:marLeft w:val="0"/>
      <w:marRight w:val="0"/>
      <w:marTop w:val="0"/>
      <w:marBottom w:val="0"/>
      <w:divBdr>
        <w:top w:val="none" w:sz="0" w:space="0" w:color="auto"/>
        <w:left w:val="none" w:sz="0" w:space="0" w:color="auto"/>
        <w:bottom w:val="none" w:sz="0" w:space="0" w:color="auto"/>
        <w:right w:val="none" w:sz="0" w:space="0" w:color="auto"/>
      </w:divBdr>
    </w:div>
    <w:div w:id="784467308">
      <w:bodyDiv w:val="1"/>
      <w:marLeft w:val="0"/>
      <w:marRight w:val="0"/>
      <w:marTop w:val="0"/>
      <w:marBottom w:val="0"/>
      <w:divBdr>
        <w:top w:val="none" w:sz="0" w:space="0" w:color="auto"/>
        <w:left w:val="none" w:sz="0" w:space="0" w:color="auto"/>
        <w:bottom w:val="none" w:sz="0" w:space="0" w:color="auto"/>
        <w:right w:val="none" w:sz="0" w:space="0" w:color="auto"/>
      </w:divBdr>
      <w:divsChild>
        <w:div w:id="4733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0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3600">
      <w:bodyDiv w:val="1"/>
      <w:marLeft w:val="0"/>
      <w:marRight w:val="0"/>
      <w:marTop w:val="0"/>
      <w:marBottom w:val="0"/>
      <w:divBdr>
        <w:top w:val="none" w:sz="0" w:space="0" w:color="auto"/>
        <w:left w:val="none" w:sz="0" w:space="0" w:color="auto"/>
        <w:bottom w:val="none" w:sz="0" w:space="0" w:color="auto"/>
        <w:right w:val="none" w:sz="0" w:space="0" w:color="auto"/>
      </w:divBdr>
    </w:div>
    <w:div w:id="860320378">
      <w:bodyDiv w:val="1"/>
      <w:marLeft w:val="0"/>
      <w:marRight w:val="0"/>
      <w:marTop w:val="0"/>
      <w:marBottom w:val="0"/>
      <w:divBdr>
        <w:top w:val="none" w:sz="0" w:space="0" w:color="auto"/>
        <w:left w:val="none" w:sz="0" w:space="0" w:color="auto"/>
        <w:bottom w:val="none" w:sz="0" w:space="0" w:color="auto"/>
        <w:right w:val="none" w:sz="0" w:space="0" w:color="auto"/>
      </w:divBdr>
    </w:div>
    <w:div w:id="944461329">
      <w:bodyDiv w:val="1"/>
      <w:marLeft w:val="0"/>
      <w:marRight w:val="0"/>
      <w:marTop w:val="0"/>
      <w:marBottom w:val="0"/>
      <w:divBdr>
        <w:top w:val="none" w:sz="0" w:space="0" w:color="auto"/>
        <w:left w:val="none" w:sz="0" w:space="0" w:color="auto"/>
        <w:bottom w:val="none" w:sz="0" w:space="0" w:color="auto"/>
        <w:right w:val="none" w:sz="0" w:space="0" w:color="auto"/>
      </w:divBdr>
    </w:div>
    <w:div w:id="978724561">
      <w:bodyDiv w:val="1"/>
      <w:marLeft w:val="0"/>
      <w:marRight w:val="0"/>
      <w:marTop w:val="0"/>
      <w:marBottom w:val="0"/>
      <w:divBdr>
        <w:top w:val="none" w:sz="0" w:space="0" w:color="auto"/>
        <w:left w:val="none" w:sz="0" w:space="0" w:color="auto"/>
        <w:bottom w:val="none" w:sz="0" w:space="0" w:color="auto"/>
        <w:right w:val="none" w:sz="0" w:space="0" w:color="auto"/>
      </w:divBdr>
    </w:div>
    <w:div w:id="1062950293">
      <w:bodyDiv w:val="1"/>
      <w:marLeft w:val="0"/>
      <w:marRight w:val="0"/>
      <w:marTop w:val="0"/>
      <w:marBottom w:val="0"/>
      <w:divBdr>
        <w:top w:val="none" w:sz="0" w:space="0" w:color="auto"/>
        <w:left w:val="none" w:sz="0" w:space="0" w:color="auto"/>
        <w:bottom w:val="none" w:sz="0" w:space="0" w:color="auto"/>
        <w:right w:val="none" w:sz="0" w:space="0" w:color="auto"/>
      </w:divBdr>
    </w:div>
    <w:div w:id="1086920034">
      <w:bodyDiv w:val="1"/>
      <w:marLeft w:val="0"/>
      <w:marRight w:val="0"/>
      <w:marTop w:val="0"/>
      <w:marBottom w:val="0"/>
      <w:divBdr>
        <w:top w:val="none" w:sz="0" w:space="0" w:color="auto"/>
        <w:left w:val="none" w:sz="0" w:space="0" w:color="auto"/>
        <w:bottom w:val="none" w:sz="0" w:space="0" w:color="auto"/>
        <w:right w:val="none" w:sz="0" w:space="0" w:color="auto"/>
      </w:divBdr>
    </w:div>
    <w:div w:id="1155800461">
      <w:bodyDiv w:val="1"/>
      <w:marLeft w:val="0"/>
      <w:marRight w:val="0"/>
      <w:marTop w:val="0"/>
      <w:marBottom w:val="0"/>
      <w:divBdr>
        <w:top w:val="none" w:sz="0" w:space="0" w:color="auto"/>
        <w:left w:val="none" w:sz="0" w:space="0" w:color="auto"/>
        <w:bottom w:val="none" w:sz="0" w:space="0" w:color="auto"/>
        <w:right w:val="none" w:sz="0" w:space="0" w:color="auto"/>
      </w:divBdr>
    </w:div>
    <w:div w:id="1176455937">
      <w:bodyDiv w:val="1"/>
      <w:marLeft w:val="0"/>
      <w:marRight w:val="0"/>
      <w:marTop w:val="0"/>
      <w:marBottom w:val="0"/>
      <w:divBdr>
        <w:top w:val="none" w:sz="0" w:space="0" w:color="auto"/>
        <w:left w:val="none" w:sz="0" w:space="0" w:color="auto"/>
        <w:bottom w:val="none" w:sz="0" w:space="0" w:color="auto"/>
        <w:right w:val="none" w:sz="0" w:space="0" w:color="auto"/>
      </w:divBdr>
      <w:divsChild>
        <w:div w:id="1924298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7902536">
              <w:marLeft w:val="0"/>
              <w:marRight w:val="0"/>
              <w:marTop w:val="0"/>
              <w:marBottom w:val="0"/>
              <w:divBdr>
                <w:top w:val="none" w:sz="0" w:space="0" w:color="auto"/>
                <w:left w:val="none" w:sz="0" w:space="0" w:color="auto"/>
                <w:bottom w:val="none" w:sz="0" w:space="0" w:color="auto"/>
                <w:right w:val="none" w:sz="0" w:space="0" w:color="auto"/>
              </w:divBdr>
              <w:divsChild>
                <w:div w:id="16296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5082">
      <w:bodyDiv w:val="1"/>
      <w:marLeft w:val="0"/>
      <w:marRight w:val="0"/>
      <w:marTop w:val="0"/>
      <w:marBottom w:val="0"/>
      <w:divBdr>
        <w:top w:val="none" w:sz="0" w:space="0" w:color="auto"/>
        <w:left w:val="none" w:sz="0" w:space="0" w:color="auto"/>
        <w:bottom w:val="none" w:sz="0" w:space="0" w:color="auto"/>
        <w:right w:val="none" w:sz="0" w:space="0" w:color="auto"/>
      </w:divBdr>
    </w:div>
    <w:div w:id="1474106556">
      <w:bodyDiv w:val="1"/>
      <w:marLeft w:val="0"/>
      <w:marRight w:val="0"/>
      <w:marTop w:val="0"/>
      <w:marBottom w:val="0"/>
      <w:divBdr>
        <w:top w:val="none" w:sz="0" w:space="0" w:color="auto"/>
        <w:left w:val="none" w:sz="0" w:space="0" w:color="auto"/>
        <w:bottom w:val="none" w:sz="0" w:space="0" w:color="auto"/>
        <w:right w:val="none" w:sz="0" w:space="0" w:color="auto"/>
      </w:divBdr>
    </w:div>
    <w:div w:id="1541087630">
      <w:bodyDiv w:val="1"/>
      <w:marLeft w:val="0"/>
      <w:marRight w:val="0"/>
      <w:marTop w:val="0"/>
      <w:marBottom w:val="0"/>
      <w:divBdr>
        <w:top w:val="none" w:sz="0" w:space="0" w:color="auto"/>
        <w:left w:val="none" w:sz="0" w:space="0" w:color="auto"/>
        <w:bottom w:val="none" w:sz="0" w:space="0" w:color="auto"/>
        <w:right w:val="none" w:sz="0" w:space="0" w:color="auto"/>
      </w:divBdr>
    </w:div>
    <w:div w:id="1585338369">
      <w:bodyDiv w:val="1"/>
      <w:marLeft w:val="0"/>
      <w:marRight w:val="0"/>
      <w:marTop w:val="0"/>
      <w:marBottom w:val="0"/>
      <w:divBdr>
        <w:top w:val="none" w:sz="0" w:space="0" w:color="auto"/>
        <w:left w:val="none" w:sz="0" w:space="0" w:color="auto"/>
        <w:bottom w:val="none" w:sz="0" w:space="0" w:color="auto"/>
        <w:right w:val="none" w:sz="0" w:space="0" w:color="auto"/>
      </w:divBdr>
    </w:div>
    <w:div w:id="1656103677">
      <w:bodyDiv w:val="1"/>
      <w:marLeft w:val="0"/>
      <w:marRight w:val="0"/>
      <w:marTop w:val="0"/>
      <w:marBottom w:val="0"/>
      <w:divBdr>
        <w:top w:val="none" w:sz="0" w:space="0" w:color="auto"/>
        <w:left w:val="none" w:sz="0" w:space="0" w:color="auto"/>
        <w:bottom w:val="none" w:sz="0" w:space="0" w:color="auto"/>
        <w:right w:val="none" w:sz="0" w:space="0" w:color="auto"/>
      </w:divBdr>
    </w:div>
    <w:div w:id="1863977369">
      <w:bodyDiv w:val="1"/>
      <w:marLeft w:val="0"/>
      <w:marRight w:val="0"/>
      <w:marTop w:val="0"/>
      <w:marBottom w:val="0"/>
      <w:divBdr>
        <w:top w:val="none" w:sz="0" w:space="0" w:color="auto"/>
        <w:left w:val="none" w:sz="0" w:space="0" w:color="auto"/>
        <w:bottom w:val="none" w:sz="0" w:space="0" w:color="auto"/>
        <w:right w:val="none" w:sz="0" w:space="0" w:color="auto"/>
      </w:divBdr>
    </w:div>
    <w:div w:id="1895121834">
      <w:bodyDiv w:val="1"/>
      <w:marLeft w:val="0"/>
      <w:marRight w:val="0"/>
      <w:marTop w:val="0"/>
      <w:marBottom w:val="0"/>
      <w:divBdr>
        <w:top w:val="none" w:sz="0" w:space="0" w:color="auto"/>
        <w:left w:val="none" w:sz="0" w:space="0" w:color="auto"/>
        <w:bottom w:val="none" w:sz="0" w:space="0" w:color="auto"/>
        <w:right w:val="none" w:sz="0" w:space="0" w:color="auto"/>
      </w:divBdr>
    </w:div>
    <w:div w:id="1896350713">
      <w:bodyDiv w:val="1"/>
      <w:marLeft w:val="0"/>
      <w:marRight w:val="0"/>
      <w:marTop w:val="0"/>
      <w:marBottom w:val="0"/>
      <w:divBdr>
        <w:top w:val="none" w:sz="0" w:space="0" w:color="auto"/>
        <w:left w:val="none" w:sz="0" w:space="0" w:color="auto"/>
        <w:bottom w:val="none" w:sz="0" w:space="0" w:color="auto"/>
        <w:right w:val="none" w:sz="0" w:space="0" w:color="auto"/>
      </w:divBdr>
    </w:div>
    <w:div w:id="1998533418">
      <w:bodyDiv w:val="1"/>
      <w:marLeft w:val="0"/>
      <w:marRight w:val="0"/>
      <w:marTop w:val="0"/>
      <w:marBottom w:val="0"/>
      <w:divBdr>
        <w:top w:val="none" w:sz="0" w:space="0" w:color="auto"/>
        <w:left w:val="none" w:sz="0" w:space="0" w:color="auto"/>
        <w:bottom w:val="none" w:sz="0" w:space="0" w:color="auto"/>
        <w:right w:val="none" w:sz="0" w:space="0" w:color="auto"/>
      </w:divBdr>
    </w:div>
    <w:div w:id="2041054414">
      <w:bodyDiv w:val="1"/>
      <w:marLeft w:val="0"/>
      <w:marRight w:val="0"/>
      <w:marTop w:val="0"/>
      <w:marBottom w:val="0"/>
      <w:divBdr>
        <w:top w:val="none" w:sz="0" w:space="0" w:color="auto"/>
        <w:left w:val="none" w:sz="0" w:space="0" w:color="auto"/>
        <w:bottom w:val="none" w:sz="0" w:space="0" w:color="auto"/>
        <w:right w:val="none" w:sz="0" w:space="0" w:color="auto"/>
      </w:divBdr>
    </w:div>
    <w:div w:id="2073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nwlc.org/resources/gender-and-the-tax-code/" TargetMode="External"/><Relationship Id="rId13" Type="http://schemas.openxmlformats.org/officeDocument/2006/relationships/hyperlink" Target="https://www.theatlantic.com/ideas/archive/2019/11/tax-patriarchy/601864/" TargetMode="External"/><Relationship Id="rId18" Type="http://schemas.openxmlformats.org/officeDocument/2006/relationships/hyperlink" Target="https://www.aclu.org/report/menstrual-equity" TargetMode="External"/><Relationship Id="rId3" Type="http://schemas.openxmlformats.org/officeDocument/2006/relationships/hyperlink" Target="https://www.supremecourt.gov/about/biographies.aspx" TargetMode="External"/><Relationship Id="rId21" Type="http://schemas.openxmlformats.org/officeDocument/2006/relationships/hyperlink" Target="https://www.governor.ny.gov/news/governor-cuomo-unveils-10th-proposal-2020-state-state-eliminating-pink-tax" TargetMode="External"/><Relationship Id="rId7" Type="http://schemas.openxmlformats.org/officeDocument/2006/relationships/hyperlink" Target="https://budget.house.gov/publications/report/real-world-effects-prove-gop-tax-law-was-wrong-policy-wrong-time" TargetMode="External"/><Relationship Id="rId12" Type="http://schemas.openxmlformats.org/officeDocument/2006/relationships/hyperlink" Target="https://www.marketwatch.com/story/3-ways-the-tax-code-can-burden-women-and-the-poor-while-helping-out-wealthy-men-2019-11-15" TargetMode="External"/><Relationship Id="rId17" Type="http://schemas.openxmlformats.org/officeDocument/2006/relationships/hyperlink" Target="https://www.aclu.org/report/unequal-price-periods" TargetMode="External"/><Relationship Id="rId2" Type="http://schemas.openxmlformats.org/officeDocument/2006/relationships/hyperlink" Target="https://www.americanbar.org/content/dam/aba/administrative/taxation/awards/dsa/ginsburgremarks.pdf" TargetMode="External"/><Relationship Id="rId16" Type="http://schemas.openxmlformats.org/officeDocument/2006/relationships/hyperlink" Target="https://perma.cc/D38W-DR4G" TargetMode="External"/><Relationship Id="rId20" Type="http://schemas.openxmlformats.org/officeDocument/2006/relationships/hyperlink" Target="https://maloney.house.gov/sites/maloney.house.gov/files/Pink%20Tax%20report%20FINAL.pdf" TargetMode="External"/><Relationship Id="rId1" Type="http://schemas.openxmlformats.org/officeDocument/2006/relationships/hyperlink" Target="https://sourcebooks.fordham.edu/mod/senecafalls.asp" TargetMode="External"/><Relationship Id="rId6" Type="http://schemas.openxmlformats.org/officeDocument/2006/relationships/hyperlink" Target="https://www.american.edu/kogod/research/upload/blind_spot_accessible.pdf" TargetMode="External"/><Relationship Id="rId11" Type="http://schemas.openxmlformats.org/officeDocument/2006/relationships/hyperlink" Target="https://nwlc-ciw49tixgw5lbab.stackpathdns.com/wp-content/uploads/2019/11/NWLC-GCPI-Tax-Code-for-the-Rest-of-Us-Nov14.pdf" TargetMode="External"/><Relationship Id="rId5" Type="http://schemas.openxmlformats.org/officeDocument/2006/relationships/hyperlink" Target="https://www.american.edu/kogod/research/taxpolicy/" TargetMode="External"/><Relationship Id="rId15" Type="http://schemas.openxmlformats.org/officeDocument/2006/relationships/hyperlink" Target="https://www.cosmopolitan.com/health-fitness/news/a47609/2015-the-year-the-period-went-public" TargetMode="External"/><Relationship Id="rId10" Type="http://schemas.openxmlformats.org/officeDocument/2006/relationships/hyperlink" Target="https://nwlc-ciw49tixgw5lbab.stackpathdns.com/wp-content/uploads/2019/11/NWLC-ReckoningTheHiddenRules-accessibleNov12.pdf" TargetMode="External"/><Relationship Id="rId19" Type="http://schemas.openxmlformats.org/officeDocument/2006/relationships/hyperlink" Target="https://www.newsweek.com/new-york-pink-tax-pricing-women-products-1443149" TargetMode="External"/><Relationship Id="rId4" Type="http://schemas.openxmlformats.org/officeDocument/2006/relationships/hyperlink" Target="https://papers.ssrn.com/sol3/papers.cfm?abstract_id=3373965" TargetMode="External"/><Relationship Id="rId9" Type="http://schemas.openxmlformats.org/officeDocument/2006/relationships/hyperlink" Target="https://nwlc-ciw49tixgw5lbab.stackpathdns.com/wp-content/uploads/2019/11/NWLC-The-Faulty-Foundations-of-the-Tax-Code-Accessible-FINAL.pdf" TargetMode="External"/><Relationship Id="rId14" Type="http://schemas.openxmlformats.org/officeDocument/2006/relationships/hyperlink" Target="https://msmagazine.com/2019/11/21/taxes-are-a-womens-issue-to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3EE6D-A590-4D53-967A-240F09CB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24</Pages>
  <Words>5498</Words>
  <Characters>31341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 Infanti</dc:creator>
  <cp:keywords/>
  <dc:description/>
  <cp:lastModifiedBy>Anthony C. Infanti</cp:lastModifiedBy>
  <cp:revision>27</cp:revision>
  <cp:lastPrinted>2019-12-21T16:18:00Z</cp:lastPrinted>
  <dcterms:created xsi:type="dcterms:W3CDTF">2020-07-23T23:04:00Z</dcterms:created>
  <dcterms:modified xsi:type="dcterms:W3CDTF">2020-07-24T10:56:00Z</dcterms:modified>
</cp:coreProperties>
</file>